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CA5F7">
      <w:pPr>
        <w:spacing w:line="360" w:lineRule="auto"/>
        <w:rPr>
          <w:rFonts w:ascii="宋体" w:hAnsi="宋体" w:cs="宋体"/>
          <w:color w:val="auto"/>
          <w:sz w:val="66"/>
          <w:szCs w:val="66"/>
          <w:highlight w:val="none"/>
          <w:u w:val="double"/>
        </w:rPr>
      </w:pPr>
      <w:bookmarkStart w:id="369" w:name="_GoBack"/>
      <w:bookmarkEnd w:id="369"/>
      <w:r>
        <w:rPr>
          <w:rFonts w:hint="eastAsia"/>
          <w:color w:val="auto"/>
          <w:highlight w:val="none"/>
        </w:rPr>
        <w:drawing>
          <wp:inline distT="0" distB="0" distL="114300" distR="114300">
            <wp:extent cx="6132195" cy="1142365"/>
            <wp:effectExtent l="0" t="0" r="0" b="0"/>
            <wp:docPr id="5" name="图片 1" descr="dfb24ab37d87af0743d5d6df98ed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fb24ab37d87af0743d5d6df98edd53"/>
                    <pic:cNvPicPr>
                      <a:picLocks noChangeAspect="1"/>
                    </pic:cNvPicPr>
                  </pic:nvPicPr>
                  <pic:blipFill>
                    <a:blip r:embed="rId11" cstate="print"/>
                    <a:stretch>
                      <a:fillRect/>
                    </a:stretch>
                  </pic:blipFill>
                  <pic:spPr>
                    <a:xfrm>
                      <a:off x="0" y="0"/>
                      <a:ext cx="6132195" cy="1142365"/>
                    </a:xfrm>
                    <a:prstGeom prst="rect">
                      <a:avLst/>
                    </a:prstGeom>
                    <a:noFill/>
                    <a:ln>
                      <a:noFill/>
                    </a:ln>
                  </pic:spPr>
                </pic:pic>
              </a:graphicData>
            </a:graphic>
          </wp:inline>
        </w:drawing>
      </w:r>
    </w:p>
    <w:p w14:paraId="43D48C5E">
      <w:pPr>
        <w:spacing w:line="360" w:lineRule="auto"/>
        <w:ind w:firstLine="1333"/>
        <w:rPr>
          <w:rFonts w:ascii="宋体" w:hAnsi="宋体" w:cs="宋体"/>
          <w:color w:val="auto"/>
          <w:sz w:val="66"/>
          <w:szCs w:val="66"/>
          <w:highlight w:val="none"/>
          <w:u w:val="double"/>
        </w:rPr>
      </w:pPr>
    </w:p>
    <w:p w14:paraId="1036F0D9">
      <w:pPr>
        <w:spacing w:line="360" w:lineRule="auto"/>
        <w:ind w:firstLine="1333"/>
        <w:rPr>
          <w:rFonts w:ascii="宋体" w:hAnsi="宋体" w:cs="宋体"/>
          <w:color w:val="auto"/>
          <w:sz w:val="66"/>
          <w:szCs w:val="66"/>
          <w:highlight w:val="none"/>
          <w:u w:val="double"/>
        </w:rPr>
      </w:pPr>
    </w:p>
    <w:p w14:paraId="321129A2">
      <w:pPr>
        <w:pStyle w:val="20"/>
        <w:rPr>
          <w:color w:val="auto"/>
          <w:highlight w:val="none"/>
        </w:rPr>
      </w:pPr>
    </w:p>
    <w:p w14:paraId="4AF79AA7">
      <w:pPr>
        <w:rPr>
          <w:color w:val="auto"/>
          <w:highlight w:val="none"/>
        </w:rPr>
      </w:pPr>
    </w:p>
    <w:p w14:paraId="15FDF887">
      <w:pPr>
        <w:rPr>
          <w:color w:val="auto"/>
          <w:highlight w:val="none"/>
        </w:rPr>
      </w:pPr>
    </w:p>
    <w:p w14:paraId="37356F10">
      <w:pPr>
        <w:spacing w:line="360" w:lineRule="auto"/>
        <w:ind w:firstLine="1333"/>
        <w:rPr>
          <w:rFonts w:ascii="宋体" w:hAnsi="宋体" w:cs="宋体"/>
          <w:color w:val="auto"/>
          <w:sz w:val="66"/>
          <w:szCs w:val="66"/>
          <w:highlight w:val="none"/>
          <w:u w:val="double"/>
        </w:rPr>
      </w:pPr>
    </w:p>
    <w:p w14:paraId="5E5480BE">
      <w:pPr>
        <w:spacing w:line="360" w:lineRule="auto"/>
        <w:ind w:firstLine="1541"/>
        <w:jc w:val="center"/>
        <w:rPr>
          <w:rFonts w:ascii="宋体" w:hAnsi="宋体" w:cs="宋体"/>
          <w:b/>
          <w:bCs/>
          <w:color w:val="auto"/>
          <w:sz w:val="76"/>
          <w:szCs w:val="76"/>
          <w:highlight w:val="none"/>
        </w:rPr>
      </w:pPr>
      <w:r>
        <w:rPr>
          <w:rFonts w:hint="eastAsia" w:ascii="宋体" w:hAnsi="宋体" w:cs="宋体"/>
          <w:b/>
          <w:bCs/>
          <w:color w:val="auto"/>
          <w:sz w:val="76"/>
          <w:szCs w:val="76"/>
          <w:highlight w:val="none"/>
        </w:rPr>
        <w:t>竞争性磋商采购文件</w:t>
      </w:r>
    </w:p>
    <w:p w14:paraId="703796A9">
      <w:pPr>
        <w:pStyle w:val="27"/>
        <w:spacing w:line="360" w:lineRule="auto"/>
        <w:ind w:firstLine="1680" w:firstLineChars="600"/>
        <w:rPr>
          <w:rFonts w:hAnsi="宋体" w:cs="宋体"/>
          <w:color w:val="auto"/>
          <w:sz w:val="28"/>
          <w:szCs w:val="28"/>
          <w:highlight w:val="none"/>
        </w:rPr>
      </w:pPr>
      <w:r>
        <w:rPr>
          <w:rFonts w:hint="eastAsia" w:hAnsi="宋体" w:cs="宋体"/>
          <w:color w:val="auto"/>
          <w:sz w:val="28"/>
          <w:szCs w:val="28"/>
          <w:highlight w:val="none"/>
        </w:rPr>
        <w:t>项目名称：</w:t>
      </w:r>
      <w:r>
        <w:rPr>
          <w:rFonts w:hint="eastAsia" w:hAnsi="宋体" w:cs="宋体"/>
          <w:color w:val="auto"/>
          <w:sz w:val="28"/>
          <w:szCs w:val="28"/>
          <w:highlight w:val="none"/>
          <w:lang w:eastAsia="zh-CN"/>
        </w:rPr>
        <w:t>崇左铁路支专线布局研究</w:t>
      </w:r>
      <w:r>
        <w:rPr>
          <w:rFonts w:hint="eastAsia" w:hAnsi="宋体" w:cs="宋体"/>
          <w:color w:val="auto"/>
          <w:sz w:val="28"/>
          <w:szCs w:val="28"/>
          <w:highlight w:val="none"/>
        </w:rPr>
        <w:t xml:space="preserve">  </w:t>
      </w:r>
    </w:p>
    <w:p w14:paraId="22241F58">
      <w:pPr>
        <w:spacing w:line="360" w:lineRule="auto"/>
        <w:ind w:firstLine="1640" w:firstLineChars="586"/>
        <w:rPr>
          <w:rFonts w:hint="eastAsia" w:ascii="宋体" w:hAnsi="宋体" w:eastAsia="宋体" w:cs="宋体"/>
          <w:b/>
          <w:bCs/>
          <w:color w:val="auto"/>
          <w:sz w:val="40"/>
          <w:szCs w:val="40"/>
          <w:highlight w:val="none"/>
          <w:lang w:eastAsia="zh-CN"/>
        </w:rPr>
      </w:pPr>
      <w:r>
        <w:rPr>
          <w:rFonts w:hint="eastAsia" w:hAnsi="宋体" w:cs="宋体"/>
          <w:color w:val="auto"/>
          <w:sz w:val="28"/>
          <w:szCs w:val="28"/>
          <w:highlight w:val="none"/>
        </w:rPr>
        <w:t>项目编号：</w:t>
      </w:r>
      <w:r>
        <w:rPr>
          <w:rFonts w:hint="eastAsia" w:hAnsi="宋体" w:cs="宋体"/>
          <w:color w:val="auto"/>
          <w:sz w:val="28"/>
          <w:szCs w:val="28"/>
          <w:highlight w:val="none"/>
          <w:lang w:eastAsia="zh-CN"/>
        </w:rPr>
        <w:t>CZZC2024-C3-990252-GXYL</w:t>
      </w:r>
    </w:p>
    <w:p w14:paraId="1C38CE7E">
      <w:pPr>
        <w:spacing w:line="360" w:lineRule="auto"/>
        <w:ind w:firstLine="730"/>
        <w:rPr>
          <w:rFonts w:ascii="宋体" w:hAnsi="宋体" w:cs="宋体"/>
          <w:b/>
          <w:bCs/>
          <w:color w:val="auto"/>
          <w:sz w:val="36"/>
          <w:szCs w:val="36"/>
          <w:highlight w:val="none"/>
        </w:rPr>
      </w:pPr>
    </w:p>
    <w:p w14:paraId="4C7B185A">
      <w:pPr>
        <w:spacing w:line="360" w:lineRule="auto"/>
        <w:ind w:firstLine="730"/>
        <w:rPr>
          <w:rFonts w:ascii="宋体" w:hAnsi="宋体" w:cs="宋体"/>
          <w:b/>
          <w:bCs/>
          <w:color w:val="auto"/>
          <w:sz w:val="36"/>
          <w:szCs w:val="36"/>
          <w:highlight w:val="none"/>
        </w:rPr>
      </w:pPr>
    </w:p>
    <w:p w14:paraId="1DDC315E">
      <w:pPr>
        <w:pStyle w:val="62"/>
        <w:spacing w:line="360" w:lineRule="auto"/>
        <w:ind w:firstLine="915"/>
        <w:rPr>
          <w:color w:val="auto"/>
          <w:highlight w:val="none"/>
        </w:rPr>
      </w:pPr>
    </w:p>
    <w:p w14:paraId="127E3DF2">
      <w:pPr>
        <w:spacing w:line="360" w:lineRule="auto"/>
        <w:ind w:firstLine="649"/>
        <w:jc w:val="center"/>
        <w:rPr>
          <w:rFonts w:ascii="宋体" w:hAnsi="宋体" w:cs="宋体"/>
          <w:b/>
          <w:bCs/>
          <w:color w:val="auto"/>
          <w:sz w:val="32"/>
          <w:szCs w:val="32"/>
          <w:highlight w:val="none"/>
        </w:rPr>
      </w:pPr>
    </w:p>
    <w:p w14:paraId="3132BD65">
      <w:pPr>
        <w:pStyle w:val="62"/>
        <w:ind w:firstLine="915"/>
        <w:rPr>
          <w:color w:val="auto"/>
          <w:highlight w:val="none"/>
        </w:rPr>
      </w:pPr>
    </w:p>
    <w:p w14:paraId="24DD1A83">
      <w:pPr>
        <w:spacing w:line="360" w:lineRule="auto"/>
        <w:ind w:firstLine="1606" w:firstLineChars="5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b/>
          <w:bCs/>
          <w:color w:val="auto"/>
          <w:sz w:val="32"/>
          <w:szCs w:val="32"/>
          <w:highlight w:val="none"/>
          <w:lang w:eastAsia="zh-CN"/>
        </w:rPr>
        <w:t>崇左市交通运输局</w:t>
      </w:r>
    </w:p>
    <w:p w14:paraId="00C62311">
      <w:pPr>
        <w:spacing w:line="360" w:lineRule="auto"/>
        <w:ind w:firstLine="1606" w:firstLineChars="500"/>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采购代理机构：广西亿隆项目管理有限公司</w:t>
      </w:r>
    </w:p>
    <w:p w14:paraId="131B7B89">
      <w:pPr>
        <w:spacing w:line="360" w:lineRule="auto"/>
        <w:ind w:firstLine="64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2024年</w:t>
      </w:r>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月</w:t>
      </w:r>
    </w:p>
    <w:p w14:paraId="47B1C811">
      <w:pPr>
        <w:spacing w:line="360" w:lineRule="auto"/>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p>
    <w:p w14:paraId="056F7B3E">
      <w:pPr>
        <w:spacing w:line="360" w:lineRule="auto"/>
        <w:ind w:firstLine="892"/>
        <w:jc w:val="center"/>
        <w:rPr>
          <w:rFonts w:ascii="宋体" w:hAnsi="宋体" w:cs="宋体"/>
          <w:b/>
          <w:color w:val="auto"/>
          <w:sz w:val="44"/>
          <w:szCs w:val="44"/>
          <w:highlight w:val="none"/>
        </w:rPr>
      </w:pPr>
    </w:p>
    <w:p w14:paraId="759EFAB4">
      <w:pPr>
        <w:pStyle w:val="34"/>
        <w:tabs>
          <w:tab w:val="right" w:leader="dot" w:pos="9660"/>
        </w:tabs>
        <w:rPr>
          <w:color w:val="auto"/>
          <w:sz w:val="24"/>
          <w:szCs w:val="32"/>
          <w:highlight w:val="none"/>
        </w:rPr>
      </w:pP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TOC \o "1-3" \h \z \u </w:instrText>
      </w:r>
      <w:r>
        <w:rPr>
          <w:rFonts w:hint="eastAsia" w:ascii="宋体" w:hAnsi="宋体" w:cs="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"_Toc19434" </w:instrText>
      </w:r>
      <w:r>
        <w:rPr>
          <w:color w:val="auto"/>
          <w:highlight w:val="none"/>
        </w:rPr>
        <w:fldChar w:fldCharType="separate"/>
      </w:r>
      <w:r>
        <w:rPr>
          <w:rFonts w:hint="eastAsia"/>
          <w:color w:val="auto"/>
          <w:sz w:val="24"/>
          <w:szCs w:val="32"/>
          <w:highlight w:val="none"/>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_Toc19434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color w:val="auto"/>
          <w:sz w:val="24"/>
          <w:szCs w:val="32"/>
          <w:highlight w:val="none"/>
        </w:rPr>
        <w:fldChar w:fldCharType="end"/>
      </w:r>
    </w:p>
    <w:p w14:paraId="78222D90">
      <w:pPr>
        <w:pStyle w:val="34"/>
        <w:tabs>
          <w:tab w:val="right" w:leader="dot" w:pos="9660"/>
        </w:tabs>
        <w:ind w:firstLine="485"/>
        <w:rPr>
          <w:rFonts w:ascii="宋体" w:hAnsi="宋体" w:cs="宋体"/>
          <w:color w:val="auto"/>
          <w:sz w:val="24"/>
          <w:szCs w:val="36"/>
          <w:highlight w:val="none"/>
        </w:rPr>
      </w:pPr>
    </w:p>
    <w:p w14:paraId="5C7616AB">
      <w:pPr>
        <w:pStyle w:val="34"/>
        <w:tabs>
          <w:tab w:val="right" w:leader="dot" w:pos="9660"/>
        </w:tabs>
        <w:rPr>
          <w:color w:val="auto"/>
          <w:sz w:val="24"/>
          <w:szCs w:val="32"/>
          <w:highlight w:val="none"/>
        </w:rPr>
      </w:pPr>
      <w:r>
        <w:rPr>
          <w:color w:val="auto"/>
          <w:highlight w:val="none"/>
        </w:rPr>
        <w:fldChar w:fldCharType="begin"/>
      </w:r>
      <w:r>
        <w:rPr>
          <w:color w:val="auto"/>
          <w:highlight w:val="none"/>
        </w:rPr>
        <w:instrText xml:space="preserve"> HYPERLINK \l "_Toc27532" </w:instrText>
      </w:r>
      <w:r>
        <w:rPr>
          <w:color w:val="auto"/>
          <w:highlight w:val="none"/>
        </w:rPr>
        <w:fldChar w:fldCharType="separate"/>
      </w:r>
      <w:r>
        <w:rPr>
          <w:rFonts w:hint="eastAsia"/>
          <w:color w:val="auto"/>
          <w:sz w:val="24"/>
          <w:szCs w:val="40"/>
          <w:highlight w:val="none"/>
        </w:rPr>
        <w:t>第二章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_Toc27532 \h </w:instrText>
      </w:r>
      <w:r>
        <w:rPr>
          <w:color w:val="auto"/>
          <w:sz w:val="24"/>
          <w:szCs w:val="32"/>
          <w:highlight w:val="none"/>
        </w:rPr>
        <w:fldChar w:fldCharType="separate"/>
      </w:r>
      <w:r>
        <w:rPr>
          <w:color w:val="auto"/>
          <w:sz w:val="24"/>
          <w:szCs w:val="32"/>
          <w:highlight w:val="none"/>
        </w:rPr>
        <w:t>4</w:t>
      </w:r>
      <w:r>
        <w:rPr>
          <w:color w:val="auto"/>
          <w:sz w:val="24"/>
          <w:szCs w:val="32"/>
          <w:highlight w:val="none"/>
        </w:rPr>
        <w:fldChar w:fldCharType="end"/>
      </w:r>
      <w:r>
        <w:rPr>
          <w:color w:val="auto"/>
          <w:sz w:val="24"/>
          <w:szCs w:val="32"/>
          <w:highlight w:val="none"/>
        </w:rPr>
        <w:fldChar w:fldCharType="end"/>
      </w:r>
    </w:p>
    <w:p w14:paraId="7DE0D89C">
      <w:pPr>
        <w:pStyle w:val="34"/>
        <w:ind w:firstLine="485"/>
        <w:rPr>
          <w:rFonts w:ascii="宋体" w:hAnsi="宋体" w:cs="宋体"/>
          <w:color w:val="auto"/>
          <w:sz w:val="24"/>
          <w:szCs w:val="36"/>
          <w:highlight w:val="none"/>
        </w:rPr>
      </w:pPr>
    </w:p>
    <w:p w14:paraId="5FC450E5">
      <w:pPr>
        <w:pStyle w:val="34"/>
        <w:rPr>
          <w:color w:val="auto"/>
          <w:sz w:val="24"/>
          <w:szCs w:val="32"/>
          <w:highlight w:val="none"/>
        </w:rPr>
      </w:pPr>
      <w:r>
        <w:rPr>
          <w:color w:val="auto"/>
          <w:highlight w:val="none"/>
        </w:rPr>
        <w:fldChar w:fldCharType="begin"/>
      </w:r>
      <w:r>
        <w:rPr>
          <w:color w:val="auto"/>
          <w:highlight w:val="none"/>
        </w:rPr>
        <w:instrText xml:space="preserve"> HYPERLINK \l "_Toc3974" </w:instrText>
      </w:r>
      <w:r>
        <w:rPr>
          <w:color w:val="auto"/>
          <w:highlight w:val="none"/>
        </w:rPr>
        <w:fldChar w:fldCharType="separate"/>
      </w:r>
      <w:r>
        <w:rPr>
          <w:rFonts w:hint="eastAsia"/>
          <w:color w:val="auto"/>
          <w:sz w:val="24"/>
          <w:szCs w:val="32"/>
          <w:highlight w:val="none"/>
        </w:rPr>
        <w:t>第三章 采购需求...............................................................................................................................</w:t>
      </w:r>
      <w:r>
        <w:rPr>
          <w:color w:val="auto"/>
          <w:sz w:val="24"/>
          <w:szCs w:val="32"/>
          <w:highlight w:val="none"/>
        </w:rPr>
        <w:fldChar w:fldCharType="begin"/>
      </w:r>
      <w:r>
        <w:rPr>
          <w:color w:val="auto"/>
          <w:sz w:val="24"/>
          <w:szCs w:val="32"/>
          <w:highlight w:val="none"/>
        </w:rPr>
        <w:instrText xml:space="preserve"> PAGEREF _Toc3974 \h </w:instrText>
      </w:r>
      <w:r>
        <w:rPr>
          <w:color w:val="auto"/>
          <w:sz w:val="24"/>
          <w:szCs w:val="32"/>
          <w:highlight w:val="none"/>
        </w:rPr>
        <w:fldChar w:fldCharType="separate"/>
      </w:r>
      <w:r>
        <w:rPr>
          <w:color w:val="auto"/>
          <w:sz w:val="24"/>
          <w:szCs w:val="32"/>
          <w:highlight w:val="none"/>
        </w:rPr>
        <w:t>30</w:t>
      </w:r>
      <w:r>
        <w:rPr>
          <w:color w:val="auto"/>
          <w:sz w:val="24"/>
          <w:szCs w:val="32"/>
          <w:highlight w:val="none"/>
        </w:rPr>
        <w:fldChar w:fldCharType="end"/>
      </w:r>
      <w:r>
        <w:rPr>
          <w:color w:val="auto"/>
          <w:sz w:val="24"/>
          <w:szCs w:val="32"/>
          <w:highlight w:val="none"/>
        </w:rPr>
        <w:fldChar w:fldCharType="end"/>
      </w:r>
    </w:p>
    <w:p w14:paraId="54A73259">
      <w:pPr>
        <w:pStyle w:val="34"/>
        <w:tabs>
          <w:tab w:val="right" w:leader="dot" w:pos="9660"/>
        </w:tabs>
        <w:ind w:firstLine="485"/>
        <w:rPr>
          <w:rFonts w:ascii="宋体" w:hAnsi="宋体" w:cs="宋体"/>
          <w:color w:val="auto"/>
          <w:sz w:val="24"/>
          <w:szCs w:val="36"/>
          <w:highlight w:val="none"/>
        </w:rPr>
      </w:pPr>
    </w:p>
    <w:p w14:paraId="4518ECE0">
      <w:pPr>
        <w:pStyle w:val="34"/>
        <w:tabs>
          <w:tab w:val="right" w:leader="dot" w:pos="9660"/>
        </w:tabs>
        <w:rPr>
          <w:color w:val="auto"/>
          <w:sz w:val="24"/>
          <w:szCs w:val="32"/>
          <w:highlight w:val="none"/>
        </w:rPr>
      </w:pPr>
      <w:r>
        <w:rPr>
          <w:color w:val="auto"/>
          <w:highlight w:val="none"/>
        </w:rPr>
        <w:fldChar w:fldCharType="begin"/>
      </w:r>
      <w:r>
        <w:rPr>
          <w:color w:val="auto"/>
          <w:highlight w:val="none"/>
        </w:rPr>
        <w:instrText xml:space="preserve"> HYPERLINK \l "_Toc9877" </w:instrText>
      </w:r>
      <w:r>
        <w:rPr>
          <w:color w:val="auto"/>
          <w:highlight w:val="none"/>
        </w:rPr>
        <w:fldChar w:fldCharType="separate"/>
      </w:r>
      <w:r>
        <w:rPr>
          <w:rFonts w:hint="eastAsia"/>
          <w:color w:val="auto"/>
          <w:sz w:val="24"/>
          <w:szCs w:val="32"/>
          <w:highlight w:val="none"/>
        </w:rPr>
        <w:t>第四章 评审程序、评审方法和评审标准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_Toc9877 \h </w:instrText>
      </w:r>
      <w:r>
        <w:rPr>
          <w:color w:val="auto"/>
          <w:sz w:val="24"/>
          <w:szCs w:val="32"/>
          <w:highlight w:val="none"/>
        </w:rPr>
        <w:fldChar w:fldCharType="separate"/>
      </w:r>
      <w:r>
        <w:rPr>
          <w:color w:val="auto"/>
          <w:sz w:val="24"/>
          <w:szCs w:val="32"/>
          <w:highlight w:val="none"/>
        </w:rPr>
        <w:t>37</w:t>
      </w:r>
      <w:r>
        <w:rPr>
          <w:color w:val="auto"/>
          <w:sz w:val="24"/>
          <w:szCs w:val="32"/>
          <w:highlight w:val="none"/>
        </w:rPr>
        <w:fldChar w:fldCharType="end"/>
      </w:r>
      <w:r>
        <w:rPr>
          <w:color w:val="auto"/>
          <w:sz w:val="24"/>
          <w:szCs w:val="32"/>
          <w:highlight w:val="none"/>
        </w:rPr>
        <w:fldChar w:fldCharType="end"/>
      </w:r>
    </w:p>
    <w:p w14:paraId="31B1C88F">
      <w:pPr>
        <w:pStyle w:val="42"/>
        <w:tabs>
          <w:tab w:val="right" w:leader="dot" w:pos="9660"/>
          <w:tab w:val="clear" w:pos="8296"/>
        </w:tabs>
        <w:ind w:left="0" w:leftChars="0" w:firstLine="485"/>
        <w:rPr>
          <w:color w:val="auto"/>
          <w:sz w:val="24"/>
          <w:szCs w:val="32"/>
          <w:highlight w:val="none"/>
        </w:rPr>
      </w:pPr>
    </w:p>
    <w:p w14:paraId="6EEE8CF8">
      <w:pPr>
        <w:pStyle w:val="42"/>
        <w:tabs>
          <w:tab w:val="right" w:leader="dot" w:pos="9660"/>
          <w:tab w:val="clear" w:pos="8296"/>
        </w:tabs>
        <w:ind w:left="0" w:leftChars="0"/>
        <w:rPr>
          <w:color w:val="auto"/>
          <w:sz w:val="24"/>
          <w:szCs w:val="32"/>
          <w:highlight w:val="none"/>
        </w:rPr>
      </w:pPr>
      <w:r>
        <w:rPr>
          <w:color w:val="auto"/>
          <w:highlight w:val="none"/>
        </w:rPr>
        <w:fldChar w:fldCharType="begin"/>
      </w:r>
      <w:r>
        <w:rPr>
          <w:color w:val="auto"/>
          <w:highlight w:val="none"/>
        </w:rPr>
        <w:instrText xml:space="preserve"> HYPERLINK \l "_Toc29846" </w:instrText>
      </w:r>
      <w:r>
        <w:rPr>
          <w:color w:val="auto"/>
          <w:highlight w:val="none"/>
        </w:rPr>
        <w:fldChar w:fldCharType="separate"/>
      </w:r>
      <w:r>
        <w:rPr>
          <w:rFonts w:hint="eastAsia" w:ascii="宋体" w:hAnsi="宋体" w:cs="宋体"/>
          <w:color w:val="auto"/>
          <w:sz w:val="24"/>
          <w:szCs w:val="32"/>
          <w:highlight w:val="none"/>
        </w:rPr>
        <w:t>第五章 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_Toc29846 \h </w:instrText>
      </w:r>
      <w:r>
        <w:rPr>
          <w:color w:val="auto"/>
          <w:sz w:val="24"/>
          <w:szCs w:val="32"/>
          <w:highlight w:val="none"/>
        </w:rPr>
        <w:fldChar w:fldCharType="separate"/>
      </w:r>
      <w:r>
        <w:rPr>
          <w:color w:val="auto"/>
          <w:sz w:val="24"/>
          <w:szCs w:val="32"/>
          <w:highlight w:val="none"/>
        </w:rPr>
        <w:t>46</w:t>
      </w:r>
      <w:r>
        <w:rPr>
          <w:color w:val="auto"/>
          <w:sz w:val="24"/>
          <w:szCs w:val="32"/>
          <w:highlight w:val="none"/>
        </w:rPr>
        <w:fldChar w:fldCharType="end"/>
      </w:r>
      <w:r>
        <w:rPr>
          <w:color w:val="auto"/>
          <w:sz w:val="24"/>
          <w:szCs w:val="32"/>
          <w:highlight w:val="none"/>
        </w:rPr>
        <w:fldChar w:fldCharType="end"/>
      </w:r>
    </w:p>
    <w:p w14:paraId="0C4B8657">
      <w:pPr>
        <w:pStyle w:val="42"/>
        <w:tabs>
          <w:tab w:val="right" w:leader="dot" w:pos="9660"/>
          <w:tab w:val="clear" w:pos="8296"/>
        </w:tabs>
        <w:ind w:left="0" w:leftChars="0" w:firstLine="485"/>
        <w:rPr>
          <w:color w:val="auto"/>
          <w:sz w:val="24"/>
          <w:szCs w:val="32"/>
          <w:highlight w:val="none"/>
        </w:rPr>
      </w:pPr>
    </w:p>
    <w:p w14:paraId="44791656">
      <w:pPr>
        <w:pStyle w:val="42"/>
        <w:tabs>
          <w:tab w:val="right" w:leader="dot" w:pos="9660"/>
          <w:tab w:val="clear" w:pos="8296"/>
        </w:tabs>
        <w:ind w:left="0" w:leftChars="0"/>
        <w:rPr>
          <w:color w:val="auto"/>
          <w:sz w:val="24"/>
          <w:szCs w:val="32"/>
          <w:highlight w:val="none"/>
        </w:rPr>
      </w:pPr>
      <w:r>
        <w:rPr>
          <w:color w:val="auto"/>
          <w:highlight w:val="none"/>
        </w:rPr>
        <w:fldChar w:fldCharType="begin"/>
      </w:r>
      <w:r>
        <w:rPr>
          <w:color w:val="auto"/>
          <w:highlight w:val="none"/>
        </w:rPr>
        <w:instrText xml:space="preserve"> HYPERLINK \l "_Toc31094" </w:instrText>
      </w:r>
      <w:r>
        <w:rPr>
          <w:color w:val="auto"/>
          <w:highlight w:val="none"/>
        </w:rPr>
        <w:fldChar w:fldCharType="separate"/>
      </w:r>
      <w:r>
        <w:rPr>
          <w:rFonts w:hint="eastAsia" w:ascii="宋体" w:hAnsi="宋体" w:cs="宋体"/>
          <w:color w:val="auto"/>
          <w:sz w:val="24"/>
          <w:szCs w:val="32"/>
          <w:highlight w:val="none"/>
        </w:rPr>
        <w:t>第六章 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_Toc31094 \h </w:instrText>
      </w:r>
      <w:r>
        <w:rPr>
          <w:color w:val="auto"/>
          <w:sz w:val="24"/>
          <w:szCs w:val="32"/>
          <w:highlight w:val="none"/>
        </w:rPr>
        <w:fldChar w:fldCharType="separate"/>
      </w:r>
      <w:r>
        <w:rPr>
          <w:color w:val="auto"/>
          <w:sz w:val="24"/>
          <w:szCs w:val="32"/>
          <w:highlight w:val="none"/>
        </w:rPr>
        <w:t>69</w:t>
      </w:r>
      <w:r>
        <w:rPr>
          <w:color w:val="auto"/>
          <w:sz w:val="24"/>
          <w:szCs w:val="32"/>
          <w:highlight w:val="none"/>
        </w:rPr>
        <w:fldChar w:fldCharType="end"/>
      </w:r>
      <w:r>
        <w:rPr>
          <w:color w:val="auto"/>
          <w:sz w:val="24"/>
          <w:szCs w:val="32"/>
          <w:highlight w:val="none"/>
        </w:rPr>
        <w:fldChar w:fldCharType="end"/>
      </w:r>
    </w:p>
    <w:p w14:paraId="291819DC">
      <w:pPr>
        <w:pStyle w:val="42"/>
        <w:tabs>
          <w:tab w:val="left" w:pos="3938"/>
          <w:tab w:val="clear" w:pos="8296"/>
        </w:tabs>
        <w:spacing w:line="600" w:lineRule="auto"/>
        <w:ind w:firstLine="730"/>
        <w:rPr>
          <w:rFonts w:ascii="宋体" w:hAnsi="宋体" w:cs="宋体"/>
          <w:color w:val="auto"/>
          <w:sz w:val="28"/>
          <w:szCs w:val="28"/>
          <w:highlight w:val="none"/>
        </w:rPr>
      </w:pPr>
      <w:r>
        <w:rPr>
          <w:rFonts w:hint="eastAsia" w:ascii="宋体" w:hAnsi="宋体" w:cs="宋体"/>
          <w:b/>
          <w:color w:val="auto"/>
          <w:sz w:val="36"/>
          <w:szCs w:val="36"/>
          <w:highlight w:val="none"/>
        </w:rPr>
        <w:fldChar w:fldCharType="end"/>
      </w:r>
      <w:r>
        <w:rPr>
          <w:rFonts w:hint="eastAsia" w:ascii="宋体" w:hAnsi="宋体" w:cs="宋体"/>
          <w:b/>
          <w:color w:val="auto"/>
          <w:sz w:val="28"/>
          <w:szCs w:val="28"/>
          <w:highlight w:val="none"/>
        </w:rPr>
        <w:tab/>
      </w:r>
    </w:p>
    <w:p w14:paraId="46507601">
      <w:pPr>
        <w:spacing w:line="360" w:lineRule="auto"/>
        <w:ind w:firstLine="649"/>
        <w:jc w:val="left"/>
        <w:rPr>
          <w:rFonts w:ascii="宋体" w:hAnsi="宋体" w:cs="宋体"/>
          <w:b/>
          <w:color w:val="auto"/>
          <w:sz w:val="32"/>
          <w:szCs w:val="32"/>
          <w:highlight w:val="none"/>
        </w:rPr>
      </w:pPr>
    </w:p>
    <w:p w14:paraId="3FE2DC40">
      <w:pPr>
        <w:spacing w:line="360" w:lineRule="auto"/>
        <w:ind w:firstLine="649"/>
        <w:jc w:val="center"/>
        <w:rPr>
          <w:rFonts w:ascii="宋体" w:hAnsi="宋体" w:cs="宋体"/>
          <w:b/>
          <w:color w:val="auto"/>
          <w:sz w:val="32"/>
          <w:szCs w:val="32"/>
          <w:highlight w:val="none"/>
        </w:rPr>
      </w:pPr>
    </w:p>
    <w:p w14:paraId="30155919">
      <w:pPr>
        <w:spacing w:line="360" w:lineRule="auto"/>
        <w:ind w:firstLine="649"/>
        <w:jc w:val="center"/>
        <w:rPr>
          <w:rFonts w:ascii="宋体" w:hAnsi="宋体" w:cs="宋体"/>
          <w:b/>
          <w:color w:val="auto"/>
          <w:sz w:val="32"/>
          <w:szCs w:val="32"/>
          <w:highlight w:val="none"/>
        </w:rPr>
      </w:pPr>
    </w:p>
    <w:p w14:paraId="509FA2FB">
      <w:pPr>
        <w:spacing w:line="360" w:lineRule="auto"/>
        <w:ind w:firstLine="649"/>
        <w:jc w:val="center"/>
        <w:rPr>
          <w:rFonts w:ascii="宋体" w:hAnsi="宋体" w:cs="宋体"/>
          <w:b/>
          <w:color w:val="auto"/>
          <w:sz w:val="32"/>
          <w:szCs w:val="32"/>
          <w:highlight w:val="none"/>
        </w:rPr>
      </w:pPr>
    </w:p>
    <w:p w14:paraId="39FFC1E6">
      <w:pPr>
        <w:spacing w:line="360" w:lineRule="auto"/>
        <w:ind w:firstLine="649"/>
        <w:jc w:val="center"/>
        <w:rPr>
          <w:rFonts w:ascii="宋体" w:hAnsi="宋体" w:cs="宋体"/>
          <w:b/>
          <w:color w:val="auto"/>
          <w:sz w:val="32"/>
          <w:szCs w:val="32"/>
          <w:highlight w:val="none"/>
        </w:rPr>
      </w:pPr>
    </w:p>
    <w:p w14:paraId="237970A9">
      <w:pPr>
        <w:spacing w:line="360" w:lineRule="auto"/>
        <w:ind w:firstLine="649"/>
        <w:rPr>
          <w:rFonts w:ascii="宋体" w:hAnsi="宋体" w:cs="宋体"/>
          <w:b/>
          <w:color w:val="auto"/>
          <w:sz w:val="32"/>
          <w:szCs w:val="32"/>
          <w:highlight w:val="none"/>
        </w:rPr>
        <w:sectPr>
          <w:headerReference r:id="rId4" w:type="first"/>
          <w:headerReference r:id="rId3" w:type="default"/>
          <w:pgSz w:w="11906" w:h="16838"/>
          <w:pgMar w:top="1440" w:right="1079" w:bottom="1440" w:left="1167" w:header="1271" w:footer="992" w:gutter="0"/>
          <w:cols w:space="720" w:num="1"/>
          <w:titlePg/>
          <w:docGrid w:type="lines" w:linePitch="312" w:charSpace="0"/>
        </w:sectPr>
      </w:pPr>
    </w:p>
    <w:p w14:paraId="6D2C7E21">
      <w:pPr>
        <w:pStyle w:val="2"/>
        <w:ind w:firstLine="568"/>
        <w:rPr>
          <w:color w:val="auto"/>
          <w:highlight w:val="none"/>
        </w:rPr>
      </w:pPr>
      <w:bookmarkStart w:id="0" w:name="_Toc22158"/>
      <w:bookmarkStart w:id="1" w:name="_Toc13216"/>
      <w:bookmarkStart w:id="2" w:name="_Toc9956"/>
      <w:bookmarkStart w:id="3" w:name="_Toc44229877"/>
      <w:bookmarkStart w:id="4" w:name="_Toc19434"/>
      <w:r>
        <w:rPr>
          <w:rFonts w:hint="eastAsia"/>
          <w:color w:val="auto"/>
          <w:highlight w:val="none"/>
        </w:rPr>
        <w:t>第一章 竞争性磋商公告</w:t>
      </w:r>
      <w:bookmarkEnd w:id="0"/>
      <w:bookmarkEnd w:id="1"/>
      <w:bookmarkEnd w:id="2"/>
      <w:bookmarkEnd w:id="3"/>
      <w:bookmarkEnd w:id="4"/>
    </w:p>
    <w:p w14:paraId="1F3A9744">
      <w:pPr>
        <w:spacing w:line="360" w:lineRule="auto"/>
        <w:ind w:firstLine="487"/>
        <w:jc w:val="center"/>
        <w:rPr>
          <w:rFonts w:ascii="宋体" w:hAnsi="宋体" w:cs="宋体"/>
          <w:b/>
          <w:color w:val="auto"/>
          <w:sz w:val="24"/>
          <w:highlight w:val="none"/>
        </w:rPr>
      </w:pPr>
      <w:r>
        <w:rPr>
          <w:rFonts w:hint="eastAsia" w:ascii="宋体" w:hAnsi="宋体" w:cs="宋体"/>
          <w:b/>
          <w:color w:val="auto"/>
          <w:sz w:val="24"/>
          <w:highlight w:val="none"/>
        </w:rPr>
        <w:t>广西亿隆项目管理有限公司</w:t>
      </w:r>
    </w:p>
    <w:p w14:paraId="4BAE49E7">
      <w:pPr>
        <w:spacing w:line="360" w:lineRule="auto"/>
        <w:ind w:firstLine="487"/>
        <w:jc w:val="center"/>
        <w:rPr>
          <w:rFonts w:hint="eastAsia" w:ascii="宋体" w:hAnsi="宋体" w:cs="宋体"/>
          <w:b/>
          <w:color w:val="auto"/>
          <w:sz w:val="24"/>
          <w:highlight w:val="none"/>
        </w:rPr>
      </w:pPr>
      <w:r>
        <w:rPr>
          <w:rFonts w:hint="eastAsia" w:ascii="宋体" w:hAnsi="宋体" w:cs="宋体"/>
          <w:b/>
          <w:color w:val="auto"/>
          <w:sz w:val="24"/>
          <w:highlight w:val="none"/>
        </w:rPr>
        <w:t>关于</w:t>
      </w:r>
      <w:r>
        <w:rPr>
          <w:rFonts w:hint="eastAsia" w:ascii="宋体" w:hAnsi="宋体" w:cs="宋体"/>
          <w:b/>
          <w:color w:val="auto"/>
          <w:sz w:val="24"/>
          <w:highlight w:val="none"/>
          <w:lang w:eastAsia="zh-CN"/>
        </w:rPr>
        <w:t>崇左铁路支专线布局研究</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CZZC2024-C3-990252-GXYL</w:t>
      </w:r>
      <w:r>
        <w:rPr>
          <w:rFonts w:hint="eastAsia" w:ascii="宋体" w:hAnsi="宋体" w:cs="宋体"/>
          <w:b/>
          <w:color w:val="auto"/>
          <w:sz w:val="24"/>
          <w:highlight w:val="none"/>
        </w:rPr>
        <w:t>）</w:t>
      </w:r>
    </w:p>
    <w:p w14:paraId="6B718701">
      <w:pPr>
        <w:spacing w:line="360" w:lineRule="auto"/>
        <w:ind w:firstLine="487"/>
        <w:jc w:val="center"/>
        <w:rPr>
          <w:rFonts w:ascii="宋体" w:hAnsi="宋体" w:cs="宋体"/>
          <w:b/>
          <w:color w:val="auto"/>
          <w:sz w:val="24"/>
          <w:highlight w:val="none"/>
        </w:rPr>
      </w:pPr>
      <w:r>
        <w:rPr>
          <w:rFonts w:hint="eastAsia" w:ascii="宋体" w:hAnsi="宋体" w:cs="宋体"/>
          <w:b/>
          <w:color w:val="auto"/>
          <w:sz w:val="24"/>
          <w:highlight w:val="none"/>
        </w:rPr>
        <w:t>竞争性磋商公告</w:t>
      </w:r>
    </w:p>
    <w:p w14:paraId="58D1D9FA">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0C5F2826">
      <w:pPr>
        <w:pBdr>
          <w:top w:val="single" w:color="auto" w:sz="4" w:space="1"/>
          <w:left w:val="single" w:color="auto" w:sz="4" w:space="4"/>
          <w:bottom w:val="single" w:color="auto" w:sz="4" w:space="1"/>
          <w:right w:val="single" w:color="auto" w:sz="4" w:space="4"/>
        </w:pBdr>
        <w:spacing w:line="360" w:lineRule="auto"/>
        <w:ind w:left="19" w:leftChars="9" w:firstLine="388" w:firstLineChars="185"/>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崇左铁路支专线布局研究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应登录</w:t>
      </w:r>
      <w:r>
        <w:rPr>
          <w:rFonts w:hint="eastAsia" w:ascii="宋体" w:hAnsi="宋体" w:cs="宋体"/>
          <w:color w:val="auto"/>
          <w:szCs w:val="21"/>
          <w:highlight w:val="none"/>
          <w:u w:val="single"/>
          <w:lang w:eastAsia="zh-CN"/>
        </w:rPr>
        <w:t>广西政府采购云平台</w:t>
      </w:r>
      <w:r>
        <w:rPr>
          <w:rFonts w:hint="eastAsia" w:ascii="宋体" w:hAnsi="宋体" w:cs="宋体"/>
          <w:color w:val="auto"/>
          <w:szCs w:val="21"/>
          <w:highlight w:val="none"/>
          <w:u w:val="single"/>
        </w:rPr>
        <w:t xml:space="preserve">线上 </w:t>
      </w:r>
      <w:r>
        <w:rPr>
          <w:rFonts w:hint="eastAsia" w:ascii="宋体" w:hAnsi="宋体" w:cs="宋体"/>
          <w:color w:val="auto"/>
          <w:szCs w:val="21"/>
          <w:highlight w:val="none"/>
        </w:rPr>
        <w:t>获取采购文件，并于2024年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 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0分（北京时间）前提交响应文件。</w:t>
      </w:r>
    </w:p>
    <w:p w14:paraId="6329EA2D">
      <w:pPr>
        <w:spacing w:line="420" w:lineRule="exact"/>
        <w:ind w:firstLine="426"/>
        <w:rPr>
          <w:rFonts w:ascii="宋体" w:hAnsi="宋体" w:cs="宋体"/>
          <w:b/>
          <w:bCs/>
          <w:color w:val="auto"/>
          <w:highlight w:val="none"/>
        </w:rPr>
      </w:pPr>
      <w:bookmarkStart w:id="5" w:name="_Toc28359012"/>
      <w:bookmarkStart w:id="6" w:name="_Toc35393798"/>
      <w:bookmarkStart w:id="7" w:name="_Toc35393629"/>
      <w:bookmarkStart w:id="8" w:name="_Toc28359089"/>
      <w:bookmarkStart w:id="9" w:name="_Toc14203"/>
      <w:bookmarkStart w:id="10" w:name="_Toc23382"/>
      <w:bookmarkStart w:id="11" w:name="_Toc16728"/>
      <w:bookmarkStart w:id="12" w:name="_Toc20509"/>
      <w:bookmarkStart w:id="13" w:name="_Toc21897"/>
      <w:r>
        <w:rPr>
          <w:rFonts w:hint="eastAsia" w:ascii="宋体" w:hAnsi="宋体" w:cs="宋体"/>
          <w:b/>
          <w:bCs/>
          <w:color w:val="auto"/>
          <w:szCs w:val="21"/>
          <w:highlight w:val="none"/>
        </w:rPr>
        <w:t>一</w:t>
      </w:r>
      <w:r>
        <w:rPr>
          <w:rFonts w:hint="eastAsia" w:ascii="宋体" w:hAnsi="宋体" w:cs="宋体"/>
          <w:b/>
          <w:bCs/>
          <w:color w:val="auto"/>
          <w:highlight w:val="none"/>
        </w:rPr>
        <w:t>、项目基本情况</w:t>
      </w:r>
      <w:bookmarkEnd w:id="5"/>
      <w:bookmarkEnd w:id="6"/>
      <w:bookmarkEnd w:id="7"/>
      <w:bookmarkEnd w:id="8"/>
      <w:r>
        <w:rPr>
          <w:rFonts w:hint="eastAsia" w:ascii="宋体" w:hAnsi="宋体" w:cs="宋体"/>
          <w:b/>
          <w:bCs/>
          <w:color w:val="auto"/>
          <w:highlight w:val="none"/>
        </w:rPr>
        <w:t>：</w:t>
      </w:r>
      <w:bookmarkEnd w:id="9"/>
      <w:bookmarkEnd w:id="10"/>
      <w:bookmarkEnd w:id="11"/>
      <w:bookmarkEnd w:id="12"/>
      <w:bookmarkEnd w:id="13"/>
    </w:p>
    <w:p w14:paraId="1E867FB8">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1.项目编号：</w:t>
      </w:r>
      <w:r>
        <w:rPr>
          <w:rFonts w:hint="eastAsia" w:ascii="宋体" w:hAnsi="宋体" w:cs="宋体"/>
          <w:color w:val="auto"/>
          <w:highlight w:val="none"/>
          <w:lang w:eastAsia="zh-CN"/>
        </w:rPr>
        <w:t>CZZC2024-C3-990252-GXYL</w:t>
      </w:r>
      <w:r>
        <w:rPr>
          <w:rFonts w:hint="eastAsia" w:ascii="宋体" w:hAnsi="宋体" w:cs="宋体"/>
          <w:color w:val="auto"/>
          <w:highlight w:val="none"/>
        </w:rPr>
        <w:t xml:space="preserve"> </w:t>
      </w:r>
    </w:p>
    <w:p w14:paraId="2557A612">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2.项目名称：</w:t>
      </w:r>
      <w:r>
        <w:rPr>
          <w:rFonts w:hint="eastAsia" w:ascii="宋体" w:hAnsi="宋体" w:cs="宋体"/>
          <w:color w:val="auto"/>
          <w:highlight w:val="none"/>
          <w:lang w:eastAsia="zh-CN"/>
        </w:rPr>
        <w:t>崇左铁路支专线布局研究</w:t>
      </w:r>
      <w:r>
        <w:rPr>
          <w:rFonts w:hint="eastAsia" w:ascii="宋体" w:hAnsi="宋体" w:cs="宋体"/>
          <w:color w:val="auto"/>
          <w:highlight w:val="none"/>
        </w:rPr>
        <w:t xml:space="preserve">  </w:t>
      </w:r>
    </w:p>
    <w:p w14:paraId="40088EB3">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3.采购方式：竞争性磋商。</w:t>
      </w:r>
    </w:p>
    <w:p w14:paraId="7CC7CD0E">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4.预算金额：人民币</w:t>
      </w:r>
      <w:r>
        <w:rPr>
          <w:rFonts w:hint="eastAsia" w:ascii="宋体" w:hAnsi="宋体" w:cs="宋体"/>
          <w:color w:val="auto"/>
          <w:highlight w:val="none"/>
          <w:lang w:eastAsia="zh-CN"/>
        </w:rPr>
        <w:t>陆拾玖万陆仟贰佰元整（¥696200.00）</w:t>
      </w:r>
      <w:r>
        <w:rPr>
          <w:rFonts w:hint="eastAsia" w:ascii="宋体" w:hAnsi="宋体" w:cs="宋体"/>
          <w:color w:val="auto"/>
          <w:highlight w:val="none"/>
        </w:rPr>
        <w:t xml:space="preserve">   </w:t>
      </w:r>
    </w:p>
    <w:p w14:paraId="2918CCE5">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5.最高限价：人民币</w:t>
      </w:r>
      <w:r>
        <w:rPr>
          <w:rFonts w:hint="eastAsia" w:ascii="宋体" w:hAnsi="宋体" w:cs="宋体"/>
          <w:color w:val="auto"/>
          <w:highlight w:val="none"/>
          <w:lang w:eastAsia="zh-CN"/>
        </w:rPr>
        <w:t>陆拾玖万陆仟贰佰元整（¥696200.00）</w:t>
      </w:r>
      <w:r>
        <w:rPr>
          <w:rFonts w:hint="eastAsia" w:ascii="宋体" w:hAnsi="宋体" w:cs="宋体"/>
          <w:color w:val="auto"/>
          <w:highlight w:val="none"/>
        </w:rPr>
        <w:t xml:space="preserve"> </w:t>
      </w:r>
    </w:p>
    <w:p w14:paraId="72916DD4">
      <w:pPr>
        <w:spacing w:line="42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rPr>
        <w:t>6.采购需求</w:t>
      </w:r>
      <w:r>
        <w:rPr>
          <w:rFonts w:hint="eastAsia" w:ascii="宋体" w:hAnsi="宋体" w:cs="宋体"/>
          <w:color w:val="auto"/>
          <w:highlight w:val="none"/>
          <w:lang w:eastAsia="zh-CN"/>
        </w:rPr>
        <w:t>：围绕五大工业园区、三大示范区码头及五个国际性口岸接通铁路支专线进行规划，重点围绕硕龙口岸、爱店口岸、水口口岸支线铁路运输需求及预测、投资及效益分析等重点内容开展方案研究，提升产业园区综合运输能力，进一步推动项目落地，如需进一步了解详细内容，详见采购文件。</w:t>
      </w:r>
    </w:p>
    <w:p w14:paraId="79B7A301">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7.合同履行期限：</w:t>
      </w:r>
      <w:r>
        <w:rPr>
          <w:rFonts w:hint="eastAsia" w:ascii="宋体" w:hAnsi="宋体" w:cs="宋体"/>
          <w:bCs/>
          <w:color w:val="auto"/>
          <w:szCs w:val="21"/>
          <w:highlight w:val="none"/>
          <w:lang w:eastAsia="zh-CN"/>
        </w:rPr>
        <w:t>合同签订后</w:t>
      </w:r>
      <w:r>
        <w:rPr>
          <w:rFonts w:hint="eastAsia" w:ascii="宋体" w:hAnsi="宋体" w:cs="宋体"/>
          <w:bCs/>
          <w:color w:val="auto"/>
          <w:szCs w:val="21"/>
          <w:highlight w:val="none"/>
          <w:lang w:val="en-US" w:eastAsia="zh-CN"/>
        </w:rPr>
        <w:t>120日历</w:t>
      </w:r>
      <w:r>
        <w:rPr>
          <w:rFonts w:hint="eastAsia" w:ascii="宋体" w:hAnsi="宋体" w:cs="宋体"/>
          <w:bCs/>
          <w:color w:val="auto"/>
          <w:szCs w:val="21"/>
          <w:highlight w:val="none"/>
          <w:lang w:eastAsia="zh-CN"/>
        </w:rPr>
        <w:t>天内完成编制</w:t>
      </w:r>
      <w:r>
        <w:rPr>
          <w:rFonts w:hint="eastAsia" w:ascii="宋体" w:hAnsi="宋体" w:cs="宋体"/>
          <w:bCs/>
          <w:color w:val="auto"/>
          <w:szCs w:val="21"/>
          <w:highlight w:val="none"/>
          <w:lang w:val="en-US" w:eastAsia="zh-CN"/>
        </w:rPr>
        <w:t>服务工作</w:t>
      </w:r>
      <w:r>
        <w:rPr>
          <w:rFonts w:hint="eastAsia" w:ascii="宋体" w:hAnsi="宋体" w:cs="宋体"/>
          <w:bCs/>
          <w:color w:val="auto"/>
          <w:szCs w:val="21"/>
          <w:highlight w:val="none"/>
          <w:lang w:eastAsia="zh-CN"/>
        </w:rPr>
        <w:t>并通过专家评审</w:t>
      </w:r>
      <w:r>
        <w:rPr>
          <w:rFonts w:hint="eastAsia" w:ascii="宋体" w:hAnsi="宋体" w:cs="宋体"/>
          <w:color w:val="auto"/>
          <w:highlight w:val="none"/>
        </w:rPr>
        <w:t>。</w:t>
      </w:r>
    </w:p>
    <w:p w14:paraId="23C5C423">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8.本项目不接受联合体。</w:t>
      </w:r>
    </w:p>
    <w:p w14:paraId="591E9519">
      <w:pPr>
        <w:spacing w:line="420" w:lineRule="exact"/>
        <w:ind w:firstLine="426"/>
        <w:rPr>
          <w:rFonts w:ascii="宋体" w:hAnsi="宋体" w:cs="宋体"/>
          <w:b/>
          <w:bCs/>
          <w:color w:val="auto"/>
          <w:highlight w:val="none"/>
        </w:rPr>
      </w:pPr>
      <w:bookmarkStart w:id="14" w:name="_Toc35393630"/>
      <w:bookmarkStart w:id="15" w:name="_Toc28359013"/>
      <w:bookmarkStart w:id="16" w:name="_Toc31376"/>
      <w:bookmarkStart w:id="17" w:name="_Toc28359090"/>
      <w:bookmarkStart w:id="18" w:name="_Toc8790"/>
      <w:bookmarkStart w:id="19" w:name="_Toc4489"/>
      <w:bookmarkStart w:id="20" w:name="_Toc35393799"/>
      <w:bookmarkStart w:id="21" w:name="_Toc25754"/>
      <w:bookmarkStart w:id="22" w:name="_Toc10073"/>
      <w:r>
        <w:rPr>
          <w:rFonts w:hint="eastAsia" w:ascii="宋体" w:hAnsi="宋体" w:cs="宋体"/>
          <w:b/>
          <w:bCs/>
          <w:color w:val="auto"/>
          <w:highlight w:val="none"/>
        </w:rPr>
        <w:t>二、申请人的资格要求：</w:t>
      </w:r>
      <w:bookmarkEnd w:id="14"/>
      <w:bookmarkEnd w:id="15"/>
      <w:bookmarkEnd w:id="16"/>
      <w:bookmarkEnd w:id="17"/>
      <w:bookmarkEnd w:id="18"/>
      <w:bookmarkEnd w:id="19"/>
      <w:bookmarkEnd w:id="20"/>
      <w:bookmarkEnd w:id="21"/>
      <w:bookmarkEnd w:id="22"/>
    </w:p>
    <w:p w14:paraId="2FF1B2AE">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15C35606">
      <w:pPr>
        <w:spacing w:line="420" w:lineRule="exact"/>
        <w:ind w:firstLine="420" w:firstLineChars="200"/>
        <w:rPr>
          <w:rFonts w:ascii="宋体" w:hAnsi="宋体" w:cs="宋体"/>
          <w:color w:val="auto"/>
          <w:highlight w:val="none"/>
        </w:rPr>
      </w:pPr>
      <w:bookmarkStart w:id="23" w:name="_Toc28359091"/>
      <w:bookmarkStart w:id="24" w:name="_Toc28359014"/>
      <w:r>
        <w:rPr>
          <w:rFonts w:hint="eastAsia" w:ascii="宋体" w:hAnsi="宋体" w:cs="宋体"/>
          <w:color w:val="auto"/>
          <w:highlight w:val="none"/>
        </w:rPr>
        <w:t>2.落实政府采购政策需满足的资格要求：</w:t>
      </w:r>
      <w:r>
        <w:rPr>
          <w:rFonts w:hint="eastAsia" w:ascii="宋体" w:hAnsi="宋体" w:cs="宋体"/>
          <w:color w:val="auto"/>
          <w:szCs w:val="21"/>
          <w:highlight w:val="none"/>
        </w:rPr>
        <w:t>无</w:t>
      </w:r>
      <w:r>
        <w:rPr>
          <w:rFonts w:hint="eastAsia" w:ascii="宋体" w:hAnsi="宋体" w:cs="宋体"/>
          <w:color w:val="auto"/>
          <w:highlight w:val="none"/>
        </w:rPr>
        <w:t>。</w:t>
      </w:r>
    </w:p>
    <w:p w14:paraId="15125B00">
      <w:pPr>
        <w:snapToGrid w:val="0"/>
        <w:spacing w:line="420" w:lineRule="exact"/>
        <w:ind w:firstLine="420" w:firstLineChars="200"/>
        <w:rPr>
          <w:rFonts w:ascii="宋体" w:hAnsi="宋体" w:cs="宋体"/>
          <w:color w:val="auto"/>
          <w:highlight w:val="none"/>
        </w:rPr>
      </w:pPr>
      <w:r>
        <w:rPr>
          <w:rFonts w:hint="eastAsia" w:ascii="宋体" w:hAnsi="宋体" w:cs="宋体"/>
          <w:color w:val="auto"/>
          <w:highlight w:val="none"/>
        </w:rPr>
        <w:t>3.本项目的特定资格要求：</w:t>
      </w:r>
      <w:bookmarkStart w:id="25" w:name="_Toc35393631"/>
      <w:bookmarkStart w:id="26" w:name="_Toc35393800"/>
      <w:r>
        <w:rPr>
          <w:rFonts w:hint="eastAsia" w:ascii="宋体" w:hAnsi="宋体" w:cs="Times New Roman"/>
          <w:color w:val="auto"/>
          <w:szCs w:val="21"/>
          <w:highlight w:val="none"/>
          <w:lang w:val="en-US" w:eastAsia="zh-CN"/>
        </w:rPr>
        <w:t>具有</w:t>
      </w:r>
      <w:r>
        <w:rPr>
          <w:rFonts w:hint="eastAsia" w:ascii="宋体" w:hAnsi="宋体"/>
          <w:color w:val="auto"/>
          <w:szCs w:val="21"/>
          <w:highlight w:val="none"/>
        </w:rPr>
        <w:t>工程咨询单位资信证书甲级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专业：</w:t>
      </w:r>
      <w:r>
        <w:rPr>
          <w:rFonts w:hint="eastAsia" w:ascii="宋体" w:hAnsi="宋体" w:eastAsia="宋体" w:cs="Times New Roman"/>
          <w:i w:val="0"/>
          <w:iCs w:val="0"/>
          <w:caps w:val="0"/>
          <w:color w:val="auto"/>
          <w:spacing w:val="0"/>
          <w:sz w:val="21"/>
          <w:szCs w:val="21"/>
          <w:highlight w:val="none"/>
          <w:shd w:val="clear" w:fill="auto"/>
        </w:rPr>
        <w:t>铁路、城市轨道交通</w:t>
      </w:r>
      <w:r>
        <w:rPr>
          <w:rFonts w:hint="eastAsia" w:ascii="宋体" w:hAnsi="宋体" w:eastAsia="宋体" w:cs="Times New Roman"/>
          <w:i w:val="0"/>
          <w:iCs w:val="0"/>
          <w:caps w:val="0"/>
          <w:color w:val="auto"/>
          <w:spacing w:val="0"/>
          <w:sz w:val="21"/>
          <w:szCs w:val="21"/>
          <w:highlight w:val="none"/>
          <w:shd w:val="clear" w:fill="auto"/>
          <w:lang w:val="en-US" w:eastAsia="zh-CN"/>
        </w:rPr>
        <w:t>专业</w:t>
      </w:r>
      <w:r>
        <w:rPr>
          <w:rFonts w:hint="eastAsia" w:ascii="宋体" w:hAnsi="宋体"/>
          <w:color w:val="auto"/>
          <w:szCs w:val="21"/>
          <w:highlight w:val="none"/>
          <w:lang w:eastAsia="zh-CN"/>
        </w:rPr>
        <w:t>）</w:t>
      </w:r>
      <w:r>
        <w:rPr>
          <w:rFonts w:hint="eastAsia" w:ascii="宋体" w:hAnsi="宋体" w:cs="宋体"/>
          <w:color w:val="auto"/>
          <w:highlight w:val="none"/>
        </w:rPr>
        <w:t>。</w:t>
      </w:r>
    </w:p>
    <w:p w14:paraId="19D52A44">
      <w:pPr>
        <w:spacing w:line="420" w:lineRule="exact"/>
        <w:ind w:firstLine="426"/>
        <w:rPr>
          <w:rFonts w:ascii="宋体" w:hAnsi="宋体" w:cs="宋体"/>
          <w:b/>
          <w:bCs/>
          <w:color w:val="auto"/>
          <w:highlight w:val="none"/>
        </w:rPr>
      </w:pPr>
      <w:bookmarkStart w:id="27" w:name="_Toc2626"/>
      <w:r>
        <w:rPr>
          <w:rFonts w:hint="eastAsia" w:ascii="宋体" w:hAnsi="宋体" w:cs="宋体"/>
          <w:b/>
          <w:bCs/>
          <w:color w:val="auto"/>
          <w:highlight w:val="none"/>
        </w:rPr>
        <w:t>三、获取采购文件</w:t>
      </w:r>
      <w:bookmarkEnd w:id="23"/>
      <w:bookmarkEnd w:id="24"/>
      <w:bookmarkEnd w:id="25"/>
      <w:bookmarkEnd w:id="26"/>
      <w:bookmarkEnd w:id="27"/>
    </w:p>
    <w:p w14:paraId="009D6646">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1.时间：2024年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14:paraId="6D279CFC">
      <w:pPr>
        <w:spacing w:line="420" w:lineRule="exact"/>
        <w:ind w:firstLine="420" w:firstLineChars="200"/>
        <w:rPr>
          <w:color w:val="auto"/>
          <w:szCs w:val="21"/>
          <w:highlight w:val="none"/>
        </w:rPr>
      </w:pPr>
      <w:r>
        <w:rPr>
          <w:rFonts w:hint="eastAsia"/>
          <w:color w:val="auto"/>
          <w:szCs w:val="21"/>
          <w:highlight w:val="none"/>
        </w:rPr>
        <w:t>2. 地点：</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线上获取</w:t>
      </w:r>
      <w:r>
        <w:rPr>
          <w:rFonts w:ascii="宋体" w:hAnsi="宋体" w:cs="宋体"/>
          <w:color w:val="auto"/>
          <w:szCs w:val="21"/>
          <w:highlight w:val="none"/>
        </w:rPr>
        <w:t>。</w:t>
      </w:r>
    </w:p>
    <w:p w14:paraId="23F16EDB">
      <w:pPr>
        <w:spacing w:line="420" w:lineRule="exact"/>
        <w:ind w:firstLine="420" w:firstLineChars="200"/>
        <w:rPr>
          <w:color w:val="auto"/>
          <w:szCs w:val="21"/>
          <w:highlight w:val="none"/>
        </w:rPr>
      </w:pPr>
      <w:r>
        <w:rPr>
          <w:rFonts w:hint="eastAsia"/>
          <w:color w:val="auto"/>
          <w:szCs w:val="21"/>
          <w:highlight w:val="none"/>
        </w:rPr>
        <w:t>3. 方式：</w:t>
      </w:r>
      <w:bookmarkStart w:id="28" w:name="_Toc20727"/>
      <w:bookmarkStart w:id="29" w:name="_Toc35393632"/>
      <w:bookmarkStart w:id="30" w:name="_Toc35393801"/>
      <w:bookmarkStart w:id="31" w:name="_Toc28359092"/>
      <w:bookmarkStart w:id="32" w:name="_Toc28359015"/>
      <w:r>
        <w:rPr>
          <w:rFonts w:hint="eastAsia" w:ascii="宋体" w:hAnsi="宋体" w:cs="宋体"/>
          <w:color w:val="auto"/>
          <w:szCs w:val="21"/>
          <w:highlight w:val="none"/>
        </w:rPr>
        <w:t>供应商登录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https://www.zcygov.cn/在线申请获取采购文件（进入“项目采购”应用，在获取采购文件菜单中选择项目，申请获取采购文件）</w:t>
      </w:r>
      <w:r>
        <w:rPr>
          <w:rFonts w:hint="eastAsia"/>
          <w:color w:val="auto"/>
          <w:szCs w:val="21"/>
          <w:highlight w:val="none"/>
        </w:rPr>
        <w:t>。</w:t>
      </w:r>
    </w:p>
    <w:p w14:paraId="07561981">
      <w:pPr>
        <w:spacing w:line="420" w:lineRule="exact"/>
        <w:ind w:firstLine="422" w:firstLineChars="200"/>
        <w:rPr>
          <w:rFonts w:ascii="宋体" w:hAnsi="宋体" w:cs="宋体"/>
          <w:b/>
          <w:bCs/>
          <w:color w:val="auto"/>
          <w:highlight w:val="none"/>
        </w:rPr>
      </w:pPr>
      <w:r>
        <w:rPr>
          <w:rFonts w:hint="eastAsia" w:ascii="宋体" w:hAnsi="宋体" w:cs="宋体"/>
          <w:b/>
          <w:bCs/>
          <w:color w:val="auto"/>
          <w:highlight w:val="none"/>
        </w:rPr>
        <w:t>四、响应文件提交</w:t>
      </w:r>
      <w:bookmarkEnd w:id="28"/>
      <w:bookmarkEnd w:id="29"/>
      <w:bookmarkEnd w:id="30"/>
      <w:bookmarkEnd w:id="31"/>
      <w:bookmarkEnd w:id="32"/>
    </w:p>
    <w:p w14:paraId="338F77A0">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szCs w:val="21"/>
          <w:highlight w:val="none"/>
          <w:lang w:eastAsia="zh-CN"/>
        </w:rPr>
        <w:t>2024年8月19日15 时00分</w:t>
      </w:r>
      <w:r>
        <w:rPr>
          <w:rFonts w:hint="eastAsia" w:ascii="宋体" w:hAnsi="宋体" w:cs="宋体"/>
          <w:color w:val="auto"/>
          <w:highlight w:val="none"/>
        </w:rPr>
        <w:t>（北京时间）前。</w:t>
      </w:r>
    </w:p>
    <w:p w14:paraId="41BF82DF">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地点：</w:t>
      </w:r>
      <w:bookmarkStart w:id="33" w:name="_Toc28359093"/>
      <w:bookmarkStart w:id="34" w:name="_Toc22943"/>
      <w:bookmarkStart w:id="35" w:name="_Toc35393802"/>
      <w:bookmarkStart w:id="36" w:name="_Toc28359016"/>
      <w:bookmarkStart w:id="37" w:name="_Toc35393633"/>
      <w:r>
        <w:rPr>
          <w:rFonts w:hint="eastAsia"/>
          <w:color w:val="auto"/>
          <w:szCs w:val="21"/>
          <w:highlight w:val="none"/>
        </w:rPr>
        <w:t>请登录</w:t>
      </w:r>
      <w:r>
        <w:rPr>
          <w:rFonts w:hint="eastAsia"/>
          <w:color w:val="auto"/>
          <w:szCs w:val="21"/>
          <w:highlight w:val="none"/>
          <w:lang w:eastAsia="zh-CN"/>
        </w:rPr>
        <w:t>广西政府采购云平台</w:t>
      </w:r>
      <w:r>
        <w:rPr>
          <w:rFonts w:hint="eastAsia"/>
          <w:color w:val="auto"/>
          <w:szCs w:val="21"/>
          <w:highlight w:val="none"/>
        </w:rPr>
        <w:t>投标客户端投标</w:t>
      </w:r>
      <w:r>
        <w:rPr>
          <w:rFonts w:hint="eastAsia" w:ascii="宋体" w:hAnsi="宋体" w:cs="宋体"/>
          <w:color w:val="auto"/>
          <w:highlight w:val="none"/>
        </w:rPr>
        <w:t>。</w:t>
      </w:r>
    </w:p>
    <w:p w14:paraId="30802959">
      <w:pPr>
        <w:spacing w:line="420" w:lineRule="exact"/>
        <w:ind w:firstLine="426"/>
        <w:rPr>
          <w:rFonts w:ascii="宋体" w:hAnsi="宋体" w:cs="宋体"/>
          <w:b/>
          <w:bCs/>
          <w:color w:val="auto"/>
          <w:highlight w:val="none"/>
        </w:rPr>
      </w:pPr>
      <w:r>
        <w:rPr>
          <w:rFonts w:hint="eastAsia" w:ascii="宋体" w:hAnsi="宋体" w:cs="宋体"/>
          <w:b/>
          <w:bCs/>
          <w:color w:val="auto"/>
          <w:highlight w:val="none"/>
        </w:rPr>
        <w:t>五、开启</w:t>
      </w:r>
      <w:bookmarkEnd w:id="33"/>
      <w:bookmarkEnd w:id="34"/>
      <w:bookmarkEnd w:id="35"/>
      <w:bookmarkEnd w:id="36"/>
      <w:bookmarkEnd w:id="37"/>
    </w:p>
    <w:p w14:paraId="3F447023">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szCs w:val="21"/>
          <w:highlight w:val="none"/>
          <w:lang w:eastAsia="zh-CN"/>
        </w:rPr>
        <w:t>2024年8月19日15 时00分</w:t>
      </w:r>
      <w:r>
        <w:rPr>
          <w:rFonts w:hint="eastAsia" w:ascii="宋体" w:hAnsi="宋体" w:cs="宋体"/>
          <w:color w:val="auto"/>
          <w:highlight w:val="none"/>
        </w:rPr>
        <w:t>（北京时间）后。</w:t>
      </w:r>
    </w:p>
    <w:p w14:paraId="04C206DA">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地点：本项目采用远程异地评审，</w:t>
      </w:r>
      <w:r>
        <w:rPr>
          <w:rFonts w:hint="eastAsia" w:ascii="宋体" w:hAnsi="宋体" w:cs="宋体"/>
          <w:color w:val="auto"/>
          <w:highlight w:val="none"/>
          <w:lang w:eastAsia="zh-CN"/>
        </w:rPr>
        <w:t>主会场在广西亿隆项目管理有限公司【崇左市友谊大道东源名城D区9栋三单元202号】通过广西政府采购云平台在线解密开启，副会场在广西亿隆项目管理有限公司办事处【南宁市西乡塘区科园大道27号湖南大厦6楼15号</w:t>
      </w:r>
      <w:r>
        <w:rPr>
          <w:rFonts w:hint="eastAsia"/>
          <w:color w:val="auto"/>
          <w:szCs w:val="21"/>
          <w:highlight w:val="none"/>
        </w:rPr>
        <w:t>】</w:t>
      </w:r>
      <w:r>
        <w:rPr>
          <w:rFonts w:hint="eastAsia" w:ascii="宋体" w:hAnsi="宋体" w:cs="宋体"/>
          <w:color w:val="auto"/>
          <w:szCs w:val="21"/>
          <w:highlight w:val="none"/>
        </w:rPr>
        <w:t>。</w:t>
      </w:r>
    </w:p>
    <w:p w14:paraId="6A665416">
      <w:pPr>
        <w:spacing w:line="420" w:lineRule="exact"/>
        <w:ind w:firstLine="426"/>
        <w:rPr>
          <w:rFonts w:ascii="宋体" w:hAnsi="宋体" w:cs="宋体"/>
          <w:color w:val="auto"/>
          <w:highlight w:val="none"/>
        </w:rPr>
      </w:pPr>
      <w:bookmarkStart w:id="38" w:name="_Toc28359017"/>
      <w:bookmarkStart w:id="39" w:name="_Toc35393803"/>
      <w:bookmarkStart w:id="40" w:name="_Toc35393634"/>
      <w:bookmarkStart w:id="41" w:name="_Toc28359094"/>
      <w:bookmarkStart w:id="42" w:name="_Toc1732"/>
      <w:bookmarkStart w:id="43" w:name="_Toc3928"/>
      <w:bookmarkStart w:id="44" w:name="_Toc30663"/>
      <w:bookmarkStart w:id="45" w:name="_Toc1407"/>
      <w:bookmarkStart w:id="46" w:name="_Toc24769"/>
      <w:r>
        <w:rPr>
          <w:rFonts w:hint="eastAsia" w:ascii="宋体" w:hAnsi="宋体" w:cs="宋体"/>
          <w:b/>
          <w:bCs/>
          <w:color w:val="auto"/>
          <w:highlight w:val="none"/>
        </w:rPr>
        <w:t>六、公告期限</w:t>
      </w:r>
      <w:bookmarkEnd w:id="38"/>
      <w:bookmarkEnd w:id="39"/>
      <w:bookmarkEnd w:id="40"/>
      <w:bookmarkEnd w:id="41"/>
      <w:r>
        <w:rPr>
          <w:rFonts w:hint="eastAsia" w:ascii="宋体" w:hAnsi="宋体" w:cs="宋体"/>
          <w:b/>
          <w:bCs/>
          <w:color w:val="auto"/>
          <w:highlight w:val="none"/>
        </w:rPr>
        <w:t>：</w:t>
      </w:r>
      <w:r>
        <w:rPr>
          <w:rFonts w:hint="eastAsia" w:ascii="宋体" w:hAnsi="宋体" w:cs="宋体"/>
          <w:color w:val="auto"/>
          <w:highlight w:val="none"/>
        </w:rPr>
        <w:t>自本公告发布之日起</w:t>
      </w:r>
      <w:r>
        <w:rPr>
          <w:rFonts w:hint="eastAsia" w:ascii="宋体" w:hAnsi="宋体" w:cs="宋体"/>
          <w:color w:val="auto"/>
          <w:highlight w:val="none"/>
          <w:lang w:val="en-US" w:eastAsia="zh-CN"/>
        </w:rPr>
        <w:t>5</w:t>
      </w:r>
      <w:r>
        <w:rPr>
          <w:rFonts w:hint="eastAsia" w:ascii="宋体" w:hAnsi="宋体" w:cs="宋体"/>
          <w:color w:val="auto"/>
          <w:highlight w:val="none"/>
        </w:rPr>
        <w:t>个工作日。</w:t>
      </w:r>
      <w:bookmarkEnd w:id="42"/>
      <w:bookmarkEnd w:id="43"/>
      <w:bookmarkEnd w:id="44"/>
      <w:bookmarkEnd w:id="45"/>
      <w:bookmarkEnd w:id="46"/>
    </w:p>
    <w:p w14:paraId="497F9421">
      <w:pPr>
        <w:widowControl/>
        <w:spacing w:line="420" w:lineRule="exact"/>
        <w:ind w:firstLine="426"/>
        <w:jc w:val="left"/>
        <w:rPr>
          <w:rFonts w:ascii="宋体" w:hAnsi="宋体" w:cs="宋体"/>
          <w:b/>
          <w:bCs/>
          <w:color w:val="auto"/>
          <w:highlight w:val="none"/>
        </w:rPr>
      </w:pPr>
      <w:bookmarkStart w:id="47" w:name="_Toc35393635"/>
      <w:bookmarkStart w:id="48" w:name="_Toc35393804"/>
      <w:bookmarkStart w:id="49" w:name="_Toc31074"/>
      <w:bookmarkStart w:id="50" w:name="_Toc26853"/>
      <w:bookmarkStart w:id="51" w:name="_Toc691"/>
      <w:bookmarkStart w:id="52" w:name="_Toc444"/>
      <w:bookmarkStart w:id="53" w:name="_Toc32169"/>
      <w:r>
        <w:rPr>
          <w:rFonts w:hint="eastAsia" w:ascii="宋体" w:hAnsi="宋体" w:cs="宋体"/>
          <w:b/>
          <w:bCs/>
          <w:color w:val="auto"/>
          <w:highlight w:val="none"/>
        </w:rPr>
        <w:t>七、其他补充事宜</w:t>
      </w:r>
      <w:bookmarkEnd w:id="47"/>
      <w:bookmarkEnd w:id="48"/>
      <w:r>
        <w:rPr>
          <w:rFonts w:hint="eastAsia" w:ascii="宋体" w:hAnsi="宋体" w:cs="宋体"/>
          <w:b/>
          <w:bCs/>
          <w:color w:val="auto"/>
          <w:highlight w:val="none"/>
        </w:rPr>
        <w:t>：</w:t>
      </w:r>
      <w:bookmarkEnd w:id="49"/>
      <w:bookmarkEnd w:id="50"/>
      <w:bookmarkEnd w:id="51"/>
      <w:bookmarkEnd w:id="52"/>
      <w:bookmarkEnd w:id="53"/>
    </w:p>
    <w:p w14:paraId="313B0F12">
      <w:pPr>
        <w:spacing w:line="420" w:lineRule="exact"/>
        <w:ind w:firstLine="420" w:firstLineChars="200"/>
        <w:rPr>
          <w:color w:val="auto"/>
          <w:szCs w:val="21"/>
          <w:highlight w:val="none"/>
        </w:rPr>
      </w:pPr>
      <w:r>
        <w:rPr>
          <w:rFonts w:hint="eastAsia"/>
          <w:color w:val="auto"/>
          <w:szCs w:val="21"/>
          <w:highlight w:val="none"/>
        </w:rPr>
        <w:t>1.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A4236B7">
      <w:pPr>
        <w:spacing w:line="420" w:lineRule="exact"/>
        <w:ind w:firstLine="420" w:firstLineChars="200"/>
        <w:rPr>
          <w:color w:val="auto"/>
          <w:szCs w:val="21"/>
          <w:highlight w:val="none"/>
        </w:rPr>
      </w:pPr>
      <w:r>
        <w:rPr>
          <w:rFonts w:hint="eastAsia"/>
          <w:color w:val="auto"/>
          <w:szCs w:val="21"/>
          <w:highlight w:val="none"/>
        </w:rPr>
        <w:t>2.</w:t>
      </w:r>
      <w:r>
        <w:rPr>
          <w:rFonts w:hint="eastAsia" w:ascii="宋体" w:hAnsi="宋体" w:cs="宋体"/>
          <w:color w:val="auto"/>
          <w:szCs w:val="21"/>
          <w:highlight w:val="none"/>
        </w:rPr>
        <w:t>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等渠道列入失信被执行人、重大税收违法案件当事人名单、政府采购严重违法失信行为记录名单及其他不符合《中华人民共和国政府采购法》第二十二条规定条件的供应商，不得参与采购活动</w:t>
      </w:r>
      <w:r>
        <w:rPr>
          <w:rFonts w:hint="eastAsia"/>
          <w:color w:val="auto"/>
          <w:szCs w:val="21"/>
          <w:highlight w:val="none"/>
        </w:rPr>
        <w:t>。</w:t>
      </w:r>
    </w:p>
    <w:p w14:paraId="2D24C974">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szCs w:val="21"/>
          <w:highlight w:val="none"/>
        </w:rPr>
        <w:t>落实政府采购政策：</w:t>
      </w:r>
      <w:r>
        <w:rPr>
          <w:rFonts w:hint="eastAsia" w:ascii="宋体" w:hAnsi="宋体" w:cs="宋体"/>
          <w:color w:val="auto"/>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p>
    <w:p w14:paraId="3F407B67">
      <w:pPr>
        <w:snapToGrid w:val="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4.本次公告同时在中国政府采购网（http://pub.ccgp.gov.cn/）、广西壮族自治区政府采购网（http://www.ccgp-guangxi.gov.cn/）上发布。  </w:t>
      </w:r>
    </w:p>
    <w:p w14:paraId="24B695FB">
      <w:pPr>
        <w:spacing w:line="42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在线投标响应（电子投标）说明：本项目通过</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实行在线投标响应（电子投标），供应商需要先安装“</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电子交易客户端”，并按照本采购文件和</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的要求，通过“</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电子交易客户端”编制并加密投标文件。供应商未按规定编制并加密的投标文件，</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将予以拒收。</w:t>
      </w:r>
    </w:p>
    <w:p w14:paraId="2C13DDD0">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为加大政府采购支持中小企业力度，帮助政府采购成交供应商解决融资难、融资贵的问题，进一步做好线上“政采贷”融资业务工作，如供应商有需要的，详见采购文件中附件3《崇左市线上“政采贷”政策告知函》、附件4《崇左市线上“政采贷”业务流程图》、附件5《崇左市金融机构线上“政采贷”业务办理联络表》。</w:t>
      </w:r>
    </w:p>
    <w:p w14:paraId="26CB083E">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7.</w:t>
      </w:r>
      <w:r>
        <w:rPr>
          <w:rFonts w:hint="eastAsia" w:ascii="宋体" w:hAnsi="宋体" w:eastAsia="宋体" w:cs="宋体"/>
          <w:bCs w:val="0"/>
          <w:color w:val="auto"/>
          <w:spacing w:val="0"/>
          <w:sz w:val="21"/>
          <w:szCs w:val="21"/>
          <w:highlight w:val="none"/>
        </w:rPr>
        <w:t>本项目</w:t>
      </w:r>
      <w:r>
        <w:rPr>
          <w:rFonts w:hint="eastAsia" w:ascii="宋体" w:hAnsi="宋体" w:eastAsia="宋体" w:cs="宋体"/>
          <w:bCs w:val="0"/>
          <w:color w:val="auto"/>
          <w:spacing w:val="0"/>
          <w:sz w:val="21"/>
          <w:szCs w:val="21"/>
          <w:highlight w:val="none"/>
          <w:lang w:val="en-US" w:eastAsia="zh-CN"/>
        </w:rPr>
        <w:t>不</w:t>
      </w:r>
      <w:r>
        <w:rPr>
          <w:rFonts w:hint="eastAsia" w:ascii="宋体" w:hAnsi="宋体" w:eastAsia="宋体" w:cs="宋体"/>
          <w:bCs w:val="0"/>
          <w:color w:val="auto"/>
          <w:spacing w:val="0"/>
          <w:sz w:val="21"/>
          <w:szCs w:val="21"/>
          <w:highlight w:val="none"/>
        </w:rPr>
        <w:t>需要缴纳磋商保证金</w:t>
      </w:r>
      <w:r>
        <w:rPr>
          <w:rFonts w:hint="eastAsia" w:ascii="宋体" w:hAnsi="宋体" w:cs="宋体"/>
          <w:color w:val="auto"/>
          <w:kern w:val="0"/>
          <w:szCs w:val="21"/>
          <w:highlight w:val="none"/>
        </w:rPr>
        <w:t>。</w:t>
      </w:r>
    </w:p>
    <w:p w14:paraId="6F9814EB">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373FF116">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highlight w:val="none"/>
        </w:rPr>
        <w:t>本项目采用远程异地评审，</w:t>
      </w:r>
      <w:r>
        <w:rPr>
          <w:rFonts w:hint="eastAsia" w:ascii="宋体" w:hAnsi="宋体" w:cs="宋体"/>
          <w:color w:val="auto"/>
          <w:highlight w:val="none"/>
          <w:lang w:eastAsia="zh-CN"/>
        </w:rPr>
        <w:t>主会场在广西亿隆项目管理有限公司【崇左市友谊大道东源名城D区9栋三单元202号】通过广西政府采购云平台在线解密开启，副会场在广西亿隆项目管理有限公司办事处【南宁市西乡塘区科园大道27号湖南大厦6楼15号】</w:t>
      </w:r>
      <w:r>
        <w:rPr>
          <w:rFonts w:hint="eastAsia" w:ascii="宋体" w:hAnsi="宋体" w:cs="宋体"/>
          <w:color w:val="auto"/>
          <w:szCs w:val="21"/>
          <w:highlight w:val="none"/>
        </w:rPr>
        <w:t>。</w:t>
      </w:r>
    </w:p>
    <w:p w14:paraId="7F0A5363">
      <w:pPr>
        <w:spacing w:line="420" w:lineRule="exact"/>
        <w:ind w:firstLine="426"/>
        <w:rPr>
          <w:rFonts w:ascii="宋体" w:hAnsi="宋体" w:cs="宋体"/>
          <w:b/>
          <w:bCs/>
          <w:color w:val="auto"/>
          <w:highlight w:val="none"/>
        </w:rPr>
      </w:pPr>
      <w:bookmarkStart w:id="54" w:name="_Toc28315"/>
      <w:bookmarkStart w:id="55" w:name="_Toc28359095"/>
      <w:bookmarkStart w:id="56" w:name="_Toc2375"/>
      <w:bookmarkStart w:id="57" w:name="_Toc13334"/>
      <w:bookmarkStart w:id="58" w:name="_Toc35393636"/>
      <w:bookmarkStart w:id="59" w:name="_Toc35393805"/>
      <w:bookmarkStart w:id="60" w:name="_Toc25429"/>
      <w:bookmarkStart w:id="61" w:name="_Toc28359018"/>
      <w:bookmarkStart w:id="62" w:name="_Toc27681"/>
      <w:r>
        <w:rPr>
          <w:rFonts w:hint="eastAsia" w:ascii="宋体" w:hAnsi="宋体" w:cs="宋体"/>
          <w:b/>
          <w:bCs/>
          <w:color w:val="auto"/>
          <w:highlight w:val="none"/>
        </w:rPr>
        <w:t>八、凡对本次采购提出询问，请按以下方式联系。</w:t>
      </w:r>
      <w:bookmarkEnd w:id="54"/>
      <w:bookmarkEnd w:id="55"/>
      <w:bookmarkEnd w:id="56"/>
      <w:bookmarkEnd w:id="57"/>
      <w:bookmarkEnd w:id="58"/>
      <w:bookmarkEnd w:id="59"/>
      <w:bookmarkEnd w:id="60"/>
      <w:bookmarkEnd w:id="61"/>
      <w:bookmarkEnd w:id="62"/>
    </w:p>
    <w:p w14:paraId="5AFAFD6D">
      <w:pPr>
        <w:spacing w:line="420" w:lineRule="exact"/>
        <w:ind w:firstLine="420" w:firstLineChars="200"/>
        <w:rPr>
          <w:color w:val="auto"/>
          <w:szCs w:val="21"/>
          <w:highlight w:val="none"/>
        </w:rPr>
      </w:pPr>
      <w:bookmarkStart w:id="63" w:name="_Toc2920_WPSOffice_Level1"/>
      <w:bookmarkStart w:id="64" w:name="_Toc28812_WPSOffice_Level1"/>
      <w:r>
        <w:rPr>
          <w:rFonts w:hint="eastAsia"/>
          <w:color w:val="auto"/>
          <w:szCs w:val="21"/>
          <w:highlight w:val="none"/>
        </w:rPr>
        <w:t>1. 采购人信息</w:t>
      </w:r>
    </w:p>
    <w:p w14:paraId="48A5DF6E">
      <w:pPr>
        <w:spacing w:line="420" w:lineRule="exact"/>
        <w:ind w:firstLine="420" w:firstLineChars="200"/>
        <w:rPr>
          <w:rFonts w:hint="eastAsia" w:eastAsia="宋体"/>
          <w:color w:val="auto"/>
          <w:szCs w:val="21"/>
          <w:highlight w:val="none"/>
          <w:lang w:eastAsia="zh-CN"/>
        </w:rPr>
      </w:pPr>
      <w:r>
        <w:rPr>
          <w:rFonts w:hint="eastAsia"/>
          <w:color w:val="auto"/>
          <w:szCs w:val="21"/>
          <w:highlight w:val="none"/>
        </w:rPr>
        <w:t>名 称：</w:t>
      </w:r>
      <w:r>
        <w:rPr>
          <w:rFonts w:hint="eastAsia"/>
          <w:color w:val="auto"/>
          <w:szCs w:val="21"/>
          <w:highlight w:val="none"/>
          <w:lang w:eastAsia="zh-CN"/>
        </w:rPr>
        <w:t>崇左市交通运输局</w:t>
      </w:r>
    </w:p>
    <w:p w14:paraId="145ED4D5">
      <w:pPr>
        <w:widowControl/>
        <w:spacing w:line="420" w:lineRule="exact"/>
        <w:ind w:firstLine="420" w:firstLineChars="200"/>
        <w:rPr>
          <w:rFonts w:hint="default" w:eastAsia="宋体"/>
          <w:color w:val="auto"/>
          <w:szCs w:val="21"/>
          <w:highlight w:val="none"/>
          <w:lang w:val="en-US" w:eastAsia="zh-CN"/>
        </w:rPr>
      </w:pPr>
      <w:r>
        <w:rPr>
          <w:rFonts w:hint="eastAsia"/>
          <w:color w:val="auto"/>
          <w:szCs w:val="21"/>
          <w:highlight w:val="none"/>
        </w:rPr>
        <w:t>地址：</w:t>
      </w:r>
      <w:r>
        <w:rPr>
          <w:rFonts w:hint="eastAsia"/>
          <w:color w:val="auto"/>
          <w:szCs w:val="21"/>
          <w:highlight w:val="none"/>
          <w:lang w:val="en-US" w:eastAsia="zh-CN"/>
        </w:rPr>
        <w:t>崇左市友谊大道19号</w:t>
      </w:r>
    </w:p>
    <w:p w14:paraId="11FC241D">
      <w:pPr>
        <w:spacing w:line="420" w:lineRule="exact"/>
        <w:ind w:firstLine="420" w:firstLineChars="200"/>
        <w:rPr>
          <w:color w:val="auto"/>
          <w:szCs w:val="21"/>
          <w:highlight w:val="none"/>
        </w:rPr>
      </w:pPr>
      <w:r>
        <w:rPr>
          <w:rFonts w:hint="eastAsia"/>
          <w:color w:val="auto"/>
          <w:szCs w:val="21"/>
          <w:highlight w:val="none"/>
        </w:rPr>
        <w:t>项目联系人：</w:t>
      </w:r>
      <w:r>
        <w:rPr>
          <w:rFonts w:hint="eastAsia"/>
          <w:color w:val="auto"/>
          <w:szCs w:val="21"/>
          <w:highlight w:val="none"/>
          <w:lang w:val="en-US" w:eastAsia="zh-CN"/>
        </w:rPr>
        <w:t>黄晓俊</w:t>
      </w:r>
      <w:r>
        <w:rPr>
          <w:color w:val="auto"/>
          <w:szCs w:val="21"/>
          <w:highlight w:val="none"/>
        </w:rPr>
        <w:t xml:space="preserve">   </w:t>
      </w:r>
    </w:p>
    <w:p w14:paraId="03CDB922">
      <w:pPr>
        <w:widowControl/>
        <w:spacing w:line="420" w:lineRule="exact"/>
        <w:ind w:firstLine="420" w:firstLineChars="200"/>
        <w:rPr>
          <w:rFonts w:hint="default" w:eastAsia="宋体"/>
          <w:color w:val="auto"/>
          <w:szCs w:val="21"/>
          <w:highlight w:val="none"/>
          <w:lang w:val="en-US" w:eastAsia="zh-CN"/>
        </w:rPr>
      </w:pPr>
      <w:r>
        <w:rPr>
          <w:color w:val="auto"/>
          <w:szCs w:val="21"/>
          <w:highlight w:val="none"/>
        </w:rPr>
        <w:t>联系方式：0771-</w:t>
      </w:r>
      <w:r>
        <w:rPr>
          <w:rFonts w:hint="eastAsia"/>
          <w:color w:val="auto"/>
          <w:szCs w:val="21"/>
          <w:highlight w:val="none"/>
          <w:lang w:val="en-US" w:eastAsia="zh-CN"/>
        </w:rPr>
        <w:t xml:space="preserve"> 7843013</w:t>
      </w:r>
    </w:p>
    <w:p w14:paraId="7EAB5657">
      <w:pPr>
        <w:spacing w:line="420" w:lineRule="exact"/>
        <w:ind w:firstLine="420" w:firstLineChars="200"/>
        <w:rPr>
          <w:color w:val="auto"/>
          <w:szCs w:val="21"/>
          <w:highlight w:val="none"/>
        </w:rPr>
      </w:pPr>
      <w:r>
        <w:rPr>
          <w:rFonts w:hint="eastAsia"/>
          <w:color w:val="auto"/>
          <w:szCs w:val="21"/>
          <w:highlight w:val="none"/>
        </w:rPr>
        <w:t>2. 采购代理机构信息</w:t>
      </w:r>
    </w:p>
    <w:p w14:paraId="71D2BB80">
      <w:pPr>
        <w:spacing w:line="420" w:lineRule="exact"/>
        <w:ind w:firstLine="420" w:firstLineChars="200"/>
        <w:rPr>
          <w:color w:val="auto"/>
          <w:szCs w:val="21"/>
          <w:highlight w:val="none"/>
        </w:rPr>
      </w:pPr>
      <w:r>
        <w:rPr>
          <w:rFonts w:hint="eastAsia"/>
          <w:color w:val="auto"/>
          <w:szCs w:val="21"/>
          <w:highlight w:val="none"/>
        </w:rPr>
        <w:t>名 称：广西亿隆项目管理有限公司</w:t>
      </w:r>
    </w:p>
    <w:p w14:paraId="1DA550E5">
      <w:pPr>
        <w:spacing w:line="420" w:lineRule="exact"/>
        <w:ind w:firstLine="420" w:firstLineChars="200"/>
        <w:rPr>
          <w:color w:val="auto"/>
          <w:szCs w:val="21"/>
          <w:highlight w:val="none"/>
        </w:rPr>
      </w:pPr>
      <w:r>
        <w:rPr>
          <w:rFonts w:hint="eastAsia"/>
          <w:color w:val="auto"/>
          <w:szCs w:val="21"/>
          <w:highlight w:val="none"/>
        </w:rPr>
        <w:t>地址：崇左市友谊大道东源名城D区9栋三单元202号</w:t>
      </w:r>
    </w:p>
    <w:p w14:paraId="63AB4AE9">
      <w:pPr>
        <w:spacing w:line="420" w:lineRule="exact"/>
        <w:ind w:firstLine="420" w:firstLineChars="200"/>
        <w:rPr>
          <w:color w:val="auto"/>
          <w:szCs w:val="21"/>
          <w:highlight w:val="none"/>
        </w:rPr>
      </w:pPr>
      <w:r>
        <w:rPr>
          <w:rFonts w:hint="eastAsia"/>
          <w:color w:val="auto"/>
          <w:szCs w:val="21"/>
          <w:highlight w:val="none"/>
        </w:rPr>
        <w:t>项目联系人：何丽</w:t>
      </w:r>
    </w:p>
    <w:p w14:paraId="300DA882">
      <w:pPr>
        <w:spacing w:line="420" w:lineRule="exact"/>
        <w:ind w:firstLine="420" w:firstLineChars="200"/>
        <w:rPr>
          <w:color w:val="auto"/>
          <w:szCs w:val="21"/>
          <w:highlight w:val="none"/>
        </w:rPr>
      </w:pPr>
      <w:r>
        <w:rPr>
          <w:rFonts w:hint="eastAsia"/>
          <w:color w:val="auto"/>
          <w:szCs w:val="21"/>
          <w:highlight w:val="none"/>
        </w:rPr>
        <w:t>项目联系方式：0771-7911372</w:t>
      </w:r>
    </w:p>
    <w:p w14:paraId="5C750011">
      <w:pPr>
        <w:spacing w:line="420" w:lineRule="exact"/>
        <w:ind w:firstLine="420" w:firstLineChars="200"/>
        <w:rPr>
          <w:color w:val="auto"/>
          <w:szCs w:val="21"/>
          <w:highlight w:val="none"/>
        </w:rPr>
      </w:pPr>
      <w:r>
        <w:rPr>
          <w:rFonts w:hint="eastAsia"/>
          <w:color w:val="auto"/>
          <w:szCs w:val="21"/>
          <w:highlight w:val="none"/>
        </w:rPr>
        <w:t>3. 项目联系方式</w:t>
      </w:r>
    </w:p>
    <w:p w14:paraId="30583E68">
      <w:pPr>
        <w:spacing w:line="420" w:lineRule="exact"/>
        <w:ind w:firstLine="420" w:firstLineChars="200"/>
        <w:rPr>
          <w:color w:val="auto"/>
          <w:szCs w:val="21"/>
          <w:highlight w:val="none"/>
        </w:rPr>
      </w:pPr>
      <w:r>
        <w:rPr>
          <w:rFonts w:hint="eastAsia"/>
          <w:color w:val="auto"/>
          <w:szCs w:val="21"/>
          <w:highlight w:val="none"/>
        </w:rPr>
        <w:t>项目联系人：何丽</w:t>
      </w:r>
    </w:p>
    <w:p w14:paraId="37EB93A9">
      <w:pPr>
        <w:spacing w:line="420" w:lineRule="exact"/>
        <w:ind w:firstLine="420" w:firstLineChars="200"/>
        <w:rPr>
          <w:color w:val="auto"/>
          <w:szCs w:val="21"/>
          <w:highlight w:val="none"/>
        </w:rPr>
      </w:pPr>
      <w:r>
        <w:rPr>
          <w:rFonts w:hint="eastAsia"/>
          <w:color w:val="auto"/>
          <w:szCs w:val="21"/>
          <w:highlight w:val="none"/>
        </w:rPr>
        <w:t>项目联系方式：0771-7911372</w:t>
      </w:r>
    </w:p>
    <w:p w14:paraId="2D8C4901">
      <w:pPr>
        <w:spacing w:line="420" w:lineRule="exact"/>
        <w:ind w:firstLine="420" w:firstLineChars="200"/>
        <w:rPr>
          <w:rFonts w:hint="default" w:eastAsia="宋体"/>
          <w:color w:val="auto"/>
          <w:szCs w:val="21"/>
          <w:highlight w:val="none"/>
          <w:lang w:val="en-US" w:eastAsia="zh-CN"/>
        </w:rPr>
      </w:pPr>
      <w:r>
        <w:rPr>
          <w:rFonts w:hint="eastAsia"/>
          <w:color w:val="auto"/>
          <w:szCs w:val="21"/>
          <w:highlight w:val="none"/>
        </w:rPr>
        <w:t>4. 监督部门：</w:t>
      </w:r>
      <w:r>
        <w:rPr>
          <w:rFonts w:hint="eastAsia"/>
          <w:color w:val="auto"/>
          <w:szCs w:val="21"/>
          <w:highlight w:val="none"/>
          <w:lang w:val="en-US" w:eastAsia="zh-CN"/>
        </w:rPr>
        <w:t>崇左市</w:t>
      </w:r>
      <w:r>
        <w:rPr>
          <w:rFonts w:hint="eastAsia"/>
          <w:color w:val="auto"/>
          <w:szCs w:val="21"/>
          <w:highlight w:val="none"/>
        </w:rPr>
        <w:t>财政局采购监督管理</w:t>
      </w:r>
      <w:r>
        <w:rPr>
          <w:rFonts w:hint="eastAsia"/>
          <w:color w:val="auto"/>
          <w:szCs w:val="21"/>
          <w:highlight w:val="none"/>
          <w:lang w:val="en-US" w:eastAsia="zh-CN"/>
        </w:rPr>
        <w:t>科</w:t>
      </w:r>
      <w:r>
        <w:rPr>
          <w:rFonts w:hint="eastAsia"/>
          <w:color w:val="auto"/>
          <w:szCs w:val="21"/>
          <w:highlight w:val="none"/>
        </w:rPr>
        <w:t xml:space="preserve">  电话：0771-</w:t>
      </w:r>
      <w:r>
        <w:rPr>
          <w:rFonts w:hint="eastAsia"/>
          <w:color w:val="auto"/>
          <w:szCs w:val="21"/>
          <w:highlight w:val="none"/>
          <w:lang w:val="en-US" w:eastAsia="zh-CN"/>
        </w:rPr>
        <w:t>5962613</w:t>
      </w:r>
    </w:p>
    <w:bookmarkEnd w:id="63"/>
    <w:bookmarkEnd w:id="64"/>
    <w:p w14:paraId="75FD2A95">
      <w:pPr>
        <w:pStyle w:val="62"/>
        <w:spacing w:line="420" w:lineRule="exact"/>
        <w:ind w:firstLine="915"/>
        <w:rPr>
          <w:rFonts w:ascii="宋体" w:hAnsi="宋体" w:cs="宋体"/>
          <w:color w:val="auto"/>
          <w:szCs w:val="21"/>
          <w:highlight w:val="none"/>
        </w:rPr>
      </w:pPr>
    </w:p>
    <w:p w14:paraId="2FBF7E21">
      <w:pPr>
        <w:pStyle w:val="62"/>
        <w:spacing w:line="420" w:lineRule="exact"/>
        <w:ind w:firstLine="915"/>
        <w:rPr>
          <w:rFonts w:ascii="宋体" w:hAnsi="宋体" w:cs="宋体"/>
          <w:color w:val="auto"/>
          <w:szCs w:val="21"/>
          <w:highlight w:val="none"/>
        </w:rPr>
      </w:pPr>
    </w:p>
    <w:p w14:paraId="2EF1E699">
      <w:pPr>
        <w:spacing w:line="4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采购单位：</w:t>
      </w:r>
      <w:r>
        <w:rPr>
          <w:rFonts w:hint="eastAsia" w:ascii="宋体" w:hAnsi="宋体" w:cs="宋体"/>
          <w:color w:val="auto"/>
          <w:szCs w:val="21"/>
          <w:highlight w:val="none"/>
          <w:lang w:eastAsia="zh-CN"/>
        </w:rPr>
        <w:t>崇左市交通运输局</w:t>
      </w:r>
    </w:p>
    <w:p w14:paraId="448620C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采购代理机构：广西亿隆项目管理有限公司</w:t>
      </w:r>
    </w:p>
    <w:p w14:paraId="79EBCAE0">
      <w:pPr>
        <w:spacing w:line="420" w:lineRule="exact"/>
        <w:ind w:firstLine="4200" w:firstLineChars="2000"/>
        <w:jc w:val="center"/>
        <w:rPr>
          <w:rFonts w:ascii="宋体" w:hAnsi="宋体" w:cs="宋体"/>
          <w:color w:val="auto"/>
          <w:szCs w:val="21"/>
          <w:highlight w:val="none"/>
        </w:rPr>
      </w:pPr>
      <w:bookmarkStart w:id="65" w:name="_Toc27532"/>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p>
    <w:p w14:paraId="6949F149">
      <w:pPr>
        <w:spacing w:line="420" w:lineRule="exact"/>
        <w:ind w:firstLine="4200" w:firstLineChars="2000"/>
        <w:jc w:val="center"/>
        <w:rPr>
          <w:rFonts w:ascii="宋体" w:hAnsi="宋体" w:cs="宋体"/>
          <w:color w:val="auto"/>
          <w:szCs w:val="21"/>
          <w:highlight w:val="none"/>
        </w:rPr>
      </w:pPr>
      <w:r>
        <w:rPr>
          <w:rFonts w:ascii="宋体" w:hAnsi="宋体" w:cs="宋体"/>
          <w:color w:val="auto"/>
          <w:szCs w:val="21"/>
          <w:highlight w:val="none"/>
        </w:rPr>
        <w:br w:type="page"/>
      </w:r>
    </w:p>
    <w:p w14:paraId="25113F61">
      <w:pPr>
        <w:pStyle w:val="2"/>
        <w:ind w:firstLine="568"/>
        <w:rPr>
          <w:color w:val="auto"/>
          <w:highlight w:val="none"/>
        </w:rPr>
      </w:pPr>
      <w:bookmarkStart w:id="66" w:name="_Toc44229894"/>
      <w:r>
        <w:rPr>
          <w:rFonts w:hint="eastAsia"/>
          <w:color w:val="auto"/>
          <w:highlight w:val="none"/>
        </w:rPr>
        <w:t>第二章 供应商须知</w:t>
      </w:r>
      <w:bookmarkEnd w:id="65"/>
      <w:bookmarkEnd w:id="66"/>
    </w:p>
    <w:p w14:paraId="667394F3">
      <w:pPr>
        <w:pStyle w:val="2"/>
        <w:ind w:firstLine="568"/>
        <w:rPr>
          <w:color w:val="auto"/>
          <w:highlight w:val="none"/>
        </w:rPr>
      </w:pPr>
      <w:bookmarkStart w:id="67" w:name="_Toc23278"/>
      <w:r>
        <w:rPr>
          <w:rFonts w:hint="eastAsia"/>
          <w:color w:val="auto"/>
          <w:highlight w:val="none"/>
        </w:rPr>
        <w:t>供应商须知前附表</w:t>
      </w:r>
      <w:bookmarkEnd w:id="67"/>
    </w:p>
    <w:tbl>
      <w:tblPr>
        <w:tblStyle w:val="5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EED3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412E099D">
            <w:pPr>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6FA89572">
            <w:pPr>
              <w:spacing w:line="360" w:lineRule="auto"/>
              <w:ind w:firstLine="426"/>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684C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8DB66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4A03C3A6">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3243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48BF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1E427C9B">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58A7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91BE0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019E4D36">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41F46CAD">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4610DD8D">
            <w:pPr>
              <w:pStyle w:val="18"/>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7D658177">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74D2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1AF07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12" w:type="dxa"/>
            <w:vAlign w:val="center"/>
          </w:tcPr>
          <w:p w14:paraId="43D0BB07">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4D4C9B7C">
            <w:pPr>
              <w:pStyle w:val="182"/>
              <w:ind w:firstLine="420" w:firstLineChars="200"/>
              <w:rPr>
                <w:rFonts w:ascii="宋体" w:hAnsi="宋体" w:cs="宋体"/>
                <w:b/>
                <w:bCs/>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崇左市政府采购供应商信用承诺函</w:t>
            </w:r>
            <w:r>
              <w:rPr>
                <w:rFonts w:ascii="宋体" w:hAnsi="宋体"/>
                <w:color w:val="auto"/>
                <w:szCs w:val="21"/>
                <w:highlight w:val="none"/>
              </w:rPr>
              <w:t>；</w:t>
            </w:r>
            <w:r>
              <w:rPr>
                <w:rFonts w:hint="eastAsia" w:ascii="宋体" w:hAnsi="宋体"/>
                <w:b/>
                <w:bCs/>
                <w:color w:val="auto"/>
                <w:szCs w:val="21"/>
                <w:highlight w:val="none"/>
              </w:rPr>
              <w:t>（格式</w:t>
            </w:r>
            <w:r>
              <w:rPr>
                <w:rFonts w:hint="eastAsia" w:ascii="宋体" w:hAnsi="宋体" w:cs="宋体"/>
                <w:b/>
                <w:bCs/>
                <w:color w:val="auto"/>
                <w:szCs w:val="21"/>
                <w:highlight w:val="none"/>
              </w:rPr>
              <w:t>后附，必须提供，否则响应文件按无效响应处理）</w:t>
            </w:r>
          </w:p>
          <w:p w14:paraId="30A4A753">
            <w:pPr>
              <w:snapToGrid w:val="0"/>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有效的</w:t>
            </w:r>
            <w:r>
              <w:rPr>
                <w:rFonts w:hint="eastAsia" w:ascii="宋体" w:hAnsi="宋体"/>
                <w:color w:val="auto"/>
                <w:szCs w:val="21"/>
                <w:highlight w:val="none"/>
              </w:rPr>
              <w:t>工程咨询单位资信证书（甲级）</w:t>
            </w:r>
            <w:r>
              <w:rPr>
                <w:rFonts w:hint="default" w:ascii="宋体" w:hAnsi="宋体"/>
                <w:color w:val="auto"/>
                <w:szCs w:val="21"/>
                <w:highlight w:val="none"/>
                <w:lang w:eastAsia="zh-CN"/>
              </w:rPr>
              <w:t>（</w:t>
            </w:r>
            <w:r>
              <w:rPr>
                <w:rFonts w:hint="default" w:ascii="宋体" w:hAnsi="宋体"/>
                <w:color w:val="auto"/>
                <w:szCs w:val="21"/>
                <w:highlight w:val="none"/>
                <w:lang w:val="en-US" w:eastAsia="zh-CN"/>
              </w:rPr>
              <w:t>专业：</w:t>
            </w:r>
            <w:r>
              <w:rPr>
                <w:rFonts w:hint="default" w:ascii="宋体" w:hAnsi="宋体"/>
                <w:color w:val="auto"/>
                <w:szCs w:val="21"/>
                <w:highlight w:val="none"/>
              </w:rPr>
              <w:t>铁路、城市轨道交通</w:t>
            </w:r>
            <w:r>
              <w:rPr>
                <w:rFonts w:hint="default" w:ascii="宋体" w:hAnsi="宋体"/>
                <w:color w:val="auto"/>
                <w:szCs w:val="21"/>
                <w:highlight w:val="none"/>
                <w:lang w:val="en-US" w:eastAsia="zh-CN"/>
              </w:rPr>
              <w:t>专业</w:t>
            </w:r>
            <w:r>
              <w:rPr>
                <w:rFonts w:hint="default" w:ascii="宋体" w:hAnsi="宋体"/>
                <w:color w:val="auto"/>
                <w:szCs w:val="21"/>
                <w:highlight w:val="none"/>
                <w:lang w:eastAsia="zh-CN"/>
              </w:rPr>
              <w:t>）</w:t>
            </w:r>
            <w:r>
              <w:rPr>
                <w:rFonts w:hint="eastAsia" w:ascii="宋体" w:hAnsi="宋体"/>
                <w:color w:val="auto"/>
                <w:szCs w:val="21"/>
                <w:highlight w:val="none"/>
                <w:lang w:val="en-US" w:eastAsia="zh-CN"/>
              </w:rPr>
              <w:t>证书副本复印件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7BDA48">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s="宋体"/>
                <w:color w:val="auto"/>
                <w:szCs w:val="21"/>
                <w:highlight w:val="none"/>
              </w:rPr>
              <w:t>供应商直接控股、管理关系信息表</w:t>
            </w:r>
            <w:r>
              <w:rPr>
                <w:rFonts w:hint="eastAsia" w:ascii="宋体" w:hAnsi="宋体" w:cs="宋体"/>
                <w:b/>
                <w:bCs/>
                <w:color w:val="auto"/>
                <w:szCs w:val="21"/>
                <w:highlight w:val="none"/>
              </w:rPr>
              <w:t>（格式后附）；（必须提供，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79F049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6F9D32">
            <w:pPr>
              <w:tabs>
                <w:tab w:val="left" w:pos="6090"/>
              </w:tabs>
              <w:snapToGrid/>
              <w:spacing w:line="240" w:lineRule="auto"/>
              <w:ind w:firstLine="420" w:firstLineChars="200"/>
              <w:jc w:val="left"/>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中小企业声明函或</w:t>
            </w:r>
            <w:r>
              <w:rPr>
                <w:rFonts w:hint="eastAsia" w:ascii="宋体" w:hAnsi="宋体" w:cs="宋体"/>
                <w:b w:val="0"/>
                <w:bCs w:val="0"/>
                <w:color w:val="auto"/>
                <w:sz w:val="21"/>
                <w:szCs w:val="21"/>
                <w:highlight w:val="none"/>
                <w:lang w:val="en-US" w:eastAsia="zh-CN"/>
              </w:rPr>
              <w:t>《政府采购促进中小企业发展管理办法》财库〔2020〕46号规定的其他证明文件</w:t>
            </w:r>
            <w:r>
              <w:rPr>
                <w:rFonts w:hint="eastAsia" w:ascii="宋体" w:hAnsi="宋体" w:cs="宋体"/>
                <w:color w:val="auto"/>
                <w:szCs w:val="21"/>
                <w:highlight w:val="none"/>
              </w:rPr>
              <w:t>（格式后附）</w:t>
            </w:r>
            <w:r>
              <w:rPr>
                <w:rFonts w:hint="eastAsia" w:ascii="宋体" w:hAnsi="宋体" w:cs="宋体"/>
                <w:b/>
                <w:bCs/>
                <w:color w:val="auto"/>
                <w:szCs w:val="21"/>
                <w:highlight w:val="none"/>
                <w:lang w:val="en-US" w:eastAsia="zh-CN"/>
              </w:rPr>
              <w:t>（如有，请提供）</w:t>
            </w:r>
          </w:p>
          <w:p w14:paraId="6AB152F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除磋商文件规定必须提供以外，供应商认为需要提供的其他证明材料；</w:t>
            </w:r>
          </w:p>
          <w:p w14:paraId="57C82F5D">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14:paraId="20501226">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02D0A80C">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2.竞标声明必须由法定代表人在规定签章处签字或盖章并加盖供应商公章，否则响应文件按无效响应处理。</w:t>
            </w:r>
          </w:p>
          <w:p w14:paraId="1364D0FF">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tc>
      </w:tr>
      <w:tr w14:paraId="2D2D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2736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48B6EC72">
            <w:pPr>
              <w:spacing w:line="360" w:lineRule="auto"/>
              <w:ind w:firstLine="426"/>
              <w:rPr>
                <w:rFonts w:ascii="宋体" w:hAnsi="宋体" w:cs="宋体"/>
                <w:b/>
                <w:bCs/>
                <w:color w:val="auto"/>
                <w:szCs w:val="21"/>
                <w:highlight w:val="none"/>
              </w:rPr>
            </w:pPr>
            <w:r>
              <w:rPr>
                <w:rFonts w:hint="eastAsia" w:ascii="宋体" w:hAnsi="宋体" w:cs="宋体"/>
                <w:b/>
                <w:bCs/>
                <w:color w:val="auto"/>
                <w:szCs w:val="21"/>
                <w:highlight w:val="none"/>
              </w:rPr>
              <w:t>商务报价文件</w:t>
            </w:r>
          </w:p>
          <w:p w14:paraId="1C4738BE">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4B1651E">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EA298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101A54F">
            <w:pPr>
              <w:spacing w:line="360" w:lineRule="auto"/>
              <w:rPr>
                <w:rFonts w:ascii="宋体" w:hAnsi="宋体" w:cs="宋体"/>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664931BC">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4B7F7E">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.供应商认为需要提供的其他有关资料。</w:t>
            </w:r>
          </w:p>
          <w:p w14:paraId="2274C471">
            <w:pPr>
              <w:snapToGrid w:val="0"/>
              <w:spacing w:line="360" w:lineRule="auto"/>
              <w:ind w:firstLine="426"/>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4C4D12CF">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7031F586">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14:paraId="441F2ECE">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3.以上材料未附格式的，由供应商自行拟定。</w:t>
            </w:r>
          </w:p>
        </w:tc>
      </w:tr>
      <w:tr w14:paraId="2138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F9B9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7912" w:type="dxa"/>
            <w:vAlign w:val="center"/>
          </w:tcPr>
          <w:p w14:paraId="4709B262">
            <w:pPr>
              <w:spacing w:line="360" w:lineRule="auto"/>
              <w:ind w:firstLine="426"/>
              <w:rPr>
                <w:rFonts w:ascii="宋体" w:hAnsi="宋体" w:cs="宋体"/>
                <w:b/>
                <w:bCs/>
                <w:color w:val="auto"/>
                <w:szCs w:val="21"/>
                <w:highlight w:val="none"/>
              </w:rPr>
            </w:pPr>
            <w:r>
              <w:rPr>
                <w:rFonts w:hint="eastAsia" w:ascii="宋体" w:hAnsi="宋体" w:cs="宋体"/>
                <w:b/>
                <w:bCs/>
                <w:color w:val="auto"/>
                <w:szCs w:val="21"/>
                <w:highlight w:val="none"/>
              </w:rPr>
              <w:t>技术文件</w:t>
            </w:r>
          </w:p>
          <w:p w14:paraId="13707555">
            <w:pPr>
              <w:spacing w:line="360" w:lineRule="auto"/>
              <w:rPr>
                <w:rFonts w:ascii="宋体" w:hAnsi="宋体" w:cs="宋体"/>
                <w:color w:val="auto"/>
                <w:szCs w:val="21"/>
                <w:highlight w:val="none"/>
              </w:rPr>
            </w:pPr>
            <w:r>
              <w:rPr>
                <w:rFonts w:hint="eastAsia" w:ascii="宋体" w:hAnsi="宋体" w:cs="宋体"/>
                <w:color w:val="auto"/>
                <w:szCs w:val="21"/>
                <w:highlight w:val="none"/>
              </w:rPr>
              <w:t>1.技术需求偏离表（格式后附）；（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7CD1D4">
            <w:pPr>
              <w:spacing w:line="360" w:lineRule="auto"/>
              <w:rPr>
                <w:rFonts w:ascii="宋体" w:hAnsi="宋体" w:cs="宋体"/>
                <w:color w:val="auto"/>
                <w:szCs w:val="21"/>
                <w:highlight w:val="none"/>
              </w:rPr>
            </w:pPr>
            <w:r>
              <w:rPr>
                <w:rFonts w:hint="eastAsia" w:ascii="宋体" w:hAnsi="宋体" w:cs="宋体"/>
                <w:color w:val="auto"/>
                <w:szCs w:val="21"/>
                <w:highlight w:val="none"/>
              </w:rPr>
              <w:t>2.服务方案；（</w:t>
            </w:r>
            <w:r>
              <w:rPr>
                <w:rFonts w:hint="eastAsia" w:ascii="宋体" w:hAnsi="宋体" w:cs="宋体"/>
                <w:b/>
                <w:color w:val="auto"/>
                <w:szCs w:val="21"/>
                <w:highlight w:val="none"/>
              </w:rPr>
              <w:t>格式自拟</w:t>
            </w:r>
            <w:r>
              <w:rPr>
                <w:rFonts w:hint="eastAsia" w:ascii="宋体" w:hAnsi="宋体" w:cs="宋体"/>
                <w:color w:val="auto"/>
                <w:szCs w:val="21"/>
                <w:highlight w:val="none"/>
              </w:rPr>
              <w:t>）</w:t>
            </w:r>
          </w:p>
          <w:p w14:paraId="6E1FEFF5">
            <w:pPr>
              <w:spacing w:line="360" w:lineRule="auto"/>
              <w:rPr>
                <w:rFonts w:ascii="宋体" w:hAnsi="宋体" w:cs="宋体"/>
                <w:color w:val="auto"/>
                <w:szCs w:val="21"/>
                <w:highlight w:val="none"/>
              </w:rPr>
            </w:pPr>
            <w:r>
              <w:rPr>
                <w:rFonts w:hint="eastAsia" w:ascii="宋体" w:hAnsi="宋体" w:cs="宋体"/>
                <w:color w:val="auto"/>
                <w:szCs w:val="21"/>
                <w:highlight w:val="none"/>
              </w:rPr>
              <w:t>3.项目实施人员一览表（格式自拟）； （</w:t>
            </w:r>
            <w:r>
              <w:rPr>
                <w:rFonts w:hint="eastAsia" w:ascii="宋体" w:hAnsi="宋体" w:cs="宋体"/>
                <w:b/>
                <w:color w:val="auto"/>
                <w:szCs w:val="21"/>
                <w:highlight w:val="none"/>
              </w:rPr>
              <w:t>格式自拟</w:t>
            </w:r>
            <w:r>
              <w:rPr>
                <w:rFonts w:hint="eastAsia" w:ascii="宋体" w:hAnsi="宋体" w:cs="宋体"/>
                <w:color w:val="auto"/>
                <w:szCs w:val="21"/>
                <w:highlight w:val="none"/>
              </w:rPr>
              <w:t>）</w:t>
            </w:r>
          </w:p>
          <w:p w14:paraId="2C214804">
            <w:pPr>
              <w:spacing w:line="360" w:lineRule="auto"/>
              <w:rPr>
                <w:rFonts w:ascii="宋体" w:hAnsi="宋体" w:cs="宋体"/>
                <w:color w:val="auto"/>
                <w:szCs w:val="21"/>
                <w:highlight w:val="none"/>
              </w:rPr>
            </w:pPr>
            <w:r>
              <w:rPr>
                <w:rFonts w:hint="eastAsia" w:ascii="宋体" w:hAnsi="宋体" w:cs="宋体"/>
                <w:color w:val="auto"/>
                <w:szCs w:val="21"/>
                <w:highlight w:val="none"/>
              </w:rPr>
              <w:t>4.对应采购需求的技术需求、商务条款提供的其他文件资料；</w:t>
            </w:r>
          </w:p>
          <w:p w14:paraId="4152D719">
            <w:pPr>
              <w:spacing w:line="360" w:lineRule="auto"/>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62AC87B2">
            <w:pPr>
              <w:snapToGrid w:val="0"/>
              <w:spacing w:line="360" w:lineRule="auto"/>
              <w:ind w:firstLine="426"/>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5FBD761C">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12C86714">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2.以上材料未附格式的，由供应商自行拟定。</w:t>
            </w:r>
          </w:p>
        </w:tc>
      </w:tr>
      <w:tr w14:paraId="10C20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6CE72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12.2</w:t>
            </w:r>
          </w:p>
        </w:tc>
        <w:tc>
          <w:tcPr>
            <w:tcW w:w="7912" w:type="dxa"/>
            <w:vAlign w:val="center"/>
          </w:tcPr>
          <w:p w14:paraId="435DE20E">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提供响应文件电子版。供应商在递交响应文件时，同时递交响应文件电子版。</w:t>
            </w:r>
          </w:p>
          <w:p w14:paraId="095678D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1.响应文件电子版内容：与纸质响应文件全部内容一致。</w:t>
            </w:r>
          </w:p>
          <w:p w14:paraId="2BEC496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2.响应文件电子版形式： 1份（word版或pdf版）</w:t>
            </w:r>
          </w:p>
          <w:p w14:paraId="00CBBE7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3.响应文件电子版密封方式：响应文件电子版光盘（或者U盘）与纸质版响应文件一并装入响应文件袋中。</w:t>
            </w:r>
          </w:p>
          <w:p w14:paraId="6C9D201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不提供响应文件电子版。</w:t>
            </w:r>
          </w:p>
        </w:tc>
      </w:tr>
      <w:tr w14:paraId="38D79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4E2A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6CC759FD">
            <w:pPr>
              <w:snapToGrid w:val="0"/>
              <w:spacing w:line="360" w:lineRule="auto"/>
              <w:ind w:firstLine="420" w:firstLineChars="200"/>
              <w:jc w:val="left"/>
              <w:rPr>
                <w:rFonts w:ascii="宋体" w:hAnsi="宋体" w:cs="宋体"/>
                <w:color w:val="auto"/>
                <w:szCs w:val="21"/>
                <w:highlight w:val="none"/>
              </w:rPr>
            </w:pPr>
            <w:r>
              <w:rPr>
                <w:rFonts w:hint="eastAsia" w:hAnsi="宋体" w:cs="宋体"/>
                <w:color w:val="auto"/>
                <w:szCs w:val="21"/>
                <w:highlight w:val="none"/>
              </w:rPr>
              <w:t>供应商可就第三章《采购需求》中的全部服务内容作完整唯一报价，</w:t>
            </w: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咨询、评审、培训、税费等所有费用，</w:t>
            </w:r>
            <w:r>
              <w:rPr>
                <w:rFonts w:hint="eastAsia" w:hAnsi="宋体" w:cs="宋体"/>
                <w:color w:val="auto"/>
                <w:szCs w:val="21"/>
                <w:highlight w:val="none"/>
              </w:rPr>
              <w:t>任何有选择的报价将不被接受。</w:t>
            </w:r>
          </w:p>
          <w:p w14:paraId="0081D365">
            <w:pPr>
              <w:snapToGrid w:val="0"/>
              <w:spacing w:line="360" w:lineRule="auto"/>
              <w:ind w:firstLine="426"/>
              <w:rPr>
                <w:rFonts w:ascii="宋体" w:hAnsi="宋体" w:cs="宋体"/>
                <w:b/>
                <w:color w:val="auto"/>
                <w:szCs w:val="21"/>
                <w:highlight w:val="none"/>
              </w:rPr>
            </w:pPr>
            <w:r>
              <w:rPr>
                <w:rFonts w:hint="eastAsia" w:ascii="宋体" w:hAnsi="宋体" w:cs="宋体"/>
                <w:b/>
                <w:color w:val="auto"/>
                <w:szCs w:val="21"/>
                <w:highlight w:val="none"/>
              </w:rPr>
              <w:t>☑竞标报价包含验收、评审、咨询等相关费用</w:t>
            </w:r>
          </w:p>
          <w:p w14:paraId="5A556611">
            <w:pPr>
              <w:snapToGrid w:val="0"/>
              <w:spacing w:line="360" w:lineRule="auto"/>
              <w:ind w:firstLine="426"/>
              <w:rPr>
                <w:rFonts w:ascii="宋体" w:hAnsi="宋体" w:cs="宋体"/>
                <w:color w:val="auto"/>
                <w:szCs w:val="21"/>
                <w:highlight w:val="none"/>
              </w:rPr>
            </w:pPr>
            <w:r>
              <w:rPr>
                <w:rFonts w:hint="eastAsia" w:ascii="宋体" w:hAnsi="宋体" w:cs="宋体"/>
                <w:b/>
                <w:color w:val="auto"/>
                <w:szCs w:val="21"/>
                <w:highlight w:val="none"/>
              </w:rPr>
              <w:t>□竞标报价不包含验收、评审、咨询等相关费用</w:t>
            </w:r>
          </w:p>
        </w:tc>
      </w:tr>
      <w:tr w14:paraId="1224B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6A9C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7912" w:type="dxa"/>
            <w:vAlign w:val="center"/>
          </w:tcPr>
          <w:p w14:paraId="6DC4E8DC">
            <w:pPr>
              <w:pStyle w:val="14"/>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45</w:t>
            </w:r>
            <w:r>
              <w:rPr>
                <w:rFonts w:hint="eastAsia" w:ascii="宋体" w:hAnsi="宋体" w:cs="宋体"/>
                <w:color w:val="auto"/>
                <w:kern w:val="2"/>
                <w:sz w:val="21"/>
                <w:szCs w:val="21"/>
                <w:highlight w:val="none"/>
              </w:rPr>
              <w:t>日。</w:t>
            </w:r>
          </w:p>
        </w:tc>
      </w:tr>
      <w:tr w14:paraId="5CBD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EF78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673271BB">
            <w:pPr>
              <w:pStyle w:val="62"/>
              <w:spacing w:line="360" w:lineRule="auto"/>
              <w:ind w:left="-210" w:firstLine="420" w:firstLineChars="200"/>
              <w:jc w:val="left"/>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磋商保证金金额为：无。</w:t>
            </w:r>
          </w:p>
          <w:p w14:paraId="51CDA504">
            <w:pPr>
              <w:numPr>
                <w:ilvl w:val="0"/>
                <w:numId w:val="2"/>
              </w:numPr>
              <w:spacing w:line="360" w:lineRule="auto"/>
              <w:ind w:firstLine="424"/>
              <w:jc w:val="left"/>
              <w:rPr>
                <w:rFonts w:ascii="宋体" w:hAnsi="宋体" w:cs="宋体"/>
                <w:color w:val="auto"/>
                <w:szCs w:val="21"/>
                <w:highlight w:val="none"/>
              </w:rPr>
            </w:pPr>
            <w:r>
              <w:rPr>
                <w:rFonts w:hint="eastAsia" w:ascii="宋体" w:hAnsi="宋体" w:cs="宋体"/>
                <w:color w:val="auto"/>
                <w:szCs w:val="21"/>
                <w:highlight w:val="none"/>
              </w:rPr>
              <w:t>投标保证金应在投标有效期内保持有效。</w:t>
            </w:r>
          </w:p>
          <w:p w14:paraId="20021D6C">
            <w:pPr>
              <w:numPr>
                <w:ilvl w:val="0"/>
                <w:numId w:val="2"/>
              </w:numPr>
              <w:spacing w:line="360" w:lineRule="auto"/>
              <w:ind w:firstLine="424"/>
              <w:jc w:val="left"/>
              <w:rPr>
                <w:rFonts w:ascii="宋体" w:hAnsi="宋体" w:cs="宋体"/>
                <w:color w:val="auto"/>
                <w:szCs w:val="21"/>
                <w:highlight w:val="none"/>
              </w:rPr>
            </w:pPr>
            <w:r>
              <w:rPr>
                <w:rFonts w:hint="eastAsia" w:ascii="宋体" w:hAnsi="宋体" w:cs="宋体"/>
                <w:color w:val="auto"/>
                <w:szCs w:val="21"/>
                <w:highlight w:val="none"/>
              </w:rPr>
              <w:t>磋商保证金交纳方式：应当以银行转账、支票、汇票、本票或者金融机构、担</w:t>
            </w:r>
          </w:p>
          <w:p w14:paraId="2F37079D">
            <w:pPr>
              <w:numPr>
                <w:ilvl w:val="0"/>
                <w:numId w:val="0"/>
              </w:numPr>
              <w:spacing w:line="360" w:lineRule="auto"/>
              <w:ind w:left="214" w:leftChars="0"/>
              <w:jc w:val="left"/>
              <w:rPr>
                <w:rFonts w:ascii="宋体" w:hAnsi="宋体" w:cs="宋体"/>
                <w:color w:val="auto"/>
                <w:szCs w:val="21"/>
                <w:highlight w:val="none"/>
              </w:rPr>
            </w:pPr>
            <w:r>
              <w:rPr>
                <w:rFonts w:hint="eastAsia" w:ascii="宋体" w:hAnsi="宋体" w:cs="宋体"/>
                <w:color w:val="auto"/>
                <w:szCs w:val="21"/>
                <w:highlight w:val="none"/>
              </w:rPr>
              <w:t>保机构出具的保函等非现金形式提交。</w:t>
            </w:r>
          </w:p>
          <w:p w14:paraId="39E70F35">
            <w:pPr>
              <w:numPr>
                <w:ilvl w:val="0"/>
                <w:numId w:val="2"/>
              </w:numPr>
              <w:spacing w:line="360" w:lineRule="auto"/>
              <w:ind w:firstLine="424"/>
              <w:jc w:val="left"/>
              <w:rPr>
                <w:rFonts w:ascii="宋体" w:hAnsi="宋体" w:cs="宋体"/>
                <w:color w:val="auto"/>
                <w:szCs w:val="21"/>
                <w:highlight w:val="none"/>
              </w:rPr>
            </w:pPr>
            <w:r>
              <w:rPr>
                <w:rFonts w:hint="eastAsia" w:ascii="宋体" w:hAnsi="宋体" w:cs="宋体"/>
                <w:color w:val="auto"/>
                <w:szCs w:val="21"/>
                <w:highlight w:val="none"/>
              </w:rPr>
              <w:t>磋商保证金以银行转账方式的必须从供应商基本银行账户转出并于截标时间前</w:t>
            </w:r>
          </w:p>
          <w:p w14:paraId="63C24890">
            <w:pPr>
              <w:numPr>
                <w:ilvl w:val="0"/>
                <w:numId w:val="0"/>
              </w:numPr>
              <w:spacing w:line="360" w:lineRule="auto"/>
              <w:ind w:left="214" w:leftChars="0"/>
              <w:jc w:val="left"/>
              <w:rPr>
                <w:rFonts w:ascii="宋体" w:hAnsi="宋体" w:cs="宋体"/>
                <w:color w:val="auto"/>
                <w:szCs w:val="21"/>
                <w:highlight w:val="none"/>
              </w:rPr>
            </w:pPr>
            <w:r>
              <w:rPr>
                <w:rFonts w:hint="eastAsia" w:ascii="宋体" w:hAnsi="宋体" w:cs="宋体"/>
                <w:color w:val="auto"/>
                <w:szCs w:val="21"/>
                <w:highlight w:val="none"/>
              </w:rPr>
              <w:t>到达以下指定银行账户，缴纳时必须在银行转账单上注明所缴保证金对应的项目名</w:t>
            </w:r>
          </w:p>
          <w:p w14:paraId="6D511751">
            <w:pPr>
              <w:numPr>
                <w:ilvl w:val="255"/>
                <w:numId w:val="0"/>
              </w:numPr>
              <w:spacing w:line="360" w:lineRule="auto"/>
              <w:jc w:val="left"/>
              <w:rPr>
                <w:rFonts w:ascii="宋体" w:hAnsi="宋体" w:cs="宋体"/>
                <w:color w:val="auto"/>
                <w:szCs w:val="21"/>
                <w:highlight w:val="none"/>
              </w:rPr>
            </w:pPr>
            <w:r>
              <w:rPr>
                <w:rFonts w:hint="eastAsia" w:ascii="宋体" w:hAnsi="宋体" w:cs="宋体"/>
                <w:color w:val="auto"/>
                <w:szCs w:val="21"/>
                <w:highlight w:val="none"/>
              </w:rPr>
              <w:t>称或编号，不得简单书写“保证金”，否则视为无效。</w:t>
            </w:r>
          </w:p>
          <w:p w14:paraId="1E57600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账户名称：广西亿隆项目管理有限公司</w:t>
            </w:r>
          </w:p>
          <w:p w14:paraId="499B930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账号：45050159805300000811</w:t>
            </w:r>
          </w:p>
          <w:p w14:paraId="454FF49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开户行：中国建设银行股份有限公司崇左分行</w:t>
            </w:r>
          </w:p>
          <w:p w14:paraId="40373FE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凡未在规定时间内足额交纳或以其它方式交纳的磋商保证金均视为无效，其响应文件一律作无效处理。</w:t>
            </w:r>
          </w:p>
          <w:p w14:paraId="4193A39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应按上述要求交纳磋商保证金,并自行考虑到账时间，妥善安排磋商保证金交纳工作，确保按时到账。供应商应将磋商保证金交纳凭证复印件放入响应文件中，确保按时递交响应文件。否则，其响应文件作无效处理。</w:t>
            </w:r>
          </w:p>
        </w:tc>
      </w:tr>
      <w:tr w14:paraId="1CF4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AAC1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7912" w:type="dxa"/>
            <w:vAlign w:val="center"/>
          </w:tcPr>
          <w:p w14:paraId="042692B7">
            <w:pPr>
              <w:widowControl/>
              <w:spacing w:line="360" w:lineRule="auto"/>
              <w:jc w:val="left"/>
              <w:rPr>
                <w:color w:val="auto"/>
                <w:highlight w:val="none"/>
              </w:rPr>
            </w:pPr>
            <w:r>
              <w:rPr>
                <w:rFonts w:hint="eastAsia" w:ascii="宋体" w:hAnsi="宋体" w:cs="宋体"/>
                <w:color w:val="auto"/>
                <w:szCs w:val="21"/>
                <w:highlight w:val="none"/>
              </w:rPr>
              <w:t>响应文件份数：</w:t>
            </w:r>
            <w:r>
              <w:rPr>
                <w:rFonts w:hint="eastAsia" w:ascii="宋体" w:hAnsi="宋体" w:cs="宋体"/>
                <w:color w:val="auto"/>
                <w:kern w:val="0"/>
                <w:szCs w:val="21"/>
                <w:highlight w:val="none"/>
              </w:rPr>
              <w:t>1.电子响应文件，电子响应文件按</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要求及本竞争性磋商文件要求制作、加密并递交。 </w:t>
            </w:r>
          </w:p>
          <w:p w14:paraId="692040B0">
            <w:pPr>
              <w:widowControl/>
              <w:spacing w:line="360" w:lineRule="auto"/>
              <w:jc w:val="left"/>
              <w:rPr>
                <w:color w:val="auto"/>
                <w:highlight w:val="none"/>
              </w:rPr>
            </w:pPr>
            <w:r>
              <w:rPr>
                <w:rFonts w:hint="eastAsia" w:ascii="宋体" w:hAnsi="宋体" w:cs="宋体"/>
                <w:color w:val="auto"/>
                <w:kern w:val="0"/>
                <w:szCs w:val="21"/>
                <w:highlight w:val="none"/>
              </w:rPr>
              <w:t>2.以介质存储的数据电文形式的电子备份响应文件，按</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项目采购-电子招投标操作指南中上传的电子响应文件格式，以DVD光盘或者U盘等形式提供。数量为1份。 </w:t>
            </w:r>
          </w:p>
          <w:p w14:paraId="4DECDA60">
            <w:pPr>
              <w:widowControl/>
              <w:spacing w:line="360" w:lineRule="auto"/>
              <w:jc w:val="left"/>
              <w:rPr>
                <w:color w:val="auto"/>
                <w:highlight w:val="none"/>
              </w:rPr>
            </w:pPr>
            <w:r>
              <w:rPr>
                <w:rFonts w:hint="eastAsia" w:ascii="宋体" w:hAnsi="宋体" w:cs="宋体"/>
                <w:color w:val="auto"/>
                <w:kern w:val="0"/>
                <w:szCs w:val="21"/>
                <w:highlight w:val="none"/>
              </w:rPr>
              <w:t xml:space="preserve">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 </w:t>
            </w:r>
          </w:p>
          <w:p w14:paraId="4186A889">
            <w:pPr>
              <w:widowControl/>
              <w:spacing w:line="360" w:lineRule="auto"/>
              <w:jc w:val="left"/>
              <w:rPr>
                <w:color w:val="auto"/>
                <w:highlight w:val="none"/>
              </w:rPr>
            </w:pPr>
            <w:r>
              <w:rPr>
                <w:rFonts w:hint="eastAsia" w:ascii="宋体" w:hAnsi="宋体" w:cs="宋体"/>
                <w:color w:val="auto"/>
                <w:kern w:val="0"/>
                <w:szCs w:val="21"/>
                <w:highlight w:val="none"/>
              </w:rPr>
              <w:t xml:space="preserve">▲未传输递交电子响应文件的，竞标无效。 </w:t>
            </w:r>
          </w:p>
          <w:p w14:paraId="316583D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▲未按规定提供相应的备份响应文件，造成项目开评标活动无法进行下去的，竞标无效。 </w:t>
            </w:r>
          </w:p>
        </w:tc>
      </w:tr>
      <w:tr w14:paraId="12463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D4E0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2AD9DDD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首次响应文件提交起止时间：从公告发布之日起至投标截止时间止。</w:t>
            </w:r>
          </w:p>
          <w:p w14:paraId="3DD86B2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797ACF0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5A9C2F1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电子响应文件解密时间：截标时间后30分钟内，供应商必须在此时间段内登录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，用“项目采购-开标评标”功能完成电子响应文件的解密。若供应商在规定时间内未按时解密的，视为响应文件撤回。</w:t>
            </w:r>
          </w:p>
          <w:p w14:paraId="4BC614DB">
            <w:pPr>
              <w:widowControl/>
              <w:spacing w:line="360" w:lineRule="auto"/>
              <w:jc w:val="left"/>
              <w:rPr>
                <w:rFonts w:ascii="宋体" w:hAnsi="宋体" w:cs="宋体"/>
                <w:color w:val="auto"/>
                <w:highlight w:val="none"/>
              </w:rPr>
            </w:pPr>
            <w:r>
              <w:rPr>
                <w:rFonts w:hint="eastAsia" w:ascii="宋体" w:hAnsi="宋体" w:cs="宋体"/>
                <w:color w:val="auto"/>
                <w:highlight w:val="none"/>
              </w:rPr>
              <w:t>备注：</w:t>
            </w:r>
          </w:p>
          <w:p w14:paraId="1830DD86">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1、本项目通过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实行在线投标响应（电子投标），供应商需要先安装“</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电子交易客户端”，并按照本采购文件和</w:t>
            </w:r>
            <w:r>
              <w:rPr>
                <w:rFonts w:hint="eastAsia" w:ascii="宋体" w:hAnsi="宋体" w:cs="宋体"/>
                <w:color w:val="auto"/>
                <w:highlight w:val="none"/>
                <w:lang w:eastAsia="zh-CN"/>
              </w:rPr>
              <w:t>广西政府采购云平台</w:t>
            </w:r>
            <w:r>
              <w:rPr>
                <w:rFonts w:hint="eastAsia" w:ascii="宋体" w:hAnsi="宋体" w:cs="宋体"/>
                <w:color w:val="auto"/>
                <w:highlight w:val="none"/>
              </w:rPr>
              <w:t>的要求，通过“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电子交易客户端”编制并加密响应文件。供应商未按规定编制并加密的响应文件，</w:t>
            </w:r>
            <w:r>
              <w:rPr>
                <w:rFonts w:hint="eastAsia" w:ascii="宋体" w:hAnsi="宋体" w:cs="宋体"/>
                <w:color w:val="auto"/>
                <w:highlight w:val="none"/>
                <w:lang w:eastAsia="zh-CN"/>
              </w:rPr>
              <w:t>广西政府采购云平台</w:t>
            </w:r>
            <w:r>
              <w:rPr>
                <w:rFonts w:hint="eastAsia" w:ascii="宋体" w:hAnsi="宋体" w:cs="宋体"/>
                <w:color w:val="auto"/>
                <w:highlight w:val="none"/>
              </w:rPr>
              <w:t>将予以拒收。</w:t>
            </w:r>
          </w:p>
          <w:p w14:paraId="775AA06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电子交易客户端”请自行前往广西政府采购网下载并安装；电子投标具体操作流程如有问题请通过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参与在线投标时如遇平台技术问题详询95763。</w:t>
            </w:r>
          </w:p>
          <w:p w14:paraId="30F458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3、为确保网上操作合法、有效和安全，供应商应当在投标截止时间前完成在“</w:t>
            </w:r>
            <w:r>
              <w:rPr>
                <w:rFonts w:hint="eastAsia" w:ascii="宋体" w:hAnsi="宋体" w:cs="宋体"/>
                <w:color w:val="auto"/>
                <w:highlight w:val="none"/>
                <w:lang w:eastAsia="zh-CN"/>
              </w:rPr>
              <w:t>广西政府采购云平台</w:t>
            </w:r>
            <w:r>
              <w:rPr>
                <w:rFonts w:hint="eastAsia" w:ascii="宋体" w:hAnsi="宋体" w:cs="宋体"/>
                <w:color w:val="auto"/>
                <w:highlight w:val="none"/>
              </w:rPr>
              <w:t>”的身份认证，确保在电子投标过程中能够对相关数据电文进行加密和使用电子签章。使用“</w:t>
            </w:r>
            <w:r>
              <w:rPr>
                <w:rFonts w:hint="eastAsia" w:ascii="宋体" w:hAnsi="宋体" w:cs="宋体"/>
                <w:color w:val="auto"/>
                <w:highlight w:val="none"/>
                <w:lang w:eastAsia="zh-CN"/>
              </w:rPr>
              <w:t>广西政府采购云平台</w:t>
            </w:r>
            <w:r>
              <w:rPr>
                <w:rFonts w:hint="eastAsia" w:ascii="宋体" w:hAnsi="宋体" w:cs="宋体"/>
                <w:color w:val="auto"/>
                <w:highlight w:val="none"/>
              </w:rPr>
              <w:t>电子交易客户端”需要提前申领CA数字证书，申领流程请自行前往</w:t>
            </w:r>
            <w:r>
              <w:rPr>
                <w:rFonts w:hint="eastAsia" w:ascii="宋体" w:hAnsi="宋体" w:cs="宋体"/>
                <w:color w:val="auto"/>
                <w:highlight w:val="none"/>
                <w:lang w:eastAsia="zh-CN"/>
              </w:rPr>
              <w:t>广西政府采购云平台</w:t>
            </w:r>
            <w:r>
              <w:rPr>
                <w:rFonts w:hint="eastAsia" w:ascii="宋体" w:hAnsi="宋体" w:cs="宋体"/>
                <w:color w:val="auto"/>
                <w:highlight w:val="none"/>
              </w:rPr>
              <w:t>下载查阅。</w:t>
            </w:r>
          </w:p>
          <w:p w14:paraId="4C766D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4、供应商应当在投标截止时间前，将生成的“电子加密响应文件”上传递交至</w:t>
            </w:r>
            <w:r>
              <w:rPr>
                <w:rFonts w:hint="eastAsia" w:ascii="宋体" w:hAnsi="宋体" w:cs="宋体"/>
                <w:color w:val="auto"/>
                <w:highlight w:val="none"/>
                <w:lang w:eastAsia="zh-CN"/>
              </w:rPr>
              <w:t>广西政府采购云平台</w:t>
            </w:r>
            <w:r>
              <w:rPr>
                <w:rFonts w:hint="eastAsia" w:ascii="宋体" w:hAnsi="宋体" w:cs="宋体"/>
                <w:color w:val="auto"/>
                <w:highlight w:val="none"/>
              </w:rPr>
              <w:t>。投标截止时间前可以补充、修改或者撤回电子响应文件。补充或者修改电子响应文件的，应当先行撤回原文件，补充、修改后重新传输递交，投标截止时间前未完成传输的，视为撤回响应文件。</w:t>
            </w:r>
          </w:p>
          <w:p w14:paraId="3104B5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投标截止时间前按要求密封并送达开标地址，逾期送达或未按要求密封将被拒收。电子备份响应文件应当密封包装并在包装上标注投标项目名称、投标单位名称并加盖公章。</w:t>
            </w:r>
          </w:p>
          <w:p w14:paraId="388E6E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邮寄地址：（详见公告）。拒收到付邮件，通过邮寄方式送达的，请合理安排邮寄时间，因邮寄原因未能在规定时间内送达的后果由供应商自行承担。</w:t>
            </w:r>
          </w:p>
          <w:p w14:paraId="00F5F84E">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6、通过“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”上传递交的“电子加密响应文件”无法按时解密，供应商递交了电子备份响应文件的，以电子备份响应文件为依据，否则视为响应文件撤回。通过</w:t>
            </w:r>
            <w:r>
              <w:rPr>
                <w:rFonts w:hint="eastAsia" w:ascii="宋体" w:hAnsi="宋体" w:cs="宋体"/>
                <w:color w:val="auto"/>
                <w:highlight w:val="none"/>
                <w:lang w:eastAsia="zh-CN"/>
              </w:rPr>
              <w:t>广西政府采购云平台</w:t>
            </w:r>
            <w:r>
              <w:rPr>
                <w:rFonts w:hint="eastAsia" w:ascii="宋体" w:hAnsi="宋体" w:cs="宋体"/>
                <w:color w:val="auto"/>
                <w:highlight w:val="none"/>
              </w:rPr>
              <w:t>上传递交的电子加密响应文件已按时解密的，电子备份响应文件自动失效。供应商仅递交电子备份响应文件的，投标无效。</w:t>
            </w:r>
          </w:p>
        </w:tc>
      </w:tr>
      <w:tr w14:paraId="4C34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715E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2E8FA1E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人。在政府采购监督部门规定的专家库中上随机抽取政府采购评审专家与采购人代表共3人及以上组成竞争性磋商小组。</w:t>
            </w:r>
          </w:p>
        </w:tc>
      </w:tr>
      <w:tr w14:paraId="5EF3B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6B571A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7912" w:type="dxa"/>
            <w:vAlign w:val="center"/>
          </w:tcPr>
          <w:p w14:paraId="534BCDD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34157DE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项。</w:t>
            </w:r>
          </w:p>
        </w:tc>
      </w:tr>
      <w:tr w14:paraId="3819E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2EE54CBF">
            <w:pPr>
              <w:spacing w:line="360" w:lineRule="auto"/>
              <w:jc w:val="center"/>
              <w:rPr>
                <w:rFonts w:ascii="宋体" w:hAnsi="宋体" w:cs="宋体"/>
                <w:color w:val="auto"/>
                <w:szCs w:val="21"/>
                <w:highlight w:val="none"/>
              </w:rPr>
            </w:pPr>
          </w:p>
        </w:tc>
        <w:tc>
          <w:tcPr>
            <w:tcW w:w="7912" w:type="dxa"/>
            <w:vAlign w:val="center"/>
          </w:tcPr>
          <w:p w14:paraId="333203D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磋商的顺序：</w:t>
            </w:r>
          </w:p>
          <w:p w14:paraId="72005706">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44821A9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4E2B4BF7">
            <w:pPr>
              <w:pStyle w:val="18"/>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按照首次响应文件的解密顺序，如出现某供应商不能按时参加磋商的情形，则该供应商的磋商次序往后延，具体由磋商小组确定。</w:t>
            </w:r>
          </w:p>
        </w:tc>
      </w:tr>
      <w:tr w14:paraId="1014A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6D319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912" w:type="dxa"/>
            <w:vAlign w:val="center"/>
          </w:tcPr>
          <w:p w14:paraId="023B961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☑不需要缴纳履约保证金。</w:t>
            </w:r>
          </w:p>
          <w:p w14:paraId="2954DFE2">
            <w:pPr>
              <w:snapToGrid w:val="0"/>
              <w:spacing w:line="360" w:lineRule="auto"/>
              <w:rPr>
                <w:rFonts w:ascii="宋体" w:hAnsi="宋体" w:cs="宋体"/>
                <w:color w:val="auto"/>
                <w:szCs w:val="21"/>
                <w:highlight w:val="none"/>
              </w:rPr>
            </w:pPr>
            <w:r>
              <w:rPr>
                <w:rFonts w:hint="eastAsia" w:ascii="MS Mincho" w:hAnsi="MS Mincho" w:cs="MS Mincho"/>
                <w:color w:val="auto"/>
                <w:szCs w:val="21"/>
                <w:highlight w:val="none"/>
              </w:rPr>
              <w:t>□</w:t>
            </w:r>
            <w:r>
              <w:rPr>
                <w:rFonts w:hint="eastAsia" w:ascii="宋体" w:hAnsi="宋体" w:cs="宋体"/>
                <w:color w:val="auto"/>
                <w:szCs w:val="21"/>
                <w:highlight w:val="none"/>
              </w:rPr>
              <w:t>需要缴纳履约保证金，履约保证金金额：按成交金额的</w:t>
            </w:r>
            <w:r>
              <w:rPr>
                <w:rFonts w:hint="eastAsia" w:ascii="宋体" w:hAnsi="宋体" w:cs="宋体"/>
                <w:color w:val="auto"/>
                <w:szCs w:val="21"/>
                <w:highlight w:val="none"/>
                <w:u w:val="single"/>
              </w:rPr>
              <w:t xml:space="preserve">5 </w:t>
            </w:r>
            <w:r>
              <w:rPr>
                <w:rFonts w:hint="eastAsia" w:ascii="宋体" w:hAnsi="宋体" w:cs="宋体"/>
                <w:color w:val="auto"/>
                <w:szCs w:val="21"/>
                <w:highlight w:val="none"/>
              </w:rPr>
              <w:t>%（注：履约保证金不超过成交金额的5%）。</w:t>
            </w:r>
          </w:p>
          <w:p w14:paraId="75A90C17">
            <w:pPr>
              <w:rPr>
                <w:rFonts w:ascii="宋体" w:hAnsi="宋体" w:cs="宋体"/>
                <w:color w:val="auto"/>
                <w:szCs w:val="21"/>
                <w:highlight w:val="none"/>
              </w:rPr>
            </w:pPr>
            <w:r>
              <w:rPr>
                <w:rFonts w:hint="eastAsia" w:ascii="宋体" w:hAnsi="宋体" w:cs="宋体"/>
                <w:color w:val="auto"/>
                <w:szCs w:val="21"/>
                <w:highlight w:val="none"/>
              </w:rPr>
              <w:t>履约保证金缴纳时间和方式：在签订合同前，成交人以银行转账、支票、汇票、本票、银行出具的保函或保险机构出具的保函、保险单的方式。</w:t>
            </w:r>
          </w:p>
          <w:p w14:paraId="7C810402">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验收合格后28内无息退还   。</w:t>
            </w:r>
          </w:p>
          <w:p w14:paraId="7E9306C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7C74D78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履约保证金指定账户：</w:t>
            </w:r>
          </w:p>
          <w:p w14:paraId="6646EA8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4E9CC633">
            <w:pPr>
              <w:snapToGrid w:val="0"/>
              <w:spacing w:line="360" w:lineRule="auto"/>
              <w:ind w:firstLine="426"/>
              <w:rPr>
                <w:rFonts w:ascii="宋体" w:hAnsi="宋体" w:cs="宋体"/>
                <w:color w:val="auto"/>
                <w:szCs w:val="21"/>
                <w:highlight w:val="none"/>
              </w:rPr>
            </w:pPr>
            <w:r>
              <w:rPr>
                <w:rFonts w:hint="eastAsia" w:ascii="宋体" w:hAnsi="宋体" w:cs="宋体"/>
                <w:b/>
                <w:color w:val="auto"/>
                <w:szCs w:val="21"/>
                <w:highlight w:val="none"/>
              </w:rPr>
              <w:t xml:space="preserve">1. </w:t>
            </w:r>
            <w:bookmarkStart w:id="68" w:name="_Hlk54170335"/>
            <w:r>
              <w:rPr>
                <w:rFonts w:hint="eastAsia" w:ascii="宋体" w:hAnsi="宋体" w:cs="宋体"/>
                <w:b/>
                <w:color w:val="auto"/>
                <w:szCs w:val="21"/>
                <w:highlight w:val="none"/>
              </w:rPr>
              <w:t>根据《广西壮族自治区财政厅关于贯彻落实政府采购优化营商环境百日攻坚行动方案的通知》（桂财采〔2020〕49号）规定，采购人在与中小微企业签订政府采购合同时，免于收取履约保证金。</w:t>
            </w:r>
            <w:bookmarkEnd w:id="68"/>
          </w:p>
          <w:p w14:paraId="74DD6A57">
            <w:pPr>
              <w:snapToGrid w:val="0"/>
              <w:spacing w:line="360" w:lineRule="auto"/>
              <w:ind w:firstLine="426"/>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3F518647">
            <w:pPr>
              <w:snapToGrid w:val="0"/>
              <w:spacing w:line="360" w:lineRule="auto"/>
              <w:ind w:firstLine="426"/>
              <w:rPr>
                <w:rFonts w:ascii="宋体" w:hAnsi="宋体" w:cs="宋体"/>
                <w:color w:val="auto"/>
                <w:szCs w:val="21"/>
                <w:highlight w:val="none"/>
              </w:rPr>
            </w:pPr>
            <w:r>
              <w:rPr>
                <w:rFonts w:hint="eastAsia" w:ascii="宋体" w:hAnsi="宋体" w:cs="宋体"/>
                <w:b/>
                <w:color w:val="auto"/>
                <w:szCs w:val="21"/>
                <w:highlight w:val="none"/>
              </w:rPr>
              <w:t>3.</w:t>
            </w:r>
            <w:r>
              <w:rPr>
                <w:rFonts w:hint="eastAsia"/>
                <w:color w:val="auto"/>
                <w:highlight w:val="none"/>
              </w:rPr>
              <w:t xml:space="preserve"> </w:t>
            </w:r>
            <w:r>
              <w:rPr>
                <w:rFonts w:hint="eastAsia" w:ascii="宋体" w:hAnsi="宋体" w:cs="宋体"/>
                <w:b/>
                <w:color w:val="auto"/>
                <w:szCs w:val="21"/>
                <w:highlight w:val="none"/>
              </w:rPr>
              <w:t>采用银行出具的保函或保险机构出具的保函的，必须为无条件保函，否则视为未按规定提交履约保证金。</w:t>
            </w:r>
          </w:p>
        </w:tc>
      </w:tr>
      <w:tr w14:paraId="5F06D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9FDC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7912" w:type="dxa"/>
            <w:vAlign w:val="center"/>
          </w:tcPr>
          <w:p w14:paraId="2123A9E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 委托代理人负责签订合同的，须携带授权委托书及委托代理人身份证原件等其他资格证件。法定代表人负责签订合同的，须携带法定代表人身份证明原件及身份证原件等其他证明材料。</w:t>
            </w:r>
          </w:p>
        </w:tc>
      </w:tr>
      <w:tr w14:paraId="1D10C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8C2E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7912" w:type="dxa"/>
            <w:vAlign w:val="center"/>
          </w:tcPr>
          <w:p w14:paraId="16C5A6C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53A27CE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质疑联系部门及联系方式：详见竞争性磋商公告</w:t>
            </w:r>
          </w:p>
          <w:p w14:paraId="5D966B8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业务时间：上午8时00分到12时00分，下午3时00分到6时00分，业务时间以外、双休日和法定节假日不办理业务。</w:t>
            </w:r>
          </w:p>
        </w:tc>
      </w:tr>
      <w:tr w14:paraId="63D8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B3004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7912" w:type="dxa"/>
            <w:vAlign w:val="center"/>
          </w:tcPr>
          <w:p w14:paraId="438AB690">
            <w:pPr>
              <w:pStyle w:val="27"/>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59EDC311">
            <w:pPr>
              <w:pStyle w:val="27"/>
              <w:snapToGrid w:val="0"/>
              <w:spacing w:line="360" w:lineRule="auto"/>
              <w:rPr>
                <w:rFonts w:hAnsi="宋体" w:cs="宋体"/>
                <w:color w:val="auto"/>
                <w:sz w:val="21"/>
                <w:highlight w:val="none"/>
              </w:rPr>
            </w:pPr>
            <w:r>
              <w:rPr>
                <w:rFonts w:hint="eastAsia" w:hAnsi="宋体" w:cs="宋体"/>
                <w:color w:val="auto"/>
                <w:sz w:val="21"/>
                <w:highlight w:val="none"/>
              </w:rPr>
              <w:t>☑本项目代理服务费由成交供应商领取成交通知书前，一次性向采购代理机构支付。</w:t>
            </w:r>
          </w:p>
          <w:p w14:paraId="001B2A41">
            <w:pPr>
              <w:pStyle w:val="27"/>
              <w:snapToGrid w:val="0"/>
              <w:spacing w:line="360" w:lineRule="auto"/>
              <w:rPr>
                <w:rFonts w:hAnsi="宋体" w:cs="宋体"/>
                <w:color w:val="auto"/>
                <w:sz w:val="21"/>
                <w:highlight w:val="none"/>
              </w:rPr>
            </w:pPr>
            <w:r>
              <w:rPr>
                <w:rFonts w:hint="eastAsia" w:hAnsi="宋体" w:cs="宋体"/>
                <w:color w:val="auto"/>
                <w:sz w:val="21"/>
                <w:highlight w:val="none"/>
              </w:rPr>
              <w:t>2.采购代理费收取标准：参照原国家发展计划委员会计价格[2002]1980号《招标代理服务费管理管理办法》、原发改办价格[2003]857号、原发改价格[2011]534号规定按差额定率累进法计取标准计取。</w:t>
            </w:r>
          </w:p>
        </w:tc>
      </w:tr>
      <w:tr w14:paraId="5ABC1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8A94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7912" w:type="dxa"/>
            <w:vAlign w:val="center"/>
          </w:tcPr>
          <w:p w14:paraId="5CCAF17C">
            <w:pPr>
              <w:pStyle w:val="27"/>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04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FC02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1A2877EB">
            <w:pPr>
              <w:snapToGrid w:val="0"/>
              <w:spacing w:line="360" w:lineRule="auto"/>
              <w:ind w:firstLine="420" w:firstLineChars="200"/>
              <w:jc w:val="left"/>
              <w:rPr>
                <w:rFonts w:ascii="Calibri" w:hAnsi="Calibri"/>
                <w:color w:val="auto"/>
                <w:szCs w:val="21"/>
                <w:highlight w:val="none"/>
              </w:rPr>
            </w:pPr>
            <w:r>
              <w:rPr>
                <w:rFonts w:hint="eastAsia" w:ascii="Calibri" w:hAnsi="Calibri"/>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0C1BF235">
            <w:pPr>
              <w:pStyle w:val="27"/>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513F830">
            <w:pPr>
              <w:pStyle w:val="27"/>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3.本磋商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个人CA认证证书签字章）获得的以供应商法定代表人（负责人、自然人）或者委托代理人姓名制作的个人电子印章或手写签字。没有办理个人CA认证证书签字章的，可以为手写签字的形式。）</w:t>
            </w:r>
          </w:p>
          <w:p w14:paraId="0CD35AA6">
            <w:pPr>
              <w:pStyle w:val="27"/>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4.自然人竞标的，磋商文件规定盖公章处由自然人摁手指指印。</w:t>
            </w:r>
          </w:p>
          <w:p w14:paraId="6EE500CC">
            <w:pPr>
              <w:wordWrap w:val="0"/>
              <w:spacing w:line="360" w:lineRule="auto"/>
              <w:ind w:firstLine="420" w:firstLineChars="200"/>
              <w:rPr>
                <w:rFonts w:ascii="Calibri" w:hAnsi="Calibri"/>
                <w:color w:val="auto"/>
                <w:szCs w:val="21"/>
                <w:highlight w:val="none"/>
              </w:rPr>
            </w:pPr>
            <w:r>
              <w:rPr>
                <w:rFonts w:hint="eastAsia" w:ascii="Calibri" w:hAnsi="Calibri"/>
                <w:color w:val="auto"/>
                <w:szCs w:val="21"/>
                <w:highlight w:val="none"/>
              </w:rPr>
              <w:t>5.本磋商文件所称的“以上”“以下”“以内”“届满”，包括本数；所称的“不满”“超过”“以外”，不包括本数。</w:t>
            </w:r>
          </w:p>
          <w:p w14:paraId="6FE6513E">
            <w:pPr>
              <w:spacing w:line="360" w:lineRule="auto"/>
              <w:ind w:firstLine="420" w:firstLineChars="200"/>
              <w:rPr>
                <w:rFonts w:ascii="Calibri" w:hAnsi="Calibri"/>
                <w:color w:val="auto"/>
                <w:szCs w:val="21"/>
                <w:highlight w:val="none"/>
              </w:rPr>
            </w:pPr>
            <w:r>
              <w:rPr>
                <w:rFonts w:hint="eastAsia" w:ascii="Calibri" w:hAnsi="Calibri"/>
                <w:color w:val="auto"/>
                <w:szCs w:val="21"/>
                <w:highlight w:val="none"/>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bl>
    <w:p w14:paraId="75CEC0A5">
      <w:pPr>
        <w:spacing w:line="360" w:lineRule="auto"/>
        <w:ind w:firstLine="649"/>
        <w:jc w:val="center"/>
        <w:rPr>
          <w:rFonts w:ascii="宋体" w:hAnsi="宋体" w:cs="宋体"/>
          <w:b/>
          <w:color w:val="auto"/>
          <w:sz w:val="32"/>
          <w:szCs w:val="32"/>
          <w:highlight w:val="none"/>
        </w:rPr>
      </w:pPr>
    </w:p>
    <w:p w14:paraId="1935BD54">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供应商须知正文</w:t>
      </w:r>
    </w:p>
    <w:p w14:paraId="069C1156">
      <w:pPr>
        <w:spacing w:line="360" w:lineRule="auto"/>
        <w:ind w:firstLine="568"/>
        <w:jc w:val="center"/>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14:paraId="4EF572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418732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管理办法》《财政部关于政府采购竞争性磋商采购方式管理管理办法有关问题的补充通知》及本项目本级和上级财政部门政府采购有关规定的约束和保护。</w:t>
      </w:r>
    </w:p>
    <w:p w14:paraId="3A4173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4A2C96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6086A4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F7BC4D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0EF661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53C6C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407537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4F63D3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是指：供应商根据本磋商文件要求，编制包含资格证明、报价、商务技术和服务等所有内容的文件。</w:t>
      </w:r>
    </w:p>
    <w:p w14:paraId="2AE3B9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6E77BA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1FE6DC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568276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BFF5C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2E0EDA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CA46F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2.13“评审价”是指供应商提交的最后报价并经修正（如有）和政策功能价格扣除（如有）后的价格。</w:t>
      </w:r>
    </w:p>
    <w:p w14:paraId="2075AC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2.14“供应商公章”详见供应商须知前附表</w:t>
      </w:r>
    </w:p>
    <w:p w14:paraId="1FB3C54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673E1F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193F35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5FB17A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E66A60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02E11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5.1本项目不接受联合体竞标，详见“供应商须知前附表”。</w:t>
      </w:r>
    </w:p>
    <w:p w14:paraId="5A8554A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55950D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7DF0DD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165E1FB9">
      <w:pPr>
        <w:spacing w:line="360" w:lineRule="auto"/>
        <w:ind w:firstLine="482" w:firstLineChars="200"/>
        <w:rPr>
          <w:rFonts w:ascii="宋体" w:hAnsi="宋体" w:cs="宋体"/>
          <w:b/>
          <w:bCs/>
          <w:color w:val="auto"/>
          <w:sz w:val="24"/>
          <w:highlight w:val="none"/>
        </w:rPr>
      </w:pPr>
      <w:bookmarkStart w:id="69" w:name="_Toc254970673"/>
      <w:bookmarkStart w:id="70" w:name="_Toc254970532"/>
      <w:r>
        <w:rPr>
          <w:rFonts w:hint="eastAsia" w:ascii="宋体" w:hAnsi="宋体" w:cs="宋体"/>
          <w:b/>
          <w:bCs/>
          <w:color w:val="auto"/>
          <w:sz w:val="24"/>
          <w:highlight w:val="none"/>
        </w:rPr>
        <w:t>7.特别说明</w:t>
      </w:r>
      <w:bookmarkEnd w:id="69"/>
      <w:bookmarkEnd w:id="70"/>
    </w:p>
    <w:p w14:paraId="6D55FF33">
      <w:pPr>
        <w:spacing w:line="360" w:lineRule="auto"/>
        <w:ind w:firstLine="420" w:firstLineChars="200"/>
        <w:rPr>
          <w:rFonts w:ascii="宋体" w:hAnsi="宋体" w:cs="宋体"/>
          <w:color w:val="auto"/>
          <w:szCs w:val="21"/>
          <w:highlight w:val="none"/>
        </w:rPr>
      </w:pPr>
      <w:bookmarkStart w:id="71" w:name="_8.1提供相同品牌产品且通过资格审查、符合性审查的不同投标人参加同一合"/>
      <w:bookmarkEnd w:id="71"/>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2979B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352252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353DF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4FE4E1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31608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4E5E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BE288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4F5A8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4A1E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62749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315EF2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2267ED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07C33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837C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B4CC7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7D18FC5">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7CFDA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74EFB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97677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721B3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7EBB5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47B5C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339D9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E6CDF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1DC08EF">
      <w:pPr>
        <w:spacing w:line="360" w:lineRule="auto"/>
        <w:ind w:firstLine="568"/>
        <w:jc w:val="center"/>
        <w:rPr>
          <w:rFonts w:ascii="宋体" w:hAnsi="宋体" w:cs="宋体"/>
          <w:color w:val="auto"/>
          <w:sz w:val="20"/>
          <w:szCs w:val="20"/>
          <w:highlight w:val="none"/>
        </w:rPr>
      </w:pPr>
      <w:bookmarkStart w:id="72" w:name="_Toc254970534"/>
      <w:bookmarkStart w:id="73" w:name="_Toc254970675"/>
      <w:r>
        <w:rPr>
          <w:rFonts w:hint="eastAsia" w:ascii="宋体" w:hAnsi="宋体" w:cs="宋体"/>
          <w:b/>
          <w:bCs/>
          <w:color w:val="auto"/>
          <w:sz w:val="28"/>
          <w:szCs w:val="28"/>
          <w:highlight w:val="none"/>
        </w:rPr>
        <w:t>二、磋商文件</w:t>
      </w:r>
      <w:bookmarkEnd w:id="72"/>
      <w:bookmarkEnd w:id="73"/>
    </w:p>
    <w:p w14:paraId="5BD9F63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2E129C9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（1）竞争性磋商公告或者邀请函；</w:t>
      </w:r>
    </w:p>
    <w:p w14:paraId="23C713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2E8F194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5AA49BC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70DFA6C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352C7F6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1C4286B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572FCD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726067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4AB4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2DD2F5C">
      <w:pPr>
        <w:spacing w:line="360" w:lineRule="auto"/>
        <w:ind w:firstLine="568"/>
        <w:jc w:val="center"/>
        <w:rPr>
          <w:rFonts w:ascii="宋体" w:hAnsi="宋体" w:cs="宋体"/>
          <w:b/>
          <w:bCs/>
          <w:color w:val="auto"/>
          <w:sz w:val="20"/>
          <w:szCs w:val="20"/>
          <w:highlight w:val="none"/>
        </w:rPr>
      </w:pPr>
      <w:r>
        <w:rPr>
          <w:rFonts w:hint="eastAsia" w:ascii="宋体" w:hAnsi="宋体" w:cs="宋体"/>
          <w:b/>
          <w:bCs/>
          <w:color w:val="auto"/>
          <w:sz w:val="28"/>
          <w:szCs w:val="28"/>
          <w:highlight w:val="none"/>
        </w:rPr>
        <w:t>三、响应文件的编制</w:t>
      </w:r>
    </w:p>
    <w:p w14:paraId="33CF3559">
      <w:pPr>
        <w:spacing w:line="360" w:lineRule="auto"/>
        <w:rPr>
          <w:rFonts w:ascii="宋体" w:hAnsi="宋体" w:cs="宋体"/>
          <w:color w:val="auto"/>
          <w:szCs w:val="21"/>
          <w:highlight w:val="none"/>
        </w:rPr>
      </w:pPr>
    </w:p>
    <w:p w14:paraId="26700C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231AB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5B83B6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72E52E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12.1响应文件由资格证明文件、商务报价文件和技术文件组成。</w:t>
      </w:r>
    </w:p>
    <w:p w14:paraId="7806762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4F9691D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12.1.2商务报价文件：详见须知前附表</w:t>
      </w:r>
    </w:p>
    <w:p w14:paraId="2D965A1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12.1.3技术文件:详见须知前附表</w:t>
      </w:r>
    </w:p>
    <w:p w14:paraId="2F9C6FE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0748DC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09878B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46983C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19226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80825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506D7FB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2B21C73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14E75739">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45FFA9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5F31DCC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ABD63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6C4DF2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14:paraId="37F78F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74"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74"/>
    <w:p w14:paraId="4D6FCBD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7DA7E9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0CE64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F849B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428744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504DC9C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23FBDA6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E296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094F03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24B4F554">
      <w:pPr>
        <w:pStyle w:val="7"/>
        <w:rPr>
          <w:color w:val="auto"/>
          <w:highlight w:val="none"/>
        </w:rPr>
      </w:pPr>
      <w:r>
        <w:rPr>
          <w:rFonts w:hint="eastAsia"/>
          <w:color w:val="auto"/>
          <w:highlight w:val="none"/>
        </w:rPr>
        <w:t>（2）采用支票、汇票、本票、银行出具的保函或保险机构出具的保函、保险单的方式的，由供应商代表持相关授权证明材料至采购人或者采购代理机构办理支票、汇票、本票、银行出具的保函或保险机构出具的保函、保险单原件退还手续。</w:t>
      </w:r>
    </w:p>
    <w:p w14:paraId="268948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14F36DC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71C4EEB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3C49EE0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722CED7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5FDD4A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14A1707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17D737C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4FE89DE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7507C2B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18.1本项目实行电子投标响应：</w:t>
      </w:r>
    </w:p>
    <w:p w14:paraId="44032013">
      <w:pPr>
        <w:numPr>
          <w:ilvl w:val="0"/>
          <w:numId w:val="3"/>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电子响应文件按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要求及本竞争性磋商文件要求制作、加密并递交。具体操作流程</w:t>
      </w:r>
    </w:p>
    <w:p w14:paraId="67FED728">
      <w:pPr>
        <w:spacing w:line="360" w:lineRule="auto"/>
        <w:rPr>
          <w:rFonts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771DE50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（2）电子备份响应文件系上传</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的响应文件电子版，按照本竞争性磋商文件要求制作。</w:t>
      </w:r>
    </w:p>
    <w:p w14:paraId="44BFBD5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2C1061C4">
      <w:pPr>
        <w:spacing w:line="360" w:lineRule="auto"/>
        <w:rPr>
          <w:rFonts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50676CE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07881449">
      <w:pPr>
        <w:spacing w:line="360" w:lineRule="auto"/>
        <w:rPr>
          <w:rFonts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2E73235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441C21DA">
      <w:pPr>
        <w:spacing w:line="360" w:lineRule="auto"/>
        <w:rPr>
          <w:rFonts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4E6EF65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7A955354">
      <w:pPr>
        <w:spacing w:line="360" w:lineRule="auto"/>
        <w:rPr>
          <w:rFonts w:ascii="宋体" w:hAnsi="宋体" w:cs="宋体"/>
          <w:color w:val="auto"/>
          <w:szCs w:val="21"/>
          <w:highlight w:val="none"/>
        </w:rPr>
      </w:pPr>
      <w:r>
        <w:rPr>
          <w:rFonts w:hint="eastAsia" w:ascii="宋体" w:hAnsi="宋体" w:cs="宋体"/>
          <w:color w:val="auto"/>
          <w:szCs w:val="21"/>
          <w:highlight w:val="none"/>
        </w:rPr>
        <w:t>及附件进行编制。</w:t>
      </w:r>
    </w:p>
    <w:p w14:paraId="3B3FD16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5494CA6E">
      <w:pPr>
        <w:spacing w:line="360" w:lineRule="auto"/>
        <w:rPr>
          <w:rFonts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1F4D459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03A7010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0E8C36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6C9DD7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3E6F802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37567C3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6A31612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08FC23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50DEB2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6E972F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2E431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25D7EC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20.4电子投标文件的相关说明</w:t>
      </w:r>
    </w:p>
    <w:p w14:paraId="030E8F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907C6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2F12A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0A81FD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528755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596214B1">
      <w:pPr>
        <w:spacing w:line="360" w:lineRule="auto"/>
        <w:ind w:firstLine="482" w:firstLineChars="200"/>
        <w:rPr>
          <w:rFonts w:ascii="宋体" w:hAnsi="宋体" w:cs="宋体"/>
          <w:b/>
          <w:bCs/>
          <w:color w:val="auto"/>
          <w:sz w:val="24"/>
          <w:highlight w:val="none"/>
        </w:rPr>
      </w:pPr>
      <w:bookmarkStart w:id="75" w:name="_Hlk45702405"/>
      <w:r>
        <w:rPr>
          <w:rFonts w:hint="eastAsia" w:ascii="宋体" w:hAnsi="宋体" w:cs="宋体"/>
          <w:b/>
          <w:bCs/>
          <w:color w:val="auto"/>
          <w:sz w:val="24"/>
          <w:highlight w:val="none"/>
        </w:rPr>
        <w:t>22. 首次响应文件的退回</w:t>
      </w:r>
    </w:p>
    <w:p w14:paraId="6BA222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bookmarkEnd w:id="75"/>
    <w:p w14:paraId="548B8A19">
      <w:pPr>
        <w:spacing w:line="360" w:lineRule="auto"/>
        <w:ind w:firstLine="482" w:firstLineChars="200"/>
        <w:rPr>
          <w:rFonts w:ascii="宋体" w:hAnsi="宋体" w:cs="宋体"/>
          <w:b/>
          <w:bCs/>
          <w:color w:val="auto"/>
          <w:sz w:val="24"/>
          <w:highlight w:val="none"/>
        </w:rPr>
      </w:pPr>
      <w:bookmarkStart w:id="76" w:name="_Toc74156212"/>
      <w:r>
        <w:rPr>
          <w:rFonts w:hint="eastAsia" w:ascii="宋体" w:hAnsi="宋体" w:cs="宋体"/>
          <w:b/>
          <w:bCs/>
          <w:color w:val="auto"/>
          <w:sz w:val="24"/>
          <w:highlight w:val="none"/>
        </w:rPr>
        <w:t>23.开标</w:t>
      </w:r>
    </w:p>
    <w:p w14:paraId="40EB650A">
      <w:pPr>
        <w:autoSpaceDE w:val="0"/>
        <w:autoSpaceDN w:val="0"/>
        <w:adjustRightIn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23.1采购人将于规定的时间和地点举行开标会议。</w:t>
      </w:r>
    </w:p>
    <w:p w14:paraId="4D4E0145">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开标会议在采购管理机构的监督下，由采购代理机构组织并主持。</w:t>
      </w:r>
    </w:p>
    <w:p w14:paraId="17868B73">
      <w:pPr>
        <w:autoSpaceDE w:val="0"/>
        <w:autoSpaceDN w:val="0"/>
        <w:adjustRightInd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开标会议程序。</w:t>
      </w:r>
    </w:p>
    <w:p w14:paraId="67346A18">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（1）宣布开标会议开始和会场纪律。</w:t>
      </w:r>
    </w:p>
    <w:p w14:paraId="1EF15A61">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(2)宣布采购人、唱标人、记录人、监标人等有关人员姓名；</w:t>
      </w:r>
    </w:p>
    <w:p w14:paraId="06969933">
      <w:pPr>
        <w:autoSpaceDE w:val="0"/>
        <w:autoSpaceDN w:val="0"/>
        <w:adjustRightInd w:val="0"/>
        <w:spacing w:line="360" w:lineRule="auto"/>
        <w:ind w:firstLine="420" w:firstLineChars="200"/>
        <w:jc w:val="left"/>
        <w:rPr>
          <w:rFonts w:ascii="宋体" w:cs="宋体"/>
          <w:color w:val="auto"/>
          <w:kern w:val="0"/>
          <w:szCs w:val="21"/>
          <w:highlight w:val="none"/>
        </w:rPr>
      </w:pPr>
      <w:bookmarkStart w:id="77" w:name="_Toc24957"/>
      <w:bookmarkStart w:id="78" w:name="_Toc243584261"/>
      <w:bookmarkStart w:id="79" w:name="_Toc8617"/>
      <w:bookmarkStart w:id="80" w:name="_Toc28622"/>
      <w:bookmarkStart w:id="81" w:name="_Toc30290"/>
      <w:r>
        <w:rPr>
          <w:rFonts w:hint="eastAsia" w:ascii="宋体" w:hAnsi="宋体" w:cs="宋体"/>
          <w:color w:val="auto"/>
          <w:kern w:val="0"/>
          <w:szCs w:val="21"/>
          <w:highlight w:val="none"/>
        </w:rPr>
        <w:t>(3)公布在投标截止时间前递交投标文件的磋商单位名称。</w:t>
      </w:r>
      <w:bookmarkEnd w:id="77"/>
      <w:bookmarkEnd w:id="78"/>
      <w:bookmarkEnd w:id="79"/>
      <w:bookmarkEnd w:id="80"/>
      <w:bookmarkEnd w:id="81"/>
    </w:p>
    <w:p w14:paraId="3E0D5B84">
      <w:pPr>
        <w:autoSpaceDE w:val="0"/>
        <w:autoSpaceDN w:val="0"/>
        <w:adjustRightInd w:val="0"/>
        <w:spacing w:line="360" w:lineRule="auto"/>
        <w:ind w:firstLine="420" w:firstLineChars="200"/>
        <w:rPr>
          <w:rFonts w:ascii="宋体" w:cs="宋体"/>
          <w:color w:val="auto"/>
          <w:kern w:val="0"/>
          <w:szCs w:val="21"/>
          <w:highlight w:val="none"/>
        </w:rPr>
      </w:pPr>
      <w:bookmarkStart w:id="82" w:name="_Toc18561"/>
      <w:bookmarkStart w:id="83" w:name="_Toc28370"/>
      <w:bookmarkStart w:id="84" w:name="_Toc11358"/>
      <w:bookmarkStart w:id="85" w:name="_Toc5409"/>
      <w:r>
        <w:rPr>
          <w:rFonts w:hint="eastAsia" w:ascii="宋体" w:hAnsi="宋体" w:cs="宋体"/>
          <w:color w:val="auto"/>
          <w:kern w:val="0"/>
          <w:szCs w:val="21"/>
          <w:highlight w:val="none"/>
        </w:rPr>
        <w:t>(4)各磋商单位代表检验各响应文件的密封情况，并签字确认。</w:t>
      </w:r>
      <w:bookmarkEnd w:id="82"/>
      <w:bookmarkEnd w:id="83"/>
      <w:bookmarkEnd w:id="84"/>
      <w:bookmarkEnd w:id="85"/>
    </w:p>
    <w:p w14:paraId="0CABCC29">
      <w:pPr>
        <w:autoSpaceDE w:val="0"/>
        <w:autoSpaceDN w:val="0"/>
        <w:adjustRightInd w:val="0"/>
        <w:spacing w:line="360" w:lineRule="auto"/>
        <w:ind w:firstLine="420" w:firstLineChars="200"/>
        <w:rPr>
          <w:rFonts w:ascii="宋体" w:cs="宋体"/>
          <w:color w:val="auto"/>
          <w:kern w:val="0"/>
          <w:szCs w:val="21"/>
          <w:highlight w:val="none"/>
        </w:rPr>
      </w:pPr>
      <w:bookmarkStart w:id="86" w:name="_Toc19960"/>
      <w:bookmarkStart w:id="87" w:name="_Toc32475"/>
      <w:bookmarkStart w:id="88" w:name="_Toc30162"/>
      <w:bookmarkStart w:id="89" w:name="_Toc1534"/>
      <w:r>
        <w:rPr>
          <w:rFonts w:hint="eastAsia" w:ascii="宋体" w:hAnsi="宋体" w:cs="宋体"/>
          <w:color w:val="auto"/>
          <w:kern w:val="0"/>
          <w:szCs w:val="21"/>
          <w:highlight w:val="none"/>
        </w:rPr>
        <w:t>(5)宣布评标期间的有关事项。</w:t>
      </w:r>
      <w:bookmarkEnd w:id="86"/>
      <w:bookmarkEnd w:id="87"/>
      <w:bookmarkEnd w:id="88"/>
      <w:bookmarkEnd w:id="89"/>
    </w:p>
    <w:p w14:paraId="7A2E234D">
      <w:pPr>
        <w:autoSpaceDE w:val="0"/>
        <w:autoSpaceDN w:val="0"/>
        <w:adjustRightIn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(6)开标会议结束。</w:t>
      </w:r>
    </w:p>
    <w:p w14:paraId="1BAC8202">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(7)采购代理机构对开标过程进行记录，并存档备查。</w:t>
      </w:r>
    </w:p>
    <w:bookmarkEnd w:id="76"/>
    <w:p w14:paraId="3C3435FB">
      <w:pPr>
        <w:spacing w:line="360" w:lineRule="auto"/>
        <w:ind w:left="420" w:firstLine="56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四、评审及磋商</w:t>
      </w:r>
    </w:p>
    <w:p w14:paraId="18468D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6C49D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AD4E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89FF0D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11ECAE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4A497AF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1414A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4832B2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5DFCD23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6864311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27.1</w:t>
      </w:r>
      <w:r>
        <w:rPr>
          <w:rFonts w:hint="eastAsia" w:ascii="宋体" w:hAnsi="宋体" w:cs="宋体"/>
          <w:b/>
          <w:bCs/>
          <w:color w:val="auto"/>
          <w:kern w:val="0"/>
          <w:szCs w:val="21"/>
          <w:highlight w:val="none"/>
        </w:rPr>
        <w:t xml:space="preserve"> </w:t>
      </w:r>
      <w:r>
        <w:rPr>
          <w:rFonts w:hint="eastAsia" w:ascii="宋体" w:hAnsi="宋体" w:cs="宋体"/>
          <w:b/>
          <w:bCs/>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9D8F3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6D20AA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E540EBE">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6D53B7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0D193E2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431F7AB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24E110A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1E3357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6EA5309D">
      <w:pPr>
        <w:spacing w:line="360" w:lineRule="auto"/>
        <w:ind w:firstLine="426" w:firstLineChars="202"/>
        <w:rPr>
          <w:rFonts w:ascii="宋体" w:hAnsi="宋体" w:cs="宋体"/>
          <w:b/>
          <w:bCs/>
          <w:color w:val="auto"/>
          <w:szCs w:val="21"/>
          <w:highlight w:val="none"/>
        </w:rPr>
      </w:pPr>
      <w:r>
        <w:rPr>
          <w:rFonts w:hint="eastAsia" w:ascii="宋体" w:hAnsi="宋体" w:cs="宋体"/>
          <w:b/>
          <w:bCs/>
          <w:color w:val="auto"/>
          <w:szCs w:val="21"/>
          <w:highlight w:val="none"/>
        </w:rPr>
        <w:t>29.1成交供应商必须在成交通知书发布之日起15日内和采购人签订合同，签订合同时向采购人出示相关证明材料，具体内容详见 “供应商须知前附表”，经采购人核验合格后方可签订合同。</w:t>
      </w:r>
    </w:p>
    <w:p w14:paraId="3049DFE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w:t>
      </w:r>
    </w:p>
    <w:p w14:paraId="5D03FF8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7B23CA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392292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8A6132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7A8D98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74708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1357D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2A7ADE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132DB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384AFED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6AE3A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7ED1CA2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50AA9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7BD7299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6C509F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6D2BF8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4968CD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B47F8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CAD23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AA5C9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DFE387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787A5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227923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1A2E73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30291E0A">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w:t>
      </w:r>
    </w:p>
    <w:p w14:paraId="5909E910">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5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9C0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1094374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374B220">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4DCF43DD">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A21BD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46CDCD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4605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19AFA70">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3FEA4823">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379CC7B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3959D11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016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D038185">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6ADBE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797AF2C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6584A26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B98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0BFAD6">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80D5450">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03C728F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44FF1EA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670A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C53AC86">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94EE45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97C40B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657217E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A85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FAC8E2">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60727C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052226F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79F6507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3AD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FD3C3F">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61DAD8B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7D90DB5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55BB65D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169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0089A8">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13645A9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1DF9CF6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482EE87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1EAB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360C92C">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50445F4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1EE2B3D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11BE4F9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141B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4E86FC3">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58D9396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475705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60E31CE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4CCB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9E52E85">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0D92F48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CCCCA5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3933474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EE3C0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367CBA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516E9A5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370E17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4E5CE4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14:paraId="15C0DF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150 － 100 ）万元 ×0.8％＝ 0.4万元</w:t>
      </w:r>
    </w:p>
    <w:p w14:paraId="0BADA2A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 ＋ 0.4＝ 1.9 万元</w:t>
      </w:r>
    </w:p>
    <w:p w14:paraId="3C6A98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5879A1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33.1本磋商文件解释规则详见“供应商须知前附表”。</w:t>
      </w:r>
    </w:p>
    <w:p w14:paraId="53C15E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33.2 其他事项详见“供应商须知前附表”。</w:t>
      </w:r>
      <w:r>
        <w:rPr>
          <w:rFonts w:hint="eastAsia" w:ascii="宋体" w:hAnsi="宋体" w:cs="宋体"/>
          <w:b/>
          <w:color w:val="auto"/>
          <w:highlight w:val="none"/>
        </w:rPr>
        <w:br w:type="page"/>
      </w:r>
      <w:r>
        <w:rPr>
          <w:rFonts w:hint="eastAsia" w:ascii="宋体" w:hAnsi="宋体" w:cs="宋体"/>
          <w:bCs/>
          <w:color w:val="auto"/>
          <w:sz w:val="32"/>
          <w:szCs w:val="32"/>
          <w:highlight w:val="none"/>
        </w:rPr>
        <w:t xml:space="preserve">附件1：  </w:t>
      </w:r>
    </w:p>
    <w:p w14:paraId="1A88D709">
      <w:pPr>
        <w:widowControl/>
        <w:shd w:val="clear" w:color="auto" w:fill="FFFFFF"/>
        <w:spacing w:line="360" w:lineRule="auto"/>
        <w:ind w:firstLine="649"/>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366CB9D5">
      <w:pPr>
        <w:widowControl/>
        <w:shd w:val="clear" w:color="auto" w:fill="FFFFFF"/>
        <w:snapToGrid w:val="0"/>
        <w:spacing w:line="360" w:lineRule="auto"/>
        <w:ind w:firstLine="424"/>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5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9CE61D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AA4B14B">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B4F6666">
            <w:pPr>
              <w:widowControl/>
              <w:snapToGrid w:val="0"/>
              <w:spacing w:before="100" w:beforeAutospacing="1" w:after="100" w:afterAutospacing="1"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5F1A0EF1">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5FFF98F">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460B31D0">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650DED0E">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21013EB">
            <w:pPr>
              <w:widowControl/>
              <w:snapToGrid w:val="0"/>
              <w:spacing w:before="100" w:beforeAutospacing="1" w:after="100" w:afterAutospacing="1"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41793468">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14BC842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F6818C0">
            <w:pPr>
              <w:widowControl/>
              <w:spacing w:before="100" w:beforeAutospacing="1" w:after="100" w:afterAutospacing="1" w:line="360" w:lineRule="auto"/>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A631E09">
            <w:pPr>
              <w:widowControl/>
              <w:spacing w:before="100" w:beforeAutospacing="1" w:after="100" w:afterAutospacing="1" w:line="360" w:lineRule="auto"/>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90BF375">
            <w:pPr>
              <w:widowControl/>
              <w:spacing w:before="100" w:beforeAutospacing="1" w:after="100" w:afterAutospacing="1" w:line="360" w:lineRule="auto"/>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4E0945A">
            <w:pPr>
              <w:widowControl/>
              <w:spacing w:before="100" w:beforeAutospacing="1" w:after="100" w:afterAutospacing="1"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2312349">
            <w:pPr>
              <w:widowControl/>
              <w:spacing w:before="100" w:beforeAutospacing="1" w:after="100" w:afterAutospacing="1" w:line="360" w:lineRule="auto"/>
              <w:jc w:val="center"/>
              <w:rPr>
                <w:rFonts w:ascii="宋体" w:hAnsi="宋体" w:cs="宋体"/>
                <w:color w:val="auto"/>
                <w:kern w:val="0"/>
                <w:szCs w:val="21"/>
                <w:highlight w:val="none"/>
              </w:rPr>
            </w:pPr>
          </w:p>
        </w:tc>
      </w:tr>
      <w:tr w14:paraId="6D5CACC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19AF48D">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593C281C">
            <w:pPr>
              <w:widowControl/>
              <w:spacing w:before="100" w:beforeAutospacing="1" w:after="100" w:afterAutospacing="1"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626B1A1">
            <w:pPr>
              <w:widowControl/>
              <w:spacing w:before="100" w:beforeAutospacing="1" w:after="100" w:afterAutospacing="1" w:line="360" w:lineRule="auto"/>
              <w:jc w:val="center"/>
              <w:rPr>
                <w:rFonts w:ascii="宋体" w:hAnsi="宋体" w:cs="宋体"/>
                <w:color w:val="auto"/>
                <w:kern w:val="0"/>
                <w:szCs w:val="21"/>
                <w:highlight w:val="none"/>
              </w:rPr>
            </w:pPr>
          </w:p>
        </w:tc>
      </w:tr>
      <w:tr w14:paraId="3D8BAC20">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33524C9">
            <w:pPr>
              <w:widowControl/>
              <w:snapToGrid w:val="0"/>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BA67C2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DAABDE2">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70ECA9EF">
            <w:pPr>
              <w:widowControl/>
              <w:spacing w:before="100" w:beforeAutospacing="1" w:after="100" w:afterAutospacing="1" w:line="360" w:lineRule="auto"/>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B0150C8">
            <w:pPr>
              <w:widowControl/>
              <w:snapToGrid w:val="0"/>
              <w:spacing w:before="100" w:beforeAutospacing="1" w:after="100" w:afterAutospacing="1" w:line="360" w:lineRule="auto"/>
              <w:ind w:firstLine="424"/>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68A33DD3">
            <w:pPr>
              <w:widowControl/>
              <w:spacing w:before="100" w:beforeAutospacing="1" w:after="100" w:afterAutospacing="1" w:line="360" w:lineRule="auto"/>
              <w:jc w:val="center"/>
              <w:rPr>
                <w:rFonts w:ascii="宋体" w:hAnsi="宋体" w:cs="宋体"/>
                <w:color w:val="auto"/>
                <w:kern w:val="0"/>
                <w:szCs w:val="21"/>
                <w:highlight w:val="none"/>
              </w:rPr>
            </w:pPr>
          </w:p>
        </w:tc>
      </w:tr>
      <w:tr w14:paraId="0D519265">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E06343">
            <w:pPr>
              <w:widowControl/>
              <w:snapToGrid w:val="0"/>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E632985">
            <w:pPr>
              <w:widowControl/>
              <w:snapToGrid w:val="0"/>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55B4C43">
        <w:tblPrEx>
          <w:tblCellMar>
            <w:top w:w="0" w:type="dxa"/>
            <w:left w:w="0" w:type="dxa"/>
            <w:bottom w:w="0" w:type="dxa"/>
            <w:right w:w="0" w:type="dxa"/>
          </w:tblCellMar>
        </w:tblPrEx>
        <w:trPr>
          <w:trHeight w:val="844"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F400A8">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6EB8B5ED">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03FD8BA3">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066367A">
            <w:pPr>
              <w:widowControl/>
              <w:spacing w:line="360" w:lineRule="auto"/>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5B2AFEB2">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229A0FE">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455397F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2600BC">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A769A33">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6CA67CE">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59BC6F61">
            <w:pPr>
              <w:widowControl/>
              <w:spacing w:before="100" w:beforeAutospacing="1" w:after="100" w:afterAutospacing="1" w:line="360" w:lineRule="auto"/>
              <w:ind w:firstLine="42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2BCDB9E3">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E25DC7">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20413F75">
            <w:pPr>
              <w:widowControl/>
              <w:spacing w:before="100" w:beforeAutospacing="1" w:after="100" w:afterAutospacing="1" w:line="360" w:lineRule="auto"/>
              <w:jc w:val="left"/>
              <w:rPr>
                <w:rFonts w:ascii="宋体" w:hAnsi="宋体" w:cs="宋体"/>
                <w:color w:val="auto"/>
                <w:kern w:val="0"/>
                <w:szCs w:val="21"/>
                <w:highlight w:val="none"/>
              </w:rPr>
            </w:pPr>
          </w:p>
          <w:p w14:paraId="590C719F">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6768686E">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12DB89C8">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p>
          <w:p w14:paraId="4CAD445E">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104F51A1">
      <w:pPr>
        <w:pStyle w:val="27"/>
        <w:snapToGrid w:val="0"/>
        <w:spacing w:line="360" w:lineRule="auto"/>
        <w:ind w:firstLine="404"/>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4214CD35">
      <w:pPr>
        <w:spacing w:line="360" w:lineRule="auto"/>
        <w:ind w:firstLine="64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7137A493">
      <w:pPr>
        <w:spacing w:line="360" w:lineRule="auto"/>
        <w:ind w:firstLine="727"/>
        <w:jc w:val="center"/>
        <w:rPr>
          <w:rFonts w:ascii="宋体" w:hAnsi="宋体" w:cs="宋体"/>
          <w:color w:val="auto"/>
          <w:sz w:val="36"/>
          <w:szCs w:val="36"/>
          <w:highlight w:val="none"/>
        </w:rPr>
      </w:pPr>
    </w:p>
    <w:tbl>
      <w:tblPr>
        <w:tblStyle w:val="5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67D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002331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w:t>
            </w:r>
          </w:p>
          <w:p w14:paraId="7A68AA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w:t>
            </w:r>
          </w:p>
          <w:p w14:paraId="0DF7F2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w:t>
            </w:r>
          </w:p>
          <w:p w14:paraId="30E4EC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w:t>
            </w:r>
          </w:p>
          <w:p w14:paraId="3061D5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请</w:t>
            </w:r>
          </w:p>
        </w:tc>
        <w:tc>
          <w:tcPr>
            <w:tcW w:w="8009" w:type="dxa"/>
            <w:vAlign w:val="center"/>
          </w:tcPr>
          <w:p w14:paraId="20061CF7">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c>
      </w:tr>
      <w:tr w14:paraId="5B10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54800853">
            <w:pPr>
              <w:spacing w:line="360" w:lineRule="auto"/>
              <w:rPr>
                <w:rFonts w:ascii="宋体" w:hAnsi="宋体" w:cs="宋体"/>
                <w:color w:val="auto"/>
                <w:szCs w:val="21"/>
                <w:highlight w:val="none"/>
              </w:rPr>
            </w:pPr>
          </w:p>
        </w:tc>
        <w:tc>
          <w:tcPr>
            <w:tcW w:w="8009" w:type="dxa"/>
            <w:vAlign w:val="center"/>
          </w:tcPr>
          <w:p w14:paraId="7BFB8C64">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tc>
      </w:tr>
      <w:tr w14:paraId="7328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28CB3E07">
            <w:pPr>
              <w:spacing w:line="360" w:lineRule="auto"/>
              <w:rPr>
                <w:rFonts w:ascii="宋体" w:hAnsi="宋体" w:cs="宋体"/>
                <w:color w:val="auto"/>
                <w:szCs w:val="21"/>
                <w:highlight w:val="none"/>
              </w:rPr>
            </w:pPr>
          </w:p>
        </w:tc>
        <w:tc>
          <w:tcPr>
            <w:tcW w:w="8009" w:type="dxa"/>
          </w:tcPr>
          <w:p w14:paraId="27D8EF3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32FD1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该项目已于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日验收并交付使用。根据合同规定，该项目的履约保证金期限于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日已满，请将履约保证金</w:t>
            </w:r>
          </w:p>
          <w:p w14:paraId="3BB97027">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（小写）退付到达以下帐户。</w:t>
            </w:r>
          </w:p>
          <w:p w14:paraId="3426F050">
            <w:pPr>
              <w:spacing w:line="360" w:lineRule="auto"/>
              <w:rPr>
                <w:rFonts w:ascii="宋体" w:hAnsi="宋体" w:cs="宋体"/>
                <w:color w:val="auto"/>
                <w:szCs w:val="21"/>
                <w:highlight w:val="none"/>
              </w:rPr>
            </w:pPr>
            <w:r>
              <w:rPr>
                <w:rFonts w:hint="eastAsia" w:ascii="宋体" w:hAnsi="宋体" w:cs="宋体"/>
                <w:color w:val="auto"/>
                <w:szCs w:val="21"/>
                <w:highlight w:val="none"/>
              </w:rPr>
              <w:t>单位名称：</w:t>
            </w:r>
          </w:p>
          <w:p w14:paraId="144BF326">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p w14:paraId="0C15828B">
            <w:pPr>
              <w:spacing w:line="360" w:lineRule="auto"/>
              <w:rPr>
                <w:rFonts w:ascii="宋体" w:hAnsi="宋体" w:cs="宋体"/>
                <w:color w:val="auto"/>
                <w:szCs w:val="21"/>
                <w:highlight w:val="none"/>
              </w:rPr>
            </w:pPr>
            <w:r>
              <w:rPr>
                <w:rFonts w:hint="eastAsia" w:ascii="宋体" w:hAnsi="宋体" w:cs="宋体"/>
                <w:color w:val="auto"/>
                <w:szCs w:val="21"/>
                <w:highlight w:val="none"/>
              </w:rPr>
              <w:t>帐    号：</w:t>
            </w:r>
          </w:p>
          <w:p w14:paraId="04EBB183">
            <w:pPr>
              <w:spacing w:line="360" w:lineRule="auto"/>
              <w:rPr>
                <w:rFonts w:ascii="宋体" w:hAnsi="宋体" w:cs="宋体"/>
                <w:color w:val="auto"/>
                <w:szCs w:val="21"/>
                <w:highlight w:val="none"/>
              </w:rPr>
            </w:pPr>
            <w:r>
              <w:rPr>
                <w:rFonts w:hint="eastAsia" w:ascii="宋体" w:hAnsi="宋体" w:cs="宋体"/>
                <w:color w:val="auto"/>
                <w:szCs w:val="21"/>
                <w:highlight w:val="none"/>
              </w:rPr>
              <w:t>联系人及电话：</w:t>
            </w:r>
          </w:p>
          <w:p w14:paraId="79E55F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供应商签章：</w:t>
            </w:r>
          </w:p>
          <w:p w14:paraId="5AEB7C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2384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52BA41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w:t>
            </w:r>
          </w:p>
          <w:p w14:paraId="25C0B4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购</w:t>
            </w:r>
          </w:p>
          <w:p w14:paraId="376BCD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w:t>
            </w:r>
          </w:p>
          <w:p w14:paraId="38D6A6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位</w:t>
            </w:r>
          </w:p>
          <w:p w14:paraId="0B8CEC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意</w:t>
            </w:r>
          </w:p>
          <w:p w14:paraId="41BFB9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见</w:t>
            </w:r>
          </w:p>
        </w:tc>
        <w:tc>
          <w:tcPr>
            <w:tcW w:w="8009" w:type="dxa"/>
          </w:tcPr>
          <w:p w14:paraId="1B4E30A0">
            <w:pPr>
              <w:spacing w:line="360" w:lineRule="auto"/>
              <w:rPr>
                <w:rFonts w:ascii="宋体" w:hAnsi="宋体" w:cs="宋体"/>
                <w:color w:val="auto"/>
                <w:szCs w:val="21"/>
                <w:highlight w:val="none"/>
              </w:rPr>
            </w:pPr>
          </w:p>
          <w:p w14:paraId="2A511EC2">
            <w:pPr>
              <w:spacing w:line="360" w:lineRule="auto"/>
              <w:rPr>
                <w:rFonts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14:paraId="7652555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联系人及电话：                                </w:t>
            </w:r>
          </w:p>
          <w:p w14:paraId="368DA374">
            <w:pPr>
              <w:spacing w:line="360" w:lineRule="auto"/>
              <w:rPr>
                <w:rFonts w:ascii="宋体" w:hAnsi="宋体" w:cs="宋体"/>
                <w:color w:val="auto"/>
                <w:szCs w:val="21"/>
                <w:highlight w:val="none"/>
              </w:rPr>
            </w:pPr>
          </w:p>
          <w:p w14:paraId="175D73DE">
            <w:pPr>
              <w:spacing w:line="360" w:lineRule="auto"/>
              <w:ind w:firstLine="3990" w:firstLineChars="1900"/>
              <w:rPr>
                <w:rFonts w:ascii="宋体" w:hAnsi="宋体" w:cs="宋体"/>
                <w:color w:val="auto"/>
                <w:szCs w:val="21"/>
                <w:highlight w:val="none"/>
              </w:rPr>
            </w:pPr>
            <w:r>
              <w:rPr>
                <w:rFonts w:hint="eastAsia" w:ascii="宋体" w:hAnsi="宋体" w:cs="宋体"/>
                <w:color w:val="auto"/>
                <w:szCs w:val="21"/>
                <w:highlight w:val="none"/>
              </w:rPr>
              <w:t xml:space="preserve"> 采购人签章：</w:t>
            </w:r>
          </w:p>
          <w:p w14:paraId="3568134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04B3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17" w:type="dxa"/>
            <w:vAlign w:val="center"/>
          </w:tcPr>
          <w:p w14:paraId="07B504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8009" w:type="dxa"/>
          </w:tcPr>
          <w:p w14:paraId="7A70D948">
            <w:pPr>
              <w:spacing w:line="360" w:lineRule="auto"/>
              <w:rPr>
                <w:rFonts w:ascii="宋体" w:hAnsi="宋体" w:cs="宋体"/>
                <w:color w:val="auto"/>
                <w:szCs w:val="21"/>
                <w:highlight w:val="none"/>
              </w:rPr>
            </w:pPr>
          </w:p>
        </w:tc>
      </w:tr>
    </w:tbl>
    <w:p w14:paraId="733412C5">
      <w:pPr>
        <w:pStyle w:val="20"/>
        <w:spacing w:line="360" w:lineRule="auto"/>
        <w:ind w:left="1" w:firstLine="2" w:firstLineChars="1"/>
        <w:rPr>
          <w:rFonts w:ascii="宋体" w:hAnsi="宋体" w:cs="宋体"/>
          <w:b/>
          <w:bCs/>
          <w:color w:val="auto"/>
          <w:sz w:val="18"/>
          <w:szCs w:val="18"/>
          <w:highlight w:val="none"/>
        </w:rPr>
      </w:pPr>
      <w:r>
        <w:rPr>
          <w:rFonts w:hint="eastAsia" w:ascii="宋体" w:hAnsi="宋体" w:cs="宋体"/>
          <w:b/>
          <w:bCs/>
          <w:color w:val="auto"/>
          <w:sz w:val="18"/>
          <w:szCs w:val="18"/>
          <w:highlight w:val="none"/>
        </w:rPr>
        <w:t>注：供应商凭经采购人审批的退付意见书到履约保证金收取单位财务部门办理履约保证金退付事宜。</w:t>
      </w:r>
    </w:p>
    <w:p w14:paraId="2E3A1CC7">
      <w:pPr>
        <w:spacing w:line="360" w:lineRule="auto"/>
        <w:ind w:firstLine="568"/>
        <w:jc w:val="left"/>
        <w:rPr>
          <w:rFonts w:ascii="宋体" w:hAnsi="宋体" w:cs="宋体"/>
          <w:b/>
          <w:bCs/>
          <w:color w:val="auto"/>
          <w:sz w:val="28"/>
          <w:szCs w:val="28"/>
          <w:highlight w:val="none"/>
          <w:lang w:val="zh-CN"/>
        </w:rPr>
      </w:pPr>
    </w:p>
    <w:p w14:paraId="6048E4DF">
      <w:pPr>
        <w:spacing w:line="360" w:lineRule="auto"/>
        <w:ind w:firstLine="568"/>
        <w:jc w:val="left"/>
        <w:rPr>
          <w:rFonts w:ascii="宋体" w:hAnsi="宋体" w:cs="宋体"/>
          <w:b/>
          <w:bCs/>
          <w:color w:val="auto"/>
          <w:sz w:val="28"/>
          <w:szCs w:val="28"/>
          <w:highlight w:val="none"/>
          <w:lang w:val="zh-CN"/>
        </w:rPr>
      </w:pPr>
    </w:p>
    <w:p w14:paraId="462C9220">
      <w:pPr>
        <w:spacing w:line="360" w:lineRule="auto"/>
        <w:ind w:firstLine="568"/>
        <w:jc w:val="left"/>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3</w:t>
      </w:r>
    </w:p>
    <w:p w14:paraId="4E1FF15F">
      <w:pPr>
        <w:pStyle w:val="179"/>
        <w:ind w:firstLine="480"/>
        <w:rPr>
          <w:color w:val="auto"/>
          <w:highlight w:val="none"/>
        </w:rPr>
      </w:pPr>
    </w:p>
    <w:p w14:paraId="73142942">
      <w:pPr>
        <w:spacing w:line="360" w:lineRule="auto"/>
        <w:ind w:firstLine="56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72DB62B8">
      <w:pPr>
        <w:spacing w:line="360" w:lineRule="auto"/>
        <w:ind w:firstLine="420" w:firstLineChars="200"/>
        <w:rPr>
          <w:rFonts w:ascii="宋体" w:hAnsi="宋体" w:cs="宋体"/>
          <w:color w:val="auto"/>
          <w:szCs w:val="21"/>
          <w:highlight w:val="none"/>
        </w:rPr>
      </w:pPr>
    </w:p>
    <w:p w14:paraId="0418DC18">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23D336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欢迎贵公司参与崇左市政府采购活动！</w:t>
      </w:r>
    </w:p>
    <w:p w14:paraId="1ECBBB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65D0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57"/>
          <w:rFonts w:hint="eastAsia" w:ascii="宋体" w:hAnsi="宋体" w:cs="宋体"/>
          <w:color w:val="auto"/>
          <w:szCs w:val="21"/>
          <w:highlight w:val="none"/>
        </w:rPr>
        <w:t>https://www.crcrfsp.com/</w:t>
      </w:r>
      <w:r>
        <w:rPr>
          <w:rStyle w:val="57"/>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7E8AC39A">
      <w:pPr>
        <w:pStyle w:val="179"/>
        <w:ind w:firstLine="420"/>
        <w:rPr>
          <w:rFonts w:ascii="宋体" w:hAnsi="宋体" w:cs="宋体"/>
          <w:color w:val="auto"/>
          <w:sz w:val="21"/>
          <w:szCs w:val="21"/>
          <w:highlight w:val="none"/>
        </w:rPr>
      </w:pPr>
    </w:p>
    <w:p w14:paraId="058510E4">
      <w:pPr>
        <w:spacing w:line="360" w:lineRule="auto"/>
        <w:rPr>
          <w:rFonts w:ascii="宋体" w:hAnsi="宋体" w:cs="宋体"/>
          <w:color w:val="auto"/>
          <w:szCs w:val="21"/>
          <w:highlight w:val="none"/>
        </w:rPr>
      </w:pPr>
    </w:p>
    <w:p w14:paraId="434F15DF">
      <w:pPr>
        <w:pStyle w:val="179"/>
        <w:ind w:firstLine="420"/>
        <w:rPr>
          <w:rFonts w:ascii="宋体" w:hAnsi="宋体" w:cs="宋体"/>
          <w:color w:val="auto"/>
          <w:sz w:val="21"/>
          <w:szCs w:val="21"/>
          <w:highlight w:val="none"/>
        </w:rPr>
      </w:pPr>
    </w:p>
    <w:p w14:paraId="1F887516">
      <w:pPr>
        <w:spacing w:line="360" w:lineRule="auto"/>
        <w:rPr>
          <w:rFonts w:ascii="宋体" w:hAnsi="宋体" w:cs="宋体"/>
          <w:color w:val="auto"/>
          <w:szCs w:val="21"/>
          <w:highlight w:val="none"/>
        </w:rPr>
      </w:pPr>
    </w:p>
    <w:p w14:paraId="7225C064">
      <w:pPr>
        <w:spacing w:line="360" w:lineRule="auto"/>
        <w:rPr>
          <w:rFonts w:ascii="宋体" w:hAnsi="宋体" w:cs="宋体"/>
          <w:color w:val="auto"/>
          <w:szCs w:val="21"/>
          <w:highlight w:val="none"/>
        </w:rPr>
      </w:pPr>
    </w:p>
    <w:p w14:paraId="5DE95E16">
      <w:pPr>
        <w:pStyle w:val="179"/>
        <w:ind w:firstLine="420"/>
        <w:rPr>
          <w:rFonts w:ascii="宋体" w:hAnsi="宋体" w:cs="宋体"/>
          <w:color w:val="auto"/>
          <w:sz w:val="21"/>
          <w:szCs w:val="21"/>
          <w:highlight w:val="none"/>
        </w:rPr>
      </w:pPr>
    </w:p>
    <w:p w14:paraId="1B234BEC">
      <w:pPr>
        <w:spacing w:line="360" w:lineRule="auto"/>
        <w:rPr>
          <w:rFonts w:ascii="宋体" w:hAnsi="宋体" w:cs="宋体"/>
          <w:color w:val="auto"/>
          <w:szCs w:val="21"/>
          <w:highlight w:val="none"/>
        </w:rPr>
      </w:pPr>
    </w:p>
    <w:p w14:paraId="18F407F5">
      <w:pPr>
        <w:spacing w:line="360" w:lineRule="auto"/>
        <w:rPr>
          <w:rFonts w:ascii="宋体" w:hAnsi="宋体" w:cs="宋体"/>
          <w:color w:val="auto"/>
          <w:szCs w:val="21"/>
          <w:highlight w:val="none"/>
        </w:rPr>
      </w:pPr>
    </w:p>
    <w:p w14:paraId="226BBA1E">
      <w:pPr>
        <w:pStyle w:val="179"/>
        <w:ind w:firstLine="420"/>
        <w:rPr>
          <w:rFonts w:ascii="宋体" w:hAnsi="宋体" w:cs="宋体"/>
          <w:color w:val="auto"/>
          <w:sz w:val="21"/>
          <w:szCs w:val="21"/>
          <w:highlight w:val="none"/>
        </w:rPr>
      </w:pPr>
    </w:p>
    <w:p w14:paraId="729E8A27">
      <w:pPr>
        <w:spacing w:line="360" w:lineRule="auto"/>
        <w:rPr>
          <w:rFonts w:ascii="宋体" w:hAnsi="宋体" w:cs="宋体"/>
          <w:color w:val="auto"/>
          <w:szCs w:val="21"/>
          <w:highlight w:val="none"/>
        </w:rPr>
      </w:pPr>
    </w:p>
    <w:p w14:paraId="7B56A7B1">
      <w:pPr>
        <w:pStyle w:val="179"/>
        <w:ind w:firstLine="420"/>
        <w:rPr>
          <w:rFonts w:ascii="宋体" w:hAnsi="宋体" w:cs="宋体"/>
          <w:color w:val="auto"/>
          <w:sz w:val="21"/>
          <w:szCs w:val="21"/>
          <w:highlight w:val="none"/>
        </w:rPr>
      </w:pPr>
    </w:p>
    <w:p w14:paraId="76B2F295">
      <w:pPr>
        <w:rPr>
          <w:rFonts w:ascii="黑体" w:hAnsi="黑体" w:eastAsia="黑体" w:cs="黑体"/>
          <w:color w:val="auto"/>
          <w:szCs w:val="32"/>
          <w:highlight w:val="none"/>
        </w:rPr>
      </w:pPr>
    </w:p>
    <w:p w14:paraId="28CBF8F7">
      <w:pPr>
        <w:spacing w:line="540" w:lineRule="exact"/>
        <w:ind w:firstLine="568"/>
        <w:rPr>
          <w:rFonts w:ascii="黑体" w:hAnsi="黑体" w:eastAsia="黑体" w:cs="黑体"/>
          <w:b/>
          <w:bCs/>
          <w:color w:val="auto"/>
          <w:sz w:val="28"/>
          <w:szCs w:val="44"/>
          <w:highlight w:val="none"/>
        </w:rPr>
      </w:pPr>
    </w:p>
    <w:p w14:paraId="4EBEFD17">
      <w:pPr>
        <w:spacing w:line="540" w:lineRule="exact"/>
        <w:ind w:firstLine="568"/>
        <w:rPr>
          <w:rFonts w:ascii="黑体" w:hAnsi="黑体" w:eastAsia="黑体" w:cs="黑体"/>
          <w:b/>
          <w:bCs/>
          <w:color w:val="auto"/>
          <w:sz w:val="28"/>
          <w:szCs w:val="44"/>
          <w:highlight w:val="none"/>
        </w:rPr>
      </w:pPr>
      <w:r>
        <w:rPr>
          <w:rFonts w:hint="eastAsia" w:ascii="黑体" w:hAnsi="黑体" w:eastAsia="黑体" w:cs="黑体"/>
          <w:b/>
          <w:bCs/>
          <w:color w:val="auto"/>
          <w:sz w:val="28"/>
          <w:szCs w:val="44"/>
          <w:highlight w:val="none"/>
        </w:rPr>
        <w:t>附件4</w:t>
      </w:r>
    </w:p>
    <w:p w14:paraId="51B242B6">
      <w:pPr>
        <w:pStyle w:val="179"/>
        <w:ind w:firstLine="480"/>
        <w:rPr>
          <w:color w:val="auto"/>
          <w:highlight w:val="none"/>
        </w:rPr>
      </w:pPr>
    </w:p>
    <w:p w14:paraId="1CE9899D">
      <w:pPr>
        <w:spacing w:line="360" w:lineRule="auto"/>
        <w:ind w:firstLine="56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39FA2A03">
      <w:pPr>
        <w:rPr>
          <w:color w:val="auto"/>
          <w:highlight w:val="none"/>
        </w:rPr>
      </w:pPr>
      <w:r>
        <w:rPr>
          <w:rFonts w:hint="eastAsia" w:eastAsia="仿宋_GB2312"/>
          <w:color w:val="auto"/>
          <w:highlight w:val="none"/>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2" cstate="print"/>
                    <a:stretch>
                      <a:fillRect/>
                    </a:stretch>
                  </pic:blipFill>
                  <pic:spPr>
                    <a:xfrm>
                      <a:off x="0" y="0"/>
                      <a:ext cx="4926965" cy="7002780"/>
                    </a:xfrm>
                    <a:prstGeom prst="rect">
                      <a:avLst/>
                    </a:prstGeom>
                    <a:noFill/>
                    <a:ln>
                      <a:noFill/>
                    </a:ln>
                  </pic:spPr>
                </pic:pic>
              </a:graphicData>
            </a:graphic>
          </wp:inline>
        </w:drawing>
      </w:r>
    </w:p>
    <w:p w14:paraId="00B46989">
      <w:pPr>
        <w:widowControl/>
        <w:ind w:firstLine="420" w:firstLineChars="200"/>
        <w:rPr>
          <w:color w:val="auto"/>
          <w:highlight w:val="none"/>
        </w:rPr>
      </w:pPr>
    </w:p>
    <w:p w14:paraId="61142E85">
      <w:pPr>
        <w:pStyle w:val="179"/>
        <w:ind w:firstLine="480"/>
        <w:rPr>
          <w:color w:val="auto"/>
          <w:highlight w:val="none"/>
        </w:rPr>
      </w:pPr>
    </w:p>
    <w:p w14:paraId="4B0E542C">
      <w:pPr>
        <w:rPr>
          <w:color w:val="auto"/>
          <w:highlight w:val="none"/>
        </w:rPr>
      </w:pPr>
    </w:p>
    <w:p w14:paraId="15FC9312">
      <w:pPr>
        <w:widowControl/>
        <w:spacing w:line="720" w:lineRule="exact"/>
        <w:ind w:firstLine="568"/>
        <w:jc w:val="left"/>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5</w:t>
      </w:r>
    </w:p>
    <w:p w14:paraId="038C3120">
      <w:pPr>
        <w:pStyle w:val="179"/>
        <w:ind w:firstLine="480"/>
        <w:rPr>
          <w:color w:val="auto"/>
          <w:highlight w:val="none"/>
        </w:rPr>
      </w:pPr>
    </w:p>
    <w:p w14:paraId="52BB74E2">
      <w:pPr>
        <w:pStyle w:val="179"/>
        <w:ind w:firstLine="562"/>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51"/>
        <w:tblW w:w="8314" w:type="dxa"/>
        <w:tblInd w:w="96" w:type="dxa"/>
        <w:tblLayout w:type="fixed"/>
        <w:tblCellMar>
          <w:top w:w="0" w:type="dxa"/>
          <w:left w:w="108" w:type="dxa"/>
          <w:bottom w:w="0" w:type="dxa"/>
          <w:right w:w="108" w:type="dxa"/>
        </w:tblCellMar>
      </w:tblPr>
      <w:tblGrid>
        <w:gridCol w:w="2674"/>
        <w:gridCol w:w="3515"/>
        <w:gridCol w:w="2125"/>
      </w:tblGrid>
      <w:tr w14:paraId="2E15DD2F">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182F9975">
            <w:pPr>
              <w:widowControl/>
              <w:spacing w:line="400" w:lineRule="exact"/>
              <w:ind w:firstLine="568"/>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010A5BDB">
            <w:pPr>
              <w:widowControl/>
              <w:spacing w:line="400" w:lineRule="exact"/>
              <w:ind w:firstLine="568"/>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2AD09F12">
            <w:pPr>
              <w:widowControl/>
              <w:spacing w:line="400" w:lineRule="exact"/>
              <w:ind w:firstLine="568"/>
              <w:jc w:val="center"/>
              <w:textAlignment w:val="center"/>
              <w:rPr>
                <w:rFonts w:ascii="宋体" w:hAnsi="宋体" w:cs="宋体"/>
                <w:b/>
                <w:bCs/>
                <w:color w:val="auto"/>
                <w:sz w:val="28"/>
                <w:szCs w:val="28"/>
                <w:highlight w:val="none"/>
              </w:rPr>
            </w:pPr>
            <w:r>
              <w:rPr>
                <w:rFonts w:hint="eastAsia" w:cs="宋体"/>
                <w:b/>
                <w:bCs/>
                <w:color w:val="auto"/>
                <w:kern w:val="0"/>
                <w:sz w:val="28"/>
                <w:szCs w:val="28"/>
                <w:highlight w:val="none"/>
              </w:rPr>
              <w:t>业务</w:t>
            </w:r>
            <w:r>
              <w:rPr>
                <w:rFonts w:hint="eastAsia" w:ascii="宋体" w:hAnsi="宋体" w:cs="宋体"/>
                <w:b/>
                <w:bCs/>
                <w:color w:val="auto"/>
                <w:kern w:val="0"/>
                <w:sz w:val="28"/>
                <w:szCs w:val="28"/>
                <w:highlight w:val="none"/>
              </w:rPr>
              <w:t>咨询电话</w:t>
            </w:r>
          </w:p>
        </w:tc>
      </w:tr>
      <w:tr w14:paraId="7DA7A0B2">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19B9797">
            <w:pPr>
              <w:widowControl/>
              <w:ind w:firstLine="426"/>
              <w:jc w:val="left"/>
              <w:textAlignment w:val="center"/>
              <w:rPr>
                <w:rFonts w:cs="宋体"/>
                <w:color w:val="auto"/>
                <w:szCs w:val="21"/>
                <w:highlight w:val="none"/>
              </w:rPr>
            </w:pPr>
            <w:r>
              <w:rPr>
                <w:rFonts w:hint="eastAsia" w:cs="宋体"/>
                <w:b/>
                <w:bCs/>
                <w:color w:val="auto"/>
                <w:szCs w:val="21"/>
                <w:highlight w:val="none"/>
              </w:rPr>
              <w:t>崇左市本级及江州区</w:t>
            </w:r>
          </w:p>
        </w:tc>
      </w:tr>
      <w:tr w14:paraId="5DE658D4">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21287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6FBF2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75F271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0771-7820436 0771-7820439</w:t>
            </w:r>
          </w:p>
        </w:tc>
      </w:tr>
      <w:tr w14:paraId="26B8AFB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A62B6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EC6FB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B045B0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0771-7917212</w:t>
            </w:r>
          </w:p>
        </w:tc>
      </w:tr>
      <w:tr w14:paraId="54EBF45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E8267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4013C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2C172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0771-7917054</w:t>
            </w:r>
          </w:p>
        </w:tc>
      </w:tr>
      <w:tr w14:paraId="315ABB0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E611D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DF981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1567614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0771-7831103</w:t>
            </w:r>
          </w:p>
        </w:tc>
      </w:tr>
      <w:tr w14:paraId="42DE2AA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058B4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9A1D9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4B9F12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0771-7928650 0771-7920613</w:t>
            </w:r>
          </w:p>
        </w:tc>
      </w:tr>
      <w:tr w14:paraId="2EF2FD1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A76A1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84EED0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22FCD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0771-7925660</w:t>
            </w:r>
          </w:p>
        </w:tc>
      </w:tr>
      <w:tr w14:paraId="142C67E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F0EE7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91587A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A010B0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0771-7968699</w:t>
            </w:r>
          </w:p>
        </w:tc>
      </w:tr>
      <w:tr w14:paraId="79E2F93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745A2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3CDEB0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341C0F6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0771-7916636</w:t>
            </w:r>
          </w:p>
        </w:tc>
      </w:tr>
      <w:tr w14:paraId="0C7284F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8942F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6FBEF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5FEEF5B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0771-7988895</w:t>
            </w:r>
          </w:p>
        </w:tc>
      </w:tr>
      <w:tr w14:paraId="6DCC156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D8710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909F4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665F8D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0771-7960855</w:t>
            </w:r>
          </w:p>
        </w:tc>
      </w:tr>
      <w:tr w14:paraId="63EC12B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F3052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C35D1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073AD0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0771-7821126</w:t>
            </w:r>
          </w:p>
        </w:tc>
      </w:tr>
      <w:tr w14:paraId="00FD16E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9FE25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E258A2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6D67267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0771-7831866</w:t>
            </w:r>
          </w:p>
        </w:tc>
      </w:tr>
      <w:tr w14:paraId="71A72B1F">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27B7095">
            <w:pPr>
              <w:widowControl/>
              <w:ind w:firstLine="426"/>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1A1226A5">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6171F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B86D6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487EE0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0771-7535612</w:t>
            </w:r>
          </w:p>
        </w:tc>
      </w:tr>
      <w:tr w14:paraId="082DE112">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B1A49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CC0EBE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322CE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0771-7917330</w:t>
            </w:r>
          </w:p>
        </w:tc>
      </w:tr>
      <w:tr w14:paraId="6D293A6F">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37C6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D6F4B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56F0A4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0771-7516511 0771-7531157</w:t>
            </w:r>
          </w:p>
        </w:tc>
      </w:tr>
      <w:tr w14:paraId="4D4C667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95D7D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E26D27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353156F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0771-7525822</w:t>
            </w:r>
          </w:p>
        </w:tc>
      </w:tr>
      <w:tr w14:paraId="23732BD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36FEE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75C76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D0D65D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0771-5025887</w:t>
            </w:r>
          </w:p>
        </w:tc>
      </w:tr>
      <w:tr w14:paraId="616ABA0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96DBE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022D17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56679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0771-7533041</w:t>
            </w:r>
          </w:p>
        </w:tc>
      </w:tr>
      <w:tr w14:paraId="7545EBB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F3C8D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094586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5DE2ED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0771-7536178 0771-7536177</w:t>
            </w:r>
          </w:p>
        </w:tc>
      </w:tr>
      <w:tr w14:paraId="46BDE74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E113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1F4E8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1684B8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0771-7661101</w:t>
            </w:r>
          </w:p>
        </w:tc>
      </w:tr>
      <w:tr w14:paraId="42F98EF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8C235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6F8B7D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BF389A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0771-7500768</w:t>
            </w:r>
          </w:p>
        </w:tc>
      </w:tr>
      <w:tr w14:paraId="635E151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01F08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529767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5C1E8D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0771-7525678</w:t>
            </w:r>
          </w:p>
        </w:tc>
      </w:tr>
      <w:tr w14:paraId="73EA749B">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1225F2">
            <w:pPr>
              <w:widowControl/>
              <w:ind w:firstLine="426"/>
              <w:jc w:val="left"/>
              <w:textAlignment w:val="center"/>
              <w:rPr>
                <w:rFonts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3960E96B">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59C0813">
            <w:pPr>
              <w:widowControl/>
              <w:jc w:val="center"/>
              <w:textAlignment w:val="center"/>
              <w:rPr>
                <w:rFonts w:ascii="宋体" w:hAnsi="宋体" w:cs="宋体"/>
                <w:color w:val="auto"/>
                <w:szCs w:val="21"/>
                <w:highlight w:val="none"/>
              </w:rPr>
            </w:pPr>
          </w:p>
        </w:tc>
      </w:tr>
      <w:tr w14:paraId="483CCE9A">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6B6E9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44A31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2D046E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0771-8620729</w:t>
            </w:r>
          </w:p>
        </w:tc>
      </w:tr>
      <w:tr w14:paraId="0E512D5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B42F0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D672C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FE142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0771-7917093</w:t>
            </w:r>
          </w:p>
        </w:tc>
      </w:tr>
      <w:tr w14:paraId="1396652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BCE2E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3E2774C">
            <w:pPr>
              <w:widowControl/>
              <w:spacing w:after="90" w:line="23" w:lineRule="atLeast"/>
              <w:jc w:val="left"/>
              <w:rPr>
                <w:rFonts w:ascii="宋体" w:hAnsi="宋体" w:cs="宋体"/>
                <w:color w:val="auto"/>
                <w:szCs w:val="21"/>
                <w:highlight w:val="none"/>
              </w:rPr>
            </w:pPr>
            <w:r>
              <w:rPr>
                <w:rFonts w:hint="eastAsia" w:ascii="宋体" w:hAnsi="宋体" w:cs="宋体"/>
                <w:color w:val="auto"/>
                <w:kern w:val="0"/>
                <w:szCs w:val="21"/>
                <w:highlight w:val="none"/>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9A62D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0771-8629006</w:t>
            </w:r>
          </w:p>
        </w:tc>
      </w:tr>
      <w:tr w14:paraId="64ABF3B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F49B5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932B14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89DFE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0771-8628166</w:t>
            </w:r>
          </w:p>
        </w:tc>
      </w:tr>
      <w:tr w14:paraId="274108DE">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3CD69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49FEB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7DE7FD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0771-8630787</w:t>
            </w:r>
          </w:p>
        </w:tc>
      </w:tr>
      <w:tr w14:paraId="2E2E970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97C7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3EEC4F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6919785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0771-8622237</w:t>
            </w:r>
          </w:p>
        </w:tc>
      </w:tr>
      <w:tr w14:paraId="76B22395">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075CB7C">
            <w:pPr>
              <w:widowControl/>
              <w:ind w:firstLine="426"/>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5BD0D381">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805199">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21839E7">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扶绥县桃城镇民生街98号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7073E8A">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0771-3628078</w:t>
            </w:r>
          </w:p>
        </w:tc>
      </w:tr>
      <w:tr w14:paraId="09EB85FF">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73AD88">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B84B6E">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扶绥县桃城镇伦理路223号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3D7B8A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w:t>
            </w:r>
            <w:r>
              <w:rPr>
                <w:rFonts w:hint="eastAsia" w:ascii="宋体" w:hAnsi="宋体" w:cs="宋体"/>
                <w:color w:val="auto"/>
                <w:szCs w:val="21"/>
                <w:highlight w:val="none"/>
              </w:rPr>
              <w:t>7917015</w:t>
            </w:r>
          </w:p>
        </w:tc>
      </w:tr>
      <w:tr w14:paraId="6C63E57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24E882">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B559F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扶绥县民生街7号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C2C552">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0771-3689766</w:t>
            </w:r>
          </w:p>
        </w:tc>
      </w:tr>
      <w:tr w14:paraId="136E1A6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EC8AC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539381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扶绥县城养利路131号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42A0423">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0771-3623887</w:t>
            </w:r>
          </w:p>
        </w:tc>
      </w:tr>
      <w:tr w14:paraId="7CB547E9">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5C20AC">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E86BA8">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崇左市扶绥县桃城镇民生街7号东盟商业广场1楼桂林银行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EA3CA2C">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0771-3621996</w:t>
            </w:r>
          </w:p>
        </w:tc>
      </w:tr>
      <w:tr w14:paraId="4651901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6FD3E7">
            <w:pPr>
              <w:widowControl/>
              <w:jc w:val="left"/>
              <w:textAlignment w:val="center"/>
              <w:rPr>
                <w:rFonts w:ascii="宋体" w:hAnsi="宋体" w:cs="宋体"/>
                <w:color w:val="auto"/>
                <w:kern w:val="0"/>
                <w:szCs w:val="21"/>
                <w:highlight w:val="none"/>
              </w:rPr>
            </w:pPr>
            <w:r>
              <w:rPr>
                <w:rFonts w:hint="eastAsia" w:ascii="宋体" w:hAnsi="宋体" w:cs="宋体"/>
                <w:color w:val="auto"/>
                <w:szCs w:val="21"/>
                <w:highlight w:val="none"/>
              </w:rPr>
              <w:t>广西北部湾银行扶绥支行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4A7695A">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崇左市扶绥县桃城镇伦理路230号1楼铺面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6FDC47B">
            <w:pPr>
              <w:widowControl/>
              <w:jc w:val="center"/>
              <w:textAlignment w:val="center"/>
              <w:rPr>
                <w:rFonts w:ascii="宋体" w:hAnsi="宋体" w:cs="宋体"/>
                <w:color w:val="auto"/>
                <w:kern w:val="0"/>
                <w:szCs w:val="21"/>
                <w:highlight w:val="none"/>
              </w:rPr>
            </w:pPr>
            <w:r>
              <w:rPr>
                <w:rFonts w:hint="eastAsia" w:ascii="宋体" w:hAnsi="宋体" w:cs="宋体"/>
                <w:color w:val="auto"/>
                <w:szCs w:val="21"/>
                <w:highlight w:val="none"/>
              </w:rPr>
              <w:t>0771-3628366</w:t>
            </w:r>
          </w:p>
        </w:tc>
      </w:tr>
      <w:tr w14:paraId="5DC40CC7">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C5A4AB">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崇左扶绥长江村镇银行营业部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6AB0864">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扶绥县桃城镇德天大道74-1号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68DDDD">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0771-3698002</w:t>
            </w:r>
          </w:p>
        </w:tc>
      </w:tr>
      <w:tr w14:paraId="474EBB7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8AC530">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崇左扶绥长江村镇银行百汇支行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D6A779">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扶绥县桃城镇伦那路8号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94EE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0771-3626199</w:t>
            </w:r>
          </w:p>
        </w:tc>
      </w:tr>
      <w:tr w14:paraId="300C931B">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A7A876">
            <w:pPr>
              <w:widowControl/>
              <w:ind w:firstLine="426"/>
              <w:jc w:val="left"/>
              <w:textAlignment w:val="center"/>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崇左市</w:t>
            </w:r>
          </w:p>
        </w:tc>
        <w:tc>
          <w:tcPr>
            <w:tcW w:w="3515" w:type="dxa"/>
            <w:tcBorders>
              <w:top w:val="single" w:color="000000" w:sz="4" w:space="0"/>
              <w:left w:val="single" w:color="000000" w:sz="4" w:space="0"/>
              <w:bottom w:val="single" w:color="000000" w:sz="4" w:space="0"/>
              <w:right w:val="single" w:color="000000" w:sz="4" w:space="0"/>
            </w:tcBorders>
            <w:vAlign w:val="center"/>
          </w:tcPr>
          <w:p w14:paraId="2024FEC6">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08250FDD">
            <w:pPr>
              <w:widowControl/>
              <w:jc w:val="center"/>
              <w:textAlignment w:val="center"/>
              <w:rPr>
                <w:rFonts w:ascii="宋体" w:hAnsi="宋体" w:cs="宋体"/>
                <w:color w:val="auto"/>
                <w:szCs w:val="21"/>
                <w:highlight w:val="none"/>
              </w:rPr>
            </w:pPr>
          </w:p>
        </w:tc>
      </w:tr>
      <w:tr w14:paraId="6CA076AD">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C6627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8904E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66AB8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0771-8868619</w:t>
            </w:r>
          </w:p>
        </w:tc>
      </w:tr>
      <w:tr w14:paraId="3A7F75F6">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09D4D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9C7E9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7BC57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0771-8812504</w:t>
            </w:r>
          </w:p>
        </w:tc>
      </w:tr>
      <w:tr w14:paraId="2679DA2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3C05B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48971E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2066B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0771-8820525</w:t>
            </w:r>
          </w:p>
        </w:tc>
      </w:tr>
      <w:tr w14:paraId="28281258">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A26C3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8CCE98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6B55DD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0771-8813013</w:t>
            </w:r>
          </w:p>
        </w:tc>
      </w:tr>
      <w:tr w14:paraId="0294E18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B13B9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84B1E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59EE353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0771-8871021</w:t>
            </w:r>
          </w:p>
        </w:tc>
      </w:tr>
      <w:tr w14:paraId="2FA11B6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F3358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A7BB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DAB11D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0771-8811533</w:t>
            </w:r>
          </w:p>
        </w:tc>
      </w:tr>
      <w:tr w14:paraId="12EB2593">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BDF64F">
            <w:pPr>
              <w:widowControl/>
              <w:ind w:firstLine="426"/>
              <w:textAlignment w:val="center"/>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崇左市</w:t>
            </w:r>
          </w:p>
        </w:tc>
        <w:tc>
          <w:tcPr>
            <w:tcW w:w="3515" w:type="dxa"/>
            <w:tcBorders>
              <w:top w:val="single" w:color="000000" w:sz="4" w:space="0"/>
              <w:left w:val="single" w:color="000000" w:sz="4" w:space="0"/>
              <w:bottom w:val="single" w:color="000000" w:sz="4" w:space="0"/>
              <w:right w:val="single" w:color="000000" w:sz="4" w:space="0"/>
            </w:tcBorders>
            <w:vAlign w:val="center"/>
          </w:tcPr>
          <w:p w14:paraId="435E1691">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29073E6A">
            <w:pPr>
              <w:widowControl/>
              <w:jc w:val="center"/>
              <w:textAlignment w:val="center"/>
              <w:rPr>
                <w:rFonts w:ascii="宋体" w:hAnsi="宋体" w:cs="宋体"/>
                <w:color w:val="auto"/>
                <w:szCs w:val="21"/>
                <w:highlight w:val="none"/>
              </w:rPr>
            </w:pPr>
          </w:p>
        </w:tc>
      </w:tr>
      <w:tr w14:paraId="630EBC9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E47D0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A957E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4C04B8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0771-3532211</w:t>
            </w:r>
          </w:p>
        </w:tc>
      </w:tr>
      <w:tr w14:paraId="1C01C0F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C2C21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8FAED0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6E8F43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0771-7917046</w:t>
            </w:r>
          </w:p>
        </w:tc>
      </w:tr>
      <w:tr w14:paraId="74DCEA8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42F84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898D9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CE3FDF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0771-3521361</w:t>
            </w:r>
          </w:p>
        </w:tc>
      </w:tr>
      <w:tr w14:paraId="30749F5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B1B84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B822E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0B472F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0771-3522157</w:t>
            </w:r>
          </w:p>
        </w:tc>
      </w:tr>
      <w:tr w14:paraId="3D3CF6F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F3E9D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7ACF4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w:t>
            </w:r>
            <w:r>
              <w:rPr>
                <w:rFonts w:hint="eastAsia" w:ascii="宋体" w:hAnsi="宋体" w:cs="宋体"/>
                <w:color w:val="auto"/>
                <w:szCs w:val="21"/>
                <w:highlight w:val="none"/>
                <w:lang w:eastAsia="zh-CN"/>
              </w:rPr>
              <w:t>崇左市</w:t>
            </w:r>
            <w:r>
              <w:rPr>
                <w:rFonts w:hint="eastAsia" w:ascii="宋体" w:hAnsi="宋体" w:cs="宋体"/>
                <w:color w:val="auto"/>
                <w:szCs w:val="21"/>
                <w:highlight w:val="none"/>
              </w:rPr>
              <w:t>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A7525A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0771-3528688</w:t>
            </w:r>
          </w:p>
        </w:tc>
      </w:tr>
      <w:tr w14:paraId="12EBC5BB">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5ACBAC5">
            <w:pPr>
              <w:widowControl/>
              <w:ind w:firstLine="426"/>
              <w:jc w:val="left"/>
              <w:textAlignment w:val="center"/>
              <w:rPr>
                <w:rFonts w:ascii="宋体" w:hAnsi="宋体" w:cs="宋体"/>
                <w:color w:val="auto"/>
                <w:szCs w:val="21"/>
                <w:highlight w:val="none"/>
              </w:rPr>
            </w:pPr>
            <w:r>
              <w:rPr>
                <w:rFonts w:hint="eastAsia" w:ascii="宋体" w:hAnsi="宋体" w:cs="宋体"/>
                <w:b/>
                <w:bCs/>
                <w:color w:val="auto"/>
                <w:szCs w:val="21"/>
                <w:highlight w:val="none"/>
              </w:rPr>
              <w:t>凭祥市</w:t>
            </w:r>
          </w:p>
        </w:tc>
      </w:tr>
      <w:tr w14:paraId="3E47A118">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7A12D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8A4E3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EDAAB0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0771-8529259</w:t>
            </w:r>
          </w:p>
        </w:tc>
      </w:tr>
      <w:tr w14:paraId="0D206A7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D5192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ECF89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3B58E0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0771-7917258</w:t>
            </w:r>
          </w:p>
        </w:tc>
      </w:tr>
      <w:tr w14:paraId="4B6279F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968C6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2EC6F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26277C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74C8CFF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32C0F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2F7B2D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3FFC62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0771-8551161</w:t>
            </w:r>
          </w:p>
        </w:tc>
      </w:tr>
      <w:tr w14:paraId="0A4B9F4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A7E45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4A0F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077B47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0771-8561665</w:t>
            </w:r>
          </w:p>
        </w:tc>
      </w:tr>
      <w:tr w14:paraId="5C64BEE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F37F2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AAB00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06AC3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0771-8520356</w:t>
            </w:r>
          </w:p>
        </w:tc>
      </w:tr>
      <w:tr w14:paraId="78958F9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C02DD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3DC212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BDC5F3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0771-8535667</w:t>
            </w:r>
          </w:p>
        </w:tc>
      </w:tr>
      <w:tr w14:paraId="642C720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1174D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1EEB4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2E920B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0771-8520550</w:t>
            </w:r>
          </w:p>
        </w:tc>
      </w:tr>
      <w:tr w14:paraId="5D2959C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85B59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57CC4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3F6A0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0771-8556667</w:t>
            </w:r>
          </w:p>
        </w:tc>
      </w:tr>
    </w:tbl>
    <w:p w14:paraId="16B71514">
      <w:pPr>
        <w:pStyle w:val="181"/>
        <w:rPr>
          <w:color w:val="auto"/>
          <w:highlight w:val="none"/>
        </w:rPr>
      </w:pPr>
    </w:p>
    <w:p w14:paraId="1938D3CB">
      <w:pPr>
        <w:pStyle w:val="182"/>
        <w:rPr>
          <w:color w:val="auto"/>
          <w:highlight w:val="none"/>
        </w:rPr>
      </w:pPr>
    </w:p>
    <w:p w14:paraId="3D7CD5CB">
      <w:pPr>
        <w:pStyle w:val="181"/>
        <w:rPr>
          <w:color w:val="auto"/>
          <w:highlight w:val="none"/>
        </w:rPr>
      </w:pPr>
    </w:p>
    <w:p w14:paraId="7E72D843">
      <w:pPr>
        <w:pStyle w:val="182"/>
        <w:rPr>
          <w:color w:val="auto"/>
          <w:highlight w:val="none"/>
        </w:rPr>
      </w:pPr>
    </w:p>
    <w:p w14:paraId="2699E544">
      <w:pPr>
        <w:pStyle w:val="181"/>
        <w:rPr>
          <w:color w:val="auto"/>
          <w:highlight w:val="none"/>
        </w:rPr>
      </w:pPr>
    </w:p>
    <w:p w14:paraId="31C959C2">
      <w:pPr>
        <w:pStyle w:val="182"/>
        <w:rPr>
          <w:color w:val="auto"/>
          <w:highlight w:val="none"/>
        </w:rPr>
      </w:pPr>
    </w:p>
    <w:p w14:paraId="22566600">
      <w:pPr>
        <w:pStyle w:val="181"/>
        <w:rPr>
          <w:color w:val="auto"/>
          <w:highlight w:val="none"/>
        </w:rPr>
      </w:pPr>
    </w:p>
    <w:p w14:paraId="4CF1A3BA">
      <w:pPr>
        <w:pStyle w:val="182"/>
        <w:rPr>
          <w:color w:val="auto"/>
          <w:highlight w:val="none"/>
        </w:rPr>
      </w:pPr>
    </w:p>
    <w:p w14:paraId="743B6B8F">
      <w:pPr>
        <w:pStyle w:val="181"/>
        <w:rPr>
          <w:color w:val="auto"/>
          <w:highlight w:val="none"/>
        </w:rPr>
      </w:pPr>
    </w:p>
    <w:p w14:paraId="7C8B0AF0">
      <w:pPr>
        <w:pStyle w:val="2"/>
        <w:ind w:firstLine="568"/>
        <w:rPr>
          <w:color w:val="auto"/>
          <w:highlight w:val="none"/>
        </w:rPr>
      </w:pPr>
      <w:bookmarkStart w:id="90" w:name="_Toc31551"/>
      <w:bookmarkStart w:id="91" w:name="_Toc3974"/>
      <w:bookmarkStart w:id="92" w:name="_Toc44229895"/>
      <w:bookmarkStart w:id="93" w:name="_Toc12281"/>
      <w:bookmarkStart w:id="94" w:name="_Toc30806"/>
      <w:r>
        <w:rPr>
          <w:rFonts w:hint="eastAsia"/>
          <w:color w:val="auto"/>
          <w:highlight w:val="none"/>
        </w:rPr>
        <w:t>第三章 采购需求</w:t>
      </w:r>
      <w:bookmarkEnd w:id="90"/>
      <w:bookmarkEnd w:id="91"/>
      <w:bookmarkEnd w:id="92"/>
      <w:bookmarkEnd w:id="93"/>
      <w:bookmarkEnd w:id="94"/>
    </w:p>
    <w:p w14:paraId="48E23602">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采购项目技术规格、参数及要求</w:t>
      </w:r>
    </w:p>
    <w:p w14:paraId="4EE2DAF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6F39F80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13CC40EA">
      <w:pPr>
        <w:spacing w:line="360" w:lineRule="auto"/>
        <w:ind w:left="424" w:leftChars="202"/>
        <w:jc w:val="left"/>
        <w:rPr>
          <w:rFonts w:hAnsi="宋体"/>
          <w:bCs/>
          <w:color w:val="auto"/>
          <w:spacing w:val="10"/>
          <w:kern w:val="0"/>
          <w:szCs w:val="21"/>
          <w:highlight w:val="none"/>
        </w:rPr>
      </w:pPr>
      <w:r>
        <w:rPr>
          <w:rFonts w:hint="eastAsia" w:ascii="宋体" w:hAnsi="宋体" w:cs="宋体"/>
          <w:color w:val="auto"/>
          <w:szCs w:val="21"/>
          <w:highlight w:val="none"/>
        </w:rPr>
        <w:t>2.“实质性要求”是指磋商文件中已经指明不满足则响应文件按无效响应处理的条款，或者不能负偏离的条款，或者采购需求中带“▲”的条款。</w:t>
      </w:r>
      <w:r>
        <w:rPr>
          <w:rFonts w:hint="eastAsia" w:hAnsi="宋体"/>
          <w:bCs/>
          <w:color w:val="auto"/>
          <w:spacing w:val="10"/>
          <w:kern w:val="0"/>
          <w:szCs w:val="21"/>
          <w:highlight w:val="none"/>
        </w:rPr>
        <w:t>本项目标记“▲”号的条款为实质性要求和条件，要求必须满足或优于，否则磋商响应无效。</w:t>
      </w:r>
    </w:p>
    <w:p w14:paraId="18C1ABA7">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r>
        <w:rPr>
          <w:rFonts w:hint="eastAsia" w:hAnsi="宋体"/>
          <w:bCs/>
          <w:color w:val="auto"/>
          <w:spacing w:val="10"/>
          <w:kern w:val="0"/>
          <w:szCs w:val="21"/>
          <w:highlight w:val="none"/>
        </w:rPr>
        <w:t>供应商提供的产品的</w:t>
      </w:r>
      <w:r>
        <w:rPr>
          <w:rFonts w:hint="eastAsia" w:ascii="宋体" w:hAnsi="宋体" w:cs="宋体"/>
          <w:color w:val="auto"/>
          <w:highlight w:val="none"/>
        </w:rPr>
        <w:t>技术参数应实质上相当于或优于本需求表中的服务内容及要求。</w:t>
      </w:r>
    </w:p>
    <w:p w14:paraId="149ECEAA">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4.供应商必须自行为其磋商产品侵犯他人的知识产权或者专利成果的行为承担相应法律责任。</w:t>
      </w:r>
    </w:p>
    <w:p w14:paraId="784C000E">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5.本项目非专门面向中小企业采购。</w:t>
      </w:r>
    </w:p>
    <w:p w14:paraId="320F3DB2">
      <w:pP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rPr>
        <w:t>6.本项目属于其他未列明行业。</w:t>
      </w:r>
    </w:p>
    <w:p w14:paraId="20D21F2C">
      <w:pPr>
        <w:spacing w:line="360" w:lineRule="auto"/>
        <w:ind w:firstLine="446" w:firstLineChars="202"/>
        <w:rPr>
          <w:rFonts w:ascii="宋体" w:hAnsi="宋体" w:cs="宋体"/>
          <w:b/>
          <w:bCs/>
          <w:color w:val="auto"/>
          <w:sz w:val="22"/>
          <w:szCs w:val="28"/>
          <w:highlight w:val="none"/>
        </w:rPr>
      </w:pPr>
      <w:r>
        <w:rPr>
          <w:rFonts w:hint="eastAsia" w:ascii="宋体" w:hAnsi="宋体" w:cs="宋体"/>
          <w:b/>
          <w:bCs/>
          <w:color w:val="auto"/>
          <w:sz w:val="22"/>
          <w:szCs w:val="28"/>
          <w:highlight w:val="none"/>
        </w:rPr>
        <w:t>一、采购技术需求</w:t>
      </w:r>
    </w:p>
    <w:tbl>
      <w:tblPr>
        <w:tblStyle w:val="51"/>
        <w:tblW w:w="8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450"/>
        <w:gridCol w:w="99"/>
        <w:gridCol w:w="32"/>
        <w:gridCol w:w="6700"/>
      </w:tblGrid>
      <w:tr w14:paraId="17E7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6" w:type="dxa"/>
            <w:vAlign w:val="center"/>
          </w:tcPr>
          <w:p w14:paraId="5A22DA2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1" w:type="dxa"/>
            <w:gridSpan w:val="3"/>
            <w:vAlign w:val="center"/>
          </w:tcPr>
          <w:p w14:paraId="06ECE62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6700" w:type="dxa"/>
            <w:vAlign w:val="center"/>
          </w:tcPr>
          <w:p w14:paraId="68E926C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技术要求</w:t>
            </w:r>
          </w:p>
        </w:tc>
      </w:tr>
      <w:tr w14:paraId="05FE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656" w:type="dxa"/>
          </w:tcPr>
          <w:p w14:paraId="37CCEB9A">
            <w:pPr>
              <w:tabs>
                <w:tab w:val="left" w:pos="180"/>
                <w:tab w:val="left" w:pos="1620"/>
              </w:tabs>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581" w:type="dxa"/>
            <w:gridSpan w:val="3"/>
            <w:vAlign w:val="center"/>
          </w:tcPr>
          <w:p w14:paraId="3AD52A76">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崇左铁路支专线布局研究</w:t>
            </w:r>
          </w:p>
        </w:tc>
        <w:tc>
          <w:tcPr>
            <w:tcW w:w="6700" w:type="dxa"/>
            <w:shd w:val="clear" w:color="auto" w:fill="auto"/>
            <w:vAlign w:val="center"/>
          </w:tcPr>
          <w:p w14:paraId="3578EB15">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编制要遵循国家、广西铁路网规划及强化崇左市综合交通路网等政策文件和发展趋势，结合崇左各县市区资源和发展基础，高标准、高站位、前瞻性地统筹谋划全市铁路支专线布局，为打造高质量路网发展的多式联运体系提供智力支持。</w:t>
            </w:r>
            <w:r>
              <w:rPr>
                <w:rFonts w:hint="eastAsia" w:asciiTheme="minorEastAsia" w:hAnsiTheme="minorEastAsia" w:eastAsiaTheme="minorEastAsia" w:cstheme="minorEastAsia"/>
                <w:color w:val="auto"/>
                <w:sz w:val="21"/>
                <w:szCs w:val="21"/>
                <w:highlight w:val="none"/>
              </w:rPr>
              <w:t>项目规模：围绕五大工业园区、三大示范区码头及五个国际性口岸接通铁路支专线进行规划，重点围绕硕龙口岸、爱店口岸、水口口岸支线铁路运输需求及预测、投资及效益分析等重点内容开展方案研究，提升产业园区综合运输能力。</w:t>
            </w:r>
            <w:r>
              <w:rPr>
                <w:rFonts w:hint="eastAsia" w:asciiTheme="minorEastAsia" w:hAnsiTheme="minorEastAsia" w:eastAsiaTheme="minorEastAsia" w:cstheme="minorEastAsia"/>
                <w:color w:val="auto"/>
                <w:sz w:val="21"/>
                <w:szCs w:val="21"/>
                <w:highlight w:val="none"/>
                <w:lang w:val="en-US" w:eastAsia="zh-CN"/>
              </w:rPr>
              <w:t>包括但不限于新建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扶绥海铁现代物流园铁路专用线二期工程、中能建崇左2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660MW电厂工程铁路专用线二期工程、崇左港专用线、崇左中泰产业园专用线、西部陆海新通道凭祥跨境公铁联运物流国际港项目A区专用线二期扩能、龙州水口支线、友谊关铁路物流中心等崇左铁路支专线，估算总投资约63亿元（投资以最终实际立项批复为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p>
          <w:p w14:paraId="2DBA9EB5">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2、服务内容：崇左铁路支专线</w:t>
            </w:r>
            <w:r>
              <w:rPr>
                <w:rFonts w:hint="eastAsia" w:asciiTheme="minorEastAsia" w:hAnsiTheme="minorEastAsia" w:eastAsiaTheme="minorEastAsia" w:cstheme="minorEastAsia"/>
                <w:color w:val="auto"/>
                <w:sz w:val="21"/>
                <w:szCs w:val="21"/>
                <w:highlight w:val="none"/>
                <w:lang w:val="en-US" w:eastAsia="zh-CN"/>
              </w:rPr>
              <w:t>布局研究</w:t>
            </w:r>
            <w:r>
              <w:rPr>
                <w:rFonts w:hint="eastAsia" w:asciiTheme="minorEastAsia" w:hAnsiTheme="minorEastAsia" w:eastAsiaTheme="minorEastAsia" w:cstheme="minorEastAsia"/>
                <w:color w:val="auto"/>
                <w:sz w:val="21"/>
                <w:szCs w:val="21"/>
                <w:highlight w:val="none"/>
              </w:rPr>
              <w:t>编制服务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具体如下：</w:t>
            </w:r>
          </w:p>
          <w:p w14:paraId="1DB7C134">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围绕五大工业园区、三大示范区码头及五个国际性口岸接通铁路支专线进行规划，重点围绕硕龙口岸、爱店口岸、水口口岸支线铁路运输需求及预测、投资及投资预估算等重点内容开展方案研究，提升产业园区综合运输能力。</w:t>
            </w:r>
          </w:p>
          <w:p w14:paraId="6FCADE53">
            <w:pPr>
              <w:pStyle w:val="20"/>
              <w:adjustRightInd w:val="0"/>
              <w:snapToGrid w:val="0"/>
              <w:spacing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（2）对崇左市现状铁路干线、专用线布局进行研究，分析现状问题。</w:t>
            </w:r>
          </w:p>
          <w:p w14:paraId="2A65308B">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（3）对相关上位规划进行解读，分析规划必要性、合规性。</w:t>
            </w:r>
          </w:p>
          <w:p w14:paraId="446AD96B">
            <w:pPr>
              <w:pStyle w:val="20"/>
              <w:adjustRightInd w:val="0"/>
              <w:snapToGrid w:val="0"/>
              <w:spacing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（4）分析园区、口岸运量需求并结合干线铁路情况研究铁路专用线方案并提出建设时序建议。</w:t>
            </w:r>
          </w:p>
          <w:p w14:paraId="17850C40">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（5）分析铁路专用线运输组织方案、主要技术标准及后方铁路通道能力适应性情况。</w:t>
            </w:r>
          </w:p>
          <w:p w14:paraId="35214D3A">
            <w:pPr>
              <w:pStyle w:val="20"/>
              <w:adjustRightInd w:val="0"/>
              <w:snapToGrid w:val="0"/>
              <w:spacing w:after="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（6）提出建设、运营管理模式建议及资金筹措设想，提出相关保障措施及政策建议。</w:t>
            </w:r>
          </w:p>
          <w:p w14:paraId="3330D0C3">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技术规范要求</w:t>
            </w:r>
            <w:r>
              <w:rPr>
                <w:rFonts w:hint="eastAsia" w:asciiTheme="minorEastAsia" w:hAnsiTheme="minorEastAsia" w:eastAsiaTheme="minorEastAsia" w:cstheme="minorEastAsia"/>
                <w:color w:val="auto"/>
                <w:sz w:val="21"/>
                <w:szCs w:val="21"/>
                <w:highlight w:val="none"/>
              </w:rPr>
              <w:t>：</w:t>
            </w:r>
          </w:p>
          <w:p w14:paraId="6047582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（1）满足《铁路建设项目预可行性研究、可行性研究和设计文件编制办法》（TB 10504-2018 ）和国家铁路局的相关设计规范的要求。</w:t>
            </w:r>
          </w:p>
          <w:p w14:paraId="50BA5BE0">
            <w:pPr>
              <w:pStyle w:val="20"/>
              <w:spacing w:line="360" w:lineRule="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、项目负责人及其他相关各专业人员基本人员职称、执业（资格）最低基本要求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并且为本单位在职员工（在项目实施过程中未经采购人同意，不能随意更换以下负责人）：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881"/>
            </w:tblGrid>
            <w:tr w14:paraId="2728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EC30054">
                  <w:pPr>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项目负责人</w:t>
                  </w:r>
                  <w:r>
                    <w:rPr>
                      <w:rFonts w:hint="eastAsia" w:asciiTheme="minorEastAsia" w:hAnsiTheme="minorEastAsia" w:eastAsiaTheme="minorEastAsia" w:cstheme="minorEastAsia"/>
                      <w:color w:val="auto"/>
                      <w:sz w:val="21"/>
                      <w:szCs w:val="21"/>
                      <w:highlight w:val="none"/>
                      <w:lang w:val="en-US" w:eastAsia="zh-CN"/>
                    </w:rPr>
                    <w:t>1人</w:t>
                  </w:r>
                </w:p>
              </w:tc>
              <w:tc>
                <w:tcPr>
                  <w:tcW w:w="4881" w:type="dxa"/>
                </w:tcPr>
                <w:p w14:paraId="411696C8">
                  <w:pPr>
                    <w:adjustRightInd w:val="0"/>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具有</w:t>
                  </w:r>
                  <w:r>
                    <w:rPr>
                      <w:rFonts w:hint="eastAsia" w:asciiTheme="minorEastAsia" w:hAnsiTheme="minorEastAsia" w:eastAsiaTheme="minorEastAsia" w:cstheme="minorEastAsia"/>
                      <w:color w:val="auto"/>
                      <w:sz w:val="21"/>
                      <w:szCs w:val="21"/>
                      <w:highlight w:val="none"/>
                      <w:lang w:val="en-US" w:eastAsia="zh-CN"/>
                    </w:rPr>
                    <w:t>铁道工程线路或站场</w:t>
                  </w:r>
                  <w:r>
                    <w:rPr>
                      <w:rFonts w:hint="eastAsia" w:asciiTheme="minorEastAsia" w:hAnsiTheme="minorEastAsia" w:eastAsiaTheme="minorEastAsia" w:cstheme="minorEastAsia"/>
                      <w:color w:val="auto"/>
                      <w:sz w:val="21"/>
                      <w:szCs w:val="21"/>
                      <w:highlight w:val="none"/>
                    </w:rPr>
                    <w:t>专业高级及以上技术职称证书</w:t>
                  </w:r>
                </w:p>
              </w:tc>
            </w:tr>
            <w:tr w14:paraId="4BF7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9F9BB9D">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经济运量专业负责人1人</w:t>
                  </w:r>
                </w:p>
              </w:tc>
              <w:tc>
                <w:tcPr>
                  <w:tcW w:w="4881" w:type="dxa"/>
                </w:tcPr>
                <w:p w14:paraId="3106AC36">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1804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2BFD616">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运输组织专业负责人1人</w:t>
                  </w:r>
                </w:p>
              </w:tc>
              <w:tc>
                <w:tcPr>
                  <w:tcW w:w="4881" w:type="dxa"/>
                </w:tcPr>
                <w:p w14:paraId="755CF969">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3092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8F6B0E6">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线路专业负责人1人</w:t>
                  </w:r>
                </w:p>
              </w:tc>
              <w:tc>
                <w:tcPr>
                  <w:tcW w:w="4881" w:type="dxa"/>
                </w:tcPr>
                <w:p w14:paraId="363C1630">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46A7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095DE3F">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规划专业负责人1人</w:t>
                  </w:r>
                </w:p>
              </w:tc>
              <w:tc>
                <w:tcPr>
                  <w:tcW w:w="4881" w:type="dxa"/>
                </w:tcPr>
                <w:p w14:paraId="75CA85BA">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3CCA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3D1EEA5">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桥涵专业负责人1人</w:t>
                  </w:r>
                </w:p>
              </w:tc>
              <w:tc>
                <w:tcPr>
                  <w:tcW w:w="4881" w:type="dxa"/>
                </w:tcPr>
                <w:p w14:paraId="4DDBBD86">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0CEA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ACE11DC">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隧道专业负责人1人</w:t>
                  </w:r>
                </w:p>
              </w:tc>
              <w:tc>
                <w:tcPr>
                  <w:tcW w:w="4881" w:type="dxa"/>
                </w:tcPr>
                <w:p w14:paraId="250A1E13">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3908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A42AD58">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路基专业负责人1人</w:t>
                  </w:r>
                </w:p>
              </w:tc>
              <w:tc>
                <w:tcPr>
                  <w:tcW w:w="4881" w:type="dxa"/>
                </w:tcPr>
                <w:p w14:paraId="00CF2F04">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4E83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5F2A46E">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站场专业负责人1人</w:t>
                  </w:r>
                </w:p>
              </w:tc>
              <w:tc>
                <w:tcPr>
                  <w:tcW w:w="4881" w:type="dxa"/>
                </w:tcPr>
                <w:p w14:paraId="031769D5">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r w14:paraId="51B0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146B2B5">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造价编制负责人1人</w:t>
                  </w:r>
                </w:p>
              </w:tc>
              <w:tc>
                <w:tcPr>
                  <w:tcW w:w="4881" w:type="dxa"/>
                </w:tcPr>
                <w:p w14:paraId="69EBC624">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级注册造价工程师执业资格证</w:t>
                  </w:r>
                </w:p>
              </w:tc>
            </w:tr>
            <w:tr w14:paraId="7A08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ACFB590">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地质专业负责人1人</w:t>
                  </w:r>
                </w:p>
              </w:tc>
              <w:tc>
                <w:tcPr>
                  <w:tcW w:w="4881" w:type="dxa"/>
                </w:tcPr>
                <w:p w14:paraId="293130C9">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要求：具有相关专业高级及以上技术职称证书</w:t>
                  </w:r>
                </w:p>
              </w:tc>
            </w:tr>
          </w:tbl>
          <w:p w14:paraId="3EBF0D93">
            <w:pPr>
              <w:adjustRightInd w:val="0"/>
              <w:snapToGrid w:val="0"/>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p>
        </w:tc>
      </w:tr>
      <w:tr w14:paraId="0759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937" w:type="dxa"/>
            <w:gridSpan w:val="5"/>
          </w:tcPr>
          <w:p w14:paraId="6DE1F420">
            <w:pPr>
              <w:spacing w:line="360" w:lineRule="auto"/>
              <w:ind w:firstLine="426"/>
              <w:rPr>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、涉及项目的其他技术要求</w:t>
            </w:r>
          </w:p>
        </w:tc>
      </w:tr>
      <w:tr w14:paraId="0DEAD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205" w:type="dxa"/>
            <w:gridSpan w:val="3"/>
            <w:vAlign w:val="center"/>
          </w:tcPr>
          <w:p w14:paraId="21EBCE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为落实政府采购政策需满足的要求</w:t>
            </w:r>
          </w:p>
        </w:tc>
        <w:tc>
          <w:tcPr>
            <w:tcW w:w="6732" w:type="dxa"/>
            <w:gridSpan w:val="2"/>
            <w:vAlign w:val="center"/>
          </w:tcPr>
          <w:p w14:paraId="408D9FC1">
            <w:pPr>
              <w:tabs>
                <w:tab w:val="left" w:pos="1065"/>
                <w:tab w:val="center" w:pos="4411"/>
              </w:tabs>
              <w:adjustRightInd w:val="0"/>
              <w:snapToGrid w:val="0"/>
              <w:spacing w:line="360" w:lineRule="auto"/>
              <w:rPr>
                <w:color w:val="auto"/>
                <w:szCs w:val="21"/>
                <w:highlight w:val="none"/>
              </w:rPr>
            </w:pPr>
            <w:r>
              <w:rPr>
                <w:rFonts w:hint="eastAsia" w:ascii="宋体" w:hAnsi="宋体" w:cs="宋体"/>
                <w:color w:val="auto"/>
                <w:szCs w:val="21"/>
                <w:highlight w:val="none"/>
              </w:rPr>
              <w:t>具体见本磋商文件“供应商须知前附表”，以及第四章“评标办法及评分标准”。</w:t>
            </w:r>
          </w:p>
        </w:tc>
      </w:tr>
      <w:tr w14:paraId="117F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205" w:type="dxa"/>
            <w:gridSpan w:val="3"/>
            <w:vAlign w:val="center"/>
          </w:tcPr>
          <w:p w14:paraId="445355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采购标的验收标准</w:t>
            </w:r>
          </w:p>
        </w:tc>
        <w:tc>
          <w:tcPr>
            <w:tcW w:w="6732" w:type="dxa"/>
            <w:gridSpan w:val="2"/>
            <w:vAlign w:val="center"/>
          </w:tcPr>
          <w:p w14:paraId="622C3D49">
            <w:pPr>
              <w:adjustRightInd w:val="0"/>
              <w:snapToGrid w:val="0"/>
              <w:spacing w:line="360" w:lineRule="auto"/>
              <w:ind w:firstLine="420" w:firstLineChars="200"/>
              <w:rPr>
                <w:color w:val="auto"/>
                <w:szCs w:val="21"/>
                <w:highlight w:val="none"/>
              </w:rPr>
            </w:pPr>
            <w:r>
              <w:rPr>
                <w:rFonts w:hint="eastAsia" w:ascii="宋体" w:hAnsi="宋体" w:cs="宋体"/>
                <w:color w:val="auto"/>
                <w:szCs w:val="21"/>
                <w:highlight w:val="none"/>
              </w:rPr>
              <w:t>符合现行技术规范技术质量要求，符合</w:t>
            </w:r>
            <w:r>
              <w:rPr>
                <w:rFonts w:hint="eastAsia" w:ascii="宋体" w:hAnsi="宋体" w:cs="宋体"/>
                <w:color w:val="auto"/>
                <w:szCs w:val="21"/>
                <w:highlight w:val="none"/>
                <w:shd w:val="clear" w:color="auto" w:fill="FFFFFF"/>
              </w:rPr>
              <w:t>检查验收规定，</w:t>
            </w:r>
            <w:r>
              <w:rPr>
                <w:rFonts w:hint="eastAsia" w:ascii="宋体" w:hAnsi="宋体" w:cs="宋体"/>
                <w:color w:val="auto"/>
                <w:szCs w:val="21"/>
                <w:highlight w:val="none"/>
              </w:rPr>
              <w:t>并通过主管部门审查。</w:t>
            </w:r>
          </w:p>
        </w:tc>
      </w:tr>
      <w:tr w14:paraId="44035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205" w:type="dxa"/>
            <w:gridSpan w:val="3"/>
            <w:vAlign w:val="center"/>
          </w:tcPr>
          <w:p w14:paraId="5FFBA15C">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成果格式</w:t>
            </w:r>
            <w:r>
              <w:rPr>
                <w:rFonts w:hint="eastAsia" w:ascii="宋体" w:hAnsi="宋体" w:cs="宋体"/>
                <w:color w:val="auto"/>
                <w:szCs w:val="21"/>
                <w:highlight w:val="none"/>
                <w:lang w:val="en-US" w:eastAsia="zh-CN"/>
              </w:rPr>
              <w:t>要求</w:t>
            </w:r>
          </w:p>
        </w:tc>
        <w:tc>
          <w:tcPr>
            <w:tcW w:w="6732" w:type="dxa"/>
            <w:gridSpan w:val="2"/>
            <w:vAlign w:val="center"/>
          </w:tcPr>
          <w:p w14:paraId="1A809A4D">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文字成果以 A4规格编排装订成册，一式</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份；图纸成果以A3或AO规格编排装订成册，电子成果以U盘形式提交电子文件一套</w:t>
            </w:r>
            <w:r>
              <w:rPr>
                <w:rFonts w:hint="eastAsia" w:ascii="宋体" w:hAnsi="宋体" w:cs="宋体"/>
                <w:color w:val="auto"/>
                <w:szCs w:val="21"/>
                <w:highlight w:val="none"/>
                <w:lang w:eastAsia="zh-CN"/>
              </w:rPr>
              <w:t>。</w:t>
            </w:r>
          </w:p>
        </w:tc>
      </w:tr>
      <w:tr w14:paraId="3B38F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2205" w:type="dxa"/>
            <w:gridSpan w:val="3"/>
            <w:vAlign w:val="center"/>
          </w:tcPr>
          <w:p w14:paraId="336580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▲其他技术及服务要求</w:t>
            </w:r>
          </w:p>
        </w:tc>
        <w:tc>
          <w:tcPr>
            <w:tcW w:w="6732" w:type="dxa"/>
            <w:gridSpan w:val="2"/>
            <w:vAlign w:val="center"/>
          </w:tcPr>
          <w:p w14:paraId="4F458B5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服务方案署名权归供应商所有但必须做好涉密信息管理工作，如未经采购人同意，供应商如对外透露本项目任何信息的，将承担法律责任；版权归采购人所有，采购人有权在服务方案审定后公开展示成果文件，并通过传播、媒介、专业杂志、书刊及其他形式介绍、展示、评价服务方案。</w:t>
            </w:r>
          </w:p>
          <w:p w14:paraId="52E16FB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2）服务方案批准实施前，任何单位和个人未经同意都无权以任何形式向社会公开展示成果文件。</w:t>
            </w:r>
          </w:p>
          <w:p w14:paraId="58E8C5A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3）供应商提交的服务方案成果文件有下列情形之一的，采购人将有权终止合同：</w:t>
            </w:r>
          </w:p>
          <w:p w14:paraId="1A35501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①提交的成果不符合本项目任务书规定的。</w:t>
            </w:r>
          </w:p>
          <w:p w14:paraId="20942F9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②提交的成果图纸和文字辨认不清，内容不全或粗制滥造的。</w:t>
            </w:r>
          </w:p>
          <w:p w14:paraId="0853ABF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③未经采购人同意，逾期上报成果文件的。</w:t>
            </w:r>
          </w:p>
          <w:p w14:paraId="5A655BE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④供应商未经采购人正式书面同意擅自修改服务方案的。</w:t>
            </w:r>
          </w:p>
        </w:tc>
      </w:tr>
      <w:tr w14:paraId="735AE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37" w:type="dxa"/>
            <w:gridSpan w:val="5"/>
            <w:tcBorders>
              <w:top w:val="single" w:color="auto" w:sz="4" w:space="0"/>
              <w:left w:val="single" w:color="auto" w:sz="4" w:space="0"/>
              <w:bottom w:val="single" w:color="auto" w:sz="4" w:space="0"/>
              <w:right w:val="single" w:color="auto" w:sz="4" w:space="0"/>
            </w:tcBorders>
          </w:tcPr>
          <w:p w14:paraId="524F7187">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二</w:t>
            </w:r>
            <w:r>
              <w:rPr>
                <w:rFonts w:hint="eastAsia" w:ascii="宋体" w:hAnsi="宋体"/>
                <w:color w:val="auto"/>
                <w:szCs w:val="21"/>
                <w:highlight w:val="none"/>
              </w:rPr>
              <w:t>、</w:t>
            </w:r>
            <w:r>
              <w:rPr>
                <w:rFonts w:hint="eastAsia" w:ascii="宋体" w:hAnsi="宋体"/>
                <w:b/>
                <w:color w:val="auto"/>
                <w:szCs w:val="21"/>
                <w:highlight w:val="none"/>
              </w:rPr>
              <w:t>商务要求</w:t>
            </w:r>
          </w:p>
        </w:tc>
      </w:tr>
      <w:tr w14:paraId="5E96C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2A7B273A">
            <w:pPr>
              <w:spacing w:line="360" w:lineRule="auto"/>
              <w:jc w:val="center"/>
              <w:rPr>
                <w:rFonts w:hint="default" w:ascii="宋体" w:hAnsi="宋体"/>
                <w:color w:val="auto"/>
                <w:szCs w:val="21"/>
                <w:highlight w:val="none"/>
                <w:lang w:val="en-US"/>
              </w:rPr>
            </w:pPr>
            <w:r>
              <w:rPr>
                <w:rFonts w:hint="eastAsia" w:ascii="宋体" w:hAnsi="宋体" w:cs="宋体"/>
                <w:color w:val="auto"/>
                <w:szCs w:val="21"/>
                <w:highlight w:val="none"/>
              </w:rPr>
              <w:t>合同履行期限和交付</w:t>
            </w:r>
            <w:r>
              <w:rPr>
                <w:rFonts w:hint="eastAsia" w:ascii="宋体" w:hAnsi="宋体" w:cs="宋体"/>
                <w:color w:val="auto"/>
                <w:szCs w:val="21"/>
                <w:highlight w:val="none"/>
                <w:lang w:val="en-US" w:eastAsia="zh-CN"/>
              </w:rPr>
              <w:t>成果地点</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248B989A">
            <w:pPr>
              <w:spacing w:line="360" w:lineRule="auto"/>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 xml:space="preserve"> 合同履行期限：</w:t>
            </w:r>
            <w:r>
              <w:rPr>
                <w:rFonts w:hint="eastAsia" w:ascii="宋体" w:hAnsi="宋体" w:cs="宋体"/>
                <w:bCs/>
                <w:color w:val="auto"/>
                <w:szCs w:val="21"/>
                <w:highlight w:val="none"/>
                <w:lang w:eastAsia="zh-CN"/>
              </w:rPr>
              <w:t>合同签订后</w:t>
            </w:r>
            <w:r>
              <w:rPr>
                <w:rFonts w:hint="eastAsia" w:ascii="宋体" w:hAnsi="宋体" w:cs="宋体"/>
                <w:bCs/>
                <w:color w:val="auto"/>
                <w:szCs w:val="21"/>
                <w:highlight w:val="none"/>
                <w:lang w:val="en-US" w:eastAsia="zh-CN"/>
              </w:rPr>
              <w:t>120日历</w:t>
            </w:r>
            <w:r>
              <w:rPr>
                <w:rFonts w:hint="eastAsia" w:ascii="宋体" w:hAnsi="宋体" w:cs="宋体"/>
                <w:bCs/>
                <w:color w:val="auto"/>
                <w:szCs w:val="21"/>
                <w:highlight w:val="none"/>
                <w:lang w:eastAsia="zh-CN"/>
              </w:rPr>
              <w:t>天内完成编制</w:t>
            </w:r>
            <w:r>
              <w:rPr>
                <w:rFonts w:hint="eastAsia" w:ascii="宋体" w:hAnsi="宋体" w:cs="宋体"/>
                <w:bCs/>
                <w:color w:val="auto"/>
                <w:szCs w:val="21"/>
                <w:highlight w:val="none"/>
                <w:lang w:val="en-US" w:eastAsia="zh-CN"/>
              </w:rPr>
              <w:t>服务工作</w:t>
            </w:r>
            <w:r>
              <w:rPr>
                <w:rFonts w:hint="eastAsia" w:ascii="宋体" w:hAnsi="宋体" w:cs="宋体"/>
                <w:bCs/>
                <w:color w:val="auto"/>
                <w:szCs w:val="21"/>
                <w:highlight w:val="none"/>
                <w:lang w:eastAsia="zh-CN"/>
              </w:rPr>
              <w:t>并通过专家评审</w:t>
            </w:r>
            <w:r>
              <w:rPr>
                <w:rFonts w:hint="eastAsia" w:ascii="宋体" w:hAnsi="宋体" w:cs="宋体"/>
                <w:color w:val="auto"/>
                <w:szCs w:val="21"/>
                <w:highlight w:val="none"/>
              </w:rPr>
              <w:t>。</w:t>
            </w:r>
          </w:p>
          <w:p w14:paraId="62B8598C">
            <w:pPr>
              <w:spacing w:line="360" w:lineRule="auto"/>
              <w:rPr>
                <w:rFonts w:ascii="宋体" w:hAnsi="宋体"/>
                <w:color w:val="auto"/>
                <w:szCs w:val="21"/>
                <w:highlight w:val="none"/>
              </w:rPr>
            </w:pPr>
            <w:r>
              <w:rPr>
                <w:rFonts w:hint="eastAsia" w:ascii="宋体" w:hAnsi="宋体" w:cs="宋体"/>
                <w:color w:val="auto"/>
                <w:szCs w:val="21"/>
                <w:highlight w:val="none"/>
              </w:rPr>
              <w:t>2. 交付</w:t>
            </w:r>
            <w:r>
              <w:rPr>
                <w:rFonts w:hint="eastAsia" w:ascii="宋体" w:hAnsi="宋体" w:cs="宋体"/>
                <w:color w:val="auto"/>
                <w:szCs w:val="21"/>
                <w:highlight w:val="none"/>
                <w:lang w:val="en-US" w:eastAsia="zh-CN"/>
              </w:rPr>
              <w:t>成果</w:t>
            </w:r>
            <w:r>
              <w:rPr>
                <w:rFonts w:hint="eastAsia" w:ascii="宋体" w:hAnsi="宋体" w:cs="宋体"/>
                <w:color w:val="auto"/>
                <w:szCs w:val="21"/>
                <w:highlight w:val="none"/>
              </w:rPr>
              <w:t>地点：</w:t>
            </w:r>
            <w:r>
              <w:rPr>
                <w:rFonts w:hint="eastAsia" w:ascii="宋体" w:hAnsi="宋体"/>
                <w:color w:val="auto"/>
                <w:szCs w:val="21"/>
                <w:highlight w:val="none"/>
                <w:lang w:eastAsia="zh-CN"/>
              </w:rPr>
              <w:t>崇左市</w:t>
            </w:r>
            <w:r>
              <w:rPr>
                <w:rFonts w:hint="eastAsia" w:ascii="宋体" w:hAnsi="宋体"/>
                <w:color w:val="auto"/>
                <w:szCs w:val="21"/>
                <w:highlight w:val="none"/>
              </w:rPr>
              <w:t>，采购人指定地点。</w:t>
            </w:r>
          </w:p>
        </w:tc>
      </w:tr>
      <w:tr w14:paraId="15D3A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632D65A1">
            <w:pPr>
              <w:spacing w:line="360" w:lineRule="auto"/>
              <w:jc w:val="center"/>
              <w:rPr>
                <w:rFonts w:ascii="宋体" w:hAnsi="宋体"/>
                <w:color w:val="auto"/>
                <w:szCs w:val="21"/>
                <w:highlight w:val="none"/>
              </w:rPr>
            </w:pPr>
            <w:r>
              <w:rPr>
                <w:rFonts w:hint="eastAsia" w:ascii="宋体" w:hAnsi="宋体"/>
                <w:color w:val="auto"/>
                <w:szCs w:val="21"/>
                <w:highlight w:val="none"/>
              </w:rPr>
              <w:t>质量要求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7EDEC0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满足《铁路建设项目</w:t>
            </w:r>
            <w:r>
              <w:rPr>
                <w:rFonts w:hint="eastAsia" w:ascii="宋体" w:hAnsi="宋体" w:eastAsia="宋体" w:cs="宋体"/>
                <w:color w:val="auto"/>
                <w:szCs w:val="21"/>
                <w:highlight w:val="none"/>
                <w:lang w:eastAsia="zh-CN"/>
              </w:rPr>
              <w:t>预</w:t>
            </w:r>
            <w:r>
              <w:rPr>
                <w:rFonts w:hint="eastAsia" w:ascii="宋体" w:hAnsi="宋体" w:eastAsia="宋体" w:cs="宋体"/>
                <w:color w:val="auto"/>
                <w:szCs w:val="21"/>
                <w:highlight w:val="none"/>
              </w:rPr>
              <w:t>可行性研究、可行性研究和设计文件编制办法》（TB 10504-2018）</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国家铁路局的相关设计规范的要求</w:t>
            </w:r>
            <w:r>
              <w:rPr>
                <w:rFonts w:hint="eastAsia" w:ascii="宋体" w:hAnsi="宋体" w:cs="宋体"/>
                <w:color w:val="auto"/>
                <w:szCs w:val="21"/>
                <w:highlight w:val="none"/>
                <w:lang w:val="en-US" w:eastAsia="zh-CN"/>
              </w:rPr>
              <w:t>和现行铁路行业标准</w:t>
            </w:r>
            <w:r>
              <w:rPr>
                <w:rFonts w:hint="eastAsia" w:ascii="宋体" w:hAnsi="宋体" w:eastAsia="宋体" w:cs="宋体"/>
                <w:color w:val="auto"/>
                <w:szCs w:val="21"/>
                <w:highlight w:val="none"/>
              </w:rPr>
              <w:t>。</w:t>
            </w:r>
          </w:p>
        </w:tc>
      </w:tr>
      <w:tr w14:paraId="079C2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1D8348BB">
            <w:pPr>
              <w:spacing w:line="360" w:lineRule="auto"/>
              <w:jc w:val="center"/>
              <w:rPr>
                <w:rFonts w:ascii="宋体" w:hAnsi="宋体"/>
                <w:b/>
                <w:color w:val="auto"/>
                <w:szCs w:val="21"/>
                <w:highlight w:val="none"/>
              </w:rPr>
            </w:pPr>
            <w:r>
              <w:rPr>
                <w:rFonts w:hint="eastAsia" w:ascii="宋体" w:hAnsi="宋体"/>
                <w:color w:val="auto"/>
                <w:szCs w:val="21"/>
                <w:highlight w:val="none"/>
              </w:rPr>
              <w:t>合同签订时间</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5F474A5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自成交通知书发出之日起15日内</w:t>
            </w:r>
          </w:p>
        </w:tc>
      </w:tr>
      <w:tr w14:paraId="62313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5FE00FFA">
            <w:pPr>
              <w:spacing w:line="360" w:lineRule="auto"/>
              <w:jc w:val="center"/>
              <w:rPr>
                <w:rFonts w:ascii="宋体" w:hAnsi="宋体"/>
                <w:color w:val="auto"/>
                <w:szCs w:val="21"/>
                <w:highlight w:val="none"/>
              </w:rPr>
            </w:pPr>
            <w:r>
              <w:rPr>
                <w:rFonts w:hint="eastAsia" w:ascii="宋体" w:hAnsi="宋体" w:cs="宋体"/>
                <w:color w:val="auto"/>
                <w:szCs w:val="21"/>
                <w:highlight w:val="none"/>
              </w:rPr>
              <w:t>报价要求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3B97C110">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承包方式为总价包干（包含编制费、调查费、资料费及技术评审费等完成服务过程中的一切费用）。本次报价须为人民币报价，只要填报了一个确定数额的总价，无论分项价格是否全部填报了相应的金额，报价应被视为已经包含了但并不限于本项目各项购买服务及相关服务等的费用和所需缴纳的所有价格、税、费。在其它情况下，由于分项报价未填报或填报不完整、不清楚或存在其它任何失误，所导致的任何不利后果均应当由供应商自行承担。</w:t>
            </w:r>
          </w:p>
        </w:tc>
      </w:tr>
      <w:tr w14:paraId="601CD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59F27B60">
            <w:pPr>
              <w:spacing w:line="360" w:lineRule="auto"/>
              <w:jc w:val="center"/>
              <w:rPr>
                <w:rFonts w:ascii="宋体" w:hAnsi="宋体"/>
                <w:b/>
                <w:color w:val="auto"/>
                <w:szCs w:val="21"/>
                <w:highlight w:val="none"/>
              </w:rPr>
            </w:pPr>
            <w:r>
              <w:rPr>
                <w:rFonts w:hint="eastAsia" w:ascii="宋体" w:hAnsi="宋体"/>
                <w:color w:val="auto"/>
                <w:szCs w:val="21"/>
                <w:highlight w:val="none"/>
              </w:rPr>
              <w:t>付款条件</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15B8B77E">
            <w:pPr>
              <w:pStyle w:val="27"/>
              <w:adjustRightInd w:val="0"/>
              <w:snapToGrid w:val="0"/>
              <w:spacing w:line="360" w:lineRule="auto"/>
              <w:rPr>
                <w:rFonts w:hint="eastAsia" w:ascii="宋体" w:hAnsi="宋体" w:eastAsia="宋体" w:cs="宋体"/>
                <w:color w:val="auto"/>
                <w:sz w:val="21"/>
                <w:highlight w:val="none"/>
              </w:rPr>
            </w:pPr>
            <w:r>
              <w:rPr>
                <w:rFonts w:hint="eastAsia" w:hAnsi="宋体" w:cs="宋体"/>
                <w:color w:val="auto"/>
                <w:sz w:val="21"/>
                <w:highlight w:val="none"/>
              </w:rPr>
              <w:t>（1）签订合同后，供应商安排技术人员到位，</w:t>
            </w:r>
            <w:r>
              <w:rPr>
                <w:rFonts w:hint="eastAsia" w:hAnsi="宋体" w:cs="宋体"/>
                <w:color w:val="auto"/>
                <w:sz w:val="21"/>
                <w:highlight w:val="none"/>
                <w:lang w:val="en-US" w:eastAsia="zh-CN"/>
              </w:rPr>
              <w:t>具备可实施条件</w:t>
            </w:r>
            <w:r>
              <w:rPr>
                <w:rFonts w:hint="eastAsia" w:hAnsi="宋体" w:cs="宋体"/>
                <w:color w:val="auto"/>
                <w:sz w:val="21"/>
                <w:highlight w:val="none"/>
              </w:rPr>
              <w:t>后，采购人在成交供应商开具等额发票后向乙方支</w:t>
            </w:r>
            <w:r>
              <w:rPr>
                <w:rFonts w:hint="eastAsia" w:ascii="宋体" w:hAnsi="宋体" w:eastAsia="宋体" w:cs="宋体"/>
                <w:color w:val="auto"/>
                <w:sz w:val="21"/>
                <w:highlight w:val="none"/>
              </w:rPr>
              <w:t>付合同价款的30%。</w:t>
            </w:r>
          </w:p>
          <w:p w14:paraId="4FC0FE94">
            <w:pPr>
              <w:pStyle w:val="27"/>
              <w:adjustRightInd w:val="0"/>
              <w:snapToGrid w:val="0"/>
              <w:spacing w:line="360" w:lineRule="auto"/>
              <w:rPr>
                <w:rFonts w:hAnsi="宋体" w:cs="宋体"/>
                <w:color w:val="auto"/>
                <w:sz w:val="21"/>
                <w:highlight w:val="none"/>
              </w:rPr>
            </w:pPr>
            <w:r>
              <w:rPr>
                <w:rFonts w:hint="eastAsia" w:ascii="宋体" w:hAnsi="宋体" w:eastAsia="宋体" w:cs="宋体"/>
                <w:color w:val="auto"/>
                <w:sz w:val="21"/>
                <w:highlight w:val="none"/>
              </w:rPr>
              <w:t>（2）供应商</w:t>
            </w:r>
            <w:r>
              <w:rPr>
                <w:rFonts w:hint="eastAsia" w:ascii="宋体" w:hAnsi="宋体" w:eastAsia="宋体" w:cs="宋体"/>
                <w:color w:val="auto"/>
                <w:sz w:val="21"/>
                <w:highlight w:val="none"/>
                <w:lang w:val="en-US" w:eastAsia="zh-CN"/>
              </w:rPr>
              <w:t>向采购人</w:t>
            </w:r>
            <w:r>
              <w:rPr>
                <w:rFonts w:hint="eastAsia" w:ascii="宋体" w:hAnsi="宋体" w:eastAsia="宋体" w:cs="宋体"/>
                <w:color w:val="auto"/>
                <w:sz w:val="21"/>
                <w:highlight w:val="none"/>
              </w:rPr>
              <w:t>提交规划成果送审稿后，采</w:t>
            </w:r>
            <w:r>
              <w:rPr>
                <w:rFonts w:hint="eastAsia" w:hAnsi="宋体" w:cs="宋体"/>
                <w:color w:val="auto"/>
                <w:sz w:val="21"/>
                <w:highlight w:val="none"/>
              </w:rPr>
              <w:t>购人在成交供应商开具等额发票后向成交供应商支付合同总价的30%；</w:t>
            </w:r>
          </w:p>
          <w:p w14:paraId="0D11A5A8">
            <w:pPr>
              <w:pStyle w:val="27"/>
              <w:adjustRightInd w:val="0"/>
              <w:snapToGrid w:val="0"/>
              <w:spacing w:line="360" w:lineRule="auto"/>
              <w:rPr>
                <w:rFonts w:hAnsi="宋体" w:cs="宋体"/>
                <w:color w:val="auto"/>
                <w:highlight w:val="none"/>
              </w:rPr>
            </w:pPr>
            <w:r>
              <w:rPr>
                <w:rFonts w:hint="eastAsia" w:hAnsi="宋体" w:cs="宋体"/>
                <w:color w:val="auto"/>
                <w:sz w:val="21"/>
                <w:highlight w:val="none"/>
              </w:rPr>
              <w:t>（3）供应商完成项目全部工作并上交成果且经通过</w:t>
            </w:r>
            <w:r>
              <w:rPr>
                <w:rFonts w:hint="eastAsia" w:hAnsi="宋体" w:cs="宋体"/>
                <w:color w:val="auto"/>
                <w:sz w:val="21"/>
                <w:highlight w:val="none"/>
                <w:lang w:val="en-US" w:eastAsia="zh-CN"/>
              </w:rPr>
              <w:t>专家评审</w:t>
            </w:r>
            <w:r>
              <w:rPr>
                <w:rFonts w:hint="eastAsia" w:hAnsi="宋体" w:cs="宋体"/>
                <w:color w:val="auto"/>
                <w:sz w:val="21"/>
                <w:highlight w:val="none"/>
              </w:rPr>
              <w:t>后，采购人在成交供应商开具等额发票后向成交供应商支付合同总价的40%。</w:t>
            </w:r>
          </w:p>
        </w:tc>
      </w:tr>
      <w:tr w14:paraId="276A3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4227761C">
            <w:pPr>
              <w:spacing w:line="360" w:lineRule="auto"/>
              <w:jc w:val="center"/>
              <w:rPr>
                <w:rFonts w:ascii="宋体" w:hAnsi="宋体"/>
                <w:b/>
                <w:color w:val="auto"/>
                <w:szCs w:val="21"/>
                <w:highlight w:val="none"/>
              </w:rPr>
            </w:pPr>
            <w:r>
              <w:rPr>
                <w:rFonts w:hint="eastAsia" w:ascii="宋体" w:hAnsi="宋体"/>
                <w:color w:val="auto"/>
                <w:szCs w:val="21"/>
                <w:highlight w:val="none"/>
              </w:rPr>
              <w:t>后续服务要求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34B7DBDE">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（1）成交供应商不得将服务转包或委托给其他单位，一经发现并查实，取消合作并追回资金，由此产生的一切费用由成交供应商负责，同时追究因项目泄密给其他单位所承担的法律责任。</w:t>
            </w:r>
          </w:p>
          <w:p w14:paraId="1110DEB5">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（2）处理问题响应时间：接到采购人处理问题通知后24小时内到达采购人指定现场。</w:t>
            </w:r>
          </w:p>
          <w:p w14:paraId="15E50561">
            <w:pPr>
              <w:spacing w:line="480" w:lineRule="exact"/>
              <w:ind w:firstLine="420" w:firstLineChars="200"/>
              <w:rPr>
                <w:rFonts w:ascii="宋体" w:hAnsi="宋体"/>
                <w:color w:val="auto"/>
                <w:szCs w:val="21"/>
                <w:highlight w:val="none"/>
              </w:rPr>
            </w:pPr>
            <w:r>
              <w:rPr>
                <w:rFonts w:hint="eastAsia" w:ascii="宋体" w:hAnsi="宋体" w:cs="宋体"/>
                <w:color w:val="auto"/>
                <w:szCs w:val="21"/>
                <w:highlight w:val="none"/>
              </w:rPr>
              <w:t>（3）成交供应商必须配合采购人完成整体项目的验收。</w:t>
            </w:r>
          </w:p>
        </w:tc>
      </w:tr>
      <w:tr w14:paraId="6CF8E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6" w:type="dxa"/>
            <w:gridSpan w:val="2"/>
            <w:tcBorders>
              <w:top w:val="single" w:color="auto" w:sz="4" w:space="0"/>
              <w:left w:val="single" w:color="auto" w:sz="4" w:space="0"/>
              <w:bottom w:val="single" w:color="auto" w:sz="4" w:space="0"/>
              <w:right w:val="single" w:color="auto" w:sz="4" w:space="0"/>
            </w:tcBorders>
            <w:vAlign w:val="center"/>
          </w:tcPr>
          <w:p w14:paraId="16DAB3B5">
            <w:pPr>
              <w:spacing w:line="360" w:lineRule="auto"/>
              <w:jc w:val="center"/>
              <w:rPr>
                <w:rFonts w:ascii="宋体" w:hAnsi="宋体"/>
                <w:color w:val="auto"/>
                <w:szCs w:val="21"/>
                <w:highlight w:val="none"/>
              </w:rPr>
            </w:pPr>
            <w:r>
              <w:rPr>
                <w:rFonts w:hint="eastAsia" w:ascii="宋体" w:hAnsi="宋体"/>
                <w:color w:val="auto"/>
                <w:szCs w:val="21"/>
                <w:highlight w:val="none"/>
              </w:rPr>
              <w:t>其他要求</w:t>
            </w:r>
          </w:p>
        </w:tc>
        <w:tc>
          <w:tcPr>
            <w:tcW w:w="6831" w:type="dxa"/>
            <w:gridSpan w:val="3"/>
            <w:tcBorders>
              <w:top w:val="single" w:color="auto" w:sz="4" w:space="0"/>
              <w:left w:val="single" w:color="auto" w:sz="4" w:space="0"/>
              <w:bottom w:val="single" w:color="auto" w:sz="4" w:space="0"/>
              <w:right w:val="single" w:color="auto" w:sz="4" w:space="0"/>
            </w:tcBorders>
            <w:vAlign w:val="center"/>
          </w:tcPr>
          <w:p w14:paraId="741CC4DB">
            <w:pPr>
              <w:tabs>
                <w:tab w:val="left" w:pos="180"/>
                <w:tab w:val="left" w:pos="1620"/>
              </w:tabs>
              <w:adjustRightInd w:val="0"/>
              <w:snapToGrid w:val="0"/>
              <w:spacing w:line="380" w:lineRule="exact"/>
              <w:rPr>
                <w:rFonts w:hint="eastAsia"/>
                <w:color w:val="auto"/>
                <w:highlight w:val="none"/>
              </w:rPr>
            </w:pPr>
            <w:r>
              <w:rPr>
                <w:rFonts w:hint="eastAsia"/>
                <w:color w:val="auto"/>
                <w:highlight w:val="none"/>
              </w:rPr>
              <w:t>验收标准：符合现行国家相关标准、行业标准、地方标准或者其他标准、规范。</w:t>
            </w:r>
          </w:p>
          <w:p w14:paraId="2E7A2F09">
            <w:pPr>
              <w:pStyle w:val="20"/>
              <w:numPr>
                <w:ilvl w:val="0"/>
                <w:numId w:val="4"/>
              </w:numPr>
              <w:rPr>
                <w:rFonts w:hint="eastAsia" w:ascii="宋体" w:hAnsi="宋体" w:cs="宋体"/>
                <w:color w:val="auto"/>
                <w:szCs w:val="21"/>
                <w:highlight w:val="none"/>
              </w:rPr>
            </w:pPr>
            <w:r>
              <w:rPr>
                <w:rFonts w:hint="eastAsia" w:ascii="宋体" w:hAnsi="宋体" w:cs="宋体"/>
                <w:color w:val="auto"/>
                <w:szCs w:val="21"/>
                <w:highlight w:val="none"/>
              </w:rPr>
              <w:t>完成所有服务内容；</w:t>
            </w:r>
          </w:p>
          <w:p w14:paraId="48CEF46E">
            <w:pPr>
              <w:pStyle w:val="20"/>
              <w:numPr>
                <w:ilvl w:val="0"/>
                <w:numId w:val="4"/>
              </w:numPr>
              <w:rPr>
                <w:color w:val="auto"/>
                <w:highlight w:val="none"/>
              </w:rPr>
            </w:pPr>
            <w:r>
              <w:rPr>
                <w:rFonts w:hint="eastAsia" w:ascii="宋体" w:hAnsi="宋体" w:cs="宋体"/>
                <w:color w:val="auto"/>
                <w:szCs w:val="21"/>
                <w:highlight w:val="none"/>
              </w:rPr>
              <w:t>编制成果通过专家评审；</w:t>
            </w:r>
          </w:p>
          <w:p w14:paraId="46288218">
            <w:pPr>
              <w:pStyle w:val="20"/>
              <w:numPr>
                <w:ilvl w:val="0"/>
                <w:numId w:val="4"/>
              </w:numPr>
              <w:rPr>
                <w:color w:val="auto"/>
                <w:highlight w:val="none"/>
              </w:rPr>
            </w:pPr>
            <w:r>
              <w:rPr>
                <w:rFonts w:hint="eastAsia" w:ascii="宋体" w:hAnsi="宋体" w:cs="宋体"/>
                <w:color w:val="auto"/>
                <w:szCs w:val="21"/>
                <w:highlight w:val="none"/>
              </w:rPr>
              <w:t>提交相应成果和电子文件；</w:t>
            </w:r>
          </w:p>
          <w:p w14:paraId="3305C9A4">
            <w:pPr>
              <w:pStyle w:val="20"/>
              <w:numPr>
                <w:ilvl w:val="0"/>
                <w:numId w:val="4"/>
              </w:numPr>
              <w:rPr>
                <w:color w:val="auto"/>
                <w:highlight w:val="none"/>
              </w:rPr>
            </w:pPr>
            <w:r>
              <w:rPr>
                <w:rFonts w:hint="eastAsia" w:ascii="宋体" w:hAnsi="宋体" w:cs="宋体"/>
                <w:color w:val="auto"/>
                <w:szCs w:val="21"/>
                <w:highlight w:val="none"/>
              </w:rPr>
              <w:t>成果格式：文字成果以 A4规格编排装订成册，一式</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份；图纸成果以A3或AO规格编排装订成册，电子成果以U盘形式提交电子文件一套。</w:t>
            </w:r>
          </w:p>
        </w:tc>
      </w:tr>
    </w:tbl>
    <w:p w14:paraId="56C240E8">
      <w:pPr>
        <w:pStyle w:val="61"/>
        <w:jc w:val="center"/>
        <w:rPr>
          <w:rFonts w:hint="default" w:ascii="宋体" w:hAnsi="宋体" w:cs="宋体"/>
          <w:color w:val="auto"/>
          <w:szCs w:val="21"/>
          <w:highlight w:val="none"/>
        </w:rPr>
        <w:sectPr>
          <w:footerReference r:id="rId7" w:type="first"/>
          <w:headerReference r:id="rId5" w:type="default"/>
          <w:footerReference r:id="rId6" w:type="default"/>
          <w:pgSz w:w="11906" w:h="16838"/>
          <w:pgMar w:top="1440" w:right="1286" w:bottom="1440" w:left="1380" w:header="851" w:footer="992" w:gutter="0"/>
          <w:pgNumType w:start="1"/>
          <w:cols w:space="720" w:num="1"/>
          <w:docGrid w:type="lines" w:linePitch="312" w:charSpace="0"/>
        </w:sectPr>
      </w:pPr>
    </w:p>
    <w:p w14:paraId="066676BF">
      <w:pPr>
        <w:pStyle w:val="2"/>
        <w:ind w:firstLine="568"/>
        <w:rPr>
          <w:color w:val="auto"/>
          <w:highlight w:val="none"/>
        </w:rPr>
      </w:pPr>
      <w:bookmarkStart w:id="95" w:name="_Toc44229896"/>
      <w:bookmarkStart w:id="96" w:name="_Toc9877"/>
      <w:bookmarkStart w:id="97" w:name="_Toc25205"/>
      <w:bookmarkStart w:id="98" w:name="_Toc19957"/>
      <w:bookmarkStart w:id="99" w:name="_Toc32697"/>
      <w:r>
        <w:rPr>
          <w:rFonts w:hint="eastAsia"/>
          <w:color w:val="auto"/>
          <w:highlight w:val="none"/>
        </w:rPr>
        <w:t>第四章  评审程序、评审方法和评审标准</w:t>
      </w:r>
    </w:p>
    <w:p w14:paraId="705B8761">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18FE474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177D4B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29F512A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6DDDD75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65AA131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78547F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4C63B60A">
      <w:pPr>
        <w:spacing w:line="360" w:lineRule="auto"/>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4AA96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374831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2370A1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EE294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5EB78D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5AE9A2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0E1E258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07FCD9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p w14:paraId="12A80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C5BE41">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14:paraId="5687E426">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6C5B70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CB679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CAD78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1AAA4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4DDA4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6EE19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652F0E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5203D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53BFB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1F7CFF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7ECA9F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72CEC8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28F590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商务报价文件/技术文件中 “必须提供”或者“委托时必须提供”的文件资料；响应文件提供的商务报价文件/技术文件出现任一项不符合“供应商须知前附表” 商务报价文件/技术文件中 “必须提供”或者“委托时必须提供”文件资料要求的规定或者提供的商务报价文件/技术文件无效。</w:t>
      </w:r>
    </w:p>
    <w:p w14:paraId="5E368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6）商务条款中标“▲”的条款发生负偏离的或者允许负偏离的条款数超过“供应商须知前附表”规定项数的或者标明实质性的要求发生负偏离；</w:t>
      </w:r>
    </w:p>
    <w:p w14:paraId="36ED85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7）未对竞标有效期作出响应或者响应文件承诺的竞标有效期不满足磋商文件要求；</w:t>
      </w:r>
    </w:p>
    <w:p w14:paraId="3417EE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8）响应文件的实质性内容未使用中文表述、使用计量单位不符合磋商文件要求；</w:t>
      </w:r>
    </w:p>
    <w:p w14:paraId="456B1C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9）响应文件中的文件资料因填写不齐全或者内容虚假或者出现其他情形而导致被磋商小组认定无效；</w:t>
      </w:r>
    </w:p>
    <w:p w14:paraId="4028AA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10）响应文件含有采购人不能接受的附加条件；</w:t>
      </w:r>
    </w:p>
    <w:p w14:paraId="747C9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11）属于“供应商须知正文”第7.5条情形；</w:t>
      </w:r>
    </w:p>
    <w:p w14:paraId="45BEFD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12）明显不满足磋商文件要求的技术规格、安全、质量标准，或者与磋商文件中标“▲”的技术需求或者标明实质性的要求发生负偏离；</w:t>
      </w:r>
    </w:p>
    <w:p w14:paraId="1654B4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13）技术需求允许负偏离的条款数超过“供应商须知前附表”规定项数；</w:t>
      </w:r>
    </w:p>
    <w:p w14:paraId="53902D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14）虚假竞标，或者出现其他情形而导致被磋商小组认定无效；</w:t>
      </w:r>
    </w:p>
    <w:p w14:paraId="7909B9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15）竞标技术方案不明确，磋商文件未允许但响应文件中存在一个或者一个以上备选（替代）竞标方案；</w:t>
      </w:r>
    </w:p>
    <w:p w14:paraId="3F7FFF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03DA44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4DF82C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7C1CE1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商务报价文件/技术文件中规定的“竞标报价表”；</w:t>
      </w:r>
    </w:p>
    <w:p w14:paraId="4A77AC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28FA9A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756EA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4F2EC2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B5F44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3A19D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474D36F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w:t>
      </w:r>
    </w:p>
    <w:p w14:paraId="46B623B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3.磋商的程序</w:t>
      </w:r>
    </w:p>
    <w:p w14:paraId="6B9986F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98D9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A1B20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3.3对磋商文件作出的实质性变动是磋商文件的有效组成部分，由磋商小组及时以书面形式同时通知所有参加磋商的供应商。</w:t>
      </w:r>
    </w:p>
    <w:p w14:paraId="2D9747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。供应商为自然人的，必须由本人签字并附身份证明。参加磋商的供应商未在规定时间内重新提交响应文件的，视同退出磋商，其响应文件作无效处理。</w:t>
      </w:r>
    </w:p>
    <w:p w14:paraId="0B87F2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2C84AFD4">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3.6采购代理机构对磋商过程和重要磋商内容进行记录，磋商双方在记录上签字确认。</w:t>
      </w:r>
    </w:p>
    <w:p w14:paraId="5F450D1C">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19磋商过程中重新提交的响应文件，供应商可以在开启前补充、修改。</w:t>
      </w:r>
    </w:p>
    <w:p w14:paraId="251F075D">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3.8根据《财政部关于政府采购竞争性磋商采购方式管理管理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25F4B7B">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7B9A27D6">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64F00F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技术、服务要求的，磋商结束后，由磋商小组要求所有继续参加磋商的供应商在规定时间内密封提交最后报价，提交最后报价的供应商不得少于3家，除本章第4.3条外，否则必须重新采购。</w:t>
      </w:r>
    </w:p>
    <w:p w14:paraId="00B6F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91A10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管理办法》（财库〔2014〕214号）第三条第四项“市场竞争不充分的科研项目，以及需要扶持的科技成果转化项目”和本章第3.8条情形的，提交最后报价的供应商可以为2家。</w:t>
      </w:r>
    </w:p>
    <w:p w14:paraId="503D1E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48042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4.5供应商未在规定时间内提交最后报价的，视为退出磋商，其响应文件作无效处理。</w:t>
      </w:r>
    </w:p>
    <w:p w14:paraId="00B0F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4.6磋商小组收齐某一分标最后报价后统一开启，磋商小组对最后报价进行有效性、完整性和响应程度的审查。</w:t>
      </w:r>
    </w:p>
    <w:p w14:paraId="5ED816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023FA1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13343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0ADD1B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55C034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5C73D4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75C0F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02BC9EE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30C54A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6CD44D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3F8720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766C8C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2901C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E53CB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9DFE75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740B9AD">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960CAD0">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p w14:paraId="1FA1C4D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6.评审依据：磋商小组将以磋商响应文件为评审依据，对供应商的报价、商务、技术等方面内容按百分制打分。（计分方法按四舍五入取至百分位）</w:t>
      </w:r>
    </w:p>
    <w:p w14:paraId="73B6E9F6">
      <w:pPr>
        <w:spacing w:line="360" w:lineRule="auto"/>
        <w:ind w:firstLine="420" w:firstLineChars="200"/>
        <w:rPr>
          <w:rFonts w:ascii="宋体" w:hAnsi="宋体" w:cs="宋体"/>
          <w:bCs/>
          <w:color w:val="auto"/>
          <w:szCs w:val="21"/>
          <w:highlight w:val="none"/>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31"/>
        <w:gridCol w:w="6906"/>
        <w:gridCol w:w="802"/>
      </w:tblGrid>
      <w:tr w14:paraId="10A0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13" w:type="pct"/>
            <w:vAlign w:val="center"/>
          </w:tcPr>
          <w:p w14:paraId="4EF53F3C">
            <w:pPr>
              <w:pStyle w:val="27"/>
              <w:spacing w:line="360" w:lineRule="exact"/>
              <w:rPr>
                <w:rFonts w:hAnsi="宋体" w:cs="宋体"/>
                <w:b/>
                <w:bCs/>
                <w:color w:val="auto"/>
                <w:sz w:val="21"/>
                <w:highlight w:val="none"/>
              </w:rPr>
            </w:pPr>
            <w:r>
              <w:rPr>
                <w:rFonts w:hint="eastAsia" w:hAnsi="宋体" w:cs="宋体"/>
                <w:b/>
                <w:bCs/>
                <w:color w:val="auto"/>
                <w:sz w:val="21"/>
                <w:highlight w:val="none"/>
              </w:rPr>
              <w:t>序号</w:t>
            </w:r>
          </w:p>
        </w:tc>
        <w:tc>
          <w:tcPr>
            <w:tcW w:w="675" w:type="pct"/>
            <w:vAlign w:val="center"/>
          </w:tcPr>
          <w:p w14:paraId="44667E88">
            <w:pPr>
              <w:pStyle w:val="27"/>
              <w:spacing w:line="360" w:lineRule="exact"/>
              <w:rPr>
                <w:rFonts w:hAnsi="宋体" w:cs="宋体"/>
                <w:b/>
                <w:bCs/>
                <w:color w:val="auto"/>
                <w:sz w:val="21"/>
                <w:highlight w:val="none"/>
              </w:rPr>
            </w:pPr>
            <w:r>
              <w:rPr>
                <w:rFonts w:hint="eastAsia" w:hAnsi="宋体" w:cs="宋体"/>
                <w:b/>
                <w:bCs/>
                <w:color w:val="auto"/>
                <w:sz w:val="21"/>
                <w:highlight w:val="none"/>
              </w:rPr>
              <w:t>评审因素</w:t>
            </w:r>
          </w:p>
        </w:tc>
        <w:tc>
          <w:tcPr>
            <w:tcW w:w="3504" w:type="pct"/>
            <w:vAlign w:val="center"/>
          </w:tcPr>
          <w:p w14:paraId="5FADC2AD">
            <w:pPr>
              <w:pStyle w:val="27"/>
              <w:spacing w:line="360" w:lineRule="exact"/>
              <w:ind w:firstLine="426"/>
              <w:jc w:val="center"/>
              <w:rPr>
                <w:rFonts w:hAnsi="宋体" w:cs="宋体"/>
                <w:b/>
                <w:bCs/>
                <w:color w:val="auto"/>
                <w:sz w:val="21"/>
                <w:highlight w:val="none"/>
              </w:rPr>
            </w:pPr>
            <w:r>
              <w:rPr>
                <w:rFonts w:hint="eastAsia" w:hAnsi="宋体" w:cs="宋体"/>
                <w:b/>
                <w:bCs/>
                <w:color w:val="auto"/>
                <w:sz w:val="21"/>
                <w:highlight w:val="none"/>
              </w:rPr>
              <w:t>具体内容</w:t>
            </w:r>
          </w:p>
        </w:tc>
        <w:tc>
          <w:tcPr>
            <w:tcW w:w="407" w:type="pct"/>
            <w:vAlign w:val="center"/>
          </w:tcPr>
          <w:p w14:paraId="49A34429">
            <w:pPr>
              <w:pStyle w:val="27"/>
              <w:spacing w:line="360" w:lineRule="exact"/>
              <w:rPr>
                <w:rFonts w:hAnsi="宋体" w:cs="宋体"/>
                <w:b/>
                <w:bCs/>
                <w:color w:val="auto"/>
                <w:sz w:val="21"/>
                <w:highlight w:val="none"/>
              </w:rPr>
            </w:pPr>
            <w:r>
              <w:rPr>
                <w:rFonts w:hint="eastAsia" w:hAnsi="宋体" w:cs="宋体"/>
                <w:b/>
                <w:bCs/>
                <w:color w:val="auto"/>
                <w:sz w:val="21"/>
                <w:highlight w:val="none"/>
              </w:rPr>
              <w:t>分值</w:t>
            </w:r>
          </w:p>
        </w:tc>
      </w:tr>
      <w:tr w14:paraId="7D01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101F49A6">
            <w:pPr>
              <w:pStyle w:val="27"/>
              <w:spacing w:line="360" w:lineRule="exact"/>
              <w:ind w:firstLine="424"/>
              <w:jc w:val="center"/>
              <w:rPr>
                <w:rFonts w:hAnsi="宋体" w:cs="宋体"/>
                <w:bCs/>
                <w:color w:val="auto"/>
                <w:sz w:val="21"/>
                <w:highlight w:val="none"/>
              </w:rPr>
            </w:pPr>
            <w:r>
              <w:rPr>
                <w:rFonts w:hint="eastAsia" w:hAnsi="宋体" w:cs="宋体"/>
                <w:bCs/>
                <w:color w:val="auto"/>
                <w:sz w:val="21"/>
                <w:highlight w:val="none"/>
              </w:rPr>
              <w:t>1</w:t>
            </w:r>
          </w:p>
        </w:tc>
        <w:tc>
          <w:tcPr>
            <w:tcW w:w="675" w:type="pct"/>
            <w:vAlign w:val="center"/>
          </w:tcPr>
          <w:p w14:paraId="5387A346">
            <w:pPr>
              <w:pStyle w:val="27"/>
              <w:spacing w:line="360" w:lineRule="exact"/>
              <w:jc w:val="center"/>
              <w:rPr>
                <w:rFonts w:hAnsi="宋体" w:cs="宋体"/>
                <w:bCs/>
                <w:color w:val="auto"/>
                <w:sz w:val="21"/>
                <w:highlight w:val="none"/>
              </w:rPr>
            </w:pPr>
            <w:r>
              <w:rPr>
                <w:rFonts w:hint="eastAsia" w:hAnsi="宋体" w:cs="宋体"/>
                <w:color w:val="auto"/>
                <w:kern w:val="2"/>
                <w:sz w:val="21"/>
                <w:highlight w:val="none"/>
              </w:rPr>
              <w:t>报价分</w:t>
            </w:r>
          </w:p>
        </w:tc>
        <w:tc>
          <w:tcPr>
            <w:tcW w:w="3504" w:type="pct"/>
          </w:tcPr>
          <w:p w14:paraId="67ED497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1.评审报价为供应商的最后报价进行政策性扣除后的价格，评审报价只是作为评审时使用。最终成交供应商的成交金额等于最后报价（如有修正，以确认修正后的最后报价为准）。</w:t>
            </w:r>
          </w:p>
          <w:p w14:paraId="68F358D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2.政府采购政策性扣除计算方法</w:t>
            </w:r>
          </w:p>
          <w:p w14:paraId="2C0D196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（1）按照《政府采购促进中小企业发展管理办法》（财库〔2020〕46号）的规定，供应商在其响应文件中提供《中小企业声明函》，且其服务为小型和微型企业承接的，对其最后报价给予20%的扣除。</w:t>
            </w:r>
          </w:p>
          <w:p w14:paraId="14375FB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9A3D7D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28E44D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（4）政策性扣除计算方法。</w:t>
            </w:r>
          </w:p>
          <w:p w14:paraId="51B310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在服务采购项目中，服务由小微企业承接；对符合上述要求的供应商的竞标报价给予20%的扣除，扣除后的价格为评审报价，即评审报价=竞标报价×（1-20%）。除上述情况外，评审报价=竞标报价。</w:t>
            </w:r>
          </w:p>
          <w:p w14:paraId="5F2DB4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（5）除上述情况外，评审报价＝最后报价。</w:t>
            </w:r>
          </w:p>
          <w:p w14:paraId="4A8587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（6）以进入比较与评价环节的最低的评审报价为基准价，基准价得分为 </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676EA98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（7）价格分计算公式：</w:t>
            </w:r>
          </w:p>
          <w:p w14:paraId="2D2232E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报价得分=（基准价/最后报价）×</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407" w:type="pct"/>
            <w:vAlign w:val="center"/>
          </w:tcPr>
          <w:p w14:paraId="12BC1ABA">
            <w:pPr>
              <w:pStyle w:val="27"/>
              <w:spacing w:line="360" w:lineRule="exact"/>
              <w:jc w:val="center"/>
              <w:rPr>
                <w:rFonts w:hAnsi="宋体" w:cs="宋体"/>
                <w:bCs/>
                <w:color w:val="auto"/>
                <w:sz w:val="21"/>
                <w:highlight w:val="none"/>
              </w:rPr>
            </w:pPr>
            <w:r>
              <w:rPr>
                <w:rFonts w:hint="eastAsia" w:hAnsi="宋体" w:cs="宋体"/>
                <w:color w:val="auto"/>
                <w:kern w:val="2"/>
                <w:sz w:val="21"/>
                <w:highlight w:val="none"/>
                <w:lang w:val="en-US" w:eastAsia="zh-CN"/>
              </w:rPr>
              <w:t>15</w:t>
            </w:r>
            <w:r>
              <w:rPr>
                <w:rFonts w:hint="eastAsia" w:hAnsi="宋体" w:cs="宋体"/>
                <w:color w:val="auto"/>
                <w:kern w:val="2"/>
                <w:sz w:val="21"/>
                <w:highlight w:val="none"/>
              </w:rPr>
              <w:t>分</w:t>
            </w:r>
          </w:p>
        </w:tc>
      </w:tr>
      <w:tr w14:paraId="1FB5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3" w:type="pct"/>
            <w:vAlign w:val="center"/>
          </w:tcPr>
          <w:p w14:paraId="635CC23F">
            <w:pPr>
              <w:pStyle w:val="27"/>
              <w:spacing w:line="360" w:lineRule="exact"/>
              <w:ind w:firstLine="426"/>
              <w:jc w:val="center"/>
              <w:rPr>
                <w:rFonts w:hAnsi="宋体" w:cs="宋体"/>
                <w:b/>
                <w:color w:val="auto"/>
                <w:sz w:val="21"/>
                <w:highlight w:val="none"/>
              </w:rPr>
            </w:pPr>
            <w:r>
              <w:rPr>
                <w:rFonts w:hint="eastAsia" w:hAnsi="宋体" w:cs="宋体"/>
                <w:b/>
                <w:color w:val="auto"/>
                <w:sz w:val="21"/>
                <w:highlight w:val="none"/>
              </w:rPr>
              <w:t>2</w:t>
            </w:r>
          </w:p>
        </w:tc>
        <w:tc>
          <w:tcPr>
            <w:tcW w:w="675" w:type="pct"/>
            <w:vAlign w:val="center"/>
          </w:tcPr>
          <w:p w14:paraId="124E44D9">
            <w:pPr>
              <w:pStyle w:val="27"/>
              <w:spacing w:line="360" w:lineRule="exact"/>
              <w:ind w:firstLine="426"/>
              <w:jc w:val="center"/>
              <w:rPr>
                <w:rFonts w:hAnsi="宋体" w:cs="宋体"/>
                <w:b/>
                <w:color w:val="auto"/>
                <w:sz w:val="21"/>
                <w:highlight w:val="none"/>
              </w:rPr>
            </w:pPr>
            <w:r>
              <w:rPr>
                <w:rFonts w:hint="eastAsia" w:hAnsi="宋体" w:cs="宋体"/>
                <w:b/>
                <w:color w:val="auto"/>
                <w:sz w:val="21"/>
                <w:highlight w:val="none"/>
              </w:rPr>
              <w:t>技术分</w:t>
            </w:r>
          </w:p>
        </w:tc>
        <w:tc>
          <w:tcPr>
            <w:tcW w:w="3911" w:type="pct"/>
            <w:gridSpan w:val="2"/>
            <w:vAlign w:val="center"/>
          </w:tcPr>
          <w:p w14:paraId="109C06A2">
            <w:pPr>
              <w:pStyle w:val="27"/>
              <w:spacing w:line="360" w:lineRule="exact"/>
              <w:ind w:firstLine="426"/>
              <w:jc w:val="center"/>
              <w:rPr>
                <w:rFonts w:hAnsi="宋体" w:cs="宋体"/>
                <w:color w:val="auto"/>
                <w:sz w:val="21"/>
                <w:highlight w:val="none"/>
              </w:rPr>
            </w:pPr>
            <w:r>
              <w:rPr>
                <w:rFonts w:hint="eastAsia" w:hAnsi="宋体" w:cs="宋体"/>
                <w:b/>
                <w:bCs/>
                <w:color w:val="auto"/>
                <w:sz w:val="21"/>
                <w:highlight w:val="none"/>
              </w:rPr>
              <w:t>具体内容</w:t>
            </w:r>
          </w:p>
        </w:tc>
      </w:tr>
      <w:tr w14:paraId="777C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454755B1">
            <w:pPr>
              <w:adjustRightInd w:val="0"/>
              <w:snapToGri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675" w:type="pct"/>
            <w:vAlign w:val="center"/>
          </w:tcPr>
          <w:p w14:paraId="2CCBD8FD">
            <w:pPr>
              <w:adjustRightInd w:val="0"/>
              <w:snapToGrid w:val="0"/>
              <w:spacing w:line="360" w:lineRule="exact"/>
              <w:jc w:val="center"/>
              <w:rPr>
                <w:rFonts w:ascii="宋体" w:hAnsi="宋体" w:cs="宋体"/>
                <w:bCs/>
                <w:color w:val="auto"/>
                <w:szCs w:val="21"/>
                <w:highlight w:val="none"/>
              </w:rPr>
            </w:pPr>
            <w:r>
              <w:rPr>
                <w:rFonts w:hint="eastAsia" w:ascii="宋体" w:hAnsi="宋体" w:cs="宋体"/>
                <w:color w:val="auto"/>
                <w:szCs w:val="21"/>
                <w:highlight w:val="none"/>
              </w:rPr>
              <w:t>项目实施方案</w:t>
            </w:r>
          </w:p>
        </w:tc>
        <w:tc>
          <w:tcPr>
            <w:tcW w:w="3504" w:type="pct"/>
          </w:tcPr>
          <w:p w14:paraId="319069C9">
            <w:pPr>
              <w:spacing w:line="360" w:lineRule="exact"/>
              <w:ind w:right="105" w:rightChars="50" w:firstLine="420" w:firstLineChars="200"/>
              <w:rPr>
                <w:rFonts w:ascii="宋体" w:hAnsi="宋体" w:cs="宋体"/>
                <w:bCs/>
                <w:color w:val="auto"/>
                <w:szCs w:val="21"/>
                <w:highlight w:val="none"/>
              </w:rPr>
            </w:pPr>
            <w:r>
              <w:rPr>
                <w:rFonts w:hint="eastAsia" w:ascii="宋体" w:hAnsi="宋体" w:cs="宋体"/>
                <w:bCs/>
                <w:color w:val="auto"/>
                <w:szCs w:val="21"/>
                <w:highlight w:val="none"/>
              </w:rPr>
              <w:t>一档（6分）：项目实施术方案对该项目的总体及项目实施任务、要求的理解缺乏认识，对项目整体情况缺乏了解，实施任务、要求的理解把握不够准确；</w:t>
            </w:r>
          </w:p>
          <w:p w14:paraId="0A544F2D">
            <w:pPr>
              <w:spacing w:line="360" w:lineRule="exact"/>
              <w:ind w:right="105" w:rightChars="50"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12分）：项目实施术方案对该项目的总体及项目实施任务、要求的理解和对项目整体情况了解不完整，实施任务、要求的理解把握基本到位，项目计划的保证措施内容简单，缺人力、物力方面的保障，仅能够基本满足项目实施的；</w:t>
            </w:r>
          </w:p>
          <w:p w14:paraId="50609836">
            <w:pPr>
              <w:spacing w:line="360" w:lineRule="exact"/>
              <w:ind w:right="105" w:rightChars="50"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18分）：目实施方案对该项目的总体及项目实施任务、要求的理解有一定的认识，对项目整体情况有一定了解，实施任务、技术方案、工作技术路线和方法方面技术路线基本合理、方法可行，项目计划的保证措施内容基本完整，人力、物力方面的保障薄弱，可满足和保障项目实施的；</w:t>
            </w:r>
          </w:p>
          <w:p w14:paraId="7CF27ACF">
            <w:pPr>
              <w:spacing w:line="360" w:lineRule="exact"/>
              <w:ind w:right="105" w:rightChars="5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四档（2</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分）：项目实施方案对该项目的总体及项目实施任务、要求的理解深刻，熟悉项目整体情况，对实施任务、要求的理解把握准确；技术方案、工作技术路线和方法技术路线清晰、全面、方法可行，能针对本项目需求制定详细的项目计划，技术队伍组建扎实，物资准备充分，时间进度安排合理，技术路线明确且符合相关规程规范要求，项目计划推进等保障措施可行性强，符合实际需求，能够充分满足和保障项目实施的。</w:t>
            </w:r>
          </w:p>
          <w:p w14:paraId="23A16D8B">
            <w:pPr>
              <w:spacing w:line="360" w:lineRule="exact"/>
              <w:ind w:right="105" w:rightChars="5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注：未提供该方案的得0分。</w:t>
            </w:r>
          </w:p>
        </w:tc>
        <w:tc>
          <w:tcPr>
            <w:tcW w:w="407" w:type="pct"/>
            <w:vAlign w:val="center"/>
          </w:tcPr>
          <w:p w14:paraId="01DFCD33">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r>
      <w:tr w14:paraId="7F5F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0A4C1195">
            <w:pPr>
              <w:adjustRightInd w:val="0"/>
              <w:snapToGri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675" w:type="pct"/>
            <w:vAlign w:val="center"/>
          </w:tcPr>
          <w:p w14:paraId="7C62C27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质量和保密保证措施及承诺</w:t>
            </w:r>
          </w:p>
        </w:tc>
        <w:tc>
          <w:tcPr>
            <w:tcW w:w="3504" w:type="pct"/>
          </w:tcPr>
          <w:p w14:paraId="0B7CC96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一档（5分）：投标人能结合项目实际情况，提出的服务的质量保证措施、进度保证措施、</w:t>
            </w:r>
            <w:r>
              <w:rPr>
                <w:rFonts w:hint="eastAsia" w:ascii="宋体" w:hAnsi="宋体" w:cs="宋体"/>
                <w:bCs/>
                <w:color w:val="auto"/>
                <w:szCs w:val="21"/>
                <w:highlight w:val="none"/>
                <w:lang w:val="en-US" w:eastAsia="zh-CN"/>
              </w:rPr>
              <w:t>涉密管理方案</w:t>
            </w:r>
            <w:r>
              <w:rPr>
                <w:rFonts w:hint="eastAsia" w:ascii="宋体" w:hAnsi="宋体" w:cs="宋体"/>
                <w:color w:val="auto"/>
                <w:szCs w:val="21"/>
                <w:highlight w:val="none"/>
              </w:rPr>
              <w:t>较差，</w:t>
            </w:r>
            <w:r>
              <w:rPr>
                <w:rFonts w:hint="eastAsia" w:ascii="宋体" w:hAnsi="宋体" w:cs="宋体"/>
                <w:color w:val="auto"/>
                <w:szCs w:val="21"/>
                <w:highlight w:val="none"/>
                <w:lang w:val="en-US" w:eastAsia="zh-CN"/>
              </w:rPr>
              <w:t>勉强</w:t>
            </w:r>
            <w:r>
              <w:rPr>
                <w:rFonts w:hint="eastAsia" w:ascii="宋体" w:hAnsi="宋体" w:cs="宋体"/>
                <w:color w:val="auto"/>
                <w:szCs w:val="21"/>
                <w:highlight w:val="none"/>
              </w:rPr>
              <w:t>满足采购文件要求。</w:t>
            </w:r>
          </w:p>
          <w:p w14:paraId="0DE3BDB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二档（10分）：投标人能结合项目实际情况</w:t>
            </w:r>
            <w:r>
              <w:rPr>
                <w:rFonts w:hint="eastAsia" w:ascii="宋体" w:hAnsi="宋体" w:cs="宋体"/>
                <w:color w:val="auto"/>
                <w:szCs w:val="21"/>
                <w:highlight w:val="none"/>
                <w:lang w:val="en-US" w:eastAsia="zh-CN"/>
              </w:rPr>
              <w:t>和自身的服务经验，根据内部的制度现状，</w:t>
            </w:r>
            <w:r>
              <w:rPr>
                <w:rFonts w:hint="eastAsia" w:ascii="宋体" w:hAnsi="宋体" w:cs="宋体"/>
                <w:color w:val="auto"/>
                <w:szCs w:val="21"/>
                <w:highlight w:val="none"/>
              </w:rPr>
              <w:t>提出的服务的质量保证措施、进度保证措施、</w:t>
            </w:r>
            <w:r>
              <w:rPr>
                <w:rFonts w:hint="eastAsia" w:ascii="宋体" w:hAnsi="宋体" w:cs="宋体"/>
                <w:bCs/>
                <w:color w:val="auto"/>
                <w:szCs w:val="21"/>
                <w:highlight w:val="none"/>
                <w:lang w:val="en-US" w:eastAsia="zh-CN"/>
              </w:rPr>
              <w:t>涉密管理</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简单，</w:t>
            </w:r>
            <w:r>
              <w:rPr>
                <w:rFonts w:hint="eastAsia" w:ascii="宋体" w:hAnsi="宋体" w:cs="宋体"/>
                <w:color w:val="auto"/>
                <w:szCs w:val="21"/>
                <w:highlight w:val="none"/>
              </w:rPr>
              <w:t>基本符合项目需求；</w:t>
            </w:r>
          </w:p>
          <w:p w14:paraId="71906D5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三档（15分）：投标人能结合项目实际情况</w:t>
            </w:r>
            <w:r>
              <w:rPr>
                <w:rFonts w:hint="eastAsia" w:ascii="宋体" w:hAnsi="宋体" w:cs="宋体"/>
                <w:color w:val="auto"/>
                <w:szCs w:val="21"/>
                <w:highlight w:val="none"/>
                <w:lang w:val="en-US" w:eastAsia="zh-CN"/>
              </w:rPr>
              <w:t>和自身的服务经验，根据内部的制度现状</w:t>
            </w:r>
            <w:r>
              <w:rPr>
                <w:rFonts w:hint="eastAsia" w:ascii="宋体" w:hAnsi="宋体" w:cs="宋体"/>
                <w:color w:val="auto"/>
                <w:szCs w:val="21"/>
                <w:highlight w:val="none"/>
              </w:rPr>
              <w:t>，提出的服务的质量保证措施、进度保证措施、</w:t>
            </w:r>
            <w:r>
              <w:rPr>
                <w:rFonts w:hint="eastAsia" w:ascii="宋体" w:hAnsi="宋体" w:cs="宋体"/>
                <w:bCs/>
                <w:color w:val="auto"/>
                <w:szCs w:val="21"/>
                <w:highlight w:val="none"/>
                <w:lang w:val="en-US" w:eastAsia="zh-CN"/>
              </w:rPr>
              <w:t>涉密管理</w:t>
            </w:r>
            <w:r>
              <w:rPr>
                <w:rFonts w:hint="eastAsia" w:ascii="宋体" w:hAnsi="宋体" w:cs="宋体"/>
                <w:color w:val="auto"/>
                <w:szCs w:val="21"/>
                <w:highlight w:val="none"/>
              </w:rPr>
              <w:t>措施</w:t>
            </w:r>
            <w:r>
              <w:rPr>
                <w:rFonts w:hint="eastAsia" w:ascii="宋体" w:hAnsi="宋体" w:cs="宋体"/>
                <w:color w:val="auto"/>
                <w:szCs w:val="21"/>
                <w:highlight w:val="none"/>
                <w:lang w:val="en-US" w:eastAsia="zh-CN"/>
              </w:rPr>
              <w:t>明确，完善，具有一定的执行力</w:t>
            </w:r>
            <w:r>
              <w:rPr>
                <w:rFonts w:hint="eastAsia" w:ascii="宋体" w:hAnsi="宋体" w:cs="宋体"/>
                <w:color w:val="auto"/>
                <w:szCs w:val="21"/>
                <w:highlight w:val="none"/>
              </w:rPr>
              <w:t>。</w:t>
            </w:r>
          </w:p>
          <w:p w14:paraId="39F33D6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四档（20分）：投标人能结合项目实际情况</w:t>
            </w:r>
            <w:r>
              <w:rPr>
                <w:rFonts w:hint="eastAsia" w:ascii="宋体" w:hAnsi="宋体" w:cs="宋体"/>
                <w:color w:val="auto"/>
                <w:szCs w:val="21"/>
                <w:highlight w:val="none"/>
                <w:lang w:val="en-US" w:eastAsia="zh-CN"/>
              </w:rPr>
              <w:t>和自身的服务经验，根据内部的制度现状，成立</w:t>
            </w:r>
            <w:r>
              <w:rPr>
                <w:rFonts w:hint="eastAsia" w:ascii="宋体" w:hAnsi="宋体" w:cs="宋体"/>
                <w:color w:val="auto"/>
                <w:szCs w:val="21"/>
                <w:highlight w:val="none"/>
              </w:rPr>
              <w:t>专门的质检机构进行质量把关，有明确的内部质量管理奖罚措施；有具体的质量管理制度和措施，包括：建立过程检查制度和三级检查制度，制度完善，措施有效到位；有具体的保密管理制度和措施，制度完善，措施有效到位，有技术培训、质量意识和保密意识教育。</w:t>
            </w:r>
          </w:p>
          <w:p w14:paraId="777BC81E">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注：未提供该方案的得0分。</w:t>
            </w:r>
          </w:p>
        </w:tc>
        <w:tc>
          <w:tcPr>
            <w:tcW w:w="407" w:type="pct"/>
            <w:vAlign w:val="center"/>
          </w:tcPr>
          <w:p w14:paraId="7539086C">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20分</w:t>
            </w:r>
          </w:p>
        </w:tc>
      </w:tr>
      <w:tr w14:paraId="44E3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5B02A259">
            <w:pPr>
              <w:adjustRightInd w:val="0"/>
              <w:snapToGri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675" w:type="pct"/>
            <w:vAlign w:val="center"/>
          </w:tcPr>
          <w:p w14:paraId="159D2417">
            <w:pPr>
              <w:adjustRightInd w:val="0"/>
              <w:snapToGrid w:val="0"/>
              <w:spacing w:line="360" w:lineRule="exact"/>
              <w:jc w:val="center"/>
              <w:textAlignment w:val="baseline"/>
              <w:rPr>
                <w:rFonts w:ascii="宋体" w:hAnsi="宋体" w:cs="宋体"/>
                <w:bCs/>
                <w:color w:val="auto"/>
                <w:kern w:val="0"/>
                <w:szCs w:val="21"/>
                <w:highlight w:val="none"/>
              </w:rPr>
            </w:pPr>
            <w:r>
              <w:rPr>
                <w:rFonts w:hint="eastAsia" w:ascii="宋体" w:hAnsi="宋体" w:cs="宋体"/>
                <w:bCs/>
                <w:color w:val="auto"/>
                <w:szCs w:val="21"/>
                <w:highlight w:val="none"/>
              </w:rPr>
              <w:t>工作量及</w:t>
            </w:r>
            <w:r>
              <w:rPr>
                <w:rFonts w:hint="eastAsia" w:ascii="宋体" w:hAnsi="宋体" w:cs="宋体"/>
                <w:bCs/>
                <w:color w:val="auto"/>
                <w:szCs w:val="21"/>
                <w:highlight w:val="none"/>
                <w:lang w:val="en-US" w:eastAsia="zh-CN"/>
              </w:rPr>
              <w:t>人员</w:t>
            </w:r>
            <w:r>
              <w:rPr>
                <w:rFonts w:hint="eastAsia" w:ascii="宋体" w:hAnsi="宋体" w:cs="宋体"/>
                <w:bCs/>
                <w:color w:val="auto"/>
                <w:szCs w:val="21"/>
                <w:highlight w:val="none"/>
              </w:rPr>
              <w:t>计划安排</w:t>
            </w:r>
          </w:p>
        </w:tc>
        <w:tc>
          <w:tcPr>
            <w:tcW w:w="3504" w:type="pct"/>
          </w:tcPr>
          <w:p w14:paraId="4F325FEC">
            <w:pPr>
              <w:spacing w:line="360" w:lineRule="auto"/>
              <w:ind w:firstLine="420" w:firstLineChars="200"/>
              <w:jc w:val="left"/>
              <w:rPr>
                <w:rFonts w:ascii="宋体" w:hAnsi="宋体" w:cs="宋体"/>
                <w:color w:val="auto"/>
                <w:szCs w:val="21"/>
                <w:highlight w:val="none"/>
              </w:rPr>
            </w:pPr>
          </w:p>
          <w:p w14:paraId="56E1791B">
            <w:pPr>
              <w:spacing w:line="360" w:lineRule="exact"/>
              <w:ind w:firstLine="420" w:firstLineChars="200"/>
              <w:rPr>
                <w:rFonts w:hint="eastAsia" w:ascii="宋体" w:hAnsi="宋体" w:cs="宋体"/>
                <w:color w:val="auto"/>
                <w:szCs w:val="21"/>
                <w:highlight w:val="none"/>
                <w:lang w:val="en-US" w:eastAsia="zh-CN"/>
              </w:rPr>
            </w:pPr>
            <w:r>
              <w:rPr>
                <w:rFonts w:hint="eastAsia" w:hAnsi="宋体" w:cs="宋体"/>
                <w:color w:val="auto"/>
                <w:highlight w:val="none"/>
                <w:lang w:eastAsia="zh-CN"/>
              </w:rPr>
              <w:t>一档（3分）</w:t>
            </w:r>
            <w:r>
              <w:rPr>
                <w:rFonts w:hint="eastAsia" w:ascii="宋体" w:hAnsi="宋体" w:cs="宋体"/>
                <w:color w:val="auto"/>
                <w:szCs w:val="21"/>
                <w:highlight w:val="none"/>
              </w:rPr>
              <w:t>投标人对本项目服务工作量及项目计划安排有描述并进行分析，有</w:t>
            </w:r>
            <w:r>
              <w:rPr>
                <w:rFonts w:hint="eastAsia" w:ascii="宋体" w:hAnsi="宋体" w:cs="宋体"/>
                <w:color w:val="auto"/>
                <w:szCs w:val="21"/>
                <w:highlight w:val="none"/>
                <w:lang w:val="en-US" w:eastAsia="zh-CN"/>
              </w:rPr>
              <w:t>成果编制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pacing w:val="0"/>
                <w:sz w:val="21"/>
                <w:szCs w:val="21"/>
                <w:highlight w:val="none"/>
              </w:rPr>
              <w:t>测绘、地理信息、制图等相关专业</w:t>
            </w:r>
            <w:r>
              <w:rPr>
                <w:rFonts w:hint="eastAsia" w:ascii="宋体" w:hAnsi="宋体" w:eastAsia="宋体" w:cs="宋体"/>
                <w:color w:val="auto"/>
                <w:spacing w:val="0"/>
                <w:sz w:val="21"/>
                <w:szCs w:val="21"/>
                <w:highlight w:val="none"/>
                <w:lang w:val="en-US" w:eastAsia="zh-CN"/>
              </w:rPr>
              <w:t>人员</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pacing w:val="0"/>
                <w:sz w:val="21"/>
                <w:szCs w:val="21"/>
                <w:highlight w:val="none"/>
              </w:rPr>
              <w:t>成果野外校核所需的专业设备</w:t>
            </w:r>
            <w:r>
              <w:rPr>
                <w:rFonts w:hint="eastAsia" w:ascii="宋体" w:hAnsi="宋体" w:eastAsia="宋体" w:cs="宋体"/>
                <w:color w:val="auto"/>
                <w:spacing w:val="0"/>
                <w:sz w:val="21"/>
                <w:szCs w:val="21"/>
                <w:highlight w:val="none"/>
                <w:lang w:val="en-US" w:eastAsia="zh-CN"/>
              </w:rPr>
              <w:t>投入，</w:t>
            </w:r>
            <w:r>
              <w:rPr>
                <w:rFonts w:hint="eastAsia" w:ascii="宋体" w:hAnsi="宋体" w:cs="宋体"/>
                <w:color w:val="auto"/>
                <w:szCs w:val="21"/>
                <w:highlight w:val="none"/>
                <w:lang w:val="en-US" w:eastAsia="zh-CN"/>
              </w:rPr>
              <w:t>但投入人员数量、综合专业实力一般，勉强能开展工作。</w:t>
            </w:r>
          </w:p>
          <w:p w14:paraId="638C5D0F">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lang w:eastAsia="zh-CN"/>
              </w:rPr>
              <w:t>二档（</w:t>
            </w:r>
            <w:r>
              <w:rPr>
                <w:rFonts w:hint="eastAsia" w:hAnsi="宋体" w:cs="宋体"/>
                <w:color w:val="auto"/>
                <w:highlight w:val="none"/>
                <w:lang w:val="en-US" w:eastAsia="zh-CN"/>
              </w:rPr>
              <w:t>7</w:t>
            </w:r>
            <w:r>
              <w:rPr>
                <w:rFonts w:hint="eastAsia" w:hAnsi="宋体" w:cs="宋体"/>
                <w:color w:val="auto"/>
                <w:highlight w:val="none"/>
                <w:lang w:eastAsia="zh-CN"/>
              </w:rPr>
              <w:t>分）</w:t>
            </w:r>
            <w:r>
              <w:rPr>
                <w:rFonts w:hint="eastAsia" w:ascii="宋体" w:hAnsi="宋体" w:cs="宋体"/>
                <w:color w:val="auto"/>
                <w:szCs w:val="21"/>
                <w:highlight w:val="none"/>
              </w:rPr>
              <w:t>投标人对本项目服务工作量分析一般，无较大错误，</w:t>
            </w:r>
            <w:r>
              <w:rPr>
                <w:rFonts w:hint="eastAsia" w:ascii="宋体" w:hAnsi="宋体" w:cs="宋体"/>
                <w:color w:val="auto"/>
                <w:szCs w:val="21"/>
                <w:highlight w:val="none"/>
                <w:lang w:val="en-US" w:eastAsia="zh-CN"/>
              </w:rPr>
              <w:t>成果编制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pacing w:val="0"/>
                <w:sz w:val="21"/>
                <w:szCs w:val="21"/>
                <w:highlight w:val="none"/>
              </w:rPr>
              <w:t>测绘、地理信息、制图等相关专业</w:t>
            </w:r>
            <w:r>
              <w:rPr>
                <w:rFonts w:hint="eastAsia" w:ascii="宋体" w:hAnsi="宋体" w:eastAsia="宋体" w:cs="宋体"/>
                <w:color w:val="auto"/>
                <w:spacing w:val="0"/>
                <w:sz w:val="21"/>
                <w:szCs w:val="21"/>
                <w:highlight w:val="none"/>
                <w:lang w:val="en-US" w:eastAsia="zh-CN"/>
              </w:rPr>
              <w:t>人员</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pacing w:val="0"/>
                <w:sz w:val="21"/>
                <w:szCs w:val="21"/>
                <w:highlight w:val="none"/>
              </w:rPr>
              <w:t>成果野外校核所需的专业设备</w:t>
            </w:r>
            <w:r>
              <w:rPr>
                <w:rFonts w:hint="eastAsia" w:ascii="宋体" w:hAnsi="宋体" w:cs="宋体"/>
                <w:color w:val="auto"/>
                <w:szCs w:val="21"/>
                <w:highlight w:val="none"/>
              </w:rPr>
              <w:t>投入一般，对项目计划一般；</w:t>
            </w:r>
          </w:p>
          <w:p w14:paraId="0A4F6F98">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lang w:eastAsia="zh-CN"/>
              </w:rPr>
              <w:t>三档（1</w:t>
            </w:r>
            <w:r>
              <w:rPr>
                <w:rFonts w:hint="eastAsia" w:hAnsi="宋体" w:cs="宋体"/>
                <w:color w:val="auto"/>
                <w:highlight w:val="none"/>
                <w:lang w:val="en-US" w:eastAsia="zh-CN"/>
              </w:rPr>
              <w:t>0</w:t>
            </w:r>
            <w:r>
              <w:rPr>
                <w:rFonts w:hint="eastAsia" w:hAnsi="宋体" w:cs="宋体"/>
                <w:color w:val="auto"/>
                <w:highlight w:val="none"/>
                <w:lang w:eastAsia="zh-CN"/>
              </w:rPr>
              <w:t>分）</w:t>
            </w:r>
            <w:r>
              <w:rPr>
                <w:rFonts w:hint="eastAsia" w:ascii="宋体" w:hAnsi="宋体" w:cs="宋体"/>
                <w:color w:val="auto"/>
                <w:szCs w:val="21"/>
                <w:highlight w:val="none"/>
              </w:rPr>
              <w:t>投标人对本项目服务工作量分析较准确、基本无误，</w:t>
            </w:r>
            <w:r>
              <w:rPr>
                <w:rFonts w:hint="eastAsia" w:ascii="宋体" w:hAnsi="宋体" w:cs="宋体"/>
                <w:color w:val="auto"/>
                <w:szCs w:val="21"/>
                <w:highlight w:val="none"/>
                <w:lang w:val="en-US" w:eastAsia="zh-CN"/>
              </w:rPr>
              <w:t>成果编制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pacing w:val="0"/>
                <w:sz w:val="21"/>
                <w:szCs w:val="21"/>
                <w:highlight w:val="none"/>
              </w:rPr>
              <w:t>测绘、地理信息、制图等相关专业</w:t>
            </w:r>
            <w:r>
              <w:rPr>
                <w:rFonts w:hint="eastAsia" w:ascii="宋体" w:hAnsi="宋体" w:eastAsia="宋体" w:cs="宋体"/>
                <w:color w:val="auto"/>
                <w:spacing w:val="0"/>
                <w:sz w:val="21"/>
                <w:szCs w:val="21"/>
                <w:highlight w:val="none"/>
                <w:lang w:val="en-US" w:eastAsia="zh-CN"/>
              </w:rPr>
              <w:t>人员</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pacing w:val="0"/>
                <w:sz w:val="21"/>
                <w:szCs w:val="21"/>
                <w:highlight w:val="none"/>
              </w:rPr>
              <w:t>成果野外校核所需的专业设备</w:t>
            </w:r>
            <w:r>
              <w:rPr>
                <w:rFonts w:hint="eastAsia" w:ascii="宋体" w:hAnsi="宋体" w:cs="宋体"/>
                <w:color w:val="auto"/>
                <w:szCs w:val="21"/>
                <w:highlight w:val="none"/>
              </w:rPr>
              <w:t>投入较充足，</w:t>
            </w:r>
            <w:r>
              <w:rPr>
                <w:rFonts w:hint="eastAsia" w:ascii="宋体" w:hAnsi="宋体" w:cs="宋体"/>
                <w:color w:val="auto"/>
                <w:szCs w:val="21"/>
                <w:highlight w:val="none"/>
                <w:lang w:val="en-US" w:eastAsia="zh-CN"/>
              </w:rPr>
              <w:t>工作安排完整有序，</w:t>
            </w:r>
            <w:r>
              <w:rPr>
                <w:rFonts w:hint="eastAsia" w:ascii="宋体" w:hAnsi="宋体" w:cs="宋体"/>
                <w:color w:val="auto"/>
                <w:szCs w:val="21"/>
                <w:highlight w:val="none"/>
              </w:rPr>
              <w:t>对项目计划较合理；</w:t>
            </w:r>
          </w:p>
          <w:p w14:paraId="4DD6297F">
            <w:pPr>
              <w:spacing w:line="360" w:lineRule="exact"/>
              <w:ind w:firstLine="420" w:firstLineChars="200"/>
              <w:rPr>
                <w:rFonts w:hint="eastAsia" w:ascii="宋体" w:hAnsi="宋体" w:cs="宋体"/>
                <w:color w:val="auto"/>
                <w:szCs w:val="21"/>
                <w:highlight w:val="none"/>
              </w:rPr>
            </w:pPr>
            <w:r>
              <w:rPr>
                <w:rFonts w:hint="eastAsia" w:hAnsi="宋体" w:cs="宋体"/>
                <w:color w:val="auto"/>
                <w:highlight w:val="none"/>
                <w:lang w:eastAsia="zh-CN"/>
              </w:rPr>
              <w:t>四档（1</w:t>
            </w:r>
            <w:r>
              <w:rPr>
                <w:rFonts w:hint="eastAsia" w:hAnsi="宋体" w:cs="宋体"/>
                <w:color w:val="auto"/>
                <w:highlight w:val="none"/>
                <w:lang w:val="en-US" w:eastAsia="zh-CN"/>
              </w:rPr>
              <w:t>5</w:t>
            </w:r>
            <w:r>
              <w:rPr>
                <w:rFonts w:hint="eastAsia" w:hAnsi="宋体" w:cs="宋体"/>
                <w:color w:val="auto"/>
                <w:highlight w:val="none"/>
                <w:lang w:eastAsia="zh-CN"/>
              </w:rPr>
              <w:t>分）</w:t>
            </w:r>
            <w:r>
              <w:rPr>
                <w:rFonts w:hint="eastAsia" w:ascii="宋体" w:hAnsi="宋体" w:cs="宋体"/>
                <w:color w:val="auto"/>
                <w:szCs w:val="21"/>
                <w:highlight w:val="none"/>
              </w:rPr>
              <w:t>投标人对本项目服务工作量分析准确、无误，</w:t>
            </w:r>
            <w:r>
              <w:rPr>
                <w:rFonts w:hint="eastAsia" w:ascii="宋体" w:hAnsi="宋体" w:cs="宋体"/>
                <w:color w:val="auto"/>
                <w:szCs w:val="21"/>
                <w:highlight w:val="none"/>
                <w:lang w:val="en-US" w:eastAsia="zh-CN"/>
              </w:rPr>
              <w:t>成果编制、</w:t>
            </w:r>
            <w:r>
              <w:rPr>
                <w:rFonts w:hint="eastAsia" w:ascii="宋体" w:hAnsi="宋体" w:eastAsia="宋体" w:cs="宋体"/>
                <w:color w:val="auto"/>
                <w:spacing w:val="0"/>
                <w:sz w:val="21"/>
                <w:szCs w:val="21"/>
                <w:highlight w:val="none"/>
              </w:rPr>
              <w:t>测绘、地理信息、制图等相关专业</w:t>
            </w:r>
            <w:r>
              <w:rPr>
                <w:rFonts w:hint="eastAsia" w:ascii="宋体" w:hAnsi="宋体" w:eastAsia="宋体" w:cs="宋体"/>
                <w:color w:val="auto"/>
                <w:spacing w:val="0"/>
                <w:sz w:val="21"/>
                <w:szCs w:val="21"/>
                <w:highlight w:val="none"/>
                <w:lang w:val="en-US" w:eastAsia="zh-CN"/>
              </w:rPr>
              <w:t>人员</w:t>
            </w:r>
            <w:r>
              <w:rPr>
                <w:rFonts w:hint="eastAsia" w:ascii="宋体" w:hAnsi="宋体" w:cs="宋体"/>
                <w:color w:val="auto"/>
                <w:szCs w:val="21"/>
                <w:highlight w:val="none"/>
                <w:lang w:val="en-US" w:eastAsia="zh-CN"/>
              </w:rPr>
              <w:t>和</w:t>
            </w:r>
            <w:r>
              <w:rPr>
                <w:rFonts w:hint="eastAsia" w:ascii="宋体" w:hAnsi="宋体" w:eastAsia="宋体" w:cs="宋体"/>
                <w:color w:val="auto"/>
                <w:spacing w:val="0"/>
                <w:sz w:val="21"/>
                <w:szCs w:val="21"/>
                <w:highlight w:val="none"/>
              </w:rPr>
              <w:t>成果野外校核所需的专业设备</w:t>
            </w:r>
            <w:r>
              <w:rPr>
                <w:rFonts w:hint="eastAsia" w:ascii="宋体" w:hAnsi="宋体" w:cs="宋体"/>
                <w:color w:val="auto"/>
                <w:szCs w:val="21"/>
                <w:highlight w:val="none"/>
              </w:rPr>
              <w:t>投入充足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各项工作安排详细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执行方案优秀，</w:t>
            </w:r>
            <w:r>
              <w:rPr>
                <w:rFonts w:hint="eastAsia" w:ascii="宋体" w:hAnsi="宋体" w:cs="宋体"/>
                <w:color w:val="auto"/>
                <w:szCs w:val="21"/>
                <w:highlight w:val="none"/>
              </w:rPr>
              <w:t>对项目计划合理；</w:t>
            </w:r>
          </w:p>
          <w:p w14:paraId="6F1F87E9">
            <w:pPr>
              <w:spacing w:line="3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注：未提供该方案的得0分。</w:t>
            </w:r>
          </w:p>
        </w:tc>
        <w:tc>
          <w:tcPr>
            <w:tcW w:w="407" w:type="pct"/>
            <w:vAlign w:val="center"/>
          </w:tcPr>
          <w:p w14:paraId="59CEED00">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14:paraId="0AA9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648002D8">
            <w:pPr>
              <w:adjustRightInd w:val="0"/>
              <w:snapToGrid w:val="0"/>
              <w:spacing w:line="360" w:lineRule="exac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2.4</w:t>
            </w:r>
          </w:p>
        </w:tc>
        <w:tc>
          <w:tcPr>
            <w:tcW w:w="675" w:type="pct"/>
            <w:vAlign w:val="center"/>
          </w:tcPr>
          <w:p w14:paraId="4DB9CAA6">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售后服务方案</w:t>
            </w:r>
          </w:p>
        </w:tc>
        <w:tc>
          <w:tcPr>
            <w:tcW w:w="3504" w:type="pct"/>
            <w:vAlign w:val="center"/>
          </w:tcPr>
          <w:p w14:paraId="608AA15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一档（4分）：供应商能结合本项目实际情况，提出后续服务的安排和保证措施一般，方案简单一般。</w:t>
            </w:r>
          </w:p>
          <w:p w14:paraId="61855E0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二档（8分）：供应商能结合本项目实际情况，提供整体维护解决方案，有固定的售后服务场所，有售后培训，方案基本可行；</w:t>
            </w:r>
          </w:p>
          <w:p w14:paraId="024CE99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三档（12分）：供应商能结合本项目实际情况，保障措施表述较清晰、完整，提供整体维护解决方案，</w:t>
            </w:r>
            <w:r>
              <w:rPr>
                <w:rFonts w:hint="eastAsia" w:ascii="宋体" w:hAnsi="宋体" w:cs="宋体"/>
                <w:color w:val="auto"/>
                <w:szCs w:val="21"/>
                <w:highlight w:val="none"/>
                <w:lang w:val="en-US" w:eastAsia="zh-CN"/>
              </w:rPr>
              <w:t>承诺如中标后能在</w:t>
            </w:r>
            <w:r>
              <w:rPr>
                <w:rFonts w:hint="eastAsia" w:ascii="宋体" w:hAnsi="宋体" w:cs="宋体"/>
                <w:color w:val="auto"/>
                <w:szCs w:val="21"/>
                <w:highlight w:val="none"/>
              </w:rPr>
              <w:t>广西区内有固定的售后服务场所，有</w:t>
            </w:r>
            <w:r>
              <w:rPr>
                <w:rFonts w:hint="eastAsia" w:ascii="宋体" w:hAnsi="宋体" w:cs="宋体"/>
                <w:color w:val="auto"/>
                <w:szCs w:val="21"/>
                <w:highlight w:val="none"/>
                <w:lang w:val="en-US" w:eastAsia="zh-CN"/>
              </w:rPr>
              <w:t>完整的</w:t>
            </w:r>
            <w:r>
              <w:rPr>
                <w:rFonts w:hint="eastAsia" w:ascii="宋体" w:hAnsi="宋体" w:cs="宋体"/>
                <w:color w:val="auto"/>
                <w:szCs w:val="21"/>
                <w:highlight w:val="none"/>
              </w:rPr>
              <w:t>售后培训和定期回访计划，方案良好，相应保证措施较可行；</w:t>
            </w:r>
          </w:p>
          <w:p w14:paraId="057282EF">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四档（1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分）：供应商结合本项目实际情况和自身的优势条件，对本项目提出优质后续服务和合理安排，</w:t>
            </w:r>
            <w:r>
              <w:rPr>
                <w:rFonts w:hint="eastAsia" w:ascii="宋体" w:hAnsi="宋体" w:cs="宋体"/>
                <w:color w:val="auto"/>
                <w:szCs w:val="21"/>
                <w:highlight w:val="none"/>
                <w:lang w:val="en-US" w:eastAsia="zh-CN"/>
              </w:rPr>
              <w:t>承诺如中标后能在</w:t>
            </w:r>
            <w:r>
              <w:rPr>
                <w:rFonts w:hint="eastAsia" w:ascii="宋体" w:hAnsi="宋体" w:cs="宋体"/>
                <w:color w:val="auto"/>
                <w:szCs w:val="21"/>
                <w:highlight w:val="none"/>
              </w:rPr>
              <w:t>广西区内有固定的售后服务场所，能提供快速的服务响应，有良好的售后培训和定期回访计划，方案优秀，各项保证措施切实可行。</w:t>
            </w:r>
          </w:p>
          <w:p w14:paraId="3512EA6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注：未提供该方案的得0分。</w:t>
            </w:r>
          </w:p>
        </w:tc>
        <w:tc>
          <w:tcPr>
            <w:tcW w:w="407" w:type="pct"/>
            <w:vAlign w:val="center"/>
          </w:tcPr>
          <w:p w14:paraId="473AE2B3">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14:paraId="4056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399291B4">
            <w:pPr>
              <w:widowControl/>
              <w:spacing w:line="360" w:lineRule="exact"/>
              <w:ind w:firstLine="426"/>
              <w:jc w:val="center"/>
              <w:rPr>
                <w:rFonts w:ascii="宋体" w:hAnsi="宋体" w:cs="宋体"/>
                <w:bCs/>
                <w:color w:val="auto"/>
                <w:szCs w:val="21"/>
                <w:highlight w:val="none"/>
              </w:rPr>
            </w:pPr>
            <w:r>
              <w:rPr>
                <w:rFonts w:hint="eastAsia" w:ascii="宋体" w:hAnsi="宋体" w:cs="宋体"/>
                <w:b/>
                <w:bCs/>
                <w:color w:val="auto"/>
                <w:kern w:val="0"/>
                <w:szCs w:val="21"/>
                <w:highlight w:val="none"/>
              </w:rPr>
              <w:t>3</w:t>
            </w:r>
          </w:p>
        </w:tc>
        <w:tc>
          <w:tcPr>
            <w:tcW w:w="675" w:type="pct"/>
            <w:vAlign w:val="center"/>
          </w:tcPr>
          <w:p w14:paraId="62F98A36">
            <w:pPr>
              <w:widowControl/>
              <w:spacing w:line="360" w:lineRule="exact"/>
              <w:ind w:firstLine="426"/>
              <w:jc w:val="center"/>
              <w:rPr>
                <w:rFonts w:ascii="宋体" w:hAnsi="宋体" w:cs="宋体"/>
                <w:bCs/>
                <w:color w:val="auto"/>
                <w:szCs w:val="21"/>
                <w:highlight w:val="none"/>
              </w:rPr>
            </w:pPr>
            <w:r>
              <w:rPr>
                <w:rFonts w:hint="eastAsia" w:ascii="宋体" w:hAnsi="宋体" w:cs="宋体"/>
                <w:b/>
                <w:bCs/>
                <w:color w:val="auto"/>
                <w:szCs w:val="21"/>
                <w:highlight w:val="none"/>
              </w:rPr>
              <w:t>商务分</w:t>
            </w:r>
          </w:p>
        </w:tc>
        <w:tc>
          <w:tcPr>
            <w:tcW w:w="3911" w:type="pct"/>
            <w:gridSpan w:val="2"/>
            <w:vAlign w:val="center"/>
          </w:tcPr>
          <w:p w14:paraId="456284FF">
            <w:pPr>
              <w:widowControl/>
              <w:spacing w:line="360" w:lineRule="exact"/>
              <w:ind w:firstLine="426"/>
              <w:jc w:val="center"/>
              <w:rPr>
                <w:rFonts w:ascii="宋体" w:hAnsi="宋体" w:cs="宋体"/>
                <w:color w:val="auto"/>
                <w:szCs w:val="21"/>
                <w:highlight w:val="none"/>
              </w:rPr>
            </w:pPr>
            <w:r>
              <w:rPr>
                <w:rFonts w:hint="eastAsia" w:ascii="宋体" w:hAnsi="宋体" w:cs="宋体"/>
                <w:b/>
                <w:bCs/>
                <w:color w:val="auto"/>
                <w:szCs w:val="21"/>
                <w:highlight w:val="none"/>
              </w:rPr>
              <w:t>具体内容</w:t>
            </w:r>
          </w:p>
        </w:tc>
      </w:tr>
      <w:tr w14:paraId="4BDC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00E0CA22">
            <w:pPr>
              <w:widowControl/>
              <w:spacing w:line="36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3.1</w:t>
            </w:r>
          </w:p>
        </w:tc>
        <w:tc>
          <w:tcPr>
            <w:tcW w:w="675" w:type="pct"/>
            <w:vAlign w:val="center"/>
          </w:tcPr>
          <w:p w14:paraId="15937D22">
            <w:pPr>
              <w:widowControl/>
              <w:adjustRightInd w:val="0"/>
              <w:snapToGrid w:val="0"/>
              <w:spacing w:line="360" w:lineRule="exact"/>
              <w:jc w:val="center"/>
              <w:rPr>
                <w:rFonts w:ascii="宋体" w:hAnsi="宋体" w:cs="宋体"/>
                <w:bCs/>
                <w:color w:val="auto"/>
                <w:szCs w:val="21"/>
                <w:highlight w:val="none"/>
              </w:rPr>
            </w:pPr>
            <w:r>
              <w:rPr>
                <w:rFonts w:hint="eastAsia" w:ascii="宋体" w:hAnsi="宋体" w:cs="宋体"/>
                <w:color w:val="auto"/>
                <w:szCs w:val="21"/>
                <w:highlight w:val="none"/>
              </w:rPr>
              <w:t>业绩分</w:t>
            </w:r>
          </w:p>
        </w:tc>
        <w:tc>
          <w:tcPr>
            <w:tcW w:w="3504" w:type="pct"/>
          </w:tcPr>
          <w:p w14:paraId="0D067D7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投标截止时间前5年内</w:t>
            </w:r>
            <w:r>
              <w:rPr>
                <w:rFonts w:hint="eastAsia" w:ascii="宋体" w:hAnsi="宋体" w:cs="宋体"/>
                <w:color w:val="auto"/>
                <w:szCs w:val="21"/>
                <w:highlight w:val="none"/>
              </w:rPr>
              <w:t>供应商独立承担过与类似项目业绩的，每个1分，满分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301D8565">
            <w:pPr>
              <w:spacing w:line="36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rPr>
              <w:t>注：必须提供中标（成交）通知书或项目合同的原件扫描件，并加盖供应商电子公章，否则不得分。</w:t>
            </w:r>
          </w:p>
        </w:tc>
        <w:tc>
          <w:tcPr>
            <w:tcW w:w="407" w:type="pct"/>
            <w:vAlign w:val="center"/>
          </w:tcPr>
          <w:p w14:paraId="6E8D75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14:paraId="7C88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vAlign w:val="center"/>
          </w:tcPr>
          <w:p w14:paraId="3E5D2490">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675" w:type="pct"/>
            <w:vAlign w:val="center"/>
          </w:tcPr>
          <w:p w14:paraId="43C6DB30">
            <w:pPr>
              <w:widowControl/>
              <w:adjustRightInd w:val="0"/>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综合人员分</w:t>
            </w:r>
          </w:p>
        </w:tc>
        <w:tc>
          <w:tcPr>
            <w:tcW w:w="3504" w:type="pct"/>
          </w:tcPr>
          <w:p w14:paraId="222ECD87">
            <w:pPr>
              <w:numPr>
                <w:ilvl w:val="0"/>
                <w:numId w:val="5"/>
              </w:numPr>
              <w:spacing w:line="360" w:lineRule="exact"/>
              <w:ind w:firstLine="420" w:firstLineChars="200"/>
              <w:rPr>
                <w:rFonts w:hint="eastAsia" w:ascii="Times New Roman" w:hAnsi="Times New Roman"/>
                <w:color w:val="auto"/>
                <w:kern w:val="2"/>
                <w:sz w:val="21"/>
                <w:szCs w:val="24"/>
                <w:highlight w:val="none"/>
                <w:lang w:val="en-US" w:eastAsia="zh-CN"/>
              </w:rPr>
            </w:pPr>
            <w:r>
              <w:rPr>
                <w:rFonts w:hint="eastAsia" w:ascii="Times New Roman" w:hAnsi="Times New Roman"/>
                <w:color w:val="auto"/>
                <w:kern w:val="2"/>
                <w:sz w:val="21"/>
                <w:szCs w:val="24"/>
                <w:highlight w:val="none"/>
              </w:rPr>
              <w:t>项目负责人具</w:t>
            </w:r>
            <w:r>
              <w:rPr>
                <w:rFonts w:hint="eastAsia" w:ascii="Times New Roman" w:hAnsi="Times New Roman"/>
                <w:color w:val="auto"/>
                <w:kern w:val="2"/>
                <w:sz w:val="21"/>
                <w:szCs w:val="24"/>
                <w:highlight w:val="none"/>
                <w:lang w:val="en-US" w:eastAsia="zh-CN"/>
              </w:rPr>
              <w:t>有</w:t>
            </w:r>
            <w:r>
              <w:rPr>
                <w:rFonts w:hint="eastAsia" w:ascii="Times New Roman" w:hAnsi="Times New Roman"/>
                <w:color w:val="auto"/>
                <w:kern w:val="2"/>
                <w:sz w:val="21"/>
                <w:szCs w:val="24"/>
                <w:highlight w:val="none"/>
              </w:rPr>
              <w:t>铁道工程路线或站场专业教授级高级（或正高级）工程师职称的得</w:t>
            </w:r>
            <w:r>
              <w:rPr>
                <w:rFonts w:hint="eastAsia" w:ascii="Times New Roman" w:hAnsi="Times New Roman"/>
                <w:color w:val="auto"/>
                <w:kern w:val="2"/>
                <w:sz w:val="21"/>
                <w:szCs w:val="24"/>
                <w:highlight w:val="none"/>
                <w:lang w:val="en-US" w:eastAsia="zh-CN"/>
              </w:rPr>
              <w:t>2分；</w:t>
            </w:r>
          </w:p>
          <w:p w14:paraId="201142AF">
            <w:pPr>
              <w:numPr>
                <w:ilvl w:val="0"/>
                <w:numId w:val="5"/>
              </w:numPr>
              <w:spacing w:line="360" w:lineRule="exact"/>
              <w:ind w:firstLine="420" w:firstLineChars="200"/>
              <w:rPr>
                <w:rFonts w:hint="default" w:ascii="宋体" w:hAnsi="宋体" w:eastAsia="宋体" w:cs="宋体"/>
                <w:color w:val="auto"/>
                <w:szCs w:val="21"/>
                <w:highlight w:val="none"/>
                <w:lang w:val="en-US" w:eastAsia="zh-CN"/>
              </w:rPr>
            </w:pPr>
            <w:r>
              <w:rPr>
                <w:rFonts w:hint="eastAsia" w:ascii="Times New Roman" w:hAnsi="Times New Roman"/>
                <w:color w:val="auto"/>
                <w:kern w:val="2"/>
                <w:sz w:val="21"/>
                <w:szCs w:val="24"/>
                <w:highlight w:val="none"/>
              </w:rPr>
              <w:t>项目团队其他成员具</w:t>
            </w:r>
            <w:r>
              <w:rPr>
                <w:rFonts w:hint="eastAsia" w:ascii="Times New Roman" w:hAnsi="Times New Roman"/>
                <w:color w:val="auto"/>
                <w:kern w:val="2"/>
                <w:sz w:val="21"/>
                <w:szCs w:val="24"/>
                <w:highlight w:val="none"/>
                <w:lang w:val="en-US" w:eastAsia="zh-CN"/>
              </w:rPr>
              <w:t>有</w:t>
            </w:r>
            <w:r>
              <w:rPr>
                <w:rFonts w:hint="eastAsia" w:ascii="Times New Roman" w:hAnsi="Times New Roman"/>
                <w:color w:val="auto"/>
                <w:kern w:val="2"/>
                <w:sz w:val="21"/>
                <w:szCs w:val="24"/>
                <w:highlight w:val="none"/>
              </w:rPr>
              <w:t>铁道工程路线、站场、运量、行车、工经（造价）等专业高级以上职称的</w:t>
            </w:r>
            <w:r>
              <w:rPr>
                <w:rFonts w:hint="eastAsia" w:ascii="Times New Roman" w:hAnsi="Times New Roman"/>
                <w:color w:val="auto"/>
                <w:kern w:val="2"/>
                <w:sz w:val="21"/>
                <w:szCs w:val="24"/>
                <w:highlight w:val="none"/>
                <w:lang w:val="en-US" w:eastAsia="zh-CN"/>
              </w:rPr>
              <w:t>每个得1分，</w:t>
            </w:r>
            <w:r>
              <w:rPr>
                <w:rFonts w:hint="eastAsia" w:ascii="Times New Roman" w:hAnsi="Times New Roman"/>
                <w:color w:val="auto"/>
                <w:kern w:val="2"/>
                <w:sz w:val="21"/>
                <w:szCs w:val="24"/>
                <w:highlight w:val="none"/>
              </w:rPr>
              <w:t>具</w:t>
            </w:r>
            <w:r>
              <w:rPr>
                <w:rFonts w:hint="eastAsia" w:ascii="Times New Roman" w:hAnsi="Times New Roman"/>
                <w:color w:val="auto"/>
                <w:kern w:val="2"/>
                <w:sz w:val="21"/>
                <w:szCs w:val="24"/>
                <w:highlight w:val="none"/>
                <w:lang w:val="en-US" w:eastAsia="zh-CN"/>
              </w:rPr>
              <w:t>有</w:t>
            </w:r>
            <w:r>
              <w:rPr>
                <w:rFonts w:hint="eastAsia" w:ascii="Times New Roman" w:hAnsi="Times New Roman"/>
                <w:color w:val="auto"/>
                <w:kern w:val="2"/>
                <w:sz w:val="21"/>
                <w:szCs w:val="24"/>
                <w:highlight w:val="none"/>
              </w:rPr>
              <w:t>铁道工程路线、站场、运量、行车、工经（造价）等专业</w:t>
            </w:r>
            <w:r>
              <w:rPr>
                <w:rFonts w:hint="eastAsia" w:ascii="Times New Roman" w:hAnsi="Times New Roman"/>
                <w:color w:val="auto"/>
                <w:kern w:val="2"/>
                <w:sz w:val="21"/>
                <w:szCs w:val="24"/>
                <w:highlight w:val="none"/>
                <w:lang w:val="en-US" w:eastAsia="zh-CN"/>
              </w:rPr>
              <w:t>中级</w:t>
            </w:r>
            <w:r>
              <w:rPr>
                <w:rFonts w:hint="eastAsia" w:ascii="Times New Roman" w:hAnsi="Times New Roman"/>
                <w:color w:val="auto"/>
                <w:kern w:val="2"/>
                <w:sz w:val="21"/>
                <w:szCs w:val="24"/>
                <w:highlight w:val="none"/>
              </w:rPr>
              <w:t>职称的</w:t>
            </w:r>
            <w:r>
              <w:rPr>
                <w:rFonts w:hint="eastAsia" w:ascii="Times New Roman" w:hAnsi="Times New Roman"/>
                <w:color w:val="auto"/>
                <w:kern w:val="2"/>
                <w:sz w:val="21"/>
                <w:szCs w:val="24"/>
                <w:highlight w:val="none"/>
                <w:lang w:val="en-US" w:eastAsia="zh-CN"/>
              </w:rPr>
              <w:t>每个得</w:t>
            </w:r>
            <w:r>
              <w:rPr>
                <w:rFonts w:hint="eastAsia"/>
                <w:color w:val="auto"/>
                <w:kern w:val="2"/>
                <w:sz w:val="21"/>
                <w:szCs w:val="24"/>
                <w:highlight w:val="none"/>
                <w:lang w:val="en-US" w:eastAsia="zh-CN"/>
              </w:rPr>
              <w:t>0.5</w:t>
            </w:r>
            <w:r>
              <w:rPr>
                <w:rFonts w:hint="eastAsia" w:ascii="Times New Roman" w:hAnsi="Times New Roman"/>
                <w:color w:val="auto"/>
                <w:kern w:val="2"/>
                <w:sz w:val="21"/>
                <w:szCs w:val="24"/>
                <w:highlight w:val="none"/>
                <w:lang w:val="en-US" w:eastAsia="zh-CN"/>
              </w:rPr>
              <w:t>分</w:t>
            </w:r>
            <w:r>
              <w:rPr>
                <w:rFonts w:hint="eastAsia"/>
                <w:color w:val="auto"/>
                <w:kern w:val="2"/>
                <w:sz w:val="21"/>
                <w:szCs w:val="24"/>
                <w:highlight w:val="none"/>
                <w:lang w:val="en-US" w:eastAsia="zh-CN"/>
              </w:rPr>
              <w:t>，</w:t>
            </w:r>
            <w:r>
              <w:rPr>
                <w:rFonts w:hint="eastAsia" w:ascii="Times New Roman" w:hAnsi="Times New Roman"/>
                <w:color w:val="auto"/>
                <w:kern w:val="2"/>
                <w:sz w:val="21"/>
                <w:szCs w:val="24"/>
                <w:highlight w:val="none"/>
                <w:lang w:val="en-US" w:eastAsia="zh-CN"/>
              </w:rPr>
              <w:t>本项目满分</w:t>
            </w:r>
            <w:r>
              <w:rPr>
                <w:rFonts w:hint="eastAsia"/>
                <w:color w:val="auto"/>
                <w:kern w:val="2"/>
                <w:sz w:val="21"/>
                <w:szCs w:val="24"/>
                <w:highlight w:val="none"/>
                <w:lang w:val="en-US" w:eastAsia="zh-CN"/>
              </w:rPr>
              <w:t>8</w:t>
            </w:r>
            <w:r>
              <w:rPr>
                <w:rFonts w:hint="eastAsia" w:ascii="Times New Roman" w:hAnsi="Times New Roman"/>
                <w:color w:val="auto"/>
                <w:kern w:val="2"/>
                <w:sz w:val="21"/>
                <w:szCs w:val="24"/>
                <w:highlight w:val="none"/>
                <w:lang w:val="en-US" w:eastAsia="zh-CN"/>
              </w:rPr>
              <w:t>分。</w:t>
            </w:r>
            <w:r>
              <w:rPr>
                <w:rFonts w:hint="eastAsia" w:ascii="宋体" w:hAnsi="宋体" w:cs="宋体"/>
                <w:bCs/>
                <w:color w:val="auto"/>
                <w:szCs w:val="21"/>
                <w:highlight w:val="none"/>
                <w:lang w:val="en-US" w:eastAsia="zh-CN"/>
              </w:rPr>
              <w:t>（</w:t>
            </w:r>
            <w:r>
              <w:rPr>
                <w:rFonts w:hint="eastAsia" w:ascii="宋体" w:hAnsi="宋体" w:cs="宋体"/>
                <w:color w:val="auto"/>
                <w:szCs w:val="21"/>
                <w:highlight w:val="none"/>
              </w:rPr>
              <w:t>注：以上所有投入人员必须是供应商本单位人员（须提供供应商为拟投入人员缴纳的截标时间前半年内任意</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个月社保金缴纳证明复印件</w:t>
            </w:r>
            <w:r>
              <w:rPr>
                <w:rFonts w:hint="eastAsia" w:ascii="宋体" w:hAnsi="宋体" w:cs="宋体"/>
                <w:color w:val="auto"/>
                <w:szCs w:val="21"/>
                <w:highlight w:val="none"/>
                <w:lang w:val="en-US" w:eastAsia="zh-CN"/>
              </w:rPr>
              <w:t>或在职证明</w:t>
            </w:r>
            <w:r>
              <w:rPr>
                <w:rFonts w:hint="eastAsia" w:ascii="宋体" w:hAnsi="宋体" w:cs="宋体"/>
                <w:color w:val="auto"/>
                <w:szCs w:val="21"/>
                <w:highlight w:val="none"/>
              </w:rPr>
              <w:t>），必须提供相应的职称证、身份证等原件扫描件，否则不得分。</w:t>
            </w:r>
            <w:r>
              <w:rPr>
                <w:rFonts w:hint="eastAsia" w:ascii="宋体" w:hAnsi="宋体" w:cs="宋体"/>
                <w:bCs/>
                <w:color w:val="auto"/>
                <w:szCs w:val="21"/>
                <w:highlight w:val="none"/>
                <w:lang w:val="en-US" w:eastAsia="zh-CN"/>
              </w:rPr>
              <w:t>）</w:t>
            </w:r>
          </w:p>
        </w:tc>
        <w:tc>
          <w:tcPr>
            <w:tcW w:w="407" w:type="pct"/>
            <w:vAlign w:val="center"/>
          </w:tcPr>
          <w:p w14:paraId="39A601ED">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10分</w:t>
            </w:r>
          </w:p>
        </w:tc>
      </w:tr>
      <w:tr w14:paraId="5E0C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592" w:type="pct"/>
            <w:gridSpan w:val="3"/>
            <w:vAlign w:val="center"/>
          </w:tcPr>
          <w:p w14:paraId="52DE9737">
            <w:pPr>
              <w:pStyle w:val="27"/>
              <w:spacing w:line="360" w:lineRule="exact"/>
              <w:ind w:firstLine="424"/>
              <w:rPr>
                <w:rFonts w:hAnsi="宋体" w:cs="宋体"/>
                <w:bCs/>
                <w:color w:val="auto"/>
                <w:sz w:val="21"/>
                <w:highlight w:val="none"/>
              </w:rPr>
            </w:pPr>
            <w:r>
              <w:rPr>
                <w:rFonts w:hint="eastAsia" w:hAnsi="宋体" w:cs="宋体"/>
                <w:bCs/>
                <w:color w:val="auto"/>
                <w:sz w:val="21"/>
                <w:highlight w:val="none"/>
              </w:rPr>
              <w:t>总得分＝1＋2＋3</w:t>
            </w:r>
          </w:p>
        </w:tc>
        <w:tc>
          <w:tcPr>
            <w:tcW w:w="407" w:type="pct"/>
            <w:vAlign w:val="center"/>
          </w:tcPr>
          <w:p w14:paraId="29806F03">
            <w:pPr>
              <w:pStyle w:val="27"/>
              <w:spacing w:line="360" w:lineRule="exact"/>
              <w:jc w:val="center"/>
              <w:rPr>
                <w:rFonts w:hAnsi="宋体" w:cs="宋体"/>
                <w:bCs/>
                <w:color w:val="auto"/>
                <w:sz w:val="21"/>
                <w:highlight w:val="none"/>
              </w:rPr>
            </w:pPr>
            <w:r>
              <w:rPr>
                <w:rFonts w:hint="eastAsia" w:hAnsi="宋体" w:cs="宋体"/>
                <w:bCs/>
                <w:color w:val="auto"/>
                <w:sz w:val="21"/>
                <w:highlight w:val="none"/>
              </w:rPr>
              <w:t>100分</w:t>
            </w:r>
          </w:p>
        </w:tc>
      </w:tr>
    </w:tbl>
    <w:p w14:paraId="6F3BBFE8">
      <w:pPr>
        <w:spacing w:line="360" w:lineRule="auto"/>
        <w:ind w:firstLine="649"/>
        <w:rPr>
          <w:rFonts w:ascii="宋体" w:hAnsi="宋体" w:cs="宋体"/>
          <w:b/>
          <w:color w:val="auto"/>
          <w:sz w:val="32"/>
          <w:szCs w:val="32"/>
          <w:highlight w:val="none"/>
        </w:rPr>
      </w:pPr>
    </w:p>
    <w:p w14:paraId="0058D344">
      <w:pPr>
        <w:spacing w:line="360" w:lineRule="auto"/>
        <w:ind w:firstLine="649"/>
        <w:rPr>
          <w:rFonts w:ascii="宋体" w:hAnsi="宋体" w:cs="宋体"/>
          <w:b/>
          <w:color w:val="auto"/>
          <w:sz w:val="32"/>
          <w:szCs w:val="32"/>
          <w:highlight w:val="none"/>
        </w:rPr>
      </w:pPr>
    </w:p>
    <w:p w14:paraId="4C8CC4AD">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三、评标报告</w:t>
      </w:r>
    </w:p>
    <w:p w14:paraId="5ACE51C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1.成交标准</w:t>
      </w:r>
    </w:p>
    <w:p w14:paraId="6ECA6AA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475C55A5">
      <w:pPr>
        <w:pStyle w:val="62"/>
        <w:ind w:firstLine="915"/>
        <w:rPr>
          <w:color w:val="auto"/>
          <w:highlight w:val="none"/>
        </w:rPr>
      </w:pPr>
    </w:p>
    <w:p w14:paraId="0574D59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2.评标争议事项处理</w:t>
      </w:r>
    </w:p>
    <w:p w14:paraId="0FF3B9C6">
      <w:pPr>
        <w:pStyle w:val="179"/>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FC807C1">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四、 评审过程的保密与录像</w:t>
      </w:r>
    </w:p>
    <w:p w14:paraId="73DA119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1.保密。</w:t>
      </w:r>
    </w:p>
    <w:p w14:paraId="75851578">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A5E2C9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2.录音录像。</w:t>
      </w:r>
    </w:p>
    <w:p w14:paraId="4C140406">
      <w:pPr>
        <w:pStyle w:val="179"/>
        <w:spacing w:before="0"/>
        <w:ind w:firstLine="420"/>
        <w:rPr>
          <w:rFonts w:ascii="宋体" w:hAnsi="宋体" w:cs="宋体"/>
          <w:color w:val="auto"/>
          <w:highlight w:val="none"/>
        </w:rPr>
      </w:pPr>
      <w:r>
        <w:rPr>
          <w:rFonts w:hint="eastAsia" w:ascii="宋体" w:hAnsi="宋体" w:cs="宋体"/>
          <w:color w:val="auto"/>
          <w:kern w:val="2"/>
          <w:sz w:val="21"/>
          <w:szCs w:val="24"/>
          <w:highlight w:val="none"/>
        </w:rPr>
        <w:t>采购代理机构对评审工作现场及操作屏幕进行全过程录音录像，录音录像资料作为采购项目文件随其他文件一并存档。</w:t>
      </w:r>
      <w:bookmarkEnd w:id="95"/>
      <w:bookmarkEnd w:id="96"/>
      <w:bookmarkEnd w:id="97"/>
      <w:bookmarkEnd w:id="98"/>
      <w:bookmarkEnd w:id="99"/>
      <w:r>
        <w:rPr>
          <w:rFonts w:ascii="宋体" w:hAnsi="宋体" w:cs="宋体"/>
          <w:color w:val="auto"/>
          <w:highlight w:val="none"/>
        </w:rPr>
        <w:br w:type="page"/>
      </w:r>
    </w:p>
    <w:p w14:paraId="3E3DBBAD">
      <w:pPr>
        <w:spacing w:line="360" w:lineRule="auto"/>
        <w:ind w:firstLine="568"/>
        <w:outlineLvl w:val="0"/>
        <w:rPr>
          <w:rFonts w:ascii="宋体" w:hAnsi="宋体" w:cs="宋体"/>
          <w:color w:val="auto"/>
          <w:highlight w:val="none"/>
        </w:rPr>
      </w:pPr>
      <w:bookmarkStart w:id="100" w:name="_Toc29707"/>
      <w:bookmarkStart w:id="101" w:name="_Toc29846"/>
      <w:bookmarkStart w:id="102" w:name="_Toc27852"/>
      <w:bookmarkStart w:id="103" w:name="_Toc44229897"/>
      <w:bookmarkStart w:id="104" w:name="_Toc10156"/>
      <w:r>
        <w:rPr>
          <w:b/>
          <w:color w:val="auto"/>
          <w:kern w:val="0"/>
          <w:sz w:val="28"/>
          <w:szCs w:val="20"/>
          <w:highlight w:val="none"/>
        </w:rPr>
        <w:t>第五章 响应文件格式</w:t>
      </w:r>
      <w:bookmarkEnd w:id="100"/>
      <w:bookmarkEnd w:id="101"/>
      <w:bookmarkEnd w:id="102"/>
      <w:bookmarkEnd w:id="103"/>
      <w:bookmarkEnd w:id="104"/>
    </w:p>
    <w:p w14:paraId="670772C3">
      <w:pPr>
        <w:snapToGrid w:val="0"/>
        <w:spacing w:beforeLines="50" w:after="50" w:line="360" w:lineRule="auto"/>
        <w:ind w:firstLine="649"/>
        <w:outlineLvl w:val="1"/>
        <w:rPr>
          <w:rFonts w:ascii="宋体" w:hAnsi="宋体" w:cs="宋体"/>
          <w:b/>
          <w:bCs/>
          <w:color w:val="auto"/>
          <w:sz w:val="32"/>
          <w:szCs w:val="32"/>
          <w:highlight w:val="none"/>
        </w:rPr>
      </w:pPr>
      <w:bookmarkStart w:id="105" w:name="_Toc35611438"/>
      <w:bookmarkStart w:id="106" w:name="_Toc31728084"/>
      <w:bookmarkStart w:id="107" w:name="_Toc7837"/>
      <w:bookmarkStart w:id="108" w:name="_Toc44229899"/>
      <w:bookmarkStart w:id="109" w:name="_Toc24563"/>
      <w:bookmarkStart w:id="110" w:name="_Toc35611516"/>
      <w:bookmarkStart w:id="111" w:name="_Toc11614"/>
      <w:bookmarkStart w:id="112" w:name="_Toc24930"/>
      <w:bookmarkStart w:id="113" w:name="_Toc31723070"/>
      <w:r>
        <w:rPr>
          <w:rFonts w:hint="eastAsia" w:ascii="宋体" w:hAnsi="宋体" w:cs="宋体"/>
          <w:b/>
          <w:bCs/>
          <w:color w:val="auto"/>
          <w:sz w:val="32"/>
          <w:szCs w:val="32"/>
          <w:highlight w:val="none"/>
        </w:rPr>
        <w:t>一、资格证明文件格式</w:t>
      </w:r>
      <w:bookmarkEnd w:id="105"/>
      <w:bookmarkEnd w:id="106"/>
      <w:bookmarkEnd w:id="107"/>
      <w:bookmarkEnd w:id="108"/>
      <w:bookmarkEnd w:id="109"/>
      <w:bookmarkEnd w:id="110"/>
      <w:bookmarkEnd w:id="111"/>
      <w:bookmarkEnd w:id="112"/>
      <w:bookmarkEnd w:id="113"/>
    </w:p>
    <w:p w14:paraId="7D30C4A5">
      <w:pPr>
        <w:snapToGrid w:val="0"/>
        <w:spacing w:beforeLines="50" w:after="50"/>
        <w:ind w:firstLine="649"/>
        <w:rPr>
          <w:rFonts w:ascii="宋体" w:hAnsi="宋体" w:cs="宋体"/>
          <w:b/>
          <w:color w:val="auto"/>
          <w:sz w:val="32"/>
          <w:szCs w:val="32"/>
          <w:highlight w:val="none"/>
        </w:rPr>
      </w:pPr>
    </w:p>
    <w:p w14:paraId="6F49B9CF">
      <w:pPr>
        <w:snapToGrid w:val="0"/>
        <w:spacing w:beforeLines="50" w:after="50"/>
        <w:rPr>
          <w:rFonts w:ascii="宋体" w:hAnsi="宋体" w:cs="宋体"/>
          <w:bCs/>
          <w:color w:val="auto"/>
          <w:sz w:val="32"/>
          <w:szCs w:val="20"/>
          <w:highlight w:val="none"/>
        </w:rPr>
      </w:pPr>
      <w:r>
        <w:rPr>
          <w:rFonts w:hint="eastAsia" w:ascii="宋体" w:hAnsi="宋体" w:cs="宋体"/>
          <w:bCs/>
          <w:color w:val="auto"/>
          <w:highlight w:val="none"/>
        </w:rPr>
        <w:t>电子响应文件</w:t>
      </w:r>
    </w:p>
    <w:p w14:paraId="05E45878">
      <w:pPr>
        <w:snapToGrid w:val="0"/>
        <w:spacing w:beforeLines="50" w:after="50" w:line="360" w:lineRule="auto"/>
        <w:ind w:firstLine="485"/>
        <w:rPr>
          <w:rFonts w:ascii="宋体" w:hAnsi="宋体" w:cs="宋体"/>
          <w:color w:val="auto"/>
          <w:sz w:val="24"/>
          <w:szCs w:val="20"/>
          <w:highlight w:val="none"/>
        </w:rPr>
      </w:pPr>
    </w:p>
    <w:p w14:paraId="16D19306">
      <w:pPr>
        <w:snapToGrid w:val="0"/>
        <w:spacing w:beforeLines="50" w:after="50" w:line="360" w:lineRule="auto"/>
        <w:ind w:firstLine="485"/>
        <w:rPr>
          <w:rFonts w:ascii="宋体" w:hAnsi="宋体" w:cs="宋体"/>
          <w:color w:val="auto"/>
          <w:sz w:val="24"/>
          <w:szCs w:val="20"/>
          <w:highlight w:val="none"/>
        </w:rPr>
      </w:pPr>
    </w:p>
    <w:p w14:paraId="0247A24E">
      <w:pPr>
        <w:snapToGrid w:val="0"/>
        <w:spacing w:beforeLines="50" w:after="50" w:line="360" w:lineRule="auto"/>
        <w:ind w:firstLine="889"/>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r>
        <w:rPr>
          <w:rFonts w:hint="eastAsia" w:ascii="宋体" w:hAnsi="宋体" w:cs="宋体"/>
          <w:color w:val="auto"/>
          <w:szCs w:val="21"/>
          <w:highlight w:val="none"/>
        </w:rPr>
        <w:t>(封面)</w:t>
      </w:r>
    </w:p>
    <w:p w14:paraId="0189C11E">
      <w:pPr>
        <w:snapToGrid w:val="0"/>
        <w:spacing w:beforeLines="50" w:after="50" w:line="360" w:lineRule="auto"/>
        <w:ind w:firstLine="485"/>
        <w:rPr>
          <w:rFonts w:ascii="宋体" w:hAnsi="宋体" w:cs="宋体"/>
          <w:bCs/>
          <w:color w:val="auto"/>
          <w:sz w:val="24"/>
          <w:szCs w:val="20"/>
          <w:highlight w:val="none"/>
        </w:rPr>
      </w:pPr>
    </w:p>
    <w:p w14:paraId="1ACCCF16">
      <w:pPr>
        <w:snapToGrid w:val="0"/>
        <w:spacing w:beforeLines="50" w:after="50" w:line="360" w:lineRule="auto"/>
        <w:ind w:firstLine="485"/>
        <w:rPr>
          <w:rFonts w:ascii="宋体" w:hAnsi="宋体" w:cs="宋体"/>
          <w:bCs/>
          <w:color w:val="auto"/>
          <w:sz w:val="24"/>
          <w:szCs w:val="20"/>
          <w:highlight w:val="none"/>
        </w:rPr>
      </w:pPr>
    </w:p>
    <w:p w14:paraId="164F52E2">
      <w:pPr>
        <w:snapToGrid w:val="0"/>
        <w:spacing w:beforeLines="50" w:after="50" w:line="360" w:lineRule="auto"/>
        <w:ind w:firstLine="485"/>
        <w:rPr>
          <w:rFonts w:ascii="宋体" w:hAnsi="宋体" w:cs="宋体"/>
          <w:bCs/>
          <w:color w:val="auto"/>
          <w:sz w:val="24"/>
          <w:szCs w:val="20"/>
          <w:highlight w:val="none"/>
        </w:rPr>
      </w:pPr>
    </w:p>
    <w:p w14:paraId="5FF8F0B6">
      <w:pPr>
        <w:snapToGrid w:val="0"/>
        <w:spacing w:beforeLines="50" w:after="50" w:line="360" w:lineRule="auto"/>
        <w:ind w:firstLine="485"/>
        <w:rPr>
          <w:rFonts w:ascii="宋体" w:hAnsi="宋体" w:cs="宋体"/>
          <w:bCs/>
          <w:color w:val="auto"/>
          <w:sz w:val="24"/>
          <w:szCs w:val="20"/>
          <w:highlight w:val="none"/>
        </w:rPr>
      </w:pPr>
    </w:p>
    <w:p w14:paraId="264B9433">
      <w:pPr>
        <w:snapToGrid w:val="0"/>
        <w:spacing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48309855">
      <w:pPr>
        <w:snapToGrid w:val="0"/>
        <w:spacing w:beforeLines="50" w:after="50" w:line="360" w:lineRule="auto"/>
        <w:ind w:firstLine="630" w:firstLineChars="225"/>
        <w:rPr>
          <w:rFonts w:ascii="宋体" w:hAnsi="宋体" w:cs="宋体"/>
          <w:bCs/>
          <w:color w:val="auto"/>
          <w:sz w:val="28"/>
          <w:szCs w:val="28"/>
          <w:highlight w:val="none"/>
        </w:rPr>
      </w:pPr>
    </w:p>
    <w:p w14:paraId="4FE9D650">
      <w:pPr>
        <w:snapToGrid w:val="0"/>
        <w:spacing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33BEDFA0">
      <w:pPr>
        <w:snapToGrid w:val="0"/>
        <w:spacing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58F78F77">
      <w:pPr>
        <w:snapToGrid w:val="0"/>
        <w:spacing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149F74BB">
      <w:pPr>
        <w:snapToGrid w:val="0"/>
        <w:spacing w:beforeLines="50" w:after="50" w:line="360" w:lineRule="auto"/>
        <w:ind w:firstLine="630" w:firstLineChars="225"/>
        <w:rPr>
          <w:rFonts w:ascii="宋体" w:hAnsi="宋体" w:cs="宋体"/>
          <w:bCs/>
          <w:color w:val="auto"/>
          <w:sz w:val="28"/>
          <w:szCs w:val="28"/>
          <w:highlight w:val="none"/>
        </w:rPr>
      </w:pPr>
    </w:p>
    <w:p w14:paraId="7F895AA7">
      <w:pPr>
        <w:pStyle w:val="7"/>
        <w:rPr>
          <w:color w:val="auto"/>
          <w:highlight w:val="none"/>
        </w:rPr>
      </w:pPr>
      <w:r>
        <w:rPr>
          <w:rFonts w:hint="eastAsia"/>
          <w:color w:val="auto"/>
          <w:highlight w:val="none"/>
        </w:rPr>
        <w:t>供应商名称：</w:t>
      </w:r>
    </w:p>
    <w:p w14:paraId="7335538A">
      <w:pPr>
        <w:pStyle w:val="7"/>
        <w:rPr>
          <w:color w:val="auto"/>
          <w:highlight w:val="none"/>
        </w:rPr>
      </w:pPr>
    </w:p>
    <w:p w14:paraId="3A07DA46">
      <w:pPr>
        <w:snapToGrid w:val="0"/>
        <w:spacing w:beforeLines="50" w:after="50" w:line="360" w:lineRule="auto"/>
        <w:ind w:firstLine="566"/>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416C0186">
      <w:pPr>
        <w:snapToGrid w:val="0"/>
        <w:spacing w:beforeLines="50" w:after="50" w:line="360" w:lineRule="auto"/>
        <w:ind w:left="142" w:firstLine="485"/>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3C3CB1B2">
      <w:pPr>
        <w:snapToGrid w:val="0"/>
        <w:spacing w:beforeLines="50" w:after="50" w:line="360" w:lineRule="auto"/>
        <w:ind w:firstLine="566"/>
        <w:rPr>
          <w:rFonts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14:paraId="641E1BE0">
      <w:pPr>
        <w:snapToGrid w:val="0"/>
        <w:spacing w:beforeLines="50" w:after="50" w:line="360" w:lineRule="auto"/>
        <w:ind w:firstLine="485"/>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1A53FA91">
      <w:pPr>
        <w:pStyle w:val="63"/>
        <w:ind w:firstLine="480"/>
        <w:rPr>
          <w:rFonts w:ascii="宋体" w:hAnsi="宋体" w:cs="宋体"/>
          <w:color w:val="auto"/>
          <w:sz w:val="24"/>
          <w:szCs w:val="20"/>
          <w:highlight w:val="none"/>
        </w:rPr>
      </w:pPr>
    </w:p>
    <w:p w14:paraId="0498141E">
      <w:pPr>
        <w:pStyle w:val="63"/>
        <w:ind w:firstLine="480"/>
        <w:rPr>
          <w:rFonts w:ascii="宋体" w:hAnsi="宋体" w:cs="宋体"/>
          <w:color w:val="auto"/>
          <w:sz w:val="24"/>
          <w:szCs w:val="20"/>
          <w:highlight w:val="none"/>
        </w:rPr>
      </w:pPr>
    </w:p>
    <w:p w14:paraId="54DEB407">
      <w:pPr>
        <w:pStyle w:val="63"/>
        <w:ind w:firstLine="480"/>
        <w:rPr>
          <w:rFonts w:ascii="宋体" w:hAnsi="宋体" w:cs="宋体"/>
          <w:color w:val="auto"/>
          <w:sz w:val="24"/>
          <w:szCs w:val="20"/>
          <w:highlight w:val="none"/>
        </w:rPr>
      </w:pPr>
    </w:p>
    <w:p w14:paraId="3826A6E8">
      <w:pPr>
        <w:pStyle w:val="63"/>
        <w:ind w:firstLine="480"/>
        <w:rPr>
          <w:rFonts w:ascii="宋体" w:hAnsi="宋体" w:cs="宋体"/>
          <w:color w:val="auto"/>
          <w:sz w:val="24"/>
          <w:szCs w:val="20"/>
          <w:highlight w:val="none"/>
        </w:rPr>
      </w:pPr>
    </w:p>
    <w:p w14:paraId="6C8F3E3D">
      <w:pPr>
        <w:pStyle w:val="63"/>
        <w:ind w:firstLine="480"/>
        <w:rPr>
          <w:rFonts w:ascii="宋体" w:hAnsi="宋体" w:cs="宋体"/>
          <w:color w:val="auto"/>
          <w:sz w:val="24"/>
          <w:szCs w:val="20"/>
          <w:highlight w:val="none"/>
        </w:rPr>
      </w:pPr>
    </w:p>
    <w:p w14:paraId="243F77A3">
      <w:pPr>
        <w:pStyle w:val="63"/>
        <w:ind w:firstLine="480"/>
        <w:rPr>
          <w:rFonts w:ascii="宋体" w:hAnsi="宋体" w:cs="宋体"/>
          <w:color w:val="auto"/>
          <w:sz w:val="24"/>
          <w:szCs w:val="20"/>
          <w:highlight w:val="none"/>
        </w:rPr>
      </w:pPr>
    </w:p>
    <w:p w14:paraId="58A4AC84">
      <w:pPr>
        <w:pStyle w:val="63"/>
        <w:ind w:firstLine="480"/>
        <w:rPr>
          <w:rFonts w:ascii="宋体" w:hAnsi="宋体" w:cs="宋体"/>
          <w:color w:val="auto"/>
          <w:sz w:val="24"/>
          <w:szCs w:val="20"/>
          <w:highlight w:val="none"/>
        </w:rPr>
      </w:pPr>
    </w:p>
    <w:p w14:paraId="142ED3A4">
      <w:pPr>
        <w:pStyle w:val="63"/>
        <w:ind w:firstLine="480"/>
        <w:rPr>
          <w:rFonts w:ascii="宋体" w:hAnsi="宋体" w:cs="宋体"/>
          <w:color w:val="auto"/>
          <w:sz w:val="24"/>
          <w:szCs w:val="20"/>
          <w:highlight w:val="none"/>
        </w:rPr>
      </w:pPr>
    </w:p>
    <w:p w14:paraId="052BD467">
      <w:pPr>
        <w:pStyle w:val="63"/>
        <w:ind w:firstLine="480"/>
        <w:rPr>
          <w:rFonts w:ascii="宋体" w:hAnsi="宋体" w:cs="宋体"/>
          <w:color w:val="auto"/>
          <w:sz w:val="24"/>
          <w:szCs w:val="20"/>
          <w:highlight w:val="none"/>
        </w:rPr>
      </w:pPr>
    </w:p>
    <w:p w14:paraId="78D190DC">
      <w:pPr>
        <w:pStyle w:val="63"/>
        <w:ind w:firstLine="480"/>
        <w:rPr>
          <w:rFonts w:ascii="宋体" w:hAnsi="宋体" w:cs="宋体"/>
          <w:color w:val="auto"/>
          <w:sz w:val="24"/>
          <w:szCs w:val="20"/>
          <w:highlight w:val="none"/>
        </w:rPr>
      </w:pPr>
    </w:p>
    <w:p w14:paraId="79F959D5">
      <w:pPr>
        <w:pStyle w:val="63"/>
        <w:ind w:firstLine="480"/>
        <w:rPr>
          <w:rFonts w:ascii="宋体" w:hAnsi="宋体" w:cs="宋体"/>
          <w:color w:val="auto"/>
          <w:sz w:val="24"/>
          <w:szCs w:val="20"/>
          <w:highlight w:val="none"/>
        </w:rPr>
      </w:pPr>
    </w:p>
    <w:p w14:paraId="5184B5C2">
      <w:pPr>
        <w:pStyle w:val="63"/>
        <w:ind w:firstLine="480"/>
        <w:rPr>
          <w:rFonts w:ascii="宋体" w:hAnsi="宋体" w:cs="宋体"/>
          <w:color w:val="auto"/>
          <w:sz w:val="24"/>
          <w:szCs w:val="20"/>
          <w:highlight w:val="none"/>
        </w:rPr>
      </w:pPr>
    </w:p>
    <w:p w14:paraId="3F121960">
      <w:pPr>
        <w:pStyle w:val="63"/>
        <w:ind w:firstLine="480"/>
        <w:rPr>
          <w:rFonts w:ascii="宋体" w:hAnsi="宋体" w:cs="宋体"/>
          <w:color w:val="auto"/>
          <w:sz w:val="24"/>
          <w:szCs w:val="20"/>
          <w:highlight w:val="none"/>
        </w:rPr>
      </w:pPr>
    </w:p>
    <w:p w14:paraId="218F1ACC">
      <w:pPr>
        <w:pStyle w:val="63"/>
        <w:ind w:firstLine="480"/>
        <w:rPr>
          <w:rFonts w:ascii="宋体" w:hAnsi="宋体" w:cs="宋体"/>
          <w:color w:val="auto"/>
          <w:sz w:val="24"/>
          <w:szCs w:val="20"/>
          <w:highlight w:val="none"/>
        </w:rPr>
      </w:pPr>
    </w:p>
    <w:p w14:paraId="7FC864A3">
      <w:pPr>
        <w:pStyle w:val="63"/>
        <w:ind w:firstLine="480"/>
        <w:rPr>
          <w:rFonts w:ascii="宋体" w:hAnsi="宋体" w:cs="宋体"/>
          <w:color w:val="auto"/>
          <w:sz w:val="24"/>
          <w:szCs w:val="20"/>
          <w:highlight w:val="none"/>
        </w:rPr>
      </w:pPr>
    </w:p>
    <w:p w14:paraId="31F992E7">
      <w:pPr>
        <w:pStyle w:val="63"/>
        <w:ind w:firstLine="480"/>
        <w:rPr>
          <w:rFonts w:ascii="宋体" w:hAnsi="宋体" w:cs="宋体"/>
          <w:color w:val="auto"/>
          <w:sz w:val="24"/>
          <w:szCs w:val="20"/>
          <w:highlight w:val="none"/>
        </w:rPr>
      </w:pPr>
    </w:p>
    <w:p w14:paraId="63E5A515">
      <w:pPr>
        <w:pStyle w:val="63"/>
        <w:ind w:firstLine="480"/>
        <w:rPr>
          <w:rFonts w:ascii="宋体" w:hAnsi="宋体" w:cs="宋体"/>
          <w:color w:val="auto"/>
          <w:sz w:val="24"/>
          <w:szCs w:val="20"/>
          <w:highlight w:val="none"/>
        </w:rPr>
      </w:pPr>
    </w:p>
    <w:p w14:paraId="0248EF8C">
      <w:pPr>
        <w:pStyle w:val="63"/>
        <w:ind w:firstLine="480"/>
        <w:rPr>
          <w:rFonts w:ascii="宋体" w:hAnsi="宋体" w:cs="宋体"/>
          <w:color w:val="auto"/>
          <w:sz w:val="24"/>
          <w:szCs w:val="20"/>
          <w:highlight w:val="none"/>
        </w:rPr>
      </w:pPr>
    </w:p>
    <w:p w14:paraId="47A356DC">
      <w:pPr>
        <w:pStyle w:val="63"/>
        <w:ind w:firstLine="480"/>
        <w:rPr>
          <w:rFonts w:ascii="宋体" w:hAnsi="宋体" w:cs="宋体"/>
          <w:color w:val="auto"/>
          <w:sz w:val="24"/>
          <w:szCs w:val="20"/>
          <w:highlight w:val="none"/>
        </w:rPr>
      </w:pPr>
    </w:p>
    <w:p w14:paraId="095DB04C">
      <w:pPr>
        <w:pStyle w:val="63"/>
        <w:ind w:firstLine="480"/>
        <w:rPr>
          <w:rFonts w:ascii="宋体" w:hAnsi="宋体" w:cs="宋体"/>
          <w:color w:val="auto"/>
          <w:sz w:val="24"/>
          <w:szCs w:val="20"/>
          <w:highlight w:val="none"/>
        </w:rPr>
      </w:pPr>
    </w:p>
    <w:p w14:paraId="2F409E04">
      <w:pPr>
        <w:pStyle w:val="63"/>
        <w:ind w:firstLine="480"/>
        <w:rPr>
          <w:rFonts w:ascii="宋体" w:hAnsi="宋体" w:cs="宋体"/>
          <w:color w:val="auto"/>
          <w:sz w:val="24"/>
          <w:szCs w:val="20"/>
          <w:highlight w:val="none"/>
        </w:rPr>
      </w:pPr>
    </w:p>
    <w:p w14:paraId="1E2D3D81">
      <w:pPr>
        <w:pStyle w:val="63"/>
        <w:ind w:firstLine="480"/>
        <w:rPr>
          <w:rFonts w:ascii="宋体" w:hAnsi="宋体" w:cs="宋体"/>
          <w:color w:val="auto"/>
          <w:sz w:val="24"/>
          <w:szCs w:val="20"/>
          <w:highlight w:val="none"/>
        </w:rPr>
      </w:pPr>
    </w:p>
    <w:p w14:paraId="62D8FCD0">
      <w:pPr>
        <w:pStyle w:val="63"/>
        <w:ind w:firstLine="480"/>
        <w:rPr>
          <w:rFonts w:ascii="宋体" w:hAnsi="宋体" w:cs="宋体"/>
          <w:color w:val="auto"/>
          <w:sz w:val="24"/>
          <w:szCs w:val="20"/>
          <w:highlight w:val="none"/>
        </w:rPr>
      </w:pPr>
    </w:p>
    <w:p w14:paraId="66693599">
      <w:pPr>
        <w:pStyle w:val="63"/>
        <w:ind w:firstLine="480"/>
        <w:rPr>
          <w:rFonts w:ascii="宋体" w:hAnsi="宋体" w:cs="宋体"/>
          <w:color w:val="auto"/>
          <w:sz w:val="24"/>
          <w:szCs w:val="20"/>
          <w:highlight w:val="none"/>
        </w:rPr>
      </w:pPr>
    </w:p>
    <w:p w14:paraId="42DCFCE1">
      <w:pPr>
        <w:pStyle w:val="63"/>
        <w:ind w:firstLine="480"/>
        <w:rPr>
          <w:rFonts w:ascii="宋体" w:hAnsi="宋体" w:cs="宋体"/>
          <w:color w:val="auto"/>
          <w:sz w:val="24"/>
          <w:szCs w:val="20"/>
          <w:highlight w:val="none"/>
        </w:rPr>
      </w:pPr>
    </w:p>
    <w:p w14:paraId="1E288ECD">
      <w:pPr>
        <w:pStyle w:val="63"/>
        <w:ind w:firstLine="480"/>
        <w:rPr>
          <w:rFonts w:ascii="宋体" w:hAnsi="宋体" w:cs="宋体"/>
          <w:color w:val="auto"/>
          <w:sz w:val="24"/>
          <w:szCs w:val="20"/>
          <w:highlight w:val="none"/>
        </w:rPr>
      </w:pPr>
    </w:p>
    <w:p w14:paraId="6680076C">
      <w:pPr>
        <w:pStyle w:val="63"/>
        <w:ind w:firstLine="480"/>
        <w:rPr>
          <w:rFonts w:ascii="宋体" w:hAnsi="宋体" w:cs="宋体"/>
          <w:color w:val="auto"/>
          <w:sz w:val="24"/>
          <w:szCs w:val="20"/>
          <w:highlight w:val="none"/>
        </w:rPr>
      </w:pPr>
    </w:p>
    <w:p w14:paraId="4C5A7B21">
      <w:pPr>
        <w:pStyle w:val="182"/>
        <w:spacing w:line="360" w:lineRule="auto"/>
        <w:jc w:val="center"/>
        <w:rPr>
          <w:rFonts w:ascii="宋体" w:hAnsi="宋体"/>
          <w:b/>
          <w:color w:val="auto"/>
          <w:sz w:val="24"/>
          <w:highlight w:val="none"/>
        </w:rPr>
      </w:pPr>
      <w:r>
        <w:rPr>
          <w:rFonts w:hint="eastAsia" w:ascii="宋体" w:hAnsi="宋体"/>
          <w:b/>
          <w:color w:val="auto"/>
          <w:sz w:val="24"/>
          <w:highlight w:val="none"/>
        </w:rPr>
        <w:t>附件：崇左市政府采购供应商信用承诺函；</w:t>
      </w:r>
    </w:p>
    <w:p w14:paraId="442721B1">
      <w:pPr>
        <w:pStyle w:val="182"/>
        <w:spacing w:line="360" w:lineRule="auto"/>
        <w:jc w:val="center"/>
        <w:rPr>
          <w:rFonts w:ascii="宋体" w:hAnsi="宋体"/>
          <w:b/>
          <w:color w:val="auto"/>
          <w:sz w:val="24"/>
          <w:highlight w:val="none"/>
        </w:rPr>
      </w:pPr>
    </w:p>
    <w:p w14:paraId="47EE4725">
      <w:pPr>
        <w:widowControl/>
        <w:spacing w:line="440" w:lineRule="exact"/>
        <w:ind w:firstLine="444"/>
        <w:rPr>
          <w:rFonts w:ascii="宋体" w:hAnsi="宋体" w:cs="宋体"/>
          <w:color w:val="auto"/>
          <w:sz w:val="22"/>
          <w:szCs w:val="22"/>
          <w:highlight w:val="none"/>
          <w:u w:val="single"/>
        </w:rPr>
      </w:pPr>
      <w:r>
        <w:rPr>
          <w:rFonts w:hint="eastAsia" w:ascii="宋体" w:hAnsi="宋体" w:cs="宋体"/>
          <w:color w:val="auto"/>
          <w:kern w:val="0"/>
          <w:sz w:val="22"/>
          <w:szCs w:val="22"/>
          <w:highlight w:val="none"/>
        </w:rPr>
        <w:t>致</w:t>
      </w:r>
      <w:r>
        <w:rPr>
          <w:rFonts w:hint="eastAsia" w:ascii="宋体" w:hAnsi="宋体" w:cs="宋体"/>
          <w:color w:val="auto"/>
          <w:kern w:val="0"/>
          <w:sz w:val="22"/>
          <w:szCs w:val="22"/>
          <w:highlight w:val="none"/>
          <w:u w:val="single"/>
        </w:rPr>
        <w:t>（采购代理机构名称）</w:t>
      </w:r>
      <w:r>
        <w:rPr>
          <w:rFonts w:hint="eastAsia" w:ascii="宋体" w:hAnsi="宋体" w:cs="宋体"/>
          <w:color w:val="auto"/>
          <w:kern w:val="0"/>
          <w:sz w:val="22"/>
          <w:szCs w:val="22"/>
          <w:highlight w:val="none"/>
        </w:rPr>
        <w:t>:</w:t>
      </w:r>
    </w:p>
    <w:p w14:paraId="7F0309EB">
      <w:pPr>
        <w:widowControl/>
        <w:spacing w:line="440" w:lineRule="exact"/>
        <w:ind w:firstLine="440" w:firstLineChars="200"/>
        <w:rPr>
          <w:rFonts w:ascii="宋体" w:hAnsi="宋体" w:cs="宋体"/>
          <w:color w:val="auto"/>
          <w:spacing w:val="-6"/>
          <w:sz w:val="22"/>
          <w:szCs w:val="22"/>
          <w:highlight w:val="none"/>
        </w:rPr>
      </w:pPr>
      <w:r>
        <w:rPr>
          <w:rFonts w:hint="eastAsia" w:ascii="宋体" w:hAnsi="宋体" w:cs="宋体"/>
          <w:color w:val="auto"/>
          <w:kern w:val="0"/>
          <w:sz w:val="22"/>
          <w:szCs w:val="22"/>
          <w:highlight w:val="none"/>
        </w:rPr>
        <w:t>我方自愿参加</w:t>
      </w:r>
      <w:r>
        <w:rPr>
          <w:rFonts w:hint="eastAsia" w:ascii="宋体" w:hAnsi="宋体" w:cs="宋体"/>
          <w:color w:val="auto"/>
          <w:kern w:val="0"/>
          <w:sz w:val="22"/>
          <w:szCs w:val="22"/>
          <w:highlight w:val="none"/>
          <w:u w:val="single"/>
        </w:rPr>
        <w:t xml:space="preserve"> （项目名称） 项目（项目编号：         ）</w:t>
      </w:r>
      <w:r>
        <w:rPr>
          <w:rFonts w:hint="eastAsia" w:ascii="宋体" w:hAnsi="宋体" w:cs="宋体"/>
          <w:color w:val="auto"/>
          <w:kern w:val="0"/>
          <w:sz w:val="22"/>
          <w:szCs w:val="22"/>
          <w:highlight w:val="none"/>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2"/>
          <w:szCs w:val="22"/>
          <w:highlight w:val="none"/>
        </w:rPr>
        <w:t xml:space="preserve">： </w:t>
      </w:r>
    </w:p>
    <w:p w14:paraId="33C46FE4">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w:t>
      </w:r>
    </w:p>
    <w:p w14:paraId="20F9CC0D">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2.我方具有符合采购文件资格要求的财务状况报告。 </w:t>
      </w:r>
    </w:p>
    <w:p w14:paraId="0D3D9A14">
      <w:pPr>
        <w:widowControl/>
        <w:spacing w:line="440" w:lineRule="exact"/>
        <w:ind w:firstLine="416" w:firstLineChars="200"/>
        <w:rPr>
          <w:rFonts w:ascii="宋体" w:hAnsi="宋体" w:cs="宋体"/>
          <w:color w:val="auto"/>
          <w:spacing w:val="-17"/>
          <w:sz w:val="22"/>
          <w:szCs w:val="22"/>
          <w:highlight w:val="none"/>
        </w:rPr>
      </w:pPr>
      <w:r>
        <w:rPr>
          <w:rFonts w:hint="eastAsia" w:ascii="宋体" w:hAnsi="宋体" w:cs="宋体"/>
          <w:color w:val="auto"/>
          <w:spacing w:val="-6"/>
          <w:kern w:val="0"/>
          <w:sz w:val="22"/>
          <w:szCs w:val="22"/>
          <w:highlight w:val="none"/>
        </w:rPr>
        <w:t>3.我方具有符合采购文件资格要求的依法缴纳税收和社会保障资金的良好记录。</w:t>
      </w:r>
      <w:r>
        <w:rPr>
          <w:rFonts w:hint="eastAsia" w:ascii="宋体" w:hAnsi="宋体" w:cs="宋体"/>
          <w:color w:val="auto"/>
          <w:spacing w:val="-17"/>
          <w:kern w:val="0"/>
          <w:sz w:val="22"/>
          <w:szCs w:val="22"/>
          <w:highlight w:val="none"/>
        </w:rPr>
        <w:t xml:space="preserve"> </w:t>
      </w:r>
    </w:p>
    <w:p w14:paraId="65106FE8">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4.我方具有符合采购文件资格要求履行合同所必需的设备和专业技术能力。 </w:t>
      </w:r>
    </w:p>
    <w:p w14:paraId="2DB54F9B">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5.我方参加政府采购活动前3年内在经营活动中没有重大违法记录。 </w:t>
      </w:r>
    </w:p>
    <w:p w14:paraId="55765BA9">
      <w:pPr>
        <w:widowControl/>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我方对以上承诺内容的真实性负责。如有虚假，将依法承担相应责任。</w:t>
      </w:r>
    </w:p>
    <w:p w14:paraId="38CC9120">
      <w:pPr>
        <w:widowControl/>
        <w:spacing w:line="440" w:lineRule="exact"/>
        <w:ind w:firstLine="440" w:firstLineChars="200"/>
        <w:rPr>
          <w:rFonts w:ascii="宋体" w:hAnsi="宋体" w:cs="宋体"/>
          <w:color w:val="auto"/>
          <w:kern w:val="0"/>
          <w:sz w:val="22"/>
          <w:szCs w:val="22"/>
          <w:highlight w:val="none"/>
        </w:rPr>
      </w:pPr>
    </w:p>
    <w:p w14:paraId="6FBF689F">
      <w:pPr>
        <w:widowControl/>
        <w:spacing w:line="440" w:lineRule="exact"/>
        <w:ind w:firstLine="440" w:firstLineChars="200"/>
        <w:rPr>
          <w:rFonts w:ascii="宋体" w:hAnsi="宋体" w:cs="宋体"/>
          <w:color w:val="auto"/>
          <w:kern w:val="0"/>
          <w:sz w:val="22"/>
          <w:szCs w:val="22"/>
          <w:highlight w:val="none"/>
        </w:rPr>
      </w:pPr>
    </w:p>
    <w:p w14:paraId="78446526">
      <w:pPr>
        <w:widowControl/>
        <w:spacing w:line="440" w:lineRule="exact"/>
        <w:ind w:firstLine="3300" w:firstLineChars="1500"/>
        <w:jc w:val="left"/>
        <w:rPr>
          <w:rFonts w:ascii="宋体" w:hAnsi="宋体" w:cs="宋体"/>
          <w:color w:val="auto"/>
          <w:sz w:val="22"/>
          <w:szCs w:val="22"/>
          <w:highlight w:val="none"/>
        </w:rPr>
      </w:pPr>
      <w:r>
        <w:rPr>
          <w:rFonts w:hint="eastAsia" w:ascii="宋体" w:hAnsi="宋体" w:cs="宋体"/>
          <w:color w:val="auto"/>
          <w:kern w:val="0"/>
          <w:sz w:val="22"/>
          <w:szCs w:val="22"/>
          <w:highlight w:val="none"/>
        </w:rPr>
        <w:t xml:space="preserve">供应商名称（盖章）： </w:t>
      </w:r>
    </w:p>
    <w:p w14:paraId="71EEE0D3">
      <w:pPr>
        <w:tabs>
          <w:tab w:val="left" w:pos="7560"/>
        </w:tabs>
        <w:spacing w:line="440" w:lineRule="exact"/>
        <w:ind w:firstLine="3300" w:firstLineChars="15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w:t>
      </w:r>
    </w:p>
    <w:p w14:paraId="44FEB6D5">
      <w:pPr>
        <w:pStyle w:val="46"/>
        <w:widowControl/>
        <w:wordWrap w:val="0"/>
        <w:spacing w:line="560" w:lineRule="exact"/>
        <w:ind w:firstLine="444"/>
        <w:rPr>
          <w:rFonts w:ascii="宋体" w:hAnsi="宋体" w:cs="宋体"/>
          <w:color w:val="auto"/>
          <w:sz w:val="22"/>
          <w:szCs w:val="22"/>
          <w:highlight w:val="none"/>
        </w:rPr>
      </w:pPr>
    </w:p>
    <w:p w14:paraId="797191A8">
      <w:pPr>
        <w:pStyle w:val="46"/>
        <w:widowControl/>
        <w:wordWrap w:val="0"/>
        <w:spacing w:line="400" w:lineRule="exact"/>
        <w:ind w:firstLine="444"/>
        <w:rPr>
          <w:rFonts w:ascii="宋体" w:hAnsi="宋体" w:cs="宋体"/>
          <w:color w:val="auto"/>
          <w:sz w:val="22"/>
          <w:szCs w:val="22"/>
          <w:highlight w:val="none"/>
        </w:rPr>
      </w:pPr>
      <w:r>
        <w:rPr>
          <w:rFonts w:hint="eastAsia" w:ascii="宋体" w:hAnsi="宋体" w:cs="宋体"/>
          <w:color w:val="auto"/>
          <w:sz w:val="22"/>
          <w:szCs w:val="22"/>
          <w:highlight w:val="none"/>
        </w:rPr>
        <w:t>注：1.参与政府采购活动的供应商可按第1点的内容：“我方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sz w:val="22"/>
          <w:szCs w:val="22"/>
          <w:highlight w:val="none"/>
        </w:rPr>
        <w:t>我方</w:t>
      </w:r>
      <w:r>
        <w:rPr>
          <w:rFonts w:hint="eastAsia" w:ascii="宋体" w:hAnsi="宋体" w:cs="宋体"/>
          <w:color w:val="auto"/>
          <w:spacing w:val="6"/>
          <w:sz w:val="22"/>
          <w:szCs w:val="22"/>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9E8295C">
      <w:pPr>
        <w:spacing w:line="360" w:lineRule="auto"/>
        <w:rPr>
          <w:rFonts w:ascii="宋体" w:hAnsi="宋体" w:cs="宋体"/>
          <w:color w:val="auto"/>
          <w:szCs w:val="21"/>
          <w:highlight w:val="none"/>
        </w:rPr>
      </w:pPr>
    </w:p>
    <w:p w14:paraId="6EAD602C">
      <w:pPr>
        <w:spacing w:line="360" w:lineRule="auto"/>
        <w:rPr>
          <w:rFonts w:ascii="宋体" w:hAnsi="宋体" w:cs="宋体"/>
          <w:color w:val="auto"/>
          <w:szCs w:val="21"/>
          <w:highlight w:val="none"/>
        </w:rPr>
      </w:pPr>
    </w:p>
    <w:p w14:paraId="605EC946">
      <w:pPr>
        <w:spacing w:line="360" w:lineRule="auto"/>
        <w:rPr>
          <w:rFonts w:ascii="宋体" w:hAnsi="宋体" w:cs="宋体"/>
          <w:color w:val="auto"/>
          <w:szCs w:val="21"/>
          <w:highlight w:val="none"/>
        </w:rPr>
      </w:pPr>
    </w:p>
    <w:p w14:paraId="592A88D8">
      <w:pPr>
        <w:spacing w:line="360" w:lineRule="auto"/>
        <w:rPr>
          <w:rFonts w:ascii="宋体" w:hAnsi="宋体" w:cs="宋体"/>
          <w:color w:val="auto"/>
          <w:szCs w:val="21"/>
          <w:highlight w:val="none"/>
        </w:rPr>
      </w:pPr>
    </w:p>
    <w:p w14:paraId="2D7041E3">
      <w:pPr>
        <w:spacing w:line="360" w:lineRule="auto"/>
        <w:rPr>
          <w:rFonts w:ascii="宋体" w:hAnsi="宋体" w:cs="宋体"/>
          <w:color w:val="auto"/>
          <w:szCs w:val="21"/>
          <w:highlight w:val="none"/>
        </w:rPr>
      </w:pPr>
    </w:p>
    <w:p w14:paraId="5DDDED92">
      <w:pPr>
        <w:spacing w:line="360" w:lineRule="auto"/>
        <w:jc w:val="left"/>
        <w:rPr>
          <w:rFonts w:ascii="宋体" w:hAnsi="宋体" w:cs="宋体"/>
          <w:color w:val="auto"/>
          <w:szCs w:val="21"/>
          <w:highlight w:val="none"/>
        </w:rPr>
      </w:pPr>
    </w:p>
    <w:p w14:paraId="6C4912E2">
      <w:pPr>
        <w:wordWrap w:val="0"/>
        <w:spacing w:beforeLines="50" w:after="50" w:line="360" w:lineRule="auto"/>
        <w:ind w:right="482" w:firstLine="210" w:firstLineChars="100"/>
        <w:contextualSpacing/>
        <w:jc w:val="center"/>
        <w:rPr>
          <w:rFonts w:ascii="宋体" w:hAnsi="宋体" w:cs="宋体"/>
          <w:color w:val="auto"/>
          <w:szCs w:val="21"/>
          <w:highlight w:val="none"/>
        </w:rPr>
      </w:pPr>
    </w:p>
    <w:p w14:paraId="544EC4D5">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附件：供应商直接控股、管理关系信息表</w:t>
      </w:r>
    </w:p>
    <w:p w14:paraId="23CEE43A">
      <w:pPr>
        <w:snapToGrid w:val="0"/>
        <w:spacing w:beforeLines="50" w:after="50" w:line="360" w:lineRule="auto"/>
        <w:ind w:firstLine="487"/>
        <w:jc w:val="center"/>
        <w:rPr>
          <w:rFonts w:ascii="宋体" w:hAnsi="宋体" w:cs="宋体"/>
          <w:b/>
          <w:color w:val="auto"/>
          <w:sz w:val="24"/>
          <w:highlight w:val="none"/>
        </w:rPr>
      </w:pPr>
    </w:p>
    <w:p w14:paraId="055584F6">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125A4924">
      <w:pPr>
        <w:snapToGrid w:val="0"/>
        <w:spacing w:before="50" w:afterLines="50" w:line="360" w:lineRule="auto"/>
        <w:ind w:firstLine="426"/>
        <w:jc w:val="center"/>
        <w:rPr>
          <w:rFonts w:ascii="宋体" w:hAnsi="宋体" w:cs="宋体"/>
          <w:b/>
          <w:color w:val="auto"/>
          <w:szCs w:val="21"/>
          <w:highlight w:val="none"/>
        </w:rPr>
      </w:pPr>
    </w:p>
    <w:tbl>
      <w:tblPr>
        <w:tblStyle w:val="51"/>
        <w:tblW w:w="8676" w:type="dxa"/>
        <w:jc w:val="center"/>
        <w:shd w:val="clear" w:color="auto" w:fill="FBFBFB"/>
        <w:tblLayout w:type="fixed"/>
        <w:tblCellMar>
          <w:top w:w="0" w:type="dxa"/>
          <w:left w:w="0" w:type="dxa"/>
          <w:bottom w:w="0" w:type="dxa"/>
          <w:right w:w="0" w:type="dxa"/>
        </w:tblCellMar>
      </w:tblPr>
      <w:tblGrid>
        <w:gridCol w:w="880"/>
        <w:gridCol w:w="2113"/>
        <w:gridCol w:w="1228"/>
        <w:gridCol w:w="3585"/>
        <w:gridCol w:w="870"/>
      </w:tblGrid>
      <w:tr w14:paraId="7B41E71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C46CBF">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026005">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4CE914">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7502EC">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D535C1">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49035E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03E53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B03FD4">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6777A5">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F58245">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23DE41">
            <w:pPr>
              <w:widowControl/>
              <w:spacing w:line="360" w:lineRule="auto"/>
              <w:jc w:val="center"/>
              <w:rPr>
                <w:rFonts w:ascii="宋体" w:hAnsi="宋体" w:cs="宋体"/>
                <w:color w:val="auto"/>
                <w:kern w:val="0"/>
                <w:szCs w:val="21"/>
                <w:highlight w:val="none"/>
              </w:rPr>
            </w:pPr>
          </w:p>
        </w:tc>
      </w:tr>
      <w:tr w14:paraId="6E9D7F3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009D8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67BBAA">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3C1764">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F4A839">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D4B5C9">
            <w:pPr>
              <w:widowControl/>
              <w:spacing w:line="360" w:lineRule="auto"/>
              <w:jc w:val="center"/>
              <w:rPr>
                <w:rFonts w:ascii="宋体" w:hAnsi="宋体" w:cs="宋体"/>
                <w:color w:val="auto"/>
                <w:kern w:val="0"/>
                <w:szCs w:val="21"/>
                <w:highlight w:val="none"/>
              </w:rPr>
            </w:pPr>
          </w:p>
        </w:tc>
      </w:tr>
      <w:tr w14:paraId="78E3577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CA7DD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34ECB2">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F300DF">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3CD8D6">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557CE2">
            <w:pPr>
              <w:widowControl/>
              <w:spacing w:line="360" w:lineRule="auto"/>
              <w:jc w:val="center"/>
              <w:rPr>
                <w:rFonts w:ascii="宋体" w:hAnsi="宋体" w:cs="宋体"/>
                <w:color w:val="auto"/>
                <w:kern w:val="0"/>
                <w:szCs w:val="21"/>
                <w:highlight w:val="none"/>
              </w:rPr>
            </w:pPr>
          </w:p>
        </w:tc>
      </w:tr>
      <w:tr w14:paraId="631EC18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CCB88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7041A4">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5D6D01">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C3551C">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6FA56A">
            <w:pPr>
              <w:widowControl/>
              <w:spacing w:line="360" w:lineRule="auto"/>
              <w:jc w:val="center"/>
              <w:rPr>
                <w:rFonts w:ascii="宋体" w:hAnsi="宋体" w:cs="宋体"/>
                <w:color w:val="auto"/>
                <w:kern w:val="0"/>
                <w:szCs w:val="21"/>
                <w:highlight w:val="none"/>
              </w:rPr>
            </w:pPr>
          </w:p>
        </w:tc>
      </w:tr>
    </w:tbl>
    <w:p w14:paraId="54E6D0C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33BDEFD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8F187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6A2335D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133B9508">
      <w:pPr>
        <w:snapToGrid w:val="0"/>
        <w:spacing w:line="360" w:lineRule="auto"/>
        <w:jc w:val="left"/>
        <w:rPr>
          <w:rFonts w:ascii="宋体" w:hAnsi="宋体" w:cs="宋体"/>
          <w:color w:val="auto"/>
          <w:szCs w:val="21"/>
          <w:highlight w:val="none"/>
        </w:rPr>
      </w:pPr>
    </w:p>
    <w:p w14:paraId="1256E2CC">
      <w:pPr>
        <w:snapToGrid w:val="0"/>
        <w:spacing w:line="360" w:lineRule="auto"/>
        <w:jc w:val="left"/>
        <w:rPr>
          <w:rFonts w:ascii="宋体" w:hAnsi="宋体" w:cs="宋体"/>
          <w:color w:val="auto"/>
          <w:szCs w:val="21"/>
          <w:highlight w:val="none"/>
        </w:rPr>
      </w:pPr>
    </w:p>
    <w:p w14:paraId="0CEB6049">
      <w:pPr>
        <w:snapToGrid w:val="0"/>
        <w:spacing w:line="360" w:lineRule="auto"/>
        <w:jc w:val="left"/>
        <w:rPr>
          <w:rFonts w:ascii="宋体" w:hAnsi="宋体" w:cs="宋体"/>
          <w:color w:val="auto"/>
          <w:szCs w:val="21"/>
          <w:highlight w:val="none"/>
        </w:rPr>
      </w:pPr>
    </w:p>
    <w:p w14:paraId="6E2FD1F4">
      <w:pPr>
        <w:snapToGrid w:val="0"/>
        <w:spacing w:beforeLines="50" w:line="360" w:lineRule="auto"/>
        <w:ind w:right="480" w:firstLine="1680" w:firstLineChars="8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14:paraId="0767B23B">
      <w:pPr>
        <w:snapToGrid w:val="0"/>
        <w:spacing w:beforeLines="50" w:after="50" w:line="360" w:lineRule="auto"/>
        <w:ind w:right="480" w:firstLine="2625" w:firstLineChars="1250"/>
        <w:rPr>
          <w:rFonts w:ascii="宋体" w:hAnsi="宋体" w:cs="宋体"/>
          <w:color w:val="auto"/>
          <w:szCs w:val="21"/>
          <w:highlight w:val="none"/>
          <w:u w:val="single"/>
        </w:rPr>
      </w:pPr>
      <w:r>
        <w:rPr>
          <w:rFonts w:hint="eastAsia" w:ascii="宋体" w:hAnsi="宋体" w:cs="宋体"/>
          <w:color w:val="auto"/>
          <w:szCs w:val="21"/>
          <w:highlight w:val="none"/>
        </w:rPr>
        <w:t>供应商（盖公章 ）：</w:t>
      </w:r>
      <w:r>
        <w:rPr>
          <w:rFonts w:hint="eastAsia" w:ascii="宋体" w:hAnsi="宋体" w:cs="宋体"/>
          <w:color w:val="auto"/>
          <w:szCs w:val="21"/>
          <w:highlight w:val="none"/>
          <w:u w:val="single"/>
        </w:rPr>
        <w:t xml:space="preserve">                              </w:t>
      </w:r>
    </w:p>
    <w:p w14:paraId="180C7F86">
      <w:pPr>
        <w:snapToGrid w:val="0"/>
        <w:spacing w:beforeLines="50" w:after="50" w:line="360" w:lineRule="auto"/>
        <w:ind w:right="480" w:firstLine="4620" w:firstLineChars="2200"/>
        <w:rPr>
          <w:rFonts w:ascii="宋体" w:hAnsi="宋体" w:cs="宋体"/>
          <w:color w:val="auto"/>
          <w:sz w:val="22"/>
          <w:szCs w:val="22"/>
          <w:highlight w:val="none"/>
        </w:rPr>
      </w:pPr>
      <w:r>
        <w:rPr>
          <w:rFonts w:hint="eastAsia" w:ascii="宋体" w:hAnsi="宋体" w:cs="宋体"/>
          <w:color w:val="auto"/>
          <w:szCs w:val="21"/>
          <w:highlight w:val="none"/>
        </w:rPr>
        <w:t>年    月    日</w:t>
      </w:r>
    </w:p>
    <w:p w14:paraId="17FC0A4C">
      <w:pPr>
        <w:snapToGrid w:val="0"/>
        <w:spacing w:line="360" w:lineRule="auto"/>
        <w:ind w:firstLine="568"/>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621B8A1">
      <w:pPr>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29B94A03">
      <w:pPr>
        <w:snapToGrid w:val="0"/>
        <w:spacing w:line="360" w:lineRule="auto"/>
        <w:ind w:firstLine="426"/>
        <w:jc w:val="center"/>
        <w:rPr>
          <w:rFonts w:ascii="宋体" w:hAnsi="宋体" w:cs="宋体"/>
          <w:b/>
          <w:color w:val="auto"/>
          <w:szCs w:val="21"/>
          <w:highlight w:val="none"/>
        </w:rPr>
      </w:pPr>
    </w:p>
    <w:tbl>
      <w:tblPr>
        <w:tblStyle w:val="51"/>
        <w:tblW w:w="8385" w:type="dxa"/>
        <w:jc w:val="center"/>
        <w:shd w:val="clear" w:color="auto" w:fill="FBFBFB"/>
        <w:tblLayout w:type="fixed"/>
        <w:tblCellMar>
          <w:top w:w="0" w:type="dxa"/>
          <w:left w:w="0" w:type="dxa"/>
          <w:bottom w:w="0" w:type="dxa"/>
          <w:right w:w="0" w:type="dxa"/>
        </w:tblCellMar>
      </w:tblPr>
      <w:tblGrid>
        <w:gridCol w:w="808"/>
        <w:gridCol w:w="2972"/>
        <w:gridCol w:w="3150"/>
        <w:gridCol w:w="1455"/>
      </w:tblGrid>
      <w:tr w14:paraId="59616E2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3BC92A">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A2E6B5">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9E07BC">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3A0D5F">
            <w:pPr>
              <w:widowControl/>
              <w:spacing w:line="360" w:lineRule="auto"/>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2A63BC5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4689E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6235F2">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8FC559">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1E8B86">
            <w:pPr>
              <w:widowControl/>
              <w:spacing w:line="360" w:lineRule="auto"/>
              <w:jc w:val="center"/>
              <w:rPr>
                <w:rFonts w:ascii="宋体" w:hAnsi="宋体" w:cs="宋体"/>
                <w:color w:val="auto"/>
                <w:kern w:val="0"/>
                <w:szCs w:val="21"/>
                <w:highlight w:val="none"/>
              </w:rPr>
            </w:pPr>
          </w:p>
        </w:tc>
      </w:tr>
      <w:tr w14:paraId="41EC6FC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4E016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744235">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D1B4E">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27D98">
            <w:pPr>
              <w:widowControl/>
              <w:spacing w:line="360" w:lineRule="auto"/>
              <w:jc w:val="center"/>
              <w:rPr>
                <w:rFonts w:ascii="宋体" w:hAnsi="宋体" w:cs="宋体"/>
                <w:color w:val="auto"/>
                <w:kern w:val="0"/>
                <w:szCs w:val="21"/>
                <w:highlight w:val="none"/>
              </w:rPr>
            </w:pPr>
          </w:p>
        </w:tc>
      </w:tr>
      <w:tr w14:paraId="67922B8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A3220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96C854">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25D52C">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E00B8D">
            <w:pPr>
              <w:widowControl/>
              <w:spacing w:line="360" w:lineRule="auto"/>
              <w:jc w:val="center"/>
              <w:rPr>
                <w:rFonts w:ascii="宋体" w:hAnsi="宋体" w:cs="宋体"/>
                <w:color w:val="auto"/>
                <w:kern w:val="0"/>
                <w:szCs w:val="21"/>
                <w:highlight w:val="none"/>
              </w:rPr>
            </w:pPr>
          </w:p>
        </w:tc>
      </w:tr>
      <w:tr w14:paraId="3DE41EE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5A772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EE4646">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3F738C">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8687D6">
            <w:pPr>
              <w:widowControl/>
              <w:spacing w:line="360" w:lineRule="auto"/>
              <w:jc w:val="center"/>
              <w:rPr>
                <w:rFonts w:ascii="宋体" w:hAnsi="宋体" w:cs="宋体"/>
                <w:color w:val="auto"/>
                <w:kern w:val="0"/>
                <w:szCs w:val="21"/>
                <w:highlight w:val="none"/>
              </w:rPr>
            </w:pPr>
          </w:p>
        </w:tc>
      </w:tr>
    </w:tbl>
    <w:p w14:paraId="349D203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1192B34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1BF6789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738006A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14:paraId="2CB4D60D">
      <w:pPr>
        <w:snapToGrid w:val="0"/>
        <w:spacing w:line="360" w:lineRule="auto"/>
        <w:jc w:val="left"/>
        <w:rPr>
          <w:rFonts w:ascii="宋体" w:hAnsi="宋体" w:cs="宋体"/>
          <w:color w:val="auto"/>
          <w:szCs w:val="21"/>
          <w:highlight w:val="none"/>
        </w:rPr>
      </w:pPr>
    </w:p>
    <w:p w14:paraId="14A4FC7A">
      <w:pPr>
        <w:snapToGrid w:val="0"/>
        <w:spacing w:line="360" w:lineRule="auto"/>
        <w:jc w:val="left"/>
        <w:rPr>
          <w:rFonts w:ascii="宋体" w:hAnsi="宋体" w:cs="宋体"/>
          <w:color w:val="auto"/>
          <w:szCs w:val="21"/>
          <w:highlight w:val="none"/>
        </w:rPr>
      </w:pPr>
    </w:p>
    <w:p w14:paraId="33CA2A7B">
      <w:pPr>
        <w:snapToGrid w:val="0"/>
        <w:spacing w:line="360" w:lineRule="auto"/>
        <w:jc w:val="left"/>
        <w:rPr>
          <w:rFonts w:ascii="宋体" w:hAnsi="宋体" w:cs="宋体"/>
          <w:color w:val="auto"/>
          <w:szCs w:val="21"/>
          <w:highlight w:val="none"/>
        </w:rPr>
      </w:pPr>
    </w:p>
    <w:p w14:paraId="7A49BDEA">
      <w:pPr>
        <w:snapToGrid w:val="0"/>
        <w:spacing w:line="360" w:lineRule="auto"/>
        <w:jc w:val="left"/>
        <w:rPr>
          <w:rFonts w:ascii="宋体" w:hAnsi="宋体" w:cs="宋体"/>
          <w:color w:val="auto"/>
          <w:szCs w:val="21"/>
          <w:highlight w:val="none"/>
        </w:rPr>
      </w:pPr>
    </w:p>
    <w:p w14:paraId="5663A974">
      <w:pPr>
        <w:snapToGrid w:val="0"/>
        <w:spacing w:line="360" w:lineRule="auto"/>
        <w:jc w:val="left"/>
        <w:rPr>
          <w:rFonts w:ascii="宋体" w:hAnsi="宋体" w:cs="宋体"/>
          <w:color w:val="auto"/>
          <w:szCs w:val="21"/>
          <w:highlight w:val="none"/>
        </w:rPr>
      </w:pPr>
    </w:p>
    <w:p w14:paraId="4A84EBF0">
      <w:pPr>
        <w:snapToGrid w:val="0"/>
        <w:spacing w:line="360" w:lineRule="auto"/>
        <w:jc w:val="left"/>
        <w:rPr>
          <w:rFonts w:ascii="宋体" w:hAnsi="宋体" w:cs="宋体"/>
          <w:color w:val="auto"/>
          <w:szCs w:val="21"/>
          <w:highlight w:val="none"/>
        </w:rPr>
      </w:pPr>
    </w:p>
    <w:p w14:paraId="13913DED">
      <w:pPr>
        <w:snapToGrid w:val="0"/>
        <w:spacing w:beforeLines="50" w:line="360" w:lineRule="auto"/>
        <w:ind w:right="480"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14:paraId="4D040447">
      <w:pPr>
        <w:snapToGrid w:val="0"/>
        <w:spacing w:beforeLines="50" w:after="50" w:line="360" w:lineRule="auto"/>
        <w:ind w:right="480" w:firstLine="2940" w:firstLineChars="1400"/>
        <w:rPr>
          <w:rFonts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14:paraId="10A7683D">
      <w:pPr>
        <w:snapToGrid w:val="0"/>
        <w:spacing w:beforeLines="50" w:after="50" w:line="360" w:lineRule="auto"/>
        <w:ind w:right="480" w:firstLine="210" w:firstLineChars="100"/>
        <w:jc w:val="center"/>
        <w:rPr>
          <w:rFonts w:ascii="宋体" w:hAnsi="宋体" w:cs="宋体"/>
          <w:color w:val="auto"/>
          <w:sz w:val="22"/>
          <w:szCs w:val="22"/>
          <w:highlight w:val="none"/>
        </w:rPr>
      </w:pPr>
      <w:r>
        <w:rPr>
          <w:rFonts w:hint="eastAsia" w:ascii="宋体" w:hAnsi="宋体" w:cs="宋体"/>
          <w:color w:val="auto"/>
          <w:szCs w:val="21"/>
          <w:highlight w:val="none"/>
        </w:rPr>
        <w:t xml:space="preserve">                                        年    月    日</w:t>
      </w:r>
    </w:p>
    <w:p w14:paraId="3409DA85">
      <w:pPr>
        <w:spacing w:line="360" w:lineRule="auto"/>
        <w:ind w:firstLine="444"/>
        <w:jc w:val="center"/>
        <w:rPr>
          <w:rFonts w:ascii="宋体" w:hAnsi="宋体" w:cs="宋体"/>
          <w:b/>
          <w:color w:val="auto"/>
          <w:sz w:val="32"/>
          <w:szCs w:val="32"/>
          <w:highlight w:val="none"/>
        </w:rPr>
      </w:pPr>
      <w:r>
        <w:rPr>
          <w:rFonts w:hint="eastAsia" w:ascii="宋体" w:hAnsi="宋体" w:cs="宋体"/>
          <w:color w:val="auto"/>
          <w:sz w:val="22"/>
          <w:szCs w:val="22"/>
          <w:highlight w:val="none"/>
        </w:rPr>
        <w:br w:type="page"/>
      </w:r>
      <w:r>
        <w:rPr>
          <w:rFonts w:hint="eastAsia" w:ascii="宋体" w:hAnsi="宋体" w:cs="宋体"/>
          <w:b/>
          <w:color w:val="auto"/>
          <w:sz w:val="32"/>
          <w:szCs w:val="32"/>
          <w:highlight w:val="none"/>
        </w:rPr>
        <w:t>竞标声明</w:t>
      </w:r>
    </w:p>
    <w:p w14:paraId="3F53C4AA">
      <w:pPr>
        <w:spacing w:line="360" w:lineRule="auto"/>
        <w:ind w:firstLine="485"/>
        <w:jc w:val="center"/>
        <w:rPr>
          <w:rFonts w:ascii="宋体" w:hAnsi="宋体" w:cs="宋体"/>
          <w:color w:val="auto"/>
          <w:sz w:val="24"/>
          <w:szCs w:val="20"/>
          <w:highlight w:val="none"/>
        </w:rPr>
      </w:pPr>
    </w:p>
    <w:p w14:paraId="2C678D11">
      <w:pPr>
        <w:spacing w:beforeLines="50" w:after="50" w:line="360" w:lineRule="auto"/>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14:paraId="62A9FFF4">
      <w:pPr>
        <w:spacing w:beforeLines="50" w:after="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8EA8FB">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17B3888A">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5B354241">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A42AC61">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54BF1A57">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688C10B3">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5C13749D">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47D95555">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39C12578">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5E6E3747">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477BA50">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65324C3C">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1F15EA3B">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B2E1F4B">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E719CC3">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14B28297">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9CFC0D8">
      <w:pPr>
        <w:spacing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623BDE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68A82C3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620D03F">
      <w:pPr>
        <w:pStyle w:val="27"/>
        <w:spacing w:line="360" w:lineRule="auto"/>
        <w:ind w:firstLine="420" w:firstLineChars="200"/>
        <w:contextualSpacing/>
        <w:rPr>
          <w:rFonts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437D96AB">
      <w:pPr>
        <w:pStyle w:val="27"/>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0201F1C0">
      <w:pPr>
        <w:pStyle w:val="23"/>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w:t>
      </w:r>
      <w:r>
        <w:rPr>
          <w:rFonts w:hint="eastAsia" w:ascii="宋体" w:hAnsi="宋体" w:cs="宋体"/>
          <w:color w:val="auto"/>
          <w:szCs w:val="21"/>
          <w:highlight w:val="none"/>
          <w:u w:val="single"/>
        </w:rPr>
        <w:t xml:space="preserve">                               </w:t>
      </w:r>
    </w:p>
    <w:p w14:paraId="0AA8D308">
      <w:pPr>
        <w:pStyle w:val="23"/>
        <w:tabs>
          <w:tab w:val="left" w:pos="939"/>
        </w:tabs>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14:paraId="465D05BF">
      <w:pPr>
        <w:pStyle w:val="23"/>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0096C02E">
      <w:pPr>
        <w:spacing w:line="360" w:lineRule="auto"/>
        <w:ind w:firstLine="3780" w:firstLineChars="1800"/>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FADDC99">
      <w:pPr>
        <w:spacing w:line="360" w:lineRule="auto"/>
        <w:ind w:firstLine="3780" w:firstLineChars="1800"/>
        <w:rPr>
          <w:rFonts w:ascii="宋体" w:hAnsi="宋体" w:cs="宋体"/>
          <w:color w:val="auto"/>
          <w:szCs w:val="21"/>
          <w:highlight w:val="none"/>
          <w:u w:val="singl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35243D">
      <w:pPr>
        <w:snapToGrid w:val="0"/>
        <w:spacing w:beforeLines="50" w:after="50" w:line="360" w:lineRule="auto"/>
        <w:ind w:right="480" w:firstLine="210" w:firstLineChars="1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3D466ECC">
      <w:pPr>
        <w:snapToGrid w:val="0"/>
        <w:spacing w:beforeLines="50" w:after="50" w:line="360" w:lineRule="auto"/>
        <w:outlineLvl w:val="1"/>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 xml:space="preserve">二、商务报价文件/技术文件格式 </w:t>
      </w:r>
    </w:p>
    <w:p w14:paraId="443FF490">
      <w:pPr>
        <w:snapToGrid w:val="0"/>
        <w:spacing w:beforeLines="50" w:after="50"/>
        <w:ind w:firstLine="649"/>
        <w:rPr>
          <w:rFonts w:ascii="宋体" w:hAnsi="宋体" w:cs="宋体"/>
          <w:b/>
          <w:color w:val="auto"/>
          <w:sz w:val="32"/>
          <w:szCs w:val="32"/>
          <w:highlight w:val="none"/>
        </w:rPr>
      </w:pPr>
    </w:p>
    <w:p w14:paraId="2BD28C8B">
      <w:pPr>
        <w:snapToGrid w:val="0"/>
        <w:spacing w:beforeLines="50" w:after="50"/>
        <w:rPr>
          <w:rFonts w:ascii="宋体" w:hAnsi="宋体" w:cs="宋体"/>
          <w:bCs/>
          <w:color w:val="auto"/>
          <w:sz w:val="32"/>
          <w:szCs w:val="20"/>
          <w:highlight w:val="none"/>
        </w:rPr>
      </w:pPr>
      <w:r>
        <w:rPr>
          <w:rFonts w:hint="eastAsia" w:ascii="宋体" w:hAnsi="宋体" w:cs="宋体"/>
          <w:bCs/>
          <w:color w:val="auto"/>
          <w:highlight w:val="none"/>
        </w:rPr>
        <w:t>电子响应文件</w:t>
      </w:r>
    </w:p>
    <w:p w14:paraId="7098DF17">
      <w:pPr>
        <w:snapToGrid w:val="0"/>
        <w:spacing w:beforeLines="50" w:after="50" w:line="360" w:lineRule="auto"/>
        <w:ind w:firstLine="485"/>
        <w:rPr>
          <w:rFonts w:ascii="宋体" w:hAnsi="宋体" w:cs="宋体"/>
          <w:color w:val="auto"/>
          <w:sz w:val="24"/>
          <w:szCs w:val="20"/>
          <w:highlight w:val="none"/>
        </w:rPr>
      </w:pPr>
    </w:p>
    <w:p w14:paraId="5957C0E0">
      <w:pPr>
        <w:snapToGrid w:val="0"/>
        <w:spacing w:beforeLines="50" w:after="50" w:line="360" w:lineRule="auto"/>
        <w:ind w:firstLine="485"/>
        <w:rPr>
          <w:rFonts w:ascii="宋体" w:hAnsi="宋体" w:cs="宋体"/>
          <w:color w:val="auto"/>
          <w:sz w:val="24"/>
          <w:szCs w:val="20"/>
          <w:highlight w:val="none"/>
        </w:rPr>
      </w:pPr>
    </w:p>
    <w:p w14:paraId="6377758F">
      <w:pPr>
        <w:snapToGrid w:val="0"/>
        <w:spacing w:beforeLines="50" w:after="50" w:line="360" w:lineRule="auto"/>
        <w:ind w:firstLine="485"/>
        <w:rPr>
          <w:rFonts w:ascii="宋体" w:hAnsi="宋体" w:cs="宋体"/>
          <w:color w:val="auto"/>
          <w:sz w:val="24"/>
          <w:szCs w:val="20"/>
          <w:highlight w:val="none"/>
        </w:rPr>
      </w:pPr>
    </w:p>
    <w:p w14:paraId="2AE5AD7A">
      <w:pPr>
        <w:snapToGrid w:val="0"/>
        <w:spacing w:beforeLines="50" w:after="50" w:line="360" w:lineRule="auto"/>
        <w:ind w:firstLine="808"/>
        <w:jc w:val="center"/>
        <w:rPr>
          <w:rFonts w:ascii="宋体" w:hAnsi="宋体" w:cs="宋体"/>
          <w:bCs/>
          <w:color w:val="auto"/>
          <w:sz w:val="40"/>
          <w:szCs w:val="40"/>
          <w:highlight w:val="none"/>
        </w:rPr>
      </w:pPr>
      <w:r>
        <w:rPr>
          <w:rFonts w:hint="eastAsia" w:ascii="宋体" w:hAnsi="宋体" w:cs="宋体"/>
          <w:bCs/>
          <w:color w:val="auto"/>
          <w:sz w:val="40"/>
          <w:szCs w:val="40"/>
          <w:highlight w:val="none"/>
        </w:rPr>
        <w:t>报  价  商  务  技  术  文  件</w:t>
      </w:r>
      <w:r>
        <w:rPr>
          <w:rFonts w:hint="eastAsia" w:ascii="宋体" w:hAnsi="宋体" w:cs="宋体"/>
          <w:color w:val="auto"/>
          <w:szCs w:val="21"/>
          <w:highlight w:val="none"/>
        </w:rPr>
        <w:t>(封面)</w:t>
      </w:r>
    </w:p>
    <w:p w14:paraId="1451D404">
      <w:pPr>
        <w:snapToGrid w:val="0"/>
        <w:spacing w:beforeLines="50" w:after="50" w:line="360" w:lineRule="auto"/>
        <w:ind w:firstLine="444"/>
        <w:rPr>
          <w:rFonts w:ascii="宋体" w:hAnsi="宋体" w:cs="宋体"/>
          <w:bCs/>
          <w:color w:val="auto"/>
          <w:sz w:val="22"/>
          <w:szCs w:val="18"/>
          <w:highlight w:val="none"/>
        </w:rPr>
      </w:pPr>
    </w:p>
    <w:p w14:paraId="68FDBC59">
      <w:pPr>
        <w:snapToGrid w:val="0"/>
        <w:spacing w:beforeLines="50" w:after="50" w:line="360" w:lineRule="auto"/>
        <w:ind w:firstLine="444"/>
        <w:rPr>
          <w:rFonts w:ascii="宋体" w:hAnsi="宋体" w:cs="宋体"/>
          <w:bCs/>
          <w:color w:val="auto"/>
          <w:sz w:val="22"/>
          <w:szCs w:val="18"/>
          <w:highlight w:val="none"/>
        </w:rPr>
      </w:pPr>
    </w:p>
    <w:p w14:paraId="1E2975BD">
      <w:pPr>
        <w:snapToGrid w:val="0"/>
        <w:spacing w:beforeLines="50" w:after="50" w:line="360" w:lineRule="auto"/>
        <w:ind w:firstLine="444"/>
        <w:rPr>
          <w:rFonts w:ascii="宋体" w:hAnsi="宋体" w:cs="宋体"/>
          <w:bCs/>
          <w:color w:val="auto"/>
          <w:sz w:val="22"/>
          <w:szCs w:val="18"/>
          <w:highlight w:val="none"/>
        </w:rPr>
      </w:pPr>
    </w:p>
    <w:p w14:paraId="140935F8">
      <w:pPr>
        <w:snapToGrid w:val="0"/>
        <w:spacing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5A93EA34">
      <w:pPr>
        <w:snapToGrid w:val="0"/>
        <w:spacing w:beforeLines="50" w:after="50" w:line="360" w:lineRule="auto"/>
        <w:ind w:firstLine="630" w:firstLineChars="225"/>
        <w:rPr>
          <w:rFonts w:ascii="宋体" w:hAnsi="宋体" w:cs="宋体"/>
          <w:bCs/>
          <w:color w:val="auto"/>
          <w:sz w:val="28"/>
          <w:szCs w:val="28"/>
          <w:highlight w:val="none"/>
        </w:rPr>
      </w:pPr>
    </w:p>
    <w:p w14:paraId="3398931C">
      <w:pPr>
        <w:snapToGrid w:val="0"/>
        <w:spacing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0B51C0E5">
      <w:pPr>
        <w:snapToGrid w:val="0"/>
        <w:spacing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6842B0E7">
      <w:pPr>
        <w:snapToGrid w:val="0"/>
        <w:spacing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227DC945">
      <w:pPr>
        <w:snapToGrid w:val="0"/>
        <w:spacing w:beforeLines="50" w:after="50" w:line="360" w:lineRule="auto"/>
        <w:ind w:firstLine="630" w:firstLineChars="225"/>
        <w:rPr>
          <w:rFonts w:ascii="宋体" w:hAnsi="宋体" w:cs="宋体"/>
          <w:bCs/>
          <w:color w:val="auto"/>
          <w:sz w:val="28"/>
          <w:szCs w:val="28"/>
          <w:highlight w:val="none"/>
        </w:rPr>
      </w:pPr>
    </w:p>
    <w:p w14:paraId="335A86DD">
      <w:pPr>
        <w:pStyle w:val="7"/>
        <w:rPr>
          <w:color w:val="auto"/>
          <w:highlight w:val="none"/>
        </w:rPr>
      </w:pPr>
      <w:r>
        <w:rPr>
          <w:rFonts w:hint="eastAsia"/>
          <w:color w:val="auto"/>
          <w:highlight w:val="none"/>
        </w:rPr>
        <w:t>供应商名称：</w:t>
      </w:r>
    </w:p>
    <w:p w14:paraId="135F568A">
      <w:pPr>
        <w:snapToGrid w:val="0"/>
        <w:spacing w:beforeLines="50" w:after="50" w:line="360" w:lineRule="auto"/>
        <w:ind w:firstLine="566"/>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5AF222BB">
      <w:pPr>
        <w:snapToGrid w:val="0"/>
        <w:spacing w:beforeLines="50" w:after="50" w:line="360" w:lineRule="auto"/>
        <w:ind w:left="142" w:firstLine="485"/>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2.目录</w:t>
      </w:r>
    </w:p>
    <w:p w14:paraId="6181E712">
      <w:pPr>
        <w:snapToGrid w:val="0"/>
        <w:spacing w:beforeLines="50" w:after="50"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14:paraId="000EDCF2">
      <w:pPr>
        <w:spacing w:line="360" w:lineRule="auto"/>
        <w:ind w:firstLine="646"/>
        <w:rPr>
          <w:rFonts w:ascii="宋体" w:hAnsi="宋体" w:cs="宋体"/>
          <w:color w:val="auto"/>
          <w:sz w:val="32"/>
          <w:szCs w:val="32"/>
          <w:highlight w:val="none"/>
        </w:rPr>
      </w:pPr>
    </w:p>
    <w:p w14:paraId="6DBB78D8">
      <w:pPr>
        <w:spacing w:line="360" w:lineRule="auto"/>
        <w:ind w:firstLine="889"/>
        <w:jc w:val="center"/>
        <w:rPr>
          <w:rFonts w:ascii="宋体" w:hAnsi="宋体" w:cs="宋体"/>
          <w:b/>
          <w:bCs/>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无串通竞标行为的承诺函</w:t>
      </w:r>
    </w:p>
    <w:p w14:paraId="780A53D0">
      <w:pPr>
        <w:spacing w:line="360" w:lineRule="auto"/>
        <w:ind w:firstLine="640" w:firstLineChars="200"/>
        <w:rPr>
          <w:rFonts w:ascii="宋体" w:hAnsi="宋体" w:cs="宋体"/>
          <w:color w:val="auto"/>
          <w:sz w:val="32"/>
          <w:szCs w:val="32"/>
          <w:highlight w:val="none"/>
        </w:rPr>
      </w:pPr>
    </w:p>
    <w:p w14:paraId="033AED8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14:paraId="0EF9F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470B1C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9D9B3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14:paraId="3B5CAB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14:paraId="4595E0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D1CD8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5B3FD92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14:paraId="6C12CC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A9644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0486A0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14:paraId="200F07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D8C2C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493B42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1F211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14:paraId="08D3619F">
      <w:pPr>
        <w:spacing w:line="360" w:lineRule="auto"/>
        <w:ind w:firstLine="420" w:firstLineChars="200"/>
        <w:rPr>
          <w:rFonts w:ascii="宋体" w:hAnsi="宋体" w:cs="宋体"/>
          <w:color w:val="auto"/>
          <w:szCs w:val="21"/>
          <w:highlight w:val="none"/>
        </w:rPr>
      </w:pPr>
    </w:p>
    <w:p w14:paraId="7AD8770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14:paraId="1E577E51">
      <w:pPr>
        <w:spacing w:line="360" w:lineRule="auto"/>
        <w:rPr>
          <w:rFonts w:ascii="宋体" w:hAnsi="宋体" w:cs="宋体"/>
          <w:color w:val="auto"/>
          <w:szCs w:val="21"/>
          <w:highlight w:val="none"/>
        </w:rPr>
      </w:pPr>
    </w:p>
    <w:p w14:paraId="04BD92C0">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供应商（盖公章）：</w:t>
      </w:r>
    </w:p>
    <w:p w14:paraId="66F7D626">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1CE4F441">
      <w:pPr>
        <w:spacing w:line="360" w:lineRule="auto"/>
        <w:jc w:val="center"/>
        <w:rPr>
          <w:rFonts w:ascii="宋体" w:hAnsi="宋体" w:cs="宋体"/>
          <w:bCs/>
          <w:color w:val="auto"/>
          <w:sz w:val="32"/>
          <w:szCs w:val="32"/>
          <w:highlight w:val="none"/>
        </w:rPr>
      </w:pPr>
      <w:r>
        <w:rPr>
          <w:rFonts w:hint="eastAsia" w:ascii="宋体" w:hAnsi="宋体" w:cs="宋体"/>
          <w:bCs/>
          <w:color w:val="auto"/>
          <w:szCs w:val="21"/>
          <w:highlight w:val="none"/>
        </w:rPr>
        <w:br w:type="page"/>
      </w:r>
      <w:r>
        <w:rPr>
          <w:rFonts w:hint="eastAsia" w:ascii="宋体" w:hAnsi="宋体" w:cs="宋体"/>
          <w:b/>
          <w:color w:val="auto"/>
          <w:sz w:val="32"/>
          <w:szCs w:val="32"/>
          <w:highlight w:val="none"/>
        </w:rPr>
        <w:t>竞  标  报  价  表</w:t>
      </w:r>
    </w:p>
    <w:p w14:paraId="68D8C130">
      <w:pPr>
        <w:spacing w:line="360" w:lineRule="auto"/>
        <w:ind w:firstLine="646"/>
        <w:jc w:val="center"/>
        <w:rPr>
          <w:rFonts w:ascii="宋体" w:hAnsi="宋体" w:cs="宋体"/>
          <w:bCs/>
          <w:color w:val="auto"/>
          <w:sz w:val="32"/>
          <w:szCs w:val="32"/>
          <w:highlight w:val="none"/>
        </w:rPr>
      </w:pPr>
    </w:p>
    <w:p w14:paraId="5B5723A7">
      <w:pPr>
        <w:snapToGrid w:val="0"/>
        <w:spacing w:before="50" w:after="50"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分标（如有）：</w:t>
      </w:r>
      <w:r>
        <w:rPr>
          <w:rFonts w:hint="eastAsia" w:ascii="宋体" w:hAnsi="宋体" w:cs="宋体"/>
          <w:color w:val="auto"/>
          <w:szCs w:val="21"/>
          <w:highlight w:val="none"/>
          <w:u w:val="single"/>
        </w:rPr>
        <w:t xml:space="preserve">                                         </w:t>
      </w:r>
    </w:p>
    <w:p w14:paraId="45998F91">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单位：元</w:t>
      </w:r>
    </w:p>
    <w:tbl>
      <w:tblPr>
        <w:tblStyle w:val="51"/>
        <w:tblW w:w="9456" w:type="dxa"/>
        <w:jc w:val="right"/>
        <w:tblLayout w:type="fixed"/>
        <w:tblCellMar>
          <w:top w:w="0" w:type="dxa"/>
          <w:left w:w="108" w:type="dxa"/>
          <w:bottom w:w="0" w:type="dxa"/>
          <w:right w:w="108" w:type="dxa"/>
        </w:tblCellMar>
      </w:tblPr>
      <w:tblGrid>
        <w:gridCol w:w="2537"/>
        <w:gridCol w:w="1311"/>
        <w:gridCol w:w="1046"/>
        <w:gridCol w:w="1224"/>
        <w:gridCol w:w="1541"/>
        <w:gridCol w:w="1797"/>
      </w:tblGrid>
      <w:tr w14:paraId="42502EDD">
        <w:tblPrEx>
          <w:tblCellMar>
            <w:top w:w="0" w:type="dxa"/>
            <w:left w:w="108" w:type="dxa"/>
            <w:bottom w:w="0" w:type="dxa"/>
            <w:right w:w="108" w:type="dxa"/>
          </w:tblCellMar>
        </w:tblPrEx>
        <w:trPr>
          <w:trHeight w:val="747" w:hRule="atLeast"/>
          <w:tblHeader/>
          <w:jc w:val="right"/>
        </w:trPr>
        <w:tc>
          <w:tcPr>
            <w:tcW w:w="2537" w:type="dxa"/>
            <w:tcBorders>
              <w:top w:val="single" w:color="auto" w:sz="4" w:space="0"/>
              <w:left w:val="single" w:color="auto" w:sz="4" w:space="0"/>
              <w:bottom w:val="single" w:color="auto" w:sz="4" w:space="0"/>
              <w:right w:val="single" w:color="auto" w:sz="4" w:space="0"/>
            </w:tcBorders>
            <w:vAlign w:val="center"/>
          </w:tcPr>
          <w:p w14:paraId="18840F3F">
            <w:pPr>
              <w:widowControl/>
              <w:adjustRightInd w:val="0"/>
              <w:snapToGrid w:val="0"/>
              <w:ind w:firstLine="426"/>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1311" w:type="dxa"/>
            <w:tcBorders>
              <w:top w:val="single" w:color="auto" w:sz="4" w:space="0"/>
              <w:left w:val="single" w:color="auto" w:sz="4" w:space="0"/>
              <w:bottom w:val="single" w:color="auto" w:sz="4" w:space="0"/>
              <w:right w:val="single" w:color="auto" w:sz="4" w:space="0"/>
            </w:tcBorders>
            <w:vAlign w:val="center"/>
          </w:tcPr>
          <w:p w14:paraId="431FD3D6">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046" w:type="dxa"/>
            <w:tcBorders>
              <w:top w:val="single" w:color="auto" w:sz="4" w:space="0"/>
              <w:left w:val="nil"/>
              <w:bottom w:val="single" w:color="auto" w:sz="4" w:space="0"/>
              <w:right w:val="single" w:color="auto" w:sz="4" w:space="0"/>
            </w:tcBorders>
            <w:vAlign w:val="center"/>
          </w:tcPr>
          <w:p w14:paraId="56336705">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224" w:type="dxa"/>
            <w:tcBorders>
              <w:top w:val="single" w:color="auto" w:sz="4" w:space="0"/>
              <w:left w:val="single" w:color="auto" w:sz="4" w:space="0"/>
              <w:bottom w:val="single" w:color="auto" w:sz="4" w:space="0"/>
              <w:right w:val="single" w:color="auto" w:sz="4" w:space="0"/>
            </w:tcBorders>
            <w:vAlign w:val="center"/>
          </w:tcPr>
          <w:p w14:paraId="183350DD">
            <w:pPr>
              <w:widowControl/>
              <w:adjustRightInd w:val="0"/>
              <w:snapToGrid w:val="0"/>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541" w:type="dxa"/>
            <w:tcBorders>
              <w:top w:val="single" w:color="auto" w:sz="4" w:space="0"/>
              <w:left w:val="single" w:color="auto" w:sz="4" w:space="0"/>
              <w:bottom w:val="single" w:color="auto" w:sz="4" w:space="0"/>
              <w:right w:val="single" w:color="auto" w:sz="4" w:space="0"/>
            </w:tcBorders>
            <w:vAlign w:val="center"/>
          </w:tcPr>
          <w:p w14:paraId="5AC302A1">
            <w:pPr>
              <w:widowControl/>
              <w:adjustRightInd w:val="0"/>
              <w:snapToGrid w:val="0"/>
              <w:rPr>
                <w:rFonts w:ascii="宋体" w:hAnsi="宋体" w:cs="宋体"/>
                <w:b/>
                <w:bCs/>
                <w:color w:val="auto"/>
                <w:kern w:val="0"/>
                <w:szCs w:val="21"/>
                <w:highlight w:val="none"/>
              </w:rPr>
            </w:pPr>
            <w:r>
              <w:rPr>
                <w:rFonts w:hint="eastAsia" w:ascii="宋体" w:hAnsi="宋体" w:cs="宋体"/>
                <w:b/>
                <w:bCs/>
                <w:color w:val="auto"/>
                <w:kern w:val="0"/>
                <w:szCs w:val="21"/>
                <w:highlight w:val="none"/>
              </w:rPr>
              <w:t>金额合计（元）</w:t>
            </w:r>
          </w:p>
        </w:tc>
        <w:tc>
          <w:tcPr>
            <w:tcW w:w="1797" w:type="dxa"/>
            <w:tcBorders>
              <w:top w:val="single" w:color="auto" w:sz="4" w:space="0"/>
              <w:left w:val="single" w:color="auto" w:sz="4" w:space="0"/>
              <w:bottom w:val="single" w:color="auto" w:sz="4" w:space="0"/>
              <w:right w:val="single" w:color="auto" w:sz="4" w:space="0"/>
            </w:tcBorders>
            <w:vAlign w:val="center"/>
          </w:tcPr>
          <w:p w14:paraId="567A9C6B">
            <w:pPr>
              <w:widowControl/>
              <w:adjustRightInd w:val="0"/>
              <w:snapToGri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7081391A">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0821E88F">
            <w:pPr>
              <w:snapToGrid w:val="0"/>
              <w:spacing w:before="50" w:after="50" w:line="360" w:lineRule="auto"/>
              <w:jc w:val="center"/>
              <w:rPr>
                <w:rFonts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48CC2CE3">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46" w:type="dxa"/>
            <w:tcBorders>
              <w:top w:val="nil"/>
              <w:left w:val="nil"/>
              <w:bottom w:val="single" w:color="auto" w:sz="4" w:space="0"/>
              <w:right w:val="single" w:color="auto" w:sz="4" w:space="0"/>
            </w:tcBorders>
            <w:vAlign w:val="center"/>
          </w:tcPr>
          <w:p w14:paraId="045FCA48">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4" w:type="dxa"/>
            <w:tcBorders>
              <w:top w:val="nil"/>
              <w:left w:val="nil"/>
              <w:bottom w:val="single" w:color="auto" w:sz="4" w:space="0"/>
              <w:right w:val="single" w:color="auto" w:sz="4" w:space="0"/>
            </w:tcBorders>
            <w:vAlign w:val="center"/>
          </w:tcPr>
          <w:p w14:paraId="0A9FBDAB">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1" w:type="dxa"/>
            <w:tcBorders>
              <w:top w:val="nil"/>
              <w:left w:val="nil"/>
              <w:bottom w:val="single" w:color="auto" w:sz="4" w:space="0"/>
              <w:right w:val="single" w:color="auto" w:sz="4" w:space="0"/>
            </w:tcBorders>
            <w:vAlign w:val="center"/>
          </w:tcPr>
          <w:p w14:paraId="5D5ECCB0">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7" w:type="dxa"/>
            <w:tcBorders>
              <w:top w:val="nil"/>
              <w:left w:val="nil"/>
              <w:bottom w:val="single" w:color="auto" w:sz="4" w:space="0"/>
              <w:right w:val="single" w:color="auto" w:sz="4" w:space="0"/>
            </w:tcBorders>
            <w:vAlign w:val="center"/>
          </w:tcPr>
          <w:p w14:paraId="733AB4C9">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767DDC">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46B7D16C">
            <w:pPr>
              <w:snapToGrid w:val="0"/>
              <w:spacing w:before="50" w:after="50" w:line="360" w:lineRule="auto"/>
              <w:jc w:val="center"/>
              <w:rPr>
                <w:rFonts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1DF687FE">
            <w:pPr>
              <w:widowControl/>
              <w:adjustRightInd w:val="0"/>
              <w:snapToGrid w:val="0"/>
              <w:jc w:val="center"/>
              <w:rPr>
                <w:rFonts w:ascii="宋体" w:hAnsi="宋体" w:cs="宋体"/>
                <w:color w:val="auto"/>
                <w:kern w:val="0"/>
                <w:szCs w:val="21"/>
                <w:highlight w:val="none"/>
              </w:rPr>
            </w:pPr>
          </w:p>
        </w:tc>
        <w:tc>
          <w:tcPr>
            <w:tcW w:w="1046" w:type="dxa"/>
            <w:tcBorders>
              <w:top w:val="nil"/>
              <w:left w:val="nil"/>
              <w:bottom w:val="single" w:color="auto" w:sz="4" w:space="0"/>
              <w:right w:val="single" w:color="auto" w:sz="4" w:space="0"/>
            </w:tcBorders>
            <w:vAlign w:val="center"/>
          </w:tcPr>
          <w:p w14:paraId="729C67BF">
            <w:pPr>
              <w:widowControl/>
              <w:adjustRightInd w:val="0"/>
              <w:snapToGrid w:val="0"/>
              <w:jc w:val="center"/>
              <w:rPr>
                <w:rFonts w:ascii="宋体" w:hAnsi="宋体" w:cs="宋体"/>
                <w:color w:val="auto"/>
                <w:kern w:val="0"/>
                <w:szCs w:val="21"/>
                <w:highlight w:val="none"/>
              </w:rPr>
            </w:pPr>
          </w:p>
        </w:tc>
        <w:tc>
          <w:tcPr>
            <w:tcW w:w="1224" w:type="dxa"/>
            <w:tcBorders>
              <w:top w:val="nil"/>
              <w:left w:val="nil"/>
              <w:bottom w:val="single" w:color="auto" w:sz="4" w:space="0"/>
              <w:right w:val="single" w:color="auto" w:sz="4" w:space="0"/>
            </w:tcBorders>
            <w:vAlign w:val="center"/>
          </w:tcPr>
          <w:p w14:paraId="5BA98759">
            <w:pPr>
              <w:widowControl/>
              <w:adjustRightInd w:val="0"/>
              <w:snapToGrid w:val="0"/>
              <w:jc w:val="center"/>
              <w:rPr>
                <w:rFonts w:ascii="宋体" w:hAnsi="宋体" w:cs="宋体"/>
                <w:color w:val="auto"/>
                <w:kern w:val="0"/>
                <w:szCs w:val="21"/>
                <w:highlight w:val="none"/>
              </w:rPr>
            </w:pPr>
          </w:p>
        </w:tc>
        <w:tc>
          <w:tcPr>
            <w:tcW w:w="1541" w:type="dxa"/>
            <w:tcBorders>
              <w:top w:val="nil"/>
              <w:left w:val="nil"/>
              <w:bottom w:val="single" w:color="auto" w:sz="4" w:space="0"/>
              <w:right w:val="single" w:color="auto" w:sz="4" w:space="0"/>
            </w:tcBorders>
            <w:vAlign w:val="center"/>
          </w:tcPr>
          <w:p w14:paraId="56147B50">
            <w:pPr>
              <w:widowControl/>
              <w:adjustRightInd w:val="0"/>
              <w:snapToGrid w:val="0"/>
              <w:jc w:val="center"/>
              <w:rPr>
                <w:rFonts w:ascii="宋体" w:hAnsi="宋体" w:cs="宋体"/>
                <w:color w:val="auto"/>
                <w:kern w:val="0"/>
                <w:szCs w:val="21"/>
                <w:highlight w:val="none"/>
              </w:rPr>
            </w:pPr>
          </w:p>
        </w:tc>
        <w:tc>
          <w:tcPr>
            <w:tcW w:w="1797" w:type="dxa"/>
            <w:tcBorders>
              <w:top w:val="nil"/>
              <w:left w:val="nil"/>
              <w:bottom w:val="single" w:color="auto" w:sz="4" w:space="0"/>
              <w:right w:val="single" w:color="auto" w:sz="4" w:space="0"/>
            </w:tcBorders>
            <w:vAlign w:val="center"/>
          </w:tcPr>
          <w:p w14:paraId="46E792F6">
            <w:pPr>
              <w:widowControl/>
              <w:adjustRightInd w:val="0"/>
              <w:snapToGrid w:val="0"/>
              <w:jc w:val="center"/>
              <w:rPr>
                <w:rFonts w:ascii="宋体" w:hAnsi="宋体" w:cs="宋体"/>
                <w:color w:val="auto"/>
                <w:kern w:val="0"/>
                <w:szCs w:val="21"/>
                <w:highlight w:val="none"/>
              </w:rPr>
            </w:pPr>
          </w:p>
        </w:tc>
      </w:tr>
      <w:tr w14:paraId="012648AF">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6B0E4AC6">
            <w:pPr>
              <w:snapToGrid w:val="0"/>
              <w:spacing w:before="50" w:after="50" w:line="360" w:lineRule="auto"/>
              <w:jc w:val="center"/>
              <w:rPr>
                <w:rFonts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2BB5502A">
            <w:pPr>
              <w:widowControl/>
              <w:adjustRightInd w:val="0"/>
              <w:snapToGrid w:val="0"/>
              <w:jc w:val="center"/>
              <w:rPr>
                <w:rFonts w:ascii="宋体" w:hAnsi="宋体" w:cs="宋体"/>
                <w:color w:val="auto"/>
                <w:kern w:val="0"/>
                <w:szCs w:val="21"/>
                <w:highlight w:val="none"/>
              </w:rPr>
            </w:pPr>
          </w:p>
        </w:tc>
        <w:tc>
          <w:tcPr>
            <w:tcW w:w="1046" w:type="dxa"/>
            <w:tcBorders>
              <w:top w:val="nil"/>
              <w:left w:val="nil"/>
              <w:bottom w:val="single" w:color="auto" w:sz="4" w:space="0"/>
              <w:right w:val="single" w:color="auto" w:sz="4" w:space="0"/>
            </w:tcBorders>
            <w:vAlign w:val="center"/>
          </w:tcPr>
          <w:p w14:paraId="17831B16">
            <w:pPr>
              <w:widowControl/>
              <w:adjustRightInd w:val="0"/>
              <w:snapToGrid w:val="0"/>
              <w:jc w:val="center"/>
              <w:rPr>
                <w:rFonts w:ascii="宋体" w:hAnsi="宋体" w:cs="宋体"/>
                <w:color w:val="auto"/>
                <w:kern w:val="0"/>
                <w:szCs w:val="21"/>
                <w:highlight w:val="none"/>
              </w:rPr>
            </w:pPr>
          </w:p>
        </w:tc>
        <w:tc>
          <w:tcPr>
            <w:tcW w:w="1224" w:type="dxa"/>
            <w:tcBorders>
              <w:top w:val="nil"/>
              <w:left w:val="nil"/>
              <w:bottom w:val="single" w:color="auto" w:sz="4" w:space="0"/>
              <w:right w:val="single" w:color="auto" w:sz="4" w:space="0"/>
            </w:tcBorders>
            <w:vAlign w:val="center"/>
          </w:tcPr>
          <w:p w14:paraId="7818C1E0">
            <w:pPr>
              <w:widowControl/>
              <w:adjustRightInd w:val="0"/>
              <w:snapToGrid w:val="0"/>
              <w:jc w:val="center"/>
              <w:rPr>
                <w:rFonts w:ascii="宋体" w:hAnsi="宋体" w:cs="宋体"/>
                <w:color w:val="auto"/>
                <w:kern w:val="0"/>
                <w:szCs w:val="21"/>
                <w:highlight w:val="none"/>
              </w:rPr>
            </w:pPr>
          </w:p>
        </w:tc>
        <w:tc>
          <w:tcPr>
            <w:tcW w:w="1541" w:type="dxa"/>
            <w:tcBorders>
              <w:top w:val="nil"/>
              <w:left w:val="nil"/>
              <w:bottom w:val="single" w:color="auto" w:sz="4" w:space="0"/>
              <w:right w:val="single" w:color="auto" w:sz="4" w:space="0"/>
            </w:tcBorders>
            <w:vAlign w:val="center"/>
          </w:tcPr>
          <w:p w14:paraId="6550785A">
            <w:pPr>
              <w:widowControl/>
              <w:adjustRightInd w:val="0"/>
              <w:snapToGrid w:val="0"/>
              <w:jc w:val="center"/>
              <w:rPr>
                <w:rFonts w:ascii="宋体" w:hAnsi="宋体" w:cs="宋体"/>
                <w:color w:val="auto"/>
                <w:kern w:val="0"/>
                <w:szCs w:val="21"/>
                <w:highlight w:val="none"/>
              </w:rPr>
            </w:pPr>
          </w:p>
        </w:tc>
        <w:tc>
          <w:tcPr>
            <w:tcW w:w="1797" w:type="dxa"/>
            <w:tcBorders>
              <w:top w:val="nil"/>
              <w:left w:val="nil"/>
              <w:bottom w:val="single" w:color="auto" w:sz="4" w:space="0"/>
              <w:right w:val="single" w:color="auto" w:sz="4" w:space="0"/>
            </w:tcBorders>
            <w:vAlign w:val="center"/>
          </w:tcPr>
          <w:p w14:paraId="3562C305">
            <w:pPr>
              <w:widowControl/>
              <w:adjustRightInd w:val="0"/>
              <w:snapToGrid w:val="0"/>
              <w:jc w:val="center"/>
              <w:rPr>
                <w:rFonts w:ascii="宋体" w:hAnsi="宋体" w:cs="宋体"/>
                <w:color w:val="auto"/>
                <w:kern w:val="0"/>
                <w:szCs w:val="21"/>
                <w:highlight w:val="none"/>
              </w:rPr>
            </w:pPr>
          </w:p>
        </w:tc>
      </w:tr>
      <w:tr w14:paraId="589222CD">
        <w:tblPrEx>
          <w:tblCellMar>
            <w:top w:w="0" w:type="dxa"/>
            <w:left w:w="108" w:type="dxa"/>
            <w:bottom w:w="0" w:type="dxa"/>
            <w:right w:w="108" w:type="dxa"/>
          </w:tblCellMar>
        </w:tblPrEx>
        <w:trPr>
          <w:trHeight w:val="525" w:hRule="atLeast"/>
          <w:jc w:val="right"/>
        </w:trPr>
        <w:tc>
          <w:tcPr>
            <w:tcW w:w="9456" w:type="dxa"/>
            <w:gridSpan w:val="6"/>
            <w:tcBorders>
              <w:top w:val="single" w:color="auto" w:sz="4" w:space="0"/>
              <w:left w:val="single" w:color="auto" w:sz="4" w:space="0"/>
              <w:bottom w:val="single" w:color="auto" w:sz="4" w:space="0"/>
              <w:right w:val="single" w:color="auto" w:sz="4" w:space="0"/>
            </w:tcBorders>
            <w:vAlign w:val="center"/>
          </w:tcPr>
          <w:p w14:paraId="55C8B187">
            <w:pPr>
              <w:widowControl/>
              <w:adjustRightInd w:val="0"/>
              <w:snapToGrid w:val="0"/>
              <w:ind w:firstLine="426"/>
              <w:rPr>
                <w:rFonts w:ascii="宋体" w:hAnsi="宋体" w:cs="宋体"/>
                <w:color w:val="auto"/>
                <w:kern w:val="0"/>
                <w:szCs w:val="21"/>
                <w:highlight w:val="none"/>
              </w:rPr>
            </w:pPr>
            <w:r>
              <w:rPr>
                <w:rFonts w:hint="eastAsia" w:ascii="宋体" w:hAnsi="宋体" w:cs="宋体"/>
                <w:b/>
                <w:bCs/>
                <w:color w:val="auto"/>
                <w:kern w:val="0"/>
                <w:szCs w:val="21"/>
                <w:highlight w:val="none"/>
              </w:rPr>
              <w:t>合计：</w:t>
            </w:r>
          </w:p>
        </w:tc>
      </w:tr>
      <w:tr w14:paraId="551E883C">
        <w:tblPrEx>
          <w:tblCellMar>
            <w:top w:w="0" w:type="dxa"/>
            <w:left w:w="108" w:type="dxa"/>
            <w:bottom w:w="0" w:type="dxa"/>
            <w:right w:w="108" w:type="dxa"/>
          </w:tblCellMar>
        </w:tblPrEx>
        <w:trPr>
          <w:trHeight w:val="525" w:hRule="atLeast"/>
          <w:jc w:val="right"/>
        </w:trPr>
        <w:tc>
          <w:tcPr>
            <w:tcW w:w="9456" w:type="dxa"/>
            <w:gridSpan w:val="6"/>
            <w:tcBorders>
              <w:top w:val="single" w:color="auto" w:sz="4" w:space="0"/>
              <w:left w:val="single" w:color="auto" w:sz="4" w:space="0"/>
              <w:bottom w:val="single" w:color="auto" w:sz="4" w:space="0"/>
              <w:right w:val="single" w:color="auto" w:sz="4" w:space="0"/>
            </w:tcBorders>
            <w:vAlign w:val="center"/>
          </w:tcPr>
          <w:p w14:paraId="1AA47F24">
            <w:pPr>
              <w:widowControl/>
              <w:adjustRightInd w:val="0"/>
              <w:snapToGrid w:val="0"/>
              <w:ind w:firstLine="426"/>
              <w:jc w:val="left"/>
              <w:rPr>
                <w:rFonts w:ascii="宋体" w:hAnsi="宋体" w:cs="宋体"/>
                <w:color w:val="auto"/>
                <w:kern w:val="0"/>
                <w:szCs w:val="21"/>
                <w:highlight w:val="none"/>
              </w:rPr>
            </w:pPr>
            <w:r>
              <w:rPr>
                <w:rFonts w:hint="eastAsia" w:ascii="宋体" w:hAnsi="宋体" w:cs="宋体"/>
                <w:b/>
                <w:bCs/>
                <w:color w:val="auto"/>
                <w:kern w:val="0"/>
                <w:szCs w:val="21"/>
                <w:highlight w:val="none"/>
              </w:rPr>
              <w:t>服务期：</w:t>
            </w:r>
          </w:p>
        </w:tc>
      </w:tr>
    </w:tbl>
    <w:p w14:paraId="3FEFB027">
      <w:pPr>
        <w:snapToGrid w:val="0"/>
        <w:spacing w:before="50" w:after="50"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5AA8C779">
      <w:pPr>
        <w:snapToGrid w:val="0"/>
        <w:spacing w:before="50" w:after="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1.供应商的报价表必须加盖供应商公章并由法定代表人或者委托代理人签字，</w:t>
      </w:r>
      <w:r>
        <w:rPr>
          <w:rFonts w:hint="eastAsia" w:ascii="宋体" w:hAnsi="宋体" w:cs="宋体"/>
          <w:b/>
          <w:color w:val="auto"/>
          <w:szCs w:val="21"/>
          <w:highlight w:val="none"/>
        </w:rPr>
        <w:t>否则其响应文件按无效响应处理</w:t>
      </w:r>
      <w:r>
        <w:rPr>
          <w:rFonts w:hint="eastAsia" w:ascii="宋体" w:hAnsi="宋体" w:cs="宋体"/>
          <w:color w:val="auto"/>
          <w:szCs w:val="21"/>
          <w:highlight w:val="none"/>
        </w:rPr>
        <w:t>。</w:t>
      </w:r>
    </w:p>
    <w:p w14:paraId="44C58236">
      <w:pPr>
        <w:snapToGrid w:val="0"/>
        <w:spacing w:before="50" w:after="50" w:line="360" w:lineRule="auto"/>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报价一经涂改，应在涂改处加盖供应商公章或者由法定代表人或者委托代理人签字或者盖章</w:t>
      </w:r>
      <w:r>
        <w:rPr>
          <w:rFonts w:hint="eastAsia" w:ascii="宋体" w:hAnsi="宋体" w:cs="宋体"/>
          <w:b/>
          <w:color w:val="auto"/>
          <w:szCs w:val="21"/>
          <w:highlight w:val="none"/>
        </w:rPr>
        <w:t>，否则其响应文件按无效响应处理。</w:t>
      </w:r>
    </w:p>
    <w:p w14:paraId="63C5776A">
      <w:pPr>
        <w:snapToGrid w:val="0"/>
        <w:spacing w:before="50" w:after="50" w:line="360" w:lineRule="auto"/>
        <w:ind w:firstLine="420" w:firstLineChars="200"/>
        <w:rPr>
          <w:rFonts w:ascii="宋体" w:hAnsi="宋体" w:cs="宋体"/>
          <w:b/>
          <w:color w:val="auto"/>
          <w:spacing w:val="-6"/>
          <w:szCs w:val="21"/>
          <w:highlight w:val="none"/>
        </w:rPr>
      </w:pPr>
      <w:r>
        <w:rPr>
          <w:rFonts w:hint="eastAsia" w:ascii="宋体" w:hAnsi="宋体" w:cs="宋体"/>
          <w:color w:val="auto"/>
          <w:szCs w:val="21"/>
          <w:highlight w:val="none"/>
        </w:rPr>
        <w:t>3.</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14:paraId="6CD63578">
      <w:pPr>
        <w:pStyle w:val="61"/>
        <w:rPr>
          <w:rFonts w:hint="default"/>
          <w:color w:val="auto"/>
          <w:highlight w:val="none"/>
        </w:rPr>
      </w:pPr>
      <w:r>
        <w:rPr>
          <w:rFonts w:ascii="宋体" w:hAnsi="宋体" w:cs="宋体"/>
          <w:b/>
          <w:color w:val="auto"/>
          <w:spacing w:val="-6"/>
          <w:szCs w:val="21"/>
          <w:highlight w:val="none"/>
        </w:rPr>
        <w:t xml:space="preserve">    4.</w:t>
      </w:r>
      <w:r>
        <w:rPr>
          <w:rFonts w:ascii="宋体" w:hAnsi="宋体" w:eastAsia="宋体" w:cs="宋体"/>
          <w:color w:val="auto"/>
          <w:kern w:val="2"/>
          <w:sz w:val="21"/>
          <w:szCs w:val="21"/>
          <w:highlight w:val="none"/>
        </w:rPr>
        <w:t>本表可根据实际情况自行拓展。</w:t>
      </w:r>
    </w:p>
    <w:p w14:paraId="641A52C4">
      <w:pPr>
        <w:snapToGrid w:val="0"/>
        <w:spacing w:before="50" w:after="50" w:line="360" w:lineRule="auto"/>
        <w:ind w:right="-817" w:rightChars="-389"/>
        <w:rPr>
          <w:rFonts w:ascii="宋体" w:hAnsi="宋体" w:cs="宋体"/>
          <w:color w:val="auto"/>
          <w:szCs w:val="21"/>
          <w:highlight w:val="none"/>
        </w:rPr>
      </w:pPr>
    </w:p>
    <w:p w14:paraId="4A362AB9">
      <w:pPr>
        <w:snapToGrid w:val="0"/>
        <w:spacing w:before="50" w:after="50"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372ED3DE">
      <w:pPr>
        <w:snapToGrid w:val="0"/>
        <w:spacing w:before="50" w:after="50"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072299CE">
      <w:pPr>
        <w:snapToGrid w:val="0"/>
        <w:spacing w:before="50" w:after="50" w:line="360" w:lineRule="auto"/>
        <w:ind w:right="-817" w:rightChars="-389" w:firstLine="3570" w:firstLineChars="1700"/>
        <w:rPr>
          <w:rFonts w:ascii="宋体" w:hAnsi="宋体" w:cs="宋体"/>
          <w:b/>
          <w:color w:val="auto"/>
          <w:szCs w:val="21"/>
          <w:highlight w:val="none"/>
        </w:rPr>
      </w:pPr>
      <w:r>
        <w:rPr>
          <w:rFonts w:hint="eastAsia" w:ascii="宋体" w:hAnsi="宋体" w:cs="宋体"/>
          <w:color w:val="auto"/>
          <w:szCs w:val="21"/>
          <w:highlight w:val="none"/>
        </w:rPr>
        <w:t>日期：   年   月   日</w:t>
      </w:r>
    </w:p>
    <w:p w14:paraId="15AF30F6">
      <w:pPr>
        <w:spacing w:beforeLines="100" w:afterLines="50" w:line="360" w:lineRule="auto"/>
        <w:ind w:left="540" w:firstLine="426"/>
        <w:jc w:val="center"/>
        <w:rPr>
          <w:rFonts w:ascii="宋体" w:hAnsi="宋体" w:cs="宋体"/>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法定代表人证明书</w:t>
      </w:r>
    </w:p>
    <w:p w14:paraId="1EBB8192">
      <w:pPr>
        <w:spacing w:line="360" w:lineRule="auto"/>
        <w:ind w:left="540" w:firstLine="646"/>
        <w:rPr>
          <w:rFonts w:ascii="宋体" w:hAnsi="宋体" w:cs="宋体"/>
          <w:color w:val="auto"/>
          <w:sz w:val="32"/>
          <w:szCs w:val="32"/>
          <w:highlight w:val="none"/>
        </w:rPr>
      </w:pPr>
    </w:p>
    <w:p w14:paraId="35A42BA3">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5BA8257A">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6E606700">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14:paraId="2F02DC5C">
      <w:pPr>
        <w:spacing w:line="360" w:lineRule="auto"/>
        <w:ind w:left="540"/>
        <w:rPr>
          <w:rFonts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03E6D5B9">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1A5448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p>
    <w:p w14:paraId="1CAADFC9">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特此证明。</w:t>
      </w:r>
    </w:p>
    <w:p w14:paraId="1C3B7608">
      <w:pPr>
        <w:spacing w:line="360" w:lineRule="auto"/>
        <w:ind w:left="540"/>
        <w:rPr>
          <w:rFonts w:ascii="宋体" w:hAnsi="宋体" w:cs="宋体"/>
          <w:color w:val="auto"/>
          <w:szCs w:val="21"/>
          <w:highlight w:val="none"/>
        </w:rPr>
      </w:pPr>
    </w:p>
    <w:p w14:paraId="196863AC">
      <w:pPr>
        <w:spacing w:line="360" w:lineRule="auto"/>
        <w:ind w:left="540"/>
        <w:rPr>
          <w:rFonts w:ascii="宋体" w:hAnsi="宋体" w:cs="宋体"/>
          <w:color w:val="auto"/>
          <w:szCs w:val="21"/>
          <w:highlight w:val="none"/>
        </w:rPr>
      </w:pPr>
    </w:p>
    <w:p w14:paraId="59AB5804">
      <w:pPr>
        <w:spacing w:line="360" w:lineRule="auto"/>
        <w:ind w:left="540"/>
        <w:rPr>
          <w:rFonts w:ascii="宋体" w:hAnsi="宋体" w:cs="宋体"/>
          <w:color w:val="auto"/>
          <w:szCs w:val="21"/>
          <w:highlight w:val="none"/>
        </w:rPr>
      </w:pPr>
    </w:p>
    <w:p w14:paraId="0A1EDC3C">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14:paraId="36EF0582">
      <w:pPr>
        <w:spacing w:line="360" w:lineRule="auto"/>
        <w:ind w:left="540"/>
        <w:rPr>
          <w:rFonts w:ascii="宋体" w:hAnsi="宋体" w:cs="宋体"/>
          <w:color w:val="auto"/>
          <w:szCs w:val="21"/>
          <w:highlight w:val="none"/>
        </w:rPr>
      </w:pPr>
    </w:p>
    <w:p w14:paraId="78AE921C">
      <w:pPr>
        <w:spacing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14:paraId="2C33D49E">
      <w:pPr>
        <w:snapToGrid w:val="0"/>
        <w:spacing w:beforeLines="50" w:after="50"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6D7EE7B">
      <w:pPr>
        <w:snapToGrid w:val="0"/>
        <w:spacing w:beforeLines="50" w:after="50" w:line="360" w:lineRule="auto"/>
        <w:ind w:firstLine="426"/>
        <w:jc w:val="center"/>
        <w:rPr>
          <w:rFonts w:ascii="宋体" w:hAnsi="宋体" w:cs="宋体"/>
          <w:b/>
          <w:color w:val="auto"/>
          <w:szCs w:val="21"/>
          <w:highlight w:val="none"/>
        </w:rPr>
      </w:pPr>
    </w:p>
    <w:p w14:paraId="00D49110">
      <w:pPr>
        <w:snapToGrid w:val="0"/>
        <w:spacing w:beforeLines="50" w:after="50" w:line="360" w:lineRule="auto"/>
        <w:jc w:val="left"/>
        <w:rPr>
          <w:rFonts w:ascii="宋体" w:hAnsi="宋体" w:cs="宋体"/>
          <w:color w:val="auto"/>
          <w:szCs w:val="21"/>
          <w:highlight w:val="none"/>
        </w:rPr>
      </w:pPr>
    </w:p>
    <w:p w14:paraId="2CDBD86C">
      <w:pPr>
        <w:snapToGrid w:val="0"/>
        <w:spacing w:beforeLines="50" w:after="50" w:line="360" w:lineRule="auto"/>
        <w:jc w:val="left"/>
        <w:rPr>
          <w:rFonts w:ascii="宋体" w:hAnsi="宋体" w:cs="宋体"/>
          <w:color w:val="auto"/>
          <w:szCs w:val="21"/>
          <w:highlight w:val="none"/>
        </w:rPr>
      </w:pPr>
      <w:r>
        <w:rPr>
          <w:rFonts w:hint="eastAsia" w:ascii="宋体" w:hAnsi="宋体" w:cs="宋体"/>
          <w:color w:val="auto"/>
          <w:szCs w:val="21"/>
          <w:highlight w:val="none"/>
        </w:rPr>
        <w:t>注：1.自然人竞标的无需提供。</w:t>
      </w:r>
    </w:p>
    <w:p w14:paraId="0EAE60FA">
      <w:pPr>
        <w:snapToGrid w:val="0"/>
        <w:spacing w:beforeLines="50" w:after="50"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ABBF4AF">
      <w:pPr>
        <w:adjustRightInd w:val="0"/>
        <w:snapToGrid w:val="0"/>
        <w:spacing w:line="360" w:lineRule="auto"/>
        <w:ind w:firstLine="426"/>
        <w:jc w:val="left"/>
        <w:rPr>
          <w:rFonts w:ascii="宋体" w:hAnsi="宋体" w:cs="宋体"/>
          <w:b/>
          <w:color w:val="auto"/>
          <w:szCs w:val="21"/>
          <w:highlight w:val="none"/>
        </w:rPr>
      </w:pPr>
    </w:p>
    <w:p w14:paraId="3EDB9098">
      <w:pPr>
        <w:spacing w:line="360" w:lineRule="auto"/>
        <w:ind w:firstLine="889"/>
        <w:jc w:val="center"/>
        <w:rPr>
          <w:rFonts w:ascii="宋体" w:hAnsi="宋体" w:cs="宋体"/>
          <w:b/>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法定代表人授权委托书（非联合体竞标格式）</w:t>
      </w:r>
    </w:p>
    <w:p w14:paraId="0BEB3A17">
      <w:pPr>
        <w:spacing w:beforeLines="100" w:afterLines="50" w:line="360" w:lineRule="auto"/>
        <w:ind w:left="540"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（如有委托时）</w:t>
      </w:r>
    </w:p>
    <w:p w14:paraId="3E98117F">
      <w:pPr>
        <w:spacing w:line="360" w:lineRule="auto"/>
        <w:ind w:firstLine="646"/>
        <w:rPr>
          <w:rFonts w:ascii="宋体" w:hAnsi="宋体" w:cs="宋体"/>
          <w:color w:val="auto"/>
          <w:sz w:val="32"/>
          <w:szCs w:val="32"/>
          <w:highlight w:val="none"/>
        </w:rPr>
      </w:pPr>
    </w:p>
    <w:p w14:paraId="0213BD72">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643A2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14:paraId="18A605D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14:paraId="788AB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529B45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43E5BD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14:paraId="3DC7136A">
      <w:pPr>
        <w:spacing w:line="360" w:lineRule="auto"/>
        <w:rPr>
          <w:rFonts w:ascii="宋体" w:hAnsi="宋体" w:cs="宋体"/>
          <w:color w:val="auto"/>
          <w:szCs w:val="21"/>
          <w:highlight w:val="none"/>
        </w:rPr>
      </w:pPr>
    </w:p>
    <w:p w14:paraId="7A8FB4E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委托代理人（签字）：         法定代表人（签字）：                    </w:t>
      </w:r>
    </w:p>
    <w:p w14:paraId="58E15A3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14:paraId="3B8DF6E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6EF3A18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供应商（盖公章）：                      </w:t>
      </w:r>
    </w:p>
    <w:p w14:paraId="578DC99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63C86131">
      <w:pPr>
        <w:spacing w:line="360" w:lineRule="auto"/>
        <w:rPr>
          <w:rFonts w:ascii="宋体" w:hAnsi="宋体" w:cs="宋体"/>
          <w:color w:val="auto"/>
          <w:szCs w:val="21"/>
          <w:highlight w:val="none"/>
        </w:rPr>
      </w:pPr>
    </w:p>
    <w:p w14:paraId="7834B21E">
      <w:pPr>
        <w:spacing w:line="360" w:lineRule="auto"/>
        <w:rPr>
          <w:rFonts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注：1.法定代表人和委托代理人必须在授权委托书上亲笔签名，不得使用印章、签名章或者其他电子制版签名代替；</w:t>
      </w:r>
    </w:p>
    <w:p w14:paraId="1C73FC1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9F05126">
      <w:pPr>
        <w:spacing w:beforeLines="100" w:afterLines="50" w:line="360" w:lineRule="auto"/>
        <w:ind w:left="540"/>
        <w:jc w:val="center"/>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color w:val="auto"/>
          <w:sz w:val="32"/>
          <w:szCs w:val="32"/>
          <w:highlight w:val="none"/>
        </w:rPr>
        <w:t>商务条款偏离表格式</w:t>
      </w:r>
    </w:p>
    <w:p w14:paraId="773696B6">
      <w:pPr>
        <w:spacing w:beforeLines="100" w:afterLines="50" w:line="360" w:lineRule="auto"/>
        <w:ind w:left="540"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(注：按采购需求具体条款修改)</w:t>
      </w:r>
    </w:p>
    <w:p w14:paraId="7CC5EC7E">
      <w:pPr>
        <w:snapToGrid w:val="0"/>
        <w:spacing w:before="50" w:line="360" w:lineRule="auto"/>
        <w:ind w:firstLine="485"/>
        <w:jc w:val="left"/>
        <w:rPr>
          <w:rFonts w:ascii="宋体" w:hAnsi="宋体" w:cs="宋体"/>
          <w:color w:val="auto"/>
          <w:sz w:val="24"/>
          <w:highlight w:val="none"/>
        </w:rPr>
      </w:pPr>
    </w:p>
    <w:p w14:paraId="2F1CB162">
      <w:pPr>
        <w:pStyle w:val="27"/>
        <w:spacing w:line="360" w:lineRule="auto"/>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p>
    <w:p w14:paraId="5CE190CC">
      <w:pPr>
        <w:snapToGrid w:val="0"/>
        <w:spacing w:before="50" w:line="360" w:lineRule="auto"/>
        <w:jc w:val="left"/>
        <w:rPr>
          <w:rFonts w:ascii="宋体" w:hAnsi="宋体" w:cs="宋体"/>
          <w:color w:val="auto"/>
          <w:szCs w:val="21"/>
          <w:highlight w:val="none"/>
          <w:u w:val="single"/>
        </w:rPr>
      </w:pPr>
    </w:p>
    <w:tbl>
      <w:tblPr>
        <w:tblStyle w:val="51"/>
        <w:tblpPr w:leftFromText="180" w:rightFromText="180" w:vertAnchor="text" w:horzAnchor="margin" w:tblpY="-9"/>
        <w:tblOverlap w:val="never"/>
        <w:tblW w:w="81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637"/>
        <w:gridCol w:w="2250"/>
        <w:gridCol w:w="1775"/>
      </w:tblGrid>
      <w:tr w14:paraId="322E2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left w:val="single" w:color="auto" w:sz="4" w:space="0"/>
              <w:bottom w:val="single" w:color="auto" w:sz="4" w:space="0"/>
              <w:right w:val="single" w:color="auto" w:sz="4" w:space="0"/>
            </w:tcBorders>
            <w:vAlign w:val="center"/>
          </w:tcPr>
          <w:p w14:paraId="75B54A69">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37" w:type="dxa"/>
            <w:tcBorders>
              <w:top w:val="single" w:color="auto" w:sz="4" w:space="0"/>
              <w:left w:val="single" w:color="auto" w:sz="4" w:space="0"/>
              <w:bottom w:val="single" w:color="auto" w:sz="4" w:space="0"/>
              <w:right w:val="single" w:color="auto" w:sz="4" w:space="0"/>
            </w:tcBorders>
            <w:vAlign w:val="center"/>
          </w:tcPr>
          <w:p w14:paraId="335FF93E">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磋商文件商务条款要求</w:t>
            </w:r>
          </w:p>
        </w:tc>
        <w:tc>
          <w:tcPr>
            <w:tcW w:w="2250" w:type="dxa"/>
            <w:tcBorders>
              <w:top w:val="single" w:color="auto" w:sz="4" w:space="0"/>
              <w:left w:val="single" w:color="auto" w:sz="4" w:space="0"/>
              <w:bottom w:val="single" w:color="auto" w:sz="4" w:space="0"/>
              <w:right w:val="single" w:color="auto" w:sz="4" w:space="0"/>
            </w:tcBorders>
            <w:vAlign w:val="center"/>
          </w:tcPr>
          <w:p w14:paraId="29D85F16">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供应商的承诺</w:t>
            </w:r>
          </w:p>
        </w:tc>
        <w:tc>
          <w:tcPr>
            <w:tcW w:w="1775" w:type="dxa"/>
            <w:tcBorders>
              <w:top w:val="single" w:color="auto" w:sz="4" w:space="0"/>
              <w:left w:val="single" w:color="auto" w:sz="4" w:space="0"/>
              <w:bottom w:val="single" w:color="auto" w:sz="4" w:space="0"/>
              <w:right w:val="single" w:color="auto" w:sz="4" w:space="0"/>
            </w:tcBorders>
            <w:vAlign w:val="center"/>
          </w:tcPr>
          <w:p w14:paraId="3C59A57E">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8083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left w:val="single" w:color="auto" w:sz="4" w:space="0"/>
              <w:bottom w:val="single" w:color="auto" w:sz="4" w:space="0"/>
              <w:right w:val="single" w:color="auto" w:sz="4" w:space="0"/>
            </w:tcBorders>
            <w:vAlign w:val="center"/>
          </w:tcPr>
          <w:p w14:paraId="59D153A4">
            <w:pPr>
              <w:snapToGrid w:val="0"/>
              <w:spacing w:beforeLines="50" w:line="360" w:lineRule="auto"/>
              <w:jc w:val="center"/>
              <w:rPr>
                <w:rFonts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6549894D">
            <w:pPr>
              <w:snapToGrid w:val="0"/>
              <w:spacing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0A2CF239">
            <w:pPr>
              <w:snapToGrid w:val="0"/>
              <w:spacing w:beforeLines="50" w:line="360" w:lineRule="auto"/>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32F872D">
            <w:pPr>
              <w:snapToGrid w:val="0"/>
              <w:spacing w:beforeLines="50" w:line="360" w:lineRule="auto"/>
              <w:jc w:val="center"/>
              <w:rPr>
                <w:rFonts w:ascii="宋体" w:hAnsi="宋体" w:cs="宋体"/>
                <w:color w:val="auto"/>
                <w:szCs w:val="21"/>
                <w:highlight w:val="none"/>
              </w:rPr>
            </w:pPr>
          </w:p>
        </w:tc>
      </w:tr>
      <w:tr w14:paraId="09C6F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26" w:type="dxa"/>
            <w:tcBorders>
              <w:top w:val="single" w:color="auto" w:sz="4" w:space="0"/>
              <w:left w:val="single" w:color="auto" w:sz="4" w:space="0"/>
              <w:bottom w:val="single" w:color="auto" w:sz="4" w:space="0"/>
              <w:right w:val="single" w:color="auto" w:sz="4" w:space="0"/>
            </w:tcBorders>
            <w:vAlign w:val="center"/>
          </w:tcPr>
          <w:p w14:paraId="7DBA1F05">
            <w:pPr>
              <w:snapToGrid w:val="0"/>
              <w:spacing w:beforeLines="50" w:line="360" w:lineRule="auto"/>
              <w:jc w:val="center"/>
              <w:rPr>
                <w:rFonts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4FBE1DE4">
            <w:pPr>
              <w:snapToGrid w:val="0"/>
              <w:spacing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3414391B">
            <w:pPr>
              <w:snapToGrid w:val="0"/>
              <w:spacing w:beforeLines="50" w:line="360" w:lineRule="auto"/>
              <w:ind w:left="43"/>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40CCCA1">
            <w:pPr>
              <w:snapToGrid w:val="0"/>
              <w:spacing w:beforeLines="50" w:line="360" w:lineRule="auto"/>
              <w:ind w:left="43"/>
              <w:jc w:val="center"/>
              <w:rPr>
                <w:rFonts w:ascii="宋体" w:hAnsi="宋体" w:cs="宋体"/>
                <w:color w:val="auto"/>
                <w:szCs w:val="21"/>
                <w:highlight w:val="none"/>
              </w:rPr>
            </w:pPr>
          </w:p>
        </w:tc>
      </w:tr>
      <w:tr w14:paraId="07F64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6" w:type="dxa"/>
            <w:tcBorders>
              <w:top w:val="single" w:color="auto" w:sz="4" w:space="0"/>
              <w:left w:val="single" w:color="auto" w:sz="4" w:space="0"/>
              <w:bottom w:val="single" w:color="auto" w:sz="4" w:space="0"/>
              <w:right w:val="single" w:color="auto" w:sz="4" w:space="0"/>
            </w:tcBorders>
            <w:vAlign w:val="center"/>
          </w:tcPr>
          <w:p w14:paraId="6DB54EA0">
            <w:pPr>
              <w:snapToGrid w:val="0"/>
              <w:spacing w:beforeLines="50" w:line="360" w:lineRule="auto"/>
              <w:jc w:val="center"/>
              <w:rPr>
                <w:rFonts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0D385D72">
            <w:pPr>
              <w:snapToGrid w:val="0"/>
              <w:spacing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3C8B208B">
            <w:pPr>
              <w:snapToGrid w:val="0"/>
              <w:spacing w:beforeLines="50" w:line="360" w:lineRule="auto"/>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62803EB2">
            <w:pPr>
              <w:snapToGrid w:val="0"/>
              <w:spacing w:beforeLines="50" w:line="360" w:lineRule="auto"/>
              <w:jc w:val="center"/>
              <w:rPr>
                <w:rFonts w:ascii="宋体" w:hAnsi="宋体" w:cs="宋体"/>
                <w:color w:val="auto"/>
                <w:szCs w:val="21"/>
                <w:highlight w:val="none"/>
              </w:rPr>
            </w:pPr>
          </w:p>
        </w:tc>
      </w:tr>
      <w:tr w14:paraId="41191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139198C">
            <w:pPr>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637" w:type="dxa"/>
            <w:tcBorders>
              <w:top w:val="single" w:color="auto" w:sz="4" w:space="0"/>
              <w:left w:val="single" w:color="auto" w:sz="4" w:space="0"/>
              <w:bottom w:val="single" w:color="auto" w:sz="4" w:space="0"/>
              <w:right w:val="single" w:color="auto" w:sz="4" w:space="0"/>
            </w:tcBorders>
            <w:vAlign w:val="center"/>
          </w:tcPr>
          <w:p w14:paraId="57544BE0">
            <w:pPr>
              <w:snapToGrid w:val="0"/>
              <w:spacing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65A59E27">
            <w:pPr>
              <w:snapToGrid w:val="0"/>
              <w:spacing w:beforeLines="50" w:line="360" w:lineRule="auto"/>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1B3940C8">
            <w:pPr>
              <w:snapToGrid w:val="0"/>
              <w:spacing w:beforeLines="50" w:line="360" w:lineRule="auto"/>
              <w:jc w:val="center"/>
              <w:rPr>
                <w:rFonts w:ascii="宋体" w:hAnsi="宋体" w:cs="宋体"/>
                <w:color w:val="auto"/>
                <w:szCs w:val="21"/>
                <w:highlight w:val="none"/>
              </w:rPr>
            </w:pPr>
          </w:p>
        </w:tc>
      </w:tr>
    </w:tbl>
    <w:p w14:paraId="28F1976C">
      <w:pPr>
        <w:pStyle w:val="19"/>
        <w:spacing w:line="360" w:lineRule="auto"/>
        <w:rPr>
          <w:rFonts w:ascii="宋体" w:hAnsi="宋体" w:cs="宋体"/>
          <w:color w:val="auto"/>
          <w:kern w:val="0"/>
          <w:sz w:val="21"/>
          <w:szCs w:val="21"/>
          <w:highlight w:val="none"/>
        </w:rPr>
      </w:pPr>
    </w:p>
    <w:p w14:paraId="7705CA2C">
      <w:pPr>
        <w:pStyle w:val="19"/>
        <w:spacing w:line="360" w:lineRule="auto"/>
        <w:rPr>
          <w:rFonts w:ascii="宋体" w:hAnsi="宋体" w:cs="宋体"/>
          <w:color w:val="auto"/>
          <w:kern w:val="0"/>
          <w:sz w:val="21"/>
          <w:szCs w:val="21"/>
          <w:highlight w:val="none"/>
        </w:rPr>
      </w:pPr>
    </w:p>
    <w:p w14:paraId="3E88FA86">
      <w:pPr>
        <w:pStyle w:val="19"/>
        <w:spacing w:line="360" w:lineRule="auto"/>
        <w:rPr>
          <w:rFonts w:ascii="宋体" w:hAnsi="宋体" w:cs="宋体"/>
          <w:color w:val="auto"/>
          <w:kern w:val="0"/>
          <w:sz w:val="21"/>
          <w:szCs w:val="21"/>
          <w:highlight w:val="none"/>
        </w:rPr>
      </w:pPr>
    </w:p>
    <w:p w14:paraId="4EB52006">
      <w:pPr>
        <w:pStyle w:val="19"/>
        <w:spacing w:line="360" w:lineRule="auto"/>
        <w:rPr>
          <w:rFonts w:ascii="宋体" w:hAnsi="宋体" w:cs="宋体"/>
          <w:color w:val="auto"/>
          <w:kern w:val="0"/>
          <w:sz w:val="21"/>
          <w:szCs w:val="21"/>
          <w:highlight w:val="none"/>
        </w:rPr>
      </w:pPr>
    </w:p>
    <w:p w14:paraId="0F8C5EE3">
      <w:pPr>
        <w:pStyle w:val="19"/>
        <w:spacing w:line="360" w:lineRule="auto"/>
        <w:rPr>
          <w:rFonts w:ascii="宋体" w:hAnsi="宋体" w:cs="宋体"/>
          <w:color w:val="auto"/>
          <w:kern w:val="0"/>
          <w:sz w:val="21"/>
          <w:szCs w:val="21"/>
          <w:highlight w:val="none"/>
        </w:rPr>
      </w:pPr>
    </w:p>
    <w:p w14:paraId="4FA22527">
      <w:pPr>
        <w:pStyle w:val="19"/>
        <w:spacing w:line="360" w:lineRule="auto"/>
        <w:rPr>
          <w:rFonts w:ascii="宋体" w:hAnsi="宋体" w:cs="宋体"/>
          <w:color w:val="auto"/>
          <w:kern w:val="0"/>
          <w:sz w:val="21"/>
          <w:szCs w:val="21"/>
          <w:highlight w:val="none"/>
        </w:rPr>
      </w:pPr>
    </w:p>
    <w:p w14:paraId="0D746080">
      <w:pPr>
        <w:pStyle w:val="19"/>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注：本表可根据项目情况自行扩展</w:t>
      </w:r>
    </w:p>
    <w:p w14:paraId="0BDD4DD8">
      <w:pPr>
        <w:pStyle w:val="19"/>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说明：应对照磋商文件“第三章 采购需求”中的商务条款逐条实质性响应，并作出偏离说明。</w:t>
      </w:r>
    </w:p>
    <w:p w14:paraId="77D1E0A6">
      <w:pPr>
        <w:snapToGrid w:val="0"/>
        <w:spacing w:before="50" w:line="360" w:lineRule="auto"/>
        <w:jc w:val="left"/>
        <w:rPr>
          <w:rFonts w:ascii="宋体" w:hAnsi="宋体" w:cs="宋体"/>
          <w:color w:val="auto"/>
          <w:szCs w:val="21"/>
          <w:highlight w:val="none"/>
          <w:u w:val="singl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w:t>
      </w:r>
    </w:p>
    <w:p w14:paraId="62618BEB">
      <w:pPr>
        <w:snapToGrid w:val="0"/>
        <w:spacing w:before="50" w:after="50" w:line="360" w:lineRule="auto"/>
        <w:ind w:right="-817" w:rightChars="-389"/>
        <w:rPr>
          <w:rFonts w:ascii="宋体" w:hAnsi="宋体" w:cs="宋体"/>
          <w:color w:val="auto"/>
          <w:szCs w:val="21"/>
          <w:highlight w:val="none"/>
        </w:rPr>
      </w:pPr>
    </w:p>
    <w:p w14:paraId="601DDE76">
      <w:pPr>
        <w:snapToGrid w:val="0"/>
        <w:spacing w:before="50" w:after="50"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3B7B2FA9">
      <w:pPr>
        <w:snapToGrid w:val="0"/>
        <w:spacing w:before="50" w:after="50"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03A59CFD">
      <w:pPr>
        <w:snapToGrid w:val="0"/>
        <w:spacing w:before="50" w:after="50" w:line="360" w:lineRule="auto"/>
        <w:ind w:right="-817" w:rightChars="-389" w:firstLine="3570" w:firstLineChars="1700"/>
        <w:rPr>
          <w:rFonts w:ascii="宋体" w:hAnsi="宋体" w:cs="宋体"/>
          <w:bCs/>
          <w:color w:val="auto"/>
          <w:szCs w:val="21"/>
          <w:highlight w:val="none"/>
        </w:rPr>
      </w:pPr>
      <w:r>
        <w:rPr>
          <w:rFonts w:hint="eastAsia" w:ascii="宋体" w:hAnsi="宋体" w:cs="宋体"/>
          <w:color w:val="auto"/>
          <w:szCs w:val="21"/>
          <w:highlight w:val="none"/>
        </w:rPr>
        <w:t>日期：   年   月   日</w:t>
      </w:r>
    </w:p>
    <w:p w14:paraId="45938B41">
      <w:pPr>
        <w:adjustRightInd w:val="0"/>
        <w:snapToGrid w:val="0"/>
        <w:spacing w:line="360" w:lineRule="auto"/>
        <w:ind w:firstLine="3360" w:firstLineChars="1600"/>
        <w:jc w:val="center"/>
        <w:rPr>
          <w:rFonts w:ascii="宋体" w:hAnsi="宋体" w:cs="宋体"/>
          <w:bCs/>
          <w:color w:val="auto"/>
          <w:szCs w:val="21"/>
          <w:highlight w:val="none"/>
        </w:rPr>
      </w:pPr>
    </w:p>
    <w:p w14:paraId="373DD540">
      <w:pPr>
        <w:adjustRightInd w:val="0"/>
        <w:snapToGrid w:val="0"/>
        <w:spacing w:line="360" w:lineRule="auto"/>
        <w:ind w:firstLine="3360" w:firstLineChars="1600"/>
        <w:jc w:val="center"/>
        <w:rPr>
          <w:rFonts w:ascii="宋体" w:hAnsi="宋体" w:cs="宋体"/>
          <w:bCs/>
          <w:color w:val="auto"/>
          <w:szCs w:val="21"/>
          <w:highlight w:val="none"/>
        </w:rPr>
      </w:pPr>
    </w:p>
    <w:p w14:paraId="3073ACFE">
      <w:pPr>
        <w:adjustRightInd w:val="0"/>
        <w:snapToGrid w:val="0"/>
        <w:spacing w:line="360" w:lineRule="auto"/>
        <w:ind w:firstLine="7040" w:firstLineChars="1600"/>
        <w:jc w:val="center"/>
        <w:rPr>
          <w:rFonts w:ascii="宋体" w:hAnsi="宋体" w:cs="宋体"/>
          <w:bCs/>
          <w:color w:val="auto"/>
          <w:sz w:val="44"/>
          <w:szCs w:val="44"/>
          <w:highlight w:val="none"/>
        </w:rPr>
      </w:pPr>
    </w:p>
    <w:p w14:paraId="370AC65E">
      <w:pPr>
        <w:adjustRightInd w:val="0"/>
        <w:snapToGrid w:val="0"/>
        <w:spacing w:line="360" w:lineRule="auto"/>
        <w:rPr>
          <w:rFonts w:ascii="宋体" w:hAnsi="宋体" w:cs="宋体"/>
          <w:color w:val="auto"/>
          <w:szCs w:val="21"/>
          <w:highlight w:val="none"/>
          <w:u w:val="single"/>
        </w:rPr>
      </w:pPr>
    </w:p>
    <w:p w14:paraId="52AD0D70">
      <w:pPr>
        <w:adjustRightInd w:val="0"/>
        <w:snapToGrid w:val="0"/>
        <w:spacing w:line="360" w:lineRule="auto"/>
        <w:rPr>
          <w:rFonts w:ascii="宋体" w:hAnsi="宋体" w:cs="宋体"/>
          <w:color w:val="auto"/>
          <w:szCs w:val="21"/>
          <w:highlight w:val="none"/>
          <w:u w:val="single"/>
        </w:rPr>
      </w:pPr>
    </w:p>
    <w:p w14:paraId="7987B42A">
      <w:pPr>
        <w:adjustRightInd w:val="0"/>
        <w:snapToGrid w:val="0"/>
        <w:spacing w:line="360" w:lineRule="auto"/>
        <w:ind w:firstLine="889"/>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
          <w:color w:val="auto"/>
          <w:sz w:val="32"/>
          <w:szCs w:val="32"/>
          <w:highlight w:val="none"/>
        </w:rPr>
        <w:t>技术需求偏离表</w:t>
      </w:r>
    </w:p>
    <w:p w14:paraId="5EF0FD9A">
      <w:pPr>
        <w:spacing w:line="360" w:lineRule="auto"/>
        <w:ind w:firstLine="646"/>
        <w:rPr>
          <w:rFonts w:ascii="宋体" w:hAnsi="宋体" w:cs="宋体"/>
          <w:color w:val="auto"/>
          <w:sz w:val="32"/>
          <w:szCs w:val="32"/>
          <w:highlight w:val="none"/>
        </w:rPr>
      </w:pPr>
    </w:p>
    <w:p w14:paraId="0D4118F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14:paraId="5CAB8BAE">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33F7C96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tbl>
      <w:tblPr>
        <w:tblStyle w:val="51"/>
        <w:tblW w:w="94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1499"/>
        <w:gridCol w:w="2611"/>
        <w:gridCol w:w="2843"/>
        <w:gridCol w:w="1552"/>
      </w:tblGrid>
      <w:tr w14:paraId="541D6D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7E742710">
            <w:pPr>
              <w:pStyle w:val="21"/>
              <w:spacing w:line="360" w:lineRule="auto"/>
              <w:ind w:firstLine="0" w:firstLineChars="0"/>
              <w:jc w:val="center"/>
              <w:rPr>
                <w:rFonts w:ascii="宋体" w:hAnsi="宋体" w:eastAsia="宋体" w:cs="宋体"/>
                <w:color w:val="auto"/>
                <w:kern w:val="2"/>
                <w:sz w:val="21"/>
                <w:szCs w:val="21"/>
                <w:highlight w:val="none"/>
              </w:rPr>
            </w:pPr>
            <w:bookmarkStart w:id="114" w:name="_Toc173066401"/>
            <w:bookmarkStart w:id="115" w:name="_Toc383699906"/>
            <w:bookmarkStart w:id="116" w:name="_Toc173211900"/>
            <w:bookmarkStart w:id="117" w:name="_Toc301781611"/>
            <w:bookmarkStart w:id="118" w:name="_Toc297193185"/>
            <w:bookmarkStart w:id="119" w:name="_Toc254970588"/>
            <w:bookmarkStart w:id="120" w:name="_Toc254970729"/>
            <w:bookmarkStart w:id="121" w:name="_Toc373333689"/>
            <w:bookmarkStart w:id="122" w:name="_Toc295404981"/>
            <w:r>
              <w:rPr>
                <w:rFonts w:hint="eastAsia" w:ascii="宋体" w:hAnsi="宋体" w:eastAsia="宋体" w:cs="宋体"/>
                <w:color w:val="auto"/>
                <w:kern w:val="2"/>
                <w:sz w:val="21"/>
                <w:szCs w:val="21"/>
                <w:highlight w:val="none"/>
              </w:rPr>
              <w:t>序号</w:t>
            </w:r>
            <w:bookmarkEnd w:id="114"/>
            <w:bookmarkEnd w:id="115"/>
            <w:bookmarkEnd w:id="116"/>
            <w:bookmarkEnd w:id="117"/>
            <w:bookmarkEnd w:id="118"/>
            <w:bookmarkEnd w:id="119"/>
            <w:bookmarkEnd w:id="120"/>
            <w:bookmarkEnd w:id="121"/>
            <w:bookmarkEnd w:id="122"/>
          </w:p>
        </w:tc>
        <w:tc>
          <w:tcPr>
            <w:tcW w:w="1499" w:type="dxa"/>
            <w:tcBorders>
              <w:right w:val="single" w:color="auto" w:sz="4" w:space="0"/>
            </w:tcBorders>
            <w:vAlign w:val="center"/>
          </w:tcPr>
          <w:p w14:paraId="6EF418DF">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2611" w:type="dxa"/>
            <w:tcBorders>
              <w:left w:val="single" w:color="auto" w:sz="4" w:space="0"/>
            </w:tcBorders>
            <w:vAlign w:val="center"/>
          </w:tcPr>
          <w:p w14:paraId="41DADEA6">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磋商文件技术需求</w:t>
            </w:r>
          </w:p>
        </w:tc>
        <w:tc>
          <w:tcPr>
            <w:tcW w:w="2843" w:type="dxa"/>
            <w:vAlign w:val="center"/>
          </w:tcPr>
          <w:p w14:paraId="099EE111">
            <w:pPr>
              <w:pStyle w:val="21"/>
              <w:spacing w:line="360" w:lineRule="auto"/>
              <w:ind w:firstLine="0" w:firstLineChars="0"/>
              <w:jc w:val="center"/>
              <w:rPr>
                <w:rFonts w:ascii="宋体" w:hAnsi="宋体" w:eastAsia="宋体" w:cs="宋体"/>
                <w:color w:val="auto"/>
                <w:kern w:val="2"/>
                <w:sz w:val="21"/>
                <w:szCs w:val="21"/>
                <w:highlight w:val="none"/>
              </w:rPr>
            </w:pPr>
            <w:bookmarkStart w:id="123" w:name="_Toc173211902"/>
            <w:bookmarkStart w:id="124" w:name="_Toc373333691"/>
            <w:bookmarkStart w:id="125" w:name="_Toc295404983"/>
            <w:bookmarkStart w:id="126" w:name="_Toc173066403"/>
            <w:bookmarkStart w:id="127" w:name="_Toc383699908"/>
            <w:bookmarkStart w:id="128" w:name="_Toc254970590"/>
            <w:bookmarkStart w:id="129" w:name="_Toc297193187"/>
            <w:bookmarkStart w:id="130" w:name="_Toc254970731"/>
            <w:bookmarkStart w:id="131" w:name="_Toc301781613"/>
            <w:r>
              <w:rPr>
                <w:rFonts w:hint="eastAsia" w:ascii="宋体" w:hAnsi="宋体" w:eastAsia="宋体" w:cs="宋体"/>
                <w:color w:val="auto"/>
                <w:kern w:val="2"/>
                <w:sz w:val="21"/>
                <w:szCs w:val="21"/>
                <w:highlight w:val="none"/>
              </w:rPr>
              <w:t>竞标响应</w:t>
            </w:r>
            <w:bookmarkEnd w:id="123"/>
            <w:bookmarkEnd w:id="124"/>
            <w:bookmarkEnd w:id="125"/>
            <w:bookmarkEnd w:id="126"/>
            <w:bookmarkEnd w:id="127"/>
            <w:bookmarkEnd w:id="128"/>
            <w:bookmarkEnd w:id="129"/>
            <w:bookmarkEnd w:id="130"/>
            <w:bookmarkEnd w:id="131"/>
          </w:p>
        </w:tc>
        <w:tc>
          <w:tcPr>
            <w:tcW w:w="1552" w:type="dxa"/>
            <w:vAlign w:val="center"/>
          </w:tcPr>
          <w:p w14:paraId="5DF0C52C">
            <w:pPr>
              <w:pStyle w:val="21"/>
              <w:spacing w:line="360" w:lineRule="auto"/>
              <w:ind w:firstLine="0" w:firstLineChars="0"/>
              <w:jc w:val="center"/>
              <w:rPr>
                <w:rFonts w:ascii="宋体" w:hAnsi="宋体" w:eastAsia="宋体" w:cs="宋体"/>
                <w:color w:val="auto"/>
                <w:kern w:val="2"/>
                <w:sz w:val="21"/>
                <w:szCs w:val="21"/>
                <w:highlight w:val="none"/>
              </w:rPr>
            </w:pPr>
            <w:bookmarkStart w:id="132" w:name="_Toc295404984"/>
            <w:bookmarkStart w:id="133" w:name="_Toc383699909"/>
            <w:bookmarkStart w:id="134" w:name="_Toc254970732"/>
            <w:bookmarkStart w:id="135" w:name="_Toc254970591"/>
            <w:bookmarkStart w:id="136" w:name="_Toc173066404"/>
            <w:bookmarkStart w:id="137" w:name="_Toc297193188"/>
            <w:bookmarkStart w:id="138" w:name="_Toc173211903"/>
            <w:bookmarkStart w:id="139" w:name="_Toc301781614"/>
            <w:bookmarkStart w:id="140" w:name="_Toc373333692"/>
            <w:r>
              <w:rPr>
                <w:rFonts w:hint="eastAsia" w:ascii="宋体" w:hAnsi="宋体" w:eastAsia="宋体" w:cs="宋体"/>
                <w:color w:val="auto"/>
                <w:kern w:val="2"/>
                <w:sz w:val="21"/>
                <w:szCs w:val="21"/>
                <w:highlight w:val="none"/>
              </w:rPr>
              <w:t>偏离</w:t>
            </w:r>
            <w:bookmarkEnd w:id="132"/>
            <w:bookmarkEnd w:id="133"/>
            <w:bookmarkEnd w:id="134"/>
            <w:bookmarkEnd w:id="135"/>
            <w:bookmarkEnd w:id="136"/>
            <w:bookmarkEnd w:id="137"/>
            <w:bookmarkEnd w:id="138"/>
            <w:bookmarkEnd w:id="139"/>
            <w:bookmarkEnd w:id="140"/>
            <w:bookmarkStart w:id="141" w:name="_Toc383699910"/>
            <w:bookmarkStart w:id="142" w:name="_Toc295404985"/>
            <w:bookmarkStart w:id="143" w:name="_Toc373333693"/>
            <w:bookmarkStart w:id="144" w:name="_Toc173211904"/>
            <w:bookmarkStart w:id="145" w:name="_Toc297193189"/>
            <w:bookmarkStart w:id="146" w:name="_Toc301781615"/>
            <w:bookmarkStart w:id="147" w:name="_Toc173066405"/>
            <w:bookmarkStart w:id="148" w:name="_Toc254970733"/>
            <w:bookmarkStart w:id="149" w:name="_Toc254970592"/>
            <w:r>
              <w:rPr>
                <w:rFonts w:hint="eastAsia" w:ascii="宋体" w:hAnsi="宋体" w:eastAsia="宋体" w:cs="宋体"/>
                <w:color w:val="auto"/>
                <w:kern w:val="2"/>
                <w:sz w:val="21"/>
                <w:szCs w:val="21"/>
                <w:highlight w:val="none"/>
              </w:rPr>
              <w:t>说明</w:t>
            </w:r>
            <w:bookmarkEnd w:id="141"/>
            <w:bookmarkEnd w:id="142"/>
            <w:bookmarkEnd w:id="143"/>
            <w:bookmarkEnd w:id="144"/>
            <w:bookmarkEnd w:id="145"/>
            <w:bookmarkEnd w:id="146"/>
            <w:bookmarkEnd w:id="147"/>
            <w:bookmarkEnd w:id="148"/>
            <w:bookmarkEnd w:id="149"/>
          </w:p>
        </w:tc>
      </w:tr>
      <w:tr w14:paraId="73330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73168935">
            <w:pPr>
              <w:pStyle w:val="21"/>
              <w:spacing w:line="360" w:lineRule="auto"/>
              <w:ind w:firstLine="0" w:firstLineChars="0"/>
              <w:jc w:val="center"/>
              <w:rPr>
                <w:rFonts w:ascii="宋体" w:hAnsi="宋体" w:eastAsia="宋体" w:cs="宋体"/>
                <w:color w:val="auto"/>
                <w:kern w:val="2"/>
                <w:sz w:val="21"/>
                <w:szCs w:val="21"/>
                <w:highlight w:val="none"/>
              </w:rPr>
            </w:pPr>
            <w:bookmarkStart w:id="150" w:name="_Toc373333694"/>
            <w:bookmarkStart w:id="151" w:name="_Toc297193190"/>
            <w:bookmarkStart w:id="152" w:name="_Toc383699911"/>
            <w:bookmarkStart w:id="153" w:name="_Toc295404986"/>
            <w:bookmarkStart w:id="154" w:name="_Toc301781616"/>
            <w:bookmarkStart w:id="155" w:name="_Toc173211905"/>
            <w:bookmarkStart w:id="156" w:name="_Toc254970593"/>
            <w:bookmarkStart w:id="157" w:name="_Toc173066406"/>
            <w:bookmarkStart w:id="158" w:name="_Toc254970734"/>
            <w:r>
              <w:rPr>
                <w:rFonts w:hint="eastAsia" w:ascii="宋体" w:hAnsi="宋体" w:eastAsia="宋体" w:cs="宋体"/>
                <w:color w:val="auto"/>
                <w:kern w:val="2"/>
                <w:sz w:val="21"/>
                <w:szCs w:val="21"/>
                <w:highlight w:val="none"/>
              </w:rPr>
              <w:t>1</w:t>
            </w:r>
            <w:bookmarkEnd w:id="150"/>
            <w:bookmarkEnd w:id="151"/>
            <w:bookmarkEnd w:id="152"/>
            <w:bookmarkEnd w:id="153"/>
            <w:bookmarkEnd w:id="154"/>
            <w:bookmarkEnd w:id="155"/>
            <w:bookmarkEnd w:id="156"/>
            <w:bookmarkEnd w:id="157"/>
            <w:bookmarkEnd w:id="158"/>
          </w:p>
        </w:tc>
        <w:tc>
          <w:tcPr>
            <w:tcW w:w="1499" w:type="dxa"/>
            <w:tcBorders>
              <w:right w:val="single" w:color="auto" w:sz="4" w:space="0"/>
            </w:tcBorders>
            <w:vAlign w:val="center"/>
          </w:tcPr>
          <w:p w14:paraId="08E9948F">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6624DCAD">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36CC7706">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4B207372">
            <w:pPr>
              <w:pStyle w:val="21"/>
              <w:spacing w:line="360" w:lineRule="auto"/>
              <w:ind w:firstLine="0" w:firstLineChars="0"/>
              <w:jc w:val="center"/>
              <w:rPr>
                <w:rFonts w:ascii="宋体" w:hAnsi="宋体" w:eastAsia="宋体" w:cs="宋体"/>
                <w:color w:val="auto"/>
                <w:kern w:val="2"/>
                <w:sz w:val="21"/>
                <w:szCs w:val="21"/>
                <w:highlight w:val="none"/>
              </w:rPr>
            </w:pPr>
          </w:p>
        </w:tc>
      </w:tr>
      <w:tr w14:paraId="77496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508C910C">
            <w:pPr>
              <w:pStyle w:val="21"/>
              <w:spacing w:line="360" w:lineRule="auto"/>
              <w:ind w:firstLine="0" w:firstLineChars="0"/>
              <w:jc w:val="center"/>
              <w:rPr>
                <w:rFonts w:ascii="宋体" w:hAnsi="宋体" w:eastAsia="宋体" w:cs="宋体"/>
                <w:color w:val="auto"/>
                <w:kern w:val="2"/>
                <w:sz w:val="21"/>
                <w:szCs w:val="21"/>
                <w:highlight w:val="none"/>
              </w:rPr>
            </w:pPr>
            <w:bookmarkStart w:id="159" w:name="_Toc254970594"/>
            <w:bookmarkStart w:id="160" w:name="_Toc383699912"/>
            <w:bookmarkStart w:id="161" w:name="_Toc373333695"/>
            <w:bookmarkStart w:id="162" w:name="_Toc297193191"/>
            <w:bookmarkStart w:id="163" w:name="_Toc295404987"/>
            <w:bookmarkStart w:id="164" w:name="_Toc173066407"/>
            <w:bookmarkStart w:id="165" w:name="_Toc254970735"/>
            <w:bookmarkStart w:id="166" w:name="_Toc173211906"/>
            <w:bookmarkStart w:id="167" w:name="_Toc301781617"/>
            <w:r>
              <w:rPr>
                <w:rFonts w:hint="eastAsia" w:ascii="宋体" w:hAnsi="宋体" w:eastAsia="宋体" w:cs="宋体"/>
                <w:color w:val="auto"/>
                <w:kern w:val="2"/>
                <w:sz w:val="21"/>
                <w:szCs w:val="21"/>
                <w:highlight w:val="none"/>
              </w:rPr>
              <w:t>2</w:t>
            </w:r>
            <w:bookmarkEnd w:id="159"/>
            <w:bookmarkEnd w:id="160"/>
            <w:bookmarkEnd w:id="161"/>
            <w:bookmarkEnd w:id="162"/>
            <w:bookmarkEnd w:id="163"/>
            <w:bookmarkEnd w:id="164"/>
            <w:bookmarkEnd w:id="165"/>
            <w:bookmarkEnd w:id="166"/>
            <w:bookmarkEnd w:id="167"/>
          </w:p>
        </w:tc>
        <w:tc>
          <w:tcPr>
            <w:tcW w:w="1499" w:type="dxa"/>
            <w:tcBorders>
              <w:right w:val="single" w:color="auto" w:sz="4" w:space="0"/>
            </w:tcBorders>
            <w:vAlign w:val="center"/>
          </w:tcPr>
          <w:p w14:paraId="075A5785">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712D3A49">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460B6E58">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2DA31C31">
            <w:pPr>
              <w:pStyle w:val="21"/>
              <w:spacing w:line="360" w:lineRule="auto"/>
              <w:ind w:firstLine="0" w:firstLineChars="0"/>
              <w:jc w:val="center"/>
              <w:rPr>
                <w:rFonts w:ascii="宋体" w:hAnsi="宋体" w:eastAsia="宋体" w:cs="宋体"/>
                <w:color w:val="auto"/>
                <w:kern w:val="2"/>
                <w:sz w:val="21"/>
                <w:szCs w:val="21"/>
                <w:highlight w:val="none"/>
              </w:rPr>
            </w:pPr>
          </w:p>
        </w:tc>
      </w:tr>
      <w:tr w14:paraId="299D0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7C90E1B8">
            <w:pPr>
              <w:pStyle w:val="21"/>
              <w:spacing w:line="360" w:lineRule="auto"/>
              <w:ind w:firstLine="0" w:firstLineChars="0"/>
              <w:jc w:val="center"/>
              <w:rPr>
                <w:rFonts w:ascii="宋体" w:hAnsi="宋体" w:eastAsia="宋体" w:cs="宋体"/>
                <w:color w:val="auto"/>
                <w:kern w:val="2"/>
                <w:sz w:val="21"/>
                <w:szCs w:val="21"/>
                <w:highlight w:val="none"/>
              </w:rPr>
            </w:pPr>
            <w:bookmarkStart w:id="168" w:name="_Toc254970595"/>
            <w:bookmarkStart w:id="169" w:name="_Toc173211907"/>
            <w:bookmarkStart w:id="170" w:name="_Toc295404988"/>
            <w:bookmarkStart w:id="171" w:name="_Toc383699913"/>
            <w:bookmarkStart w:id="172" w:name="_Toc254970736"/>
            <w:bookmarkStart w:id="173" w:name="_Toc373333696"/>
            <w:bookmarkStart w:id="174" w:name="_Toc173066408"/>
            <w:bookmarkStart w:id="175" w:name="_Toc297193192"/>
            <w:bookmarkStart w:id="176" w:name="_Toc301781618"/>
            <w:r>
              <w:rPr>
                <w:rFonts w:hint="eastAsia" w:ascii="宋体" w:hAnsi="宋体" w:eastAsia="宋体" w:cs="宋体"/>
                <w:color w:val="auto"/>
                <w:kern w:val="2"/>
                <w:sz w:val="21"/>
                <w:szCs w:val="21"/>
                <w:highlight w:val="none"/>
              </w:rPr>
              <w:t>3</w:t>
            </w:r>
            <w:bookmarkEnd w:id="168"/>
            <w:bookmarkEnd w:id="169"/>
            <w:bookmarkEnd w:id="170"/>
            <w:bookmarkEnd w:id="171"/>
            <w:bookmarkEnd w:id="172"/>
            <w:bookmarkEnd w:id="173"/>
            <w:bookmarkEnd w:id="174"/>
            <w:bookmarkEnd w:id="175"/>
            <w:bookmarkEnd w:id="176"/>
          </w:p>
        </w:tc>
        <w:tc>
          <w:tcPr>
            <w:tcW w:w="1499" w:type="dxa"/>
            <w:tcBorders>
              <w:right w:val="single" w:color="auto" w:sz="4" w:space="0"/>
            </w:tcBorders>
            <w:vAlign w:val="center"/>
          </w:tcPr>
          <w:p w14:paraId="14270361">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0393812C">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656E7E73">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012BD591">
            <w:pPr>
              <w:pStyle w:val="21"/>
              <w:spacing w:line="360" w:lineRule="auto"/>
              <w:ind w:firstLine="0" w:firstLineChars="0"/>
              <w:jc w:val="center"/>
              <w:rPr>
                <w:rFonts w:ascii="宋体" w:hAnsi="宋体" w:eastAsia="宋体" w:cs="宋体"/>
                <w:color w:val="auto"/>
                <w:kern w:val="2"/>
                <w:sz w:val="21"/>
                <w:szCs w:val="21"/>
                <w:highlight w:val="none"/>
              </w:rPr>
            </w:pPr>
          </w:p>
        </w:tc>
      </w:tr>
      <w:tr w14:paraId="6E82AF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6136564F">
            <w:pPr>
              <w:pStyle w:val="21"/>
              <w:spacing w:line="360" w:lineRule="auto"/>
              <w:ind w:firstLine="0" w:firstLineChars="0"/>
              <w:jc w:val="center"/>
              <w:rPr>
                <w:rFonts w:ascii="宋体" w:hAnsi="宋体" w:eastAsia="宋体" w:cs="宋体"/>
                <w:color w:val="auto"/>
                <w:kern w:val="2"/>
                <w:sz w:val="21"/>
                <w:szCs w:val="21"/>
                <w:highlight w:val="none"/>
              </w:rPr>
            </w:pPr>
            <w:bookmarkStart w:id="177" w:name="_Toc295404989"/>
            <w:bookmarkStart w:id="178" w:name="_Toc254970596"/>
            <w:bookmarkStart w:id="179" w:name="_Toc173211908"/>
            <w:bookmarkStart w:id="180" w:name="_Toc383699914"/>
            <w:bookmarkStart w:id="181" w:name="_Toc254970737"/>
            <w:bookmarkStart w:id="182" w:name="_Toc301781619"/>
            <w:bookmarkStart w:id="183" w:name="_Toc173066409"/>
            <w:bookmarkStart w:id="184" w:name="_Toc297193193"/>
            <w:bookmarkStart w:id="185" w:name="_Toc373333697"/>
            <w:r>
              <w:rPr>
                <w:rFonts w:hint="eastAsia" w:ascii="宋体" w:hAnsi="宋体" w:eastAsia="宋体" w:cs="宋体"/>
                <w:color w:val="auto"/>
                <w:kern w:val="2"/>
                <w:sz w:val="21"/>
                <w:szCs w:val="21"/>
                <w:highlight w:val="none"/>
              </w:rPr>
              <w:t>4</w:t>
            </w:r>
            <w:bookmarkEnd w:id="177"/>
            <w:bookmarkEnd w:id="178"/>
            <w:bookmarkEnd w:id="179"/>
            <w:bookmarkEnd w:id="180"/>
            <w:bookmarkEnd w:id="181"/>
            <w:bookmarkEnd w:id="182"/>
            <w:bookmarkEnd w:id="183"/>
            <w:bookmarkEnd w:id="184"/>
            <w:bookmarkEnd w:id="185"/>
          </w:p>
        </w:tc>
        <w:tc>
          <w:tcPr>
            <w:tcW w:w="1499" w:type="dxa"/>
            <w:tcBorders>
              <w:right w:val="single" w:color="auto" w:sz="4" w:space="0"/>
            </w:tcBorders>
            <w:vAlign w:val="center"/>
          </w:tcPr>
          <w:p w14:paraId="3F4C7A30">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0750A031">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0489EA94">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4B935523">
            <w:pPr>
              <w:pStyle w:val="21"/>
              <w:spacing w:line="360" w:lineRule="auto"/>
              <w:ind w:firstLine="0" w:firstLineChars="0"/>
              <w:jc w:val="center"/>
              <w:rPr>
                <w:rFonts w:ascii="宋体" w:hAnsi="宋体" w:eastAsia="宋体" w:cs="宋体"/>
                <w:color w:val="auto"/>
                <w:kern w:val="2"/>
                <w:sz w:val="21"/>
                <w:szCs w:val="21"/>
                <w:highlight w:val="none"/>
              </w:rPr>
            </w:pPr>
          </w:p>
        </w:tc>
      </w:tr>
      <w:tr w14:paraId="2CBBA1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287AFCD0">
            <w:pPr>
              <w:pStyle w:val="21"/>
              <w:spacing w:line="360" w:lineRule="auto"/>
              <w:ind w:firstLine="0" w:firstLineChars="0"/>
              <w:jc w:val="center"/>
              <w:rPr>
                <w:rFonts w:ascii="宋体" w:hAnsi="宋体" w:eastAsia="宋体" w:cs="宋体"/>
                <w:color w:val="auto"/>
                <w:kern w:val="2"/>
                <w:sz w:val="21"/>
                <w:szCs w:val="21"/>
                <w:highlight w:val="none"/>
              </w:rPr>
            </w:pPr>
            <w:bookmarkStart w:id="186" w:name="_Toc373333698"/>
            <w:bookmarkStart w:id="187" w:name="_Toc295404990"/>
            <w:bookmarkStart w:id="188" w:name="_Toc297193194"/>
            <w:bookmarkStart w:id="189" w:name="_Toc254970738"/>
            <w:bookmarkStart w:id="190" w:name="_Toc383699915"/>
            <w:bookmarkStart w:id="191" w:name="_Toc301781620"/>
            <w:bookmarkStart w:id="192" w:name="_Toc254970597"/>
            <w:bookmarkStart w:id="193" w:name="_Toc173211909"/>
            <w:bookmarkStart w:id="194" w:name="_Toc173066410"/>
            <w:r>
              <w:rPr>
                <w:rFonts w:hint="eastAsia" w:ascii="宋体" w:hAnsi="宋体" w:eastAsia="宋体" w:cs="宋体"/>
                <w:color w:val="auto"/>
                <w:kern w:val="2"/>
                <w:sz w:val="21"/>
                <w:szCs w:val="21"/>
                <w:highlight w:val="none"/>
              </w:rPr>
              <w:t>5</w:t>
            </w:r>
            <w:bookmarkEnd w:id="186"/>
            <w:bookmarkEnd w:id="187"/>
            <w:bookmarkEnd w:id="188"/>
            <w:bookmarkEnd w:id="189"/>
            <w:bookmarkEnd w:id="190"/>
            <w:bookmarkEnd w:id="191"/>
            <w:bookmarkEnd w:id="192"/>
            <w:bookmarkEnd w:id="193"/>
            <w:bookmarkEnd w:id="194"/>
          </w:p>
        </w:tc>
        <w:tc>
          <w:tcPr>
            <w:tcW w:w="1499" w:type="dxa"/>
            <w:tcBorders>
              <w:right w:val="single" w:color="auto" w:sz="4" w:space="0"/>
            </w:tcBorders>
            <w:vAlign w:val="center"/>
          </w:tcPr>
          <w:p w14:paraId="4EA952B0">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34292E3E">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43C9B7DA">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59754B16">
            <w:pPr>
              <w:pStyle w:val="21"/>
              <w:spacing w:line="360" w:lineRule="auto"/>
              <w:ind w:firstLine="0" w:firstLineChars="0"/>
              <w:jc w:val="center"/>
              <w:rPr>
                <w:rFonts w:ascii="宋体" w:hAnsi="宋体" w:eastAsia="宋体" w:cs="宋体"/>
                <w:color w:val="auto"/>
                <w:kern w:val="2"/>
                <w:sz w:val="21"/>
                <w:szCs w:val="21"/>
                <w:highlight w:val="none"/>
              </w:rPr>
            </w:pPr>
          </w:p>
        </w:tc>
      </w:tr>
      <w:tr w14:paraId="3B6FCB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vAlign w:val="center"/>
          </w:tcPr>
          <w:p w14:paraId="1AC1721D">
            <w:pPr>
              <w:pStyle w:val="21"/>
              <w:spacing w:line="360" w:lineRule="auto"/>
              <w:ind w:firstLine="0" w:firstLineChars="0"/>
              <w:jc w:val="center"/>
              <w:rPr>
                <w:rFonts w:ascii="宋体" w:hAnsi="宋体" w:eastAsia="宋体" w:cs="宋体"/>
                <w:color w:val="auto"/>
                <w:kern w:val="2"/>
                <w:sz w:val="21"/>
                <w:szCs w:val="21"/>
                <w:highlight w:val="none"/>
              </w:rPr>
            </w:pPr>
            <w:bookmarkStart w:id="195" w:name="_Toc254970602"/>
            <w:bookmarkStart w:id="196" w:name="_Toc373333699"/>
            <w:bookmarkStart w:id="197" w:name="_Toc173066415"/>
            <w:bookmarkStart w:id="198" w:name="_Toc383699916"/>
            <w:bookmarkStart w:id="199" w:name="_Toc173211914"/>
            <w:bookmarkStart w:id="200" w:name="_Toc254970743"/>
            <w:bookmarkStart w:id="201" w:name="_Toc301781621"/>
            <w:bookmarkStart w:id="202" w:name="_Toc297193195"/>
            <w:bookmarkStart w:id="203" w:name="_Toc295404991"/>
            <w:r>
              <w:rPr>
                <w:rFonts w:hint="eastAsia" w:ascii="宋体" w:hAnsi="宋体" w:eastAsia="宋体" w:cs="宋体"/>
                <w:color w:val="auto"/>
                <w:kern w:val="2"/>
                <w:sz w:val="21"/>
                <w:szCs w:val="21"/>
                <w:highlight w:val="none"/>
              </w:rPr>
              <w:t>…</w:t>
            </w:r>
            <w:bookmarkEnd w:id="195"/>
            <w:bookmarkEnd w:id="196"/>
            <w:bookmarkEnd w:id="197"/>
            <w:bookmarkEnd w:id="198"/>
            <w:bookmarkEnd w:id="199"/>
            <w:bookmarkEnd w:id="200"/>
            <w:bookmarkEnd w:id="201"/>
            <w:bookmarkEnd w:id="202"/>
            <w:bookmarkEnd w:id="203"/>
          </w:p>
        </w:tc>
        <w:tc>
          <w:tcPr>
            <w:tcW w:w="1499" w:type="dxa"/>
            <w:tcBorders>
              <w:right w:val="single" w:color="auto" w:sz="4" w:space="0"/>
            </w:tcBorders>
            <w:vAlign w:val="center"/>
          </w:tcPr>
          <w:p w14:paraId="58EA9EB2">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67126018">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6983BEE4">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tcBorders>
              <w:right w:val="single" w:color="auto" w:sz="4" w:space="0"/>
            </w:tcBorders>
            <w:vAlign w:val="center"/>
          </w:tcPr>
          <w:p w14:paraId="0BFB1B7D">
            <w:pPr>
              <w:pStyle w:val="21"/>
              <w:spacing w:line="360" w:lineRule="auto"/>
              <w:ind w:firstLine="0" w:firstLineChars="0"/>
              <w:jc w:val="center"/>
              <w:rPr>
                <w:rFonts w:ascii="宋体" w:hAnsi="宋体" w:eastAsia="宋体" w:cs="宋体"/>
                <w:color w:val="auto"/>
                <w:kern w:val="2"/>
                <w:sz w:val="21"/>
                <w:szCs w:val="21"/>
                <w:highlight w:val="none"/>
              </w:rPr>
            </w:pPr>
          </w:p>
        </w:tc>
      </w:tr>
    </w:tbl>
    <w:p w14:paraId="2CEDA0E0">
      <w:pPr>
        <w:adjustRightInd w:val="0"/>
        <w:snapToGrid w:val="0"/>
        <w:spacing w:line="360" w:lineRule="auto"/>
        <w:rPr>
          <w:rFonts w:ascii="宋体" w:hAnsi="宋体" w:cs="宋体"/>
          <w:color w:val="auto"/>
          <w:szCs w:val="21"/>
          <w:highlight w:val="none"/>
        </w:rPr>
      </w:pPr>
    </w:p>
    <w:p w14:paraId="63FD68AA">
      <w:pPr>
        <w:pStyle w:val="21"/>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注：本表可根据项目情况自行扩展</w:t>
      </w:r>
    </w:p>
    <w:p w14:paraId="33B57B8A">
      <w:pPr>
        <w:pStyle w:val="21"/>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08C03096">
      <w:pPr>
        <w:pStyle w:val="21"/>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40BF7BD1">
      <w:pPr>
        <w:pStyle w:val="27"/>
        <w:spacing w:line="360" w:lineRule="auto"/>
        <w:rPr>
          <w:rFonts w:hAnsi="宋体" w:cs="宋体"/>
          <w:color w:val="auto"/>
          <w:sz w:val="21"/>
          <w:highlight w:val="none"/>
        </w:rPr>
      </w:pPr>
    </w:p>
    <w:p w14:paraId="0E56FF2E">
      <w:pPr>
        <w:snapToGrid w:val="0"/>
        <w:spacing w:before="50" w:after="50" w:line="360" w:lineRule="auto"/>
        <w:ind w:right="-817" w:rightChars="-389"/>
        <w:rPr>
          <w:rFonts w:ascii="宋体" w:hAnsi="宋体" w:cs="宋体"/>
          <w:color w:val="auto"/>
          <w:szCs w:val="21"/>
          <w:highlight w:val="none"/>
        </w:rPr>
      </w:pPr>
    </w:p>
    <w:p w14:paraId="2D1F30BA">
      <w:pPr>
        <w:snapToGrid w:val="0"/>
        <w:spacing w:before="50" w:after="50"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3295C927">
      <w:pPr>
        <w:snapToGrid w:val="0"/>
        <w:spacing w:before="50" w:after="50"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7A429753">
      <w:pPr>
        <w:snapToGrid w:val="0"/>
        <w:spacing w:before="50" w:after="50" w:line="360" w:lineRule="auto"/>
        <w:ind w:right="-817" w:rightChars="-389" w:firstLine="3570" w:firstLineChars="1700"/>
        <w:rPr>
          <w:rFonts w:ascii="宋体" w:hAnsi="宋体" w:cs="宋体"/>
          <w:color w:val="auto"/>
          <w:szCs w:val="21"/>
          <w:highlight w:val="none"/>
        </w:rPr>
      </w:pPr>
      <w:r>
        <w:rPr>
          <w:rFonts w:hint="eastAsia" w:ascii="宋体" w:hAnsi="宋体" w:cs="宋体"/>
          <w:color w:val="auto"/>
          <w:szCs w:val="21"/>
          <w:highlight w:val="none"/>
        </w:rPr>
        <w:t>日期：   年   月   日</w:t>
      </w:r>
    </w:p>
    <w:p w14:paraId="7E659D65">
      <w:pPr>
        <w:snapToGrid w:val="0"/>
        <w:spacing w:beforeLines="50" w:after="50" w:line="360" w:lineRule="auto"/>
        <w:ind w:left="142"/>
        <w:jc w:val="left"/>
        <w:rPr>
          <w:rFonts w:ascii="宋体" w:hAnsi="宋体" w:cs="宋体"/>
          <w:b/>
          <w:color w:val="auto"/>
          <w:sz w:val="24"/>
          <w:highlight w:val="none"/>
        </w:rPr>
      </w:pPr>
      <w:r>
        <w:rPr>
          <w:rFonts w:hint="eastAsia" w:ascii="宋体" w:hAnsi="宋体" w:cs="宋体"/>
          <w:color w:val="auto"/>
          <w:szCs w:val="21"/>
          <w:highlight w:val="none"/>
        </w:rPr>
        <w:br w:type="page"/>
      </w:r>
      <w:r>
        <w:rPr>
          <w:rFonts w:hint="eastAsia" w:ascii="宋体" w:hAnsi="宋体" w:cs="宋体"/>
          <w:b/>
          <w:color w:val="auto"/>
          <w:sz w:val="24"/>
          <w:highlight w:val="none"/>
        </w:rPr>
        <w:t>项目实施人员一览表格式</w:t>
      </w:r>
    </w:p>
    <w:p w14:paraId="35533E4B">
      <w:pPr>
        <w:snapToGrid w:val="0"/>
        <w:spacing w:beforeLines="50" w:after="50" w:line="360" w:lineRule="auto"/>
        <w:ind w:left="142" w:firstLine="487"/>
        <w:jc w:val="left"/>
        <w:rPr>
          <w:rFonts w:ascii="宋体" w:hAnsi="宋体" w:cs="宋体"/>
          <w:b/>
          <w:color w:val="auto"/>
          <w:sz w:val="24"/>
          <w:highlight w:val="none"/>
        </w:rPr>
      </w:pPr>
    </w:p>
    <w:p w14:paraId="7D003658">
      <w:pPr>
        <w:adjustRightInd w:val="0"/>
        <w:snapToGrid w:val="0"/>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27B40330">
      <w:pPr>
        <w:pStyle w:val="27"/>
        <w:spacing w:line="360" w:lineRule="auto"/>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r>
        <w:rPr>
          <w:rFonts w:hint="eastAsia" w:hAnsi="宋体" w:cs="宋体"/>
          <w:color w:val="auto"/>
          <w:sz w:val="21"/>
          <w:highlight w:val="none"/>
        </w:rPr>
        <w:t>分标</w:t>
      </w:r>
    </w:p>
    <w:tbl>
      <w:tblPr>
        <w:tblStyle w:val="51"/>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126"/>
        <w:gridCol w:w="2530"/>
        <w:gridCol w:w="2232"/>
      </w:tblGrid>
      <w:tr w14:paraId="30F3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46B631">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1276" w:type="dxa"/>
            <w:vAlign w:val="center"/>
          </w:tcPr>
          <w:p w14:paraId="21D2844A">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2126" w:type="dxa"/>
            <w:vAlign w:val="center"/>
          </w:tcPr>
          <w:p w14:paraId="113F64CE">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专业</w:t>
            </w:r>
          </w:p>
        </w:tc>
        <w:tc>
          <w:tcPr>
            <w:tcW w:w="2530" w:type="dxa"/>
            <w:vAlign w:val="center"/>
          </w:tcPr>
          <w:p w14:paraId="4BF30CE1">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职称证书</w:t>
            </w:r>
          </w:p>
        </w:tc>
        <w:tc>
          <w:tcPr>
            <w:tcW w:w="2232" w:type="dxa"/>
            <w:vAlign w:val="center"/>
          </w:tcPr>
          <w:p w14:paraId="4B9BA907">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拟任职务</w:t>
            </w:r>
          </w:p>
        </w:tc>
      </w:tr>
      <w:tr w14:paraId="1949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4BA4CA">
            <w:pPr>
              <w:snapToGrid w:val="0"/>
              <w:spacing w:before="50" w:afterLines="50" w:line="360" w:lineRule="auto"/>
              <w:jc w:val="center"/>
              <w:rPr>
                <w:rFonts w:ascii="宋体" w:hAnsi="宋体" w:cs="宋体"/>
                <w:color w:val="auto"/>
                <w:szCs w:val="16"/>
                <w:highlight w:val="none"/>
              </w:rPr>
            </w:pPr>
          </w:p>
        </w:tc>
        <w:tc>
          <w:tcPr>
            <w:tcW w:w="1276" w:type="dxa"/>
            <w:vAlign w:val="center"/>
          </w:tcPr>
          <w:p w14:paraId="4BE1B293">
            <w:pPr>
              <w:snapToGrid w:val="0"/>
              <w:spacing w:before="50" w:afterLines="50" w:line="360" w:lineRule="auto"/>
              <w:jc w:val="center"/>
              <w:rPr>
                <w:rFonts w:ascii="宋体" w:hAnsi="宋体" w:cs="宋体"/>
                <w:color w:val="auto"/>
                <w:szCs w:val="16"/>
                <w:highlight w:val="none"/>
              </w:rPr>
            </w:pPr>
          </w:p>
        </w:tc>
        <w:tc>
          <w:tcPr>
            <w:tcW w:w="2126" w:type="dxa"/>
            <w:vAlign w:val="center"/>
          </w:tcPr>
          <w:p w14:paraId="003A7690">
            <w:pPr>
              <w:snapToGrid w:val="0"/>
              <w:spacing w:before="50" w:afterLines="50" w:line="360" w:lineRule="auto"/>
              <w:jc w:val="center"/>
              <w:rPr>
                <w:rFonts w:ascii="宋体" w:hAnsi="宋体" w:cs="宋体"/>
                <w:color w:val="auto"/>
                <w:szCs w:val="16"/>
                <w:highlight w:val="none"/>
              </w:rPr>
            </w:pPr>
          </w:p>
        </w:tc>
        <w:tc>
          <w:tcPr>
            <w:tcW w:w="2530" w:type="dxa"/>
            <w:vAlign w:val="center"/>
          </w:tcPr>
          <w:p w14:paraId="18EDB489">
            <w:pPr>
              <w:snapToGrid w:val="0"/>
              <w:spacing w:before="50" w:afterLines="50" w:line="360" w:lineRule="auto"/>
              <w:jc w:val="center"/>
              <w:rPr>
                <w:rFonts w:ascii="宋体" w:hAnsi="宋体" w:cs="宋体"/>
                <w:color w:val="auto"/>
                <w:szCs w:val="16"/>
                <w:highlight w:val="none"/>
              </w:rPr>
            </w:pPr>
          </w:p>
        </w:tc>
        <w:tc>
          <w:tcPr>
            <w:tcW w:w="2232" w:type="dxa"/>
            <w:vAlign w:val="center"/>
          </w:tcPr>
          <w:p w14:paraId="31875B8D">
            <w:pPr>
              <w:snapToGrid w:val="0"/>
              <w:spacing w:before="50" w:afterLines="50" w:line="360" w:lineRule="auto"/>
              <w:jc w:val="center"/>
              <w:rPr>
                <w:rFonts w:ascii="宋体" w:hAnsi="宋体" w:cs="宋体"/>
                <w:color w:val="auto"/>
                <w:szCs w:val="16"/>
                <w:highlight w:val="none"/>
              </w:rPr>
            </w:pPr>
          </w:p>
        </w:tc>
      </w:tr>
      <w:tr w14:paraId="65F9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7AD816">
            <w:pPr>
              <w:snapToGrid w:val="0"/>
              <w:spacing w:before="50" w:afterLines="50" w:line="360" w:lineRule="auto"/>
              <w:jc w:val="center"/>
              <w:rPr>
                <w:rFonts w:ascii="宋体" w:hAnsi="宋体" w:cs="宋体"/>
                <w:color w:val="auto"/>
                <w:szCs w:val="16"/>
                <w:highlight w:val="none"/>
              </w:rPr>
            </w:pPr>
          </w:p>
        </w:tc>
        <w:tc>
          <w:tcPr>
            <w:tcW w:w="1276" w:type="dxa"/>
            <w:vAlign w:val="center"/>
          </w:tcPr>
          <w:p w14:paraId="3ADCF1B9">
            <w:pPr>
              <w:snapToGrid w:val="0"/>
              <w:spacing w:before="50" w:afterLines="50" w:line="360" w:lineRule="auto"/>
              <w:jc w:val="center"/>
              <w:rPr>
                <w:rFonts w:ascii="宋体" w:hAnsi="宋体" w:cs="宋体"/>
                <w:color w:val="auto"/>
                <w:szCs w:val="16"/>
                <w:highlight w:val="none"/>
              </w:rPr>
            </w:pPr>
          </w:p>
        </w:tc>
        <w:tc>
          <w:tcPr>
            <w:tcW w:w="2126" w:type="dxa"/>
            <w:vAlign w:val="center"/>
          </w:tcPr>
          <w:p w14:paraId="4BEAF1FE">
            <w:pPr>
              <w:snapToGrid w:val="0"/>
              <w:spacing w:before="50" w:afterLines="50" w:line="360" w:lineRule="auto"/>
              <w:jc w:val="center"/>
              <w:rPr>
                <w:rFonts w:ascii="宋体" w:hAnsi="宋体" w:cs="宋体"/>
                <w:color w:val="auto"/>
                <w:szCs w:val="16"/>
                <w:highlight w:val="none"/>
              </w:rPr>
            </w:pPr>
          </w:p>
        </w:tc>
        <w:tc>
          <w:tcPr>
            <w:tcW w:w="2530" w:type="dxa"/>
            <w:vAlign w:val="center"/>
          </w:tcPr>
          <w:p w14:paraId="18FC8E44">
            <w:pPr>
              <w:snapToGrid w:val="0"/>
              <w:spacing w:before="50" w:afterLines="50" w:line="360" w:lineRule="auto"/>
              <w:jc w:val="center"/>
              <w:rPr>
                <w:rFonts w:ascii="宋体" w:hAnsi="宋体" w:cs="宋体"/>
                <w:color w:val="auto"/>
                <w:szCs w:val="16"/>
                <w:highlight w:val="none"/>
              </w:rPr>
            </w:pPr>
          </w:p>
        </w:tc>
        <w:tc>
          <w:tcPr>
            <w:tcW w:w="2232" w:type="dxa"/>
            <w:vAlign w:val="center"/>
          </w:tcPr>
          <w:p w14:paraId="6B6213C4">
            <w:pPr>
              <w:snapToGrid w:val="0"/>
              <w:spacing w:before="50" w:afterLines="50" w:line="360" w:lineRule="auto"/>
              <w:jc w:val="center"/>
              <w:rPr>
                <w:rFonts w:ascii="宋体" w:hAnsi="宋体" w:cs="宋体"/>
                <w:color w:val="auto"/>
                <w:szCs w:val="16"/>
                <w:highlight w:val="none"/>
              </w:rPr>
            </w:pPr>
          </w:p>
        </w:tc>
      </w:tr>
      <w:tr w14:paraId="3369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D5BDC7">
            <w:pPr>
              <w:snapToGrid w:val="0"/>
              <w:spacing w:before="50" w:afterLines="50" w:line="360" w:lineRule="auto"/>
              <w:jc w:val="center"/>
              <w:rPr>
                <w:rFonts w:ascii="宋体" w:hAnsi="宋体" w:cs="宋体"/>
                <w:color w:val="auto"/>
                <w:szCs w:val="16"/>
                <w:highlight w:val="none"/>
              </w:rPr>
            </w:pPr>
          </w:p>
        </w:tc>
        <w:tc>
          <w:tcPr>
            <w:tcW w:w="1276" w:type="dxa"/>
            <w:vAlign w:val="center"/>
          </w:tcPr>
          <w:p w14:paraId="67150B97">
            <w:pPr>
              <w:snapToGrid w:val="0"/>
              <w:spacing w:before="50" w:afterLines="50" w:line="360" w:lineRule="auto"/>
              <w:jc w:val="center"/>
              <w:rPr>
                <w:rFonts w:ascii="宋体" w:hAnsi="宋体" w:cs="宋体"/>
                <w:color w:val="auto"/>
                <w:szCs w:val="16"/>
                <w:highlight w:val="none"/>
              </w:rPr>
            </w:pPr>
          </w:p>
        </w:tc>
        <w:tc>
          <w:tcPr>
            <w:tcW w:w="2126" w:type="dxa"/>
            <w:vAlign w:val="center"/>
          </w:tcPr>
          <w:p w14:paraId="14F1BEB0">
            <w:pPr>
              <w:snapToGrid w:val="0"/>
              <w:spacing w:before="50" w:afterLines="50" w:line="360" w:lineRule="auto"/>
              <w:jc w:val="center"/>
              <w:rPr>
                <w:rFonts w:ascii="宋体" w:hAnsi="宋体" w:cs="宋体"/>
                <w:color w:val="auto"/>
                <w:szCs w:val="16"/>
                <w:highlight w:val="none"/>
              </w:rPr>
            </w:pPr>
          </w:p>
        </w:tc>
        <w:tc>
          <w:tcPr>
            <w:tcW w:w="2530" w:type="dxa"/>
            <w:vAlign w:val="center"/>
          </w:tcPr>
          <w:p w14:paraId="4AC7A6A1">
            <w:pPr>
              <w:snapToGrid w:val="0"/>
              <w:spacing w:before="50" w:afterLines="50" w:line="360" w:lineRule="auto"/>
              <w:jc w:val="center"/>
              <w:rPr>
                <w:rFonts w:ascii="宋体" w:hAnsi="宋体" w:cs="宋体"/>
                <w:color w:val="auto"/>
                <w:szCs w:val="16"/>
                <w:highlight w:val="none"/>
              </w:rPr>
            </w:pPr>
          </w:p>
        </w:tc>
        <w:tc>
          <w:tcPr>
            <w:tcW w:w="2232" w:type="dxa"/>
            <w:vAlign w:val="center"/>
          </w:tcPr>
          <w:p w14:paraId="2DF3DA3D">
            <w:pPr>
              <w:snapToGrid w:val="0"/>
              <w:spacing w:before="50" w:afterLines="50" w:line="360" w:lineRule="auto"/>
              <w:jc w:val="center"/>
              <w:rPr>
                <w:rFonts w:ascii="宋体" w:hAnsi="宋体" w:cs="宋体"/>
                <w:color w:val="auto"/>
                <w:szCs w:val="16"/>
                <w:highlight w:val="none"/>
              </w:rPr>
            </w:pPr>
          </w:p>
        </w:tc>
      </w:tr>
    </w:tbl>
    <w:p w14:paraId="2E78958C">
      <w:pPr>
        <w:snapToGrid w:val="0"/>
        <w:spacing w:before="50" w:afterLines="50" w:line="360" w:lineRule="auto"/>
        <w:jc w:val="left"/>
        <w:rPr>
          <w:rFonts w:ascii="宋体" w:hAnsi="宋体" w:cs="宋体"/>
          <w:color w:val="auto"/>
          <w:szCs w:val="16"/>
          <w:highlight w:val="none"/>
        </w:rPr>
      </w:pPr>
      <w:r>
        <w:rPr>
          <w:rFonts w:hint="eastAsia" w:ascii="宋体" w:hAnsi="宋体" w:cs="宋体"/>
          <w:color w:val="auto"/>
          <w:szCs w:val="16"/>
          <w:highlight w:val="none"/>
        </w:rPr>
        <w:t>注：</w:t>
      </w:r>
      <w:r>
        <w:rPr>
          <w:rFonts w:hint="eastAsia" w:ascii="宋体" w:hAnsi="宋体" w:cs="宋体"/>
          <w:color w:val="auto"/>
          <w:kern w:val="0"/>
          <w:szCs w:val="21"/>
          <w:highlight w:val="none"/>
        </w:rPr>
        <w:t>本表可根据项目情况自行扩展，</w:t>
      </w:r>
      <w:r>
        <w:rPr>
          <w:rFonts w:hint="eastAsia" w:ascii="宋体" w:hAnsi="宋体" w:cs="宋体"/>
          <w:color w:val="auto"/>
          <w:szCs w:val="16"/>
          <w:highlight w:val="none"/>
        </w:rPr>
        <w:t>在填写时，如本表格不适合供应商的实际情况，可根据本表格式自行制表填写。</w:t>
      </w:r>
    </w:p>
    <w:p w14:paraId="74783E09">
      <w:pPr>
        <w:snapToGrid w:val="0"/>
        <w:spacing w:before="50" w:after="50" w:line="360" w:lineRule="auto"/>
        <w:rPr>
          <w:rFonts w:ascii="宋体" w:hAnsi="宋体" w:cs="宋体"/>
          <w:color w:val="auto"/>
          <w:spacing w:val="20"/>
          <w:szCs w:val="16"/>
          <w:highlight w:val="none"/>
          <w:u w:val="single"/>
        </w:rPr>
      </w:pPr>
      <w:r>
        <w:rPr>
          <w:rFonts w:hint="eastAsia" w:ascii="宋体" w:hAnsi="宋体" w:cs="宋体"/>
          <w:color w:val="auto"/>
          <w:szCs w:val="21"/>
          <w:highlight w:val="none"/>
        </w:rPr>
        <w:t>法定代表人或者委托代理人</w:t>
      </w:r>
      <w:r>
        <w:rPr>
          <w:rFonts w:hint="eastAsia" w:ascii="宋体" w:hAnsi="宋体" w:cs="宋体"/>
          <w:color w:val="auto"/>
          <w:spacing w:val="20"/>
          <w:szCs w:val="21"/>
          <w:highlight w:val="none"/>
        </w:rPr>
        <w:t>签字：</w:t>
      </w:r>
      <w:r>
        <w:rPr>
          <w:rFonts w:hint="eastAsia" w:ascii="宋体" w:hAnsi="宋体" w:cs="宋体"/>
          <w:color w:val="auto"/>
          <w:spacing w:val="20"/>
          <w:szCs w:val="21"/>
          <w:highlight w:val="none"/>
          <w:u w:val="single"/>
        </w:rPr>
        <w:t xml:space="preserve">        </w:t>
      </w:r>
    </w:p>
    <w:p w14:paraId="4F5D728C">
      <w:pPr>
        <w:snapToGrid w:val="0"/>
        <w:spacing w:before="50" w:afterLines="50" w:line="360" w:lineRule="auto"/>
        <w:ind w:firstLine="505"/>
        <w:jc w:val="left"/>
        <w:rPr>
          <w:rFonts w:ascii="宋体" w:hAnsi="宋体" w:cs="宋体"/>
          <w:color w:val="auto"/>
          <w:szCs w:val="16"/>
          <w:highlight w:val="none"/>
        </w:rPr>
      </w:pPr>
      <w:r>
        <w:rPr>
          <w:rFonts w:hint="eastAsia" w:ascii="宋体" w:hAnsi="宋体" w:cs="宋体"/>
          <w:color w:val="auto"/>
          <w:spacing w:val="20"/>
          <w:szCs w:val="21"/>
          <w:highlight w:val="none"/>
        </w:rPr>
        <w:t>供应商（盖公章）：</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14:paraId="6E8EF225">
      <w:pPr>
        <w:snapToGrid w:val="0"/>
        <w:spacing w:before="50" w:afterLines="50" w:line="360" w:lineRule="auto"/>
        <w:jc w:val="left"/>
        <w:rPr>
          <w:rFonts w:ascii="宋体" w:hAnsi="宋体" w:cs="宋体"/>
          <w:color w:val="auto"/>
          <w:szCs w:val="16"/>
          <w:highlight w:val="none"/>
        </w:rPr>
      </w:pPr>
    </w:p>
    <w:p w14:paraId="117D8880">
      <w:pPr>
        <w:snapToGrid w:val="0"/>
        <w:spacing w:before="50" w:after="50" w:line="360" w:lineRule="auto"/>
        <w:ind w:right="-817" w:rightChars="-389" w:firstLine="4096" w:firstLineChars="1700"/>
        <w:rPr>
          <w:rFonts w:ascii="宋体" w:hAnsi="宋体" w:cs="宋体"/>
          <w:b/>
          <w:color w:val="auto"/>
          <w:sz w:val="24"/>
          <w:highlight w:val="none"/>
        </w:rPr>
      </w:pPr>
    </w:p>
    <w:p w14:paraId="65C2A0BF">
      <w:pPr>
        <w:spacing w:line="360" w:lineRule="auto"/>
        <w:ind w:firstLine="426"/>
        <w:rPr>
          <w:rFonts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 w:val="24"/>
          <w:highlight w:val="none"/>
        </w:rPr>
        <w:t>其他文书、文件格式</w:t>
      </w:r>
    </w:p>
    <w:p w14:paraId="15416833">
      <w:pPr>
        <w:adjustRightInd w:val="0"/>
        <w:snapToGrid w:val="0"/>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中小企业声明函（货物）</w:t>
      </w:r>
    </w:p>
    <w:p w14:paraId="3ECB25C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6136E04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 （标的名称） ，属于（采购文件中明确的所属行业）行业；制造商为（企业名称），从业人员人，营业收入为万元，资产总额为</w:t>
      </w:r>
    </w:p>
    <w:p w14:paraId="60F7057D">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万元1，属于（中型企业、小型企业、微型企业）； </w:t>
      </w:r>
    </w:p>
    <w:p w14:paraId="6CD1E59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2. （标的名称） ，属于（采购文件中明确的所属行业）行业；制造商为（企业名称），从业人员人，营业收入为万元，资产总额为 </w:t>
      </w:r>
    </w:p>
    <w:p w14:paraId="5C5E9D68">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万元，属于（中型企业、小型企业、微型企业）； </w:t>
      </w:r>
    </w:p>
    <w:p w14:paraId="0FF9701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14:paraId="7B67ED3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4……</w:t>
      </w:r>
    </w:p>
    <w:p w14:paraId="2CA23DF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2461673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本企业对上述声明内容的真实性负责。如有虚假，将依法承担相应责任。 </w:t>
      </w:r>
    </w:p>
    <w:p w14:paraId="5F017AA9">
      <w:pPr>
        <w:widowControl/>
        <w:spacing w:line="360" w:lineRule="auto"/>
        <w:jc w:val="left"/>
        <w:rPr>
          <w:rFonts w:ascii="宋体" w:hAnsi="宋体" w:cs="宋体"/>
          <w:color w:val="auto"/>
          <w:kern w:val="0"/>
          <w:szCs w:val="21"/>
          <w:highlight w:val="none"/>
        </w:rPr>
      </w:pPr>
    </w:p>
    <w:p w14:paraId="781D7B4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企业名称（盖章）： </w:t>
      </w:r>
    </w:p>
    <w:p w14:paraId="1BF80525">
      <w:pPr>
        <w:widowControl/>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日 期： </w:t>
      </w:r>
    </w:p>
    <w:p w14:paraId="5346F443">
      <w:pPr>
        <w:widowControl/>
        <w:spacing w:line="360" w:lineRule="auto"/>
        <w:ind w:firstLine="426"/>
        <w:jc w:val="left"/>
        <w:rPr>
          <w:rFonts w:ascii="宋体" w:hAnsi="宋体" w:cs="宋体"/>
          <w:b/>
          <w:bCs/>
          <w:color w:val="auto"/>
          <w:szCs w:val="21"/>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14:paraId="772C9EB2">
      <w:pPr>
        <w:widowControl/>
        <w:spacing w:line="360" w:lineRule="auto"/>
        <w:ind w:firstLine="568"/>
        <w:jc w:val="center"/>
        <w:rPr>
          <w:rFonts w:ascii="宋体" w:hAnsi="宋体" w:cs="宋体"/>
          <w:b/>
          <w:bCs/>
          <w:color w:val="auto"/>
          <w:kern w:val="0"/>
          <w:sz w:val="28"/>
          <w:szCs w:val="28"/>
          <w:highlight w:val="none"/>
        </w:rPr>
      </w:pPr>
    </w:p>
    <w:p w14:paraId="3D14BBF0">
      <w:pPr>
        <w:widowControl/>
        <w:ind w:firstLine="568"/>
        <w:jc w:val="center"/>
        <w:rPr>
          <w:rFonts w:ascii="宋体" w:hAnsi="宋体" w:cs="宋体"/>
          <w:b/>
          <w:bCs/>
          <w:color w:val="auto"/>
          <w:kern w:val="0"/>
          <w:sz w:val="28"/>
          <w:szCs w:val="28"/>
          <w:highlight w:val="none"/>
        </w:rPr>
      </w:pPr>
    </w:p>
    <w:p w14:paraId="4E640194">
      <w:pPr>
        <w:widowControl/>
        <w:ind w:firstLine="568"/>
        <w:jc w:val="center"/>
        <w:rPr>
          <w:rFonts w:ascii="宋体" w:hAnsi="宋体" w:cs="宋体"/>
          <w:b/>
          <w:bCs/>
          <w:color w:val="auto"/>
          <w:kern w:val="0"/>
          <w:sz w:val="28"/>
          <w:szCs w:val="28"/>
          <w:highlight w:val="none"/>
        </w:rPr>
      </w:pPr>
    </w:p>
    <w:p w14:paraId="2C4D9063">
      <w:pPr>
        <w:pStyle w:val="61"/>
        <w:rPr>
          <w:rFonts w:hint="default"/>
          <w:color w:val="auto"/>
          <w:highlight w:val="none"/>
        </w:rPr>
      </w:pPr>
    </w:p>
    <w:p w14:paraId="6A2BD402">
      <w:pPr>
        <w:widowControl/>
        <w:ind w:firstLine="568"/>
        <w:jc w:val="center"/>
        <w:rPr>
          <w:rFonts w:ascii="宋体" w:hAnsi="宋体" w:cs="宋体"/>
          <w:b/>
          <w:bCs/>
          <w:color w:val="auto"/>
          <w:kern w:val="0"/>
          <w:sz w:val="28"/>
          <w:szCs w:val="28"/>
          <w:highlight w:val="none"/>
        </w:rPr>
      </w:pPr>
    </w:p>
    <w:p w14:paraId="1DE697B5">
      <w:pPr>
        <w:widowControl/>
        <w:ind w:firstLine="568"/>
        <w:jc w:val="center"/>
        <w:rPr>
          <w:rFonts w:ascii="宋体" w:hAnsi="宋体" w:cs="宋体"/>
          <w:b/>
          <w:bCs/>
          <w:color w:val="auto"/>
          <w:kern w:val="0"/>
          <w:sz w:val="28"/>
          <w:szCs w:val="28"/>
          <w:highlight w:val="none"/>
        </w:rPr>
      </w:pPr>
    </w:p>
    <w:p w14:paraId="4CD87DBB">
      <w:pPr>
        <w:adjustRightInd w:val="0"/>
        <w:snapToGrid w:val="0"/>
        <w:spacing w:line="360" w:lineRule="auto"/>
        <w:ind w:firstLine="649"/>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2F51A229">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8D6242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1. （标的名称） ，属于（采购文件中明确的所属行业）；承建（承接）企业为（企业名称），从业人员人，营业收入为 万元，资产总额为 </w:t>
      </w:r>
    </w:p>
    <w:p w14:paraId="4EBB453F">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万元1，属于（中型企业、小型企业、微型企业）； </w:t>
      </w:r>
    </w:p>
    <w:p w14:paraId="414031D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2. （标的名称） ，属于（采购文件中明确的所属行业）；承建（承接）企业为（企业名称），从业人员人，营业收入为 万元，资产总额为 </w:t>
      </w:r>
    </w:p>
    <w:p w14:paraId="059E69EC">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万元，属于（中型企业、小型企业、微型企业）； </w:t>
      </w:r>
    </w:p>
    <w:p w14:paraId="20B1BB3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14:paraId="3FE1AEA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4.……</w:t>
      </w:r>
    </w:p>
    <w:p w14:paraId="32D3AA2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266ECF3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72946C53">
      <w:pPr>
        <w:widowControl/>
        <w:spacing w:line="360" w:lineRule="auto"/>
        <w:ind w:firstLine="420" w:firstLineChars="200"/>
        <w:jc w:val="left"/>
        <w:rPr>
          <w:rFonts w:ascii="宋体" w:hAnsi="宋体" w:cs="宋体"/>
          <w:color w:val="auto"/>
          <w:kern w:val="0"/>
          <w:szCs w:val="21"/>
          <w:highlight w:val="none"/>
        </w:rPr>
      </w:pPr>
    </w:p>
    <w:p w14:paraId="31086B84">
      <w:pPr>
        <w:widowControl/>
        <w:spacing w:line="360" w:lineRule="auto"/>
        <w:ind w:firstLine="420" w:firstLineChars="200"/>
        <w:jc w:val="left"/>
        <w:rPr>
          <w:rFonts w:ascii="宋体" w:hAnsi="宋体" w:cs="宋体"/>
          <w:color w:val="auto"/>
          <w:kern w:val="0"/>
          <w:szCs w:val="21"/>
          <w:highlight w:val="none"/>
        </w:rPr>
      </w:pPr>
    </w:p>
    <w:p w14:paraId="45B01E21">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企业名称（盖章）： </w:t>
      </w:r>
    </w:p>
    <w:p w14:paraId="7C59ADA7">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日 期： </w:t>
      </w:r>
    </w:p>
    <w:p w14:paraId="2E4A6B8D">
      <w:pPr>
        <w:widowControl/>
        <w:spacing w:line="360" w:lineRule="auto"/>
        <w:ind w:firstLine="426"/>
        <w:jc w:val="left"/>
        <w:rPr>
          <w:rFonts w:ascii="宋体" w:hAnsi="宋体" w:cs="宋体"/>
          <w:b/>
          <w:bCs/>
          <w:color w:val="auto"/>
          <w:szCs w:val="21"/>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14:paraId="4B4418B6">
      <w:pPr>
        <w:spacing w:line="360" w:lineRule="auto"/>
        <w:rPr>
          <w:rFonts w:ascii="宋体" w:hAnsi="宋体" w:cs="宋体"/>
          <w:color w:val="auto"/>
          <w:szCs w:val="21"/>
          <w:highlight w:val="none"/>
        </w:rPr>
      </w:pPr>
    </w:p>
    <w:p w14:paraId="55A91C4B">
      <w:pPr>
        <w:spacing w:line="360" w:lineRule="auto"/>
        <w:rPr>
          <w:rFonts w:ascii="宋体" w:hAnsi="宋体" w:cs="宋体"/>
          <w:color w:val="auto"/>
          <w:szCs w:val="21"/>
          <w:highlight w:val="none"/>
        </w:rPr>
      </w:pPr>
    </w:p>
    <w:p w14:paraId="24AAB679">
      <w:pPr>
        <w:spacing w:line="360" w:lineRule="auto"/>
        <w:rPr>
          <w:rFonts w:ascii="宋体" w:hAnsi="宋体" w:cs="宋体"/>
          <w:color w:val="auto"/>
          <w:szCs w:val="21"/>
          <w:highlight w:val="none"/>
        </w:rPr>
      </w:pPr>
    </w:p>
    <w:p w14:paraId="69A958D1">
      <w:pPr>
        <w:spacing w:line="360" w:lineRule="auto"/>
        <w:rPr>
          <w:rFonts w:ascii="宋体" w:hAnsi="宋体" w:cs="宋体"/>
          <w:color w:val="auto"/>
          <w:szCs w:val="21"/>
          <w:highlight w:val="none"/>
        </w:rPr>
      </w:pPr>
    </w:p>
    <w:p w14:paraId="0B87C616">
      <w:pPr>
        <w:spacing w:line="360" w:lineRule="auto"/>
        <w:rPr>
          <w:rFonts w:ascii="宋体" w:hAnsi="宋体" w:cs="宋体"/>
          <w:color w:val="auto"/>
          <w:sz w:val="24"/>
          <w:highlight w:val="none"/>
        </w:rPr>
      </w:pPr>
      <w:r>
        <w:rPr>
          <w:rFonts w:hint="eastAsia" w:ascii="宋体" w:hAnsi="宋体" w:cs="宋体"/>
          <w:color w:val="auto"/>
          <w:szCs w:val="21"/>
          <w:highlight w:val="none"/>
        </w:rPr>
        <w:t>注：请根据自己的真实情况出具《中小企业声明函》。依法享受中小企业优惠政策的，采购人或者采购代理机构在公告中标结果时，同时公告其《中小企业声明函》，接受社会监督。</w:t>
      </w:r>
    </w:p>
    <w:p w14:paraId="3DE032F5">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残疾人福利性单位声明函</w:t>
      </w:r>
    </w:p>
    <w:p w14:paraId="1FDAB903">
      <w:pPr>
        <w:spacing w:line="360" w:lineRule="auto"/>
        <w:ind w:firstLine="485"/>
        <w:rPr>
          <w:rFonts w:ascii="宋体" w:hAnsi="宋体" w:cs="宋体"/>
          <w:color w:val="auto"/>
          <w:sz w:val="24"/>
          <w:highlight w:val="none"/>
        </w:rPr>
      </w:pPr>
    </w:p>
    <w:p w14:paraId="045322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548A2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D92D1B4">
      <w:pPr>
        <w:spacing w:line="360" w:lineRule="auto"/>
        <w:rPr>
          <w:rFonts w:ascii="宋体" w:hAnsi="宋体" w:cs="宋体"/>
          <w:color w:val="auto"/>
          <w:szCs w:val="21"/>
          <w:highlight w:val="none"/>
        </w:rPr>
      </w:pPr>
    </w:p>
    <w:p w14:paraId="172A6943">
      <w:pPr>
        <w:spacing w:line="360" w:lineRule="auto"/>
        <w:rPr>
          <w:rFonts w:ascii="宋体" w:hAnsi="宋体" w:cs="宋体"/>
          <w:color w:val="auto"/>
          <w:szCs w:val="21"/>
          <w:highlight w:val="none"/>
        </w:rPr>
      </w:pPr>
    </w:p>
    <w:p w14:paraId="2A1A4BE3">
      <w:pPr>
        <w:spacing w:line="360" w:lineRule="auto"/>
        <w:rPr>
          <w:rFonts w:ascii="宋体" w:hAnsi="宋体" w:cs="宋体"/>
          <w:color w:val="auto"/>
          <w:szCs w:val="21"/>
          <w:highlight w:val="none"/>
        </w:rPr>
      </w:pPr>
    </w:p>
    <w:p w14:paraId="02BB054E">
      <w:pP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单位名称（盖章）：</w:t>
      </w:r>
    </w:p>
    <w:p w14:paraId="0C25245B">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日  期：</w:t>
      </w:r>
    </w:p>
    <w:p w14:paraId="7099C0D6">
      <w:pPr>
        <w:spacing w:line="360" w:lineRule="auto"/>
        <w:rPr>
          <w:rFonts w:ascii="宋体" w:hAnsi="宋体" w:cs="宋体"/>
          <w:color w:val="auto"/>
          <w:szCs w:val="21"/>
          <w:highlight w:val="none"/>
        </w:rPr>
      </w:pPr>
    </w:p>
    <w:p w14:paraId="7820F16B">
      <w:pPr>
        <w:spacing w:line="360" w:lineRule="auto"/>
        <w:rPr>
          <w:rFonts w:ascii="宋体" w:hAnsi="宋体" w:cs="宋体"/>
          <w:color w:val="auto"/>
          <w:szCs w:val="21"/>
          <w:highlight w:val="none"/>
        </w:rPr>
      </w:pPr>
    </w:p>
    <w:p w14:paraId="18E04849">
      <w:pPr>
        <w:spacing w:line="360" w:lineRule="auto"/>
        <w:rPr>
          <w:rFonts w:ascii="宋体" w:hAnsi="宋体" w:cs="宋体"/>
          <w:color w:val="auto"/>
          <w:szCs w:val="21"/>
          <w:highlight w:val="none"/>
        </w:rPr>
      </w:pPr>
    </w:p>
    <w:p w14:paraId="7A1AB1B7">
      <w:pPr>
        <w:spacing w:line="360" w:lineRule="auto"/>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BD89235">
      <w:pPr>
        <w:spacing w:line="360" w:lineRule="auto"/>
        <w:jc w:val="center"/>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质疑函（格式）</w:t>
      </w:r>
    </w:p>
    <w:p w14:paraId="394C782E">
      <w:pPr>
        <w:pStyle w:val="27"/>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14:paraId="1F6B2429">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2EC4AA85">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360E30F4">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3F50C4A0">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p>
    <w:p w14:paraId="12FA3C42">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735A1014">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09E084D7">
      <w:pPr>
        <w:pStyle w:val="27"/>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14:paraId="073FA3FF">
      <w:pPr>
        <w:pStyle w:val="27"/>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6FDEB2CD">
      <w:pPr>
        <w:pStyle w:val="27"/>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6924E1F4">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1DC98A71">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w:t>
      </w:r>
    </w:p>
    <w:p w14:paraId="46EA9B25">
      <w:pPr>
        <w:pStyle w:val="27"/>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p>
    <w:p w14:paraId="406F274C">
      <w:pPr>
        <w:pStyle w:val="27"/>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 xml:space="preserve">□采购过程   </w:t>
      </w:r>
    </w:p>
    <w:p w14:paraId="4B809B92">
      <w:pPr>
        <w:pStyle w:val="27"/>
        <w:spacing w:line="360" w:lineRule="auto"/>
        <w:ind w:left="25" w:leftChars="12" w:firstLine="308" w:firstLineChars="147"/>
        <w:rPr>
          <w:rFonts w:hAnsi="宋体" w:cs="宋体"/>
          <w:bCs/>
          <w:color w:val="auto"/>
          <w:sz w:val="21"/>
          <w:highlight w:val="none"/>
          <w:u w:val="single"/>
        </w:rPr>
      </w:pPr>
      <w:r>
        <w:rPr>
          <w:rFonts w:hint="eastAsia" w:hAnsi="宋体" w:cs="宋体"/>
          <w:color w:val="auto"/>
          <w:sz w:val="21"/>
          <w:highlight w:val="none"/>
        </w:rPr>
        <w:t xml:space="preserve">□成交结果   </w:t>
      </w:r>
    </w:p>
    <w:p w14:paraId="4E5F7B33">
      <w:pPr>
        <w:pStyle w:val="27"/>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三、质疑事项具体内容</w:t>
      </w:r>
    </w:p>
    <w:p w14:paraId="59E6FDD6">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14:paraId="6B36DF11">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14:paraId="154F508E">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14:paraId="0A725FC8">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质疑事项2</w:t>
      </w:r>
    </w:p>
    <w:p w14:paraId="230F1435">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w:t>
      </w:r>
    </w:p>
    <w:p w14:paraId="2A5D7229">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四、与质疑事项相关的质疑请求：</w:t>
      </w:r>
    </w:p>
    <w:p w14:paraId="390355B5">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12988CBD">
      <w:pPr>
        <w:pStyle w:val="27"/>
        <w:spacing w:line="360" w:lineRule="auto"/>
        <w:ind w:left="25" w:leftChars="12" w:firstLine="308" w:firstLineChars="147"/>
        <w:rPr>
          <w:rFonts w:hAnsi="宋体" w:cs="宋体"/>
          <w:color w:val="auto"/>
          <w:sz w:val="21"/>
          <w:highlight w:val="none"/>
        </w:rPr>
      </w:pPr>
    </w:p>
    <w:p w14:paraId="0E300FE7">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20374AAF">
      <w:pPr>
        <w:pStyle w:val="27"/>
        <w:spacing w:line="360" w:lineRule="auto"/>
        <w:ind w:left="25" w:leftChars="12" w:firstLine="308" w:firstLineChars="147"/>
        <w:rPr>
          <w:rFonts w:hAnsi="宋体" w:cs="宋体"/>
          <w:color w:val="auto"/>
          <w:sz w:val="21"/>
          <w:highlight w:val="none"/>
        </w:rPr>
      </w:pPr>
    </w:p>
    <w:p w14:paraId="4917D615">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7AF6C62C">
      <w:pPr>
        <w:pStyle w:val="27"/>
        <w:snapToGrid w:val="0"/>
        <w:spacing w:line="360" w:lineRule="auto"/>
        <w:ind w:firstLine="487"/>
        <w:rPr>
          <w:rFonts w:hAnsi="宋体" w:cs="宋体"/>
          <w:b/>
          <w:color w:val="auto"/>
          <w:sz w:val="24"/>
          <w:szCs w:val="24"/>
          <w:highlight w:val="none"/>
        </w:rPr>
      </w:pPr>
    </w:p>
    <w:p w14:paraId="38D44914">
      <w:pPr>
        <w:pStyle w:val="27"/>
        <w:snapToGrid w:val="0"/>
        <w:spacing w:line="360" w:lineRule="auto"/>
        <w:ind w:firstLine="487"/>
        <w:rPr>
          <w:rFonts w:hAnsi="宋体" w:cs="宋体"/>
          <w:b/>
          <w:color w:val="auto"/>
          <w:sz w:val="24"/>
          <w:szCs w:val="24"/>
          <w:highlight w:val="none"/>
        </w:rPr>
      </w:pPr>
      <w:r>
        <w:rPr>
          <w:rFonts w:hint="eastAsia" w:hAnsi="宋体" w:cs="宋体"/>
          <w:b/>
          <w:color w:val="auto"/>
          <w:sz w:val="24"/>
          <w:szCs w:val="24"/>
          <w:highlight w:val="none"/>
        </w:rPr>
        <w:t>说明：</w:t>
      </w:r>
    </w:p>
    <w:p w14:paraId="75CFAB3E">
      <w:pPr>
        <w:pStyle w:val="27"/>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14:paraId="42F0821C">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FC4AB2">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595C9288">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4.质疑函的质疑请求应与质疑事项相关。</w:t>
      </w:r>
    </w:p>
    <w:p w14:paraId="5260628C">
      <w:pPr>
        <w:pStyle w:val="27"/>
        <w:spacing w:line="360" w:lineRule="auto"/>
        <w:ind w:left="25" w:leftChars="12" w:firstLine="310" w:firstLineChars="147"/>
        <w:rPr>
          <w:rFonts w:hAnsi="宋体" w:cs="宋体"/>
          <w:b/>
          <w:color w:val="auto"/>
          <w:sz w:val="16"/>
          <w:szCs w:val="18"/>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14:paraId="693A08AD">
      <w:pPr>
        <w:pStyle w:val="27"/>
        <w:snapToGrid w:val="0"/>
        <w:spacing w:line="360" w:lineRule="auto"/>
        <w:ind w:firstLine="426"/>
        <w:rPr>
          <w:rFonts w:hAnsi="宋体" w:cs="宋体"/>
          <w:b/>
          <w:color w:val="auto"/>
          <w:sz w:val="21"/>
          <w:highlight w:val="none"/>
        </w:rPr>
      </w:pPr>
    </w:p>
    <w:p w14:paraId="0FA2DBDE">
      <w:pPr>
        <w:spacing w:line="360" w:lineRule="auto"/>
        <w:ind w:firstLine="889"/>
        <w:jc w:val="center"/>
        <w:rPr>
          <w:rFonts w:ascii="宋体" w:hAnsi="宋体" w:cs="宋体"/>
          <w:color w:val="auto"/>
          <w:sz w:val="44"/>
          <w:highlight w:val="none"/>
        </w:rPr>
      </w:pPr>
      <w:r>
        <w:rPr>
          <w:rFonts w:hint="eastAsia" w:ascii="宋体" w:hAnsi="宋体" w:cs="宋体"/>
          <w:color w:val="auto"/>
          <w:sz w:val="44"/>
          <w:highlight w:val="none"/>
        </w:rPr>
        <w:br w:type="page"/>
      </w:r>
    </w:p>
    <w:p w14:paraId="6D93C189">
      <w:pPr>
        <w:spacing w:line="360" w:lineRule="auto"/>
        <w:ind w:firstLine="64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0E106317">
      <w:pPr>
        <w:pStyle w:val="27"/>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14:paraId="3DBC676C">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2C3ADCCE">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020952F4">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法定代表人/主要负责人：</w:t>
      </w:r>
      <w:r>
        <w:rPr>
          <w:rFonts w:hint="eastAsia" w:hAnsi="宋体" w:cs="宋体"/>
          <w:bCs/>
          <w:color w:val="auto"/>
          <w:sz w:val="21"/>
          <w:highlight w:val="none"/>
          <w:u w:val="single"/>
        </w:rPr>
        <w:t xml:space="preserve">                                                         </w:t>
      </w:r>
    </w:p>
    <w:p w14:paraId="7386149C">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148FCE9A">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390C4426">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04820419">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被投诉人1：</w:t>
      </w:r>
    </w:p>
    <w:p w14:paraId="065F8EF8">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D93FE5F">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6BF33E21">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被投诉人2：</w:t>
      </w:r>
    </w:p>
    <w:p w14:paraId="179D31C0">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w:t>
      </w:r>
    </w:p>
    <w:p w14:paraId="1F6CAFE7">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相关供应商：</w:t>
      </w:r>
      <w:r>
        <w:rPr>
          <w:rFonts w:hint="eastAsia" w:hAnsi="宋体" w:cs="宋体"/>
          <w:bCs/>
          <w:color w:val="auto"/>
          <w:sz w:val="21"/>
          <w:highlight w:val="none"/>
          <w:u w:val="single"/>
        </w:rPr>
        <w:t xml:space="preserve">                                                                       </w:t>
      </w:r>
    </w:p>
    <w:p w14:paraId="6C996BA5">
      <w:pPr>
        <w:pStyle w:val="27"/>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p>
    <w:p w14:paraId="38634CE5">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0AA87FB3">
      <w:pPr>
        <w:pStyle w:val="27"/>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14:paraId="3C48D7B8">
      <w:pPr>
        <w:pStyle w:val="27"/>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26725411">
      <w:pPr>
        <w:pStyle w:val="27"/>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23670CCF">
      <w:pPr>
        <w:pStyle w:val="27"/>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7FFC2C3C">
      <w:pPr>
        <w:pStyle w:val="27"/>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代理机构名称：</w:t>
      </w:r>
      <w:r>
        <w:rPr>
          <w:rFonts w:hint="eastAsia" w:hAnsi="宋体" w:cs="宋体"/>
          <w:bCs/>
          <w:color w:val="auto"/>
          <w:sz w:val="21"/>
          <w:highlight w:val="none"/>
          <w:u w:val="single"/>
        </w:rPr>
        <w:t xml:space="preserve">                                                                      </w:t>
      </w:r>
    </w:p>
    <w:p w14:paraId="2ADB0C96">
      <w:pPr>
        <w:pStyle w:val="27"/>
        <w:spacing w:line="360" w:lineRule="auto"/>
        <w:ind w:left="25" w:leftChars="12" w:firstLine="413" w:firstLineChars="197"/>
        <w:rPr>
          <w:rFonts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32CAE183">
      <w:pPr>
        <w:pStyle w:val="27"/>
        <w:spacing w:line="360" w:lineRule="auto"/>
        <w:ind w:left="25" w:leftChars="12" w:firstLine="413" w:firstLineChars="197"/>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38350867">
      <w:pPr>
        <w:pStyle w:val="27"/>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三、质疑基本情况</w:t>
      </w:r>
    </w:p>
    <w:p w14:paraId="010FC54F">
      <w:pPr>
        <w:pStyle w:val="27"/>
        <w:spacing w:line="360" w:lineRule="auto"/>
        <w:ind w:left="25" w:leftChars="12" w:firstLine="833" w:firstLineChars="397"/>
        <w:rPr>
          <w:rFonts w:hAnsi="宋体" w:cs="宋体"/>
          <w:color w:val="auto"/>
          <w:sz w:val="21"/>
          <w:highlight w:val="none"/>
        </w:rPr>
      </w:pPr>
      <w:r>
        <w:rPr>
          <w:rFonts w:hint="eastAsia" w:hAnsi="宋体" w:cs="宋体"/>
          <w:color w:val="auto"/>
          <w:sz w:val="21"/>
          <w:highlight w:val="none"/>
        </w:rPr>
        <w:t>投诉人于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日，向</w:t>
      </w:r>
      <w:r>
        <w:rPr>
          <w:rFonts w:hint="eastAsia" w:hAnsi="宋体" w:cs="宋体"/>
          <w:color w:val="auto"/>
          <w:sz w:val="21"/>
          <w:highlight w:val="none"/>
          <w:u w:val="single"/>
        </w:rPr>
        <w:t xml:space="preserve">            </w:t>
      </w:r>
      <w:r>
        <w:rPr>
          <w:rFonts w:hint="eastAsia" w:hAnsi="宋体" w:cs="宋体"/>
          <w:color w:val="auto"/>
          <w:sz w:val="21"/>
          <w:highlight w:val="none"/>
        </w:rPr>
        <w:t>提出质疑，质疑事项为：</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采购人/代理机构于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r>
        <w:rPr>
          <w:rFonts w:hint="eastAsia" w:hAnsi="宋体" w:cs="宋体"/>
          <w:bCs/>
          <w:color w:val="auto"/>
          <w:sz w:val="21"/>
          <w:highlight w:val="none"/>
        </w:rPr>
        <w:t xml:space="preserve">就质疑事项作出了答复/没有在法定期限内作出答复。                                                                                             </w:t>
      </w:r>
    </w:p>
    <w:p w14:paraId="624EE2E0">
      <w:pPr>
        <w:pStyle w:val="27"/>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四、投诉事项具体内容</w:t>
      </w:r>
    </w:p>
    <w:p w14:paraId="5C75EAB1">
      <w:pPr>
        <w:pStyle w:val="27"/>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投诉事项1：</w:t>
      </w:r>
      <w:r>
        <w:rPr>
          <w:rFonts w:hint="eastAsia" w:hAnsi="宋体" w:cs="宋体"/>
          <w:bCs/>
          <w:color w:val="auto"/>
          <w:sz w:val="21"/>
          <w:highlight w:val="none"/>
          <w:u w:val="single"/>
        </w:rPr>
        <w:t xml:space="preserve">                                                                           </w:t>
      </w:r>
    </w:p>
    <w:p w14:paraId="1B627616">
      <w:pPr>
        <w:pStyle w:val="27"/>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事实依据：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3E92886D">
      <w:pPr>
        <w:pStyle w:val="27"/>
        <w:spacing w:line="360" w:lineRule="auto"/>
        <w:ind w:left="25" w:leftChars="12" w:firstLine="308" w:firstLineChars="147"/>
        <w:rPr>
          <w:rFonts w:hAnsi="宋体" w:cs="宋体"/>
          <w:bCs/>
          <w:color w:val="auto"/>
          <w:sz w:val="21"/>
          <w:highlight w:val="none"/>
          <w:u w:val="single"/>
        </w:rPr>
      </w:pPr>
      <w:r>
        <w:rPr>
          <w:rFonts w:hint="eastAsia" w:hAnsi="宋体" w:cs="宋体"/>
          <w:bCs/>
          <w:color w:val="auto"/>
          <w:sz w:val="21"/>
          <w:highlight w:val="none"/>
        </w:rPr>
        <w:t>法律依据：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412E4190">
      <w:pPr>
        <w:pStyle w:val="27"/>
        <w:spacing w:line="360" w:lineRule="auto"/>
        <w:ind w:left="25" w:leftChars="12" w:firstLine="413" w:firstLineChars="197"/>
        <w:rPr>
          <w:rFonts w:hAnsi="宋体" w:cs="宋体"/>
          <w:bCs/>
          <w:color w:val="auto"/>
          <w:sz w:val="21"/>
          <w:highlight w:val="none"/>
        </w:rPr>
      </w:pPr>
      <w:r>
        <w:rPr>
          <w:rFonts w:hint="eastAsia" w:hAnsi="宋体" w:cs="宋体"/>
          <w:color w:val="auto"/>
          <w:sz w:val="21"/>
          <w:highlight w:val="none"/>
        </w:rPr>
        <w:t xml:space="preserve">投诉事项2  </w:t>
      </w:r>
      <w:r>
        <w:rPr>
          <w:rFonts w:hint="eastAsia" w:hAnsi="宋体" w:cs="宋体"/>
          <w:bCs/>
          <w:color w:val="auto"/>
          <w:sz w:val="21"/>
          <w:highlight w:val="none"/>
        </w:rPr>
        <w:t xml:space="preserve">   </w:t>
      </w:r>
    </w:p>
    <w:p w14:paraId="1F9417FC">
      <w:pPr>
        <w:pStyle w:val="27"/>
        <w:spacing w:line="360" w:lineRule="auto"/>
        <w:ind w:left="25" w:leftChars="12" w:firstLine="413" w:firstLineChars="197"/>
        <w:rPr>
          <w:rFonts w:hAnsi="宋体" w:cs="宋体"/>
          <w:bCs/>
          <w:color w:val="auto"/>
          <w:sz w:val="21"/>
          <w:highlight w:val="none"/>
        </w:rPr>
      </w:pPr>
      <w:r>
        <w:rPr>
          <w:rFonts w:hint="eastAsia" w:hAnsi="宋体" w:cs="宋体"/>
          <w:bCs/>
          <w:color w:val="auto"/>
          <w:sz w:val="21"/>
          <w:highlight w:val="none"/>
        </w:rPr>
        <w:t>……</w:t>
      </w:r>
    </w:p>
    <w:p w14:paraId="339917DC">
      <w:pPr>
        <w:pStyle w:val="27"/>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14:paraId="52860764">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24DA0DD2">
      <w:pPr>
        <w:pStyle w:val="27"/>
        <w:spacing w:line="360" w:lineRule="auto"/>
        <w:ind w:left="25" w:leftChars="12" w:firstLine="308" w:firstLineChars="147"/>
        <w:rPr>
          <w:rFonts w:hAnsi="宋体" w:cs="宋体"/>
          <w:color w:val="auto"/>
          <w:sz w:val="21"/>
          <w:highlight w:val="none"/>
        </w:rPr>
      </w:pPr>
    </w:p>
    <w:p w14:paraId="5F2E92CF">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455F57B6">
      <w:pPr>
        <w:pStyle w:val="27"/>
        <w:spacing w:line="360" w:lineRule="auto"/>
        <w:ind w:left="25" w:leftChars="12" w:firstLine="308" w:firstLineChars="147"/>
        <w:rPr>
          <w:rFonts w:hAnsi="宋体" w:cs="宋体"/>
          <w:color w:val="auto"/>
          <w:sz w:val="21"/>
          <w:highlight w:val="none"/>
        </w:rPr>
      </w:pPr>
    </w:p>
    <w:p w14:paraId="69C9E48D">
      <w:pPr>
        <w:pStyle w:val="27"/>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7456EA97">
      <w:pPr>
        <w:pStyle w:val="27"/>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 xml:space="preserve">                                                                                 </w:t>
      </w:r>
    </w:p>
    <w:p w14:paraId="15EBB5EE">
      <w:pPr>
        <w:pStyle w:val="27"/>
        <w:snapToGrid w:val="0"/>
        <w:spacing w:line="360" w:lineRule="auto"/>
        <w:ind w:firstLine="426"/>
        <w:rPr>
          <w:rFonts w:hAnsi="宋体" w:cs="宋体"/>
          <w:b/>
          <w:color w:val="auto"/>
          <w:sz w:val="21"/>
          <w:highlight w:val="none"/>
        </w:rPr>
      </w:pPr>
    </w:p>
    <w:p w14:paraId="7056F16C">
      <w:pPr>
        <w:pStyle w:val="27"/>
        <w:snapToGrid w:val="0"/>
        <w:spacing w:line="360" w:lineRule="auto"/>
        <w:ind w:firstLine="426"/>
        <w:rPr>
          <w:rFonts w:hAnsi="宋体" w:cs="宋体"/>
          <w:b/>
          <w:color w:val="auto"/>
          <w:sz w:val="21"/>
          <w:highlight w:val="none"/>
        </w:rPr>
      </w:pPr>
      <w:r>
        <w:rPr>
          <w:rFonts w:hint="eastAsia" w:hAnsi="宋体" w:cs="宋体"/>
          <w:b/>
          <w:color w:val="auto"/>
          <w:sz w:val="21"/>
          <w:highlight w:val="none"/>
        </w:rPr>
        <w:t>说明：</w:t>
      </w:r>
    </w:p>
    <w:p w14:paraId="0F8692F9">
      <w:pPr>
        <w:pStyle w:val="27"/>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14:paraId="6AEFD1A8">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FD0BE3C">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736E4DFB">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1B45C8A1">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14:paraId="270EE818">
      <w:pPr>
        <w:pStyle w:val="27"/>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14:paraId="42661190">
      <w:pPr>
        <w:spacing w:line="360" w:lineRule="auto"/>
        <w:ind w:firstLine="646"/>
        <w:rPr>
          <w:rFonts w:ascii="宋体" w:hAnsi="宋体" w:cs="宋体"/>
          <w:color w:val="auto"/>
          <w:sz w:val="32"/>
          <w:szCs w:val="32"/>
          <w:highlight w:val="none"/>
        </w:rPr>
      </w:pPr>
    </w:p>
    <w:p w14:paraId="66046930">
      <w:pPr>
        <w:autoSpaceDE w:val="0"/>
        <w:autoSpaceDN w:val="0"/>
        <w:spacing w:line="360" w:lineRule="auto"/>
        <w:rPr>
          <w:rFonts w:ascii="宋体" w:hAnsi="宋体" w:cs="宋体"/>
          <w:color w:val="auto"/>
          <w:szCs w:val="21"/>
          <w:highlight w:val="none"/>
        </w:rPr>
      </w:pPr>
    </w:p>
    <w:p w14:paraId="4A4F0871">
      <w:pPr>
        <w:pStyle w:val="2"/>
        <w:ind w:firstLine="568"/>
        <w:rPr>
          <w:rFonts w:ascii="宋体" w:hAnsi="宋体" w:cs="宋体"/>
          <w:b w:val="0"/>
          <w:color w:val="auto"/>
          <w:highlight w:val="none"/>
        </w:rPr>
      </w:pPr>
      <w:bookmarkStart w:id="204" w:name="_Toc44229900"/>
      <w:r>
        <w:rPr>
          <w:rFonts w:hint="eastAsia" w:ascii="宋体" w:hAnsi="宋体" w:cs="宋体"/>
          <w:color w:val="auto"/>
          <w:highlight w:val="none"/>
        </w:rPr>
        <w:br w:type="page"/>
      </w:r>
      <w:bookmarkStart w:id="205" w:name="_Toc5634"/>
      <w:bookmarkStart w:id="206" w:name="_Toc6386"/>
      <w:bookmarkStart w:id="207" w:name="_Toc31094"/>
      <w:bookmarkStart w:id="208" w:name="_Toc5797"/>
      <w:r>
        <w:rPr>
          <w:color w:val="auto"/>
          <w:highlight w:val="none"/>
        </w:rPr>
        <w:t>第六章 合同文本</w:t>
      </w:r>
      <w:bookmarkEnd w:id="204"/>
      <w:bookmarkEnd w:id="205"/>
      <w:bookmarkEnd w:id="206"/>
      <w:bookmarkEnd w:id="207"/>
      <w:bookmarkEnd w:id="208"/>
    </w:p>
    <w:p w14:paraId="35DF3ABF">
      <w:pPr>
        <w:adjustRightInd w:val="0"/>
        <w:snapToGrid w:val="0"/>
        <w:spacing w:line="360" w:lineRule="auto"/>
        <w:ind w:firstLine="568"/>
        <w:rPr>
          <w:rFonts w:hAnsi="华文楷体"/>
          <w:b/>
          <w:color w:val="auto"/>
          <w:sz w:val="28"/>
          <w:highlight w:val="none"/>
        </w:rPr>
      </w:pPr>
    </w:p>
    <w:p w14:paraId="4229A976">
      <w:pPr>
        <w:adjustRightInd w:val="0"/>
        <w:snapToGrid w:val="0"/>
        <w:spacing w:line="360" w:lineRule="auto"/>
        <w:ind w:firstLine="568"/>
        <w:rPr>
          <w:color w:val="auto"/>
          <w:highlight w:val="none"/>
          <w:u w:val="single"/>
        </w:rPr>
      </w:pPr>
      <w:r>
        <w:rPr>
          <w:rFonts w:hint="eastAsia" w:hAnsi="华文楷体"/>
          <w:b/>
          <w:color w:val="auto"/>
          <w:sz w:val="28"/>
          <w:highlight w:val="none"/>
        </w:rPr>
        <w:t>合同编号：</w:t>
      </w:r>
      <w:r>
        <w:rPr>
          <w:rFonts w:hint="eastAsia"/>
          <w:color w:val="auto"/>
          <w:highlight w:val="none"/>
          <w:u w:val="single"/>
        </w:rPr>
        <w:t xml:space="preserve">         </w:t>
      </w:r>
    </w:p>
    <w:p w14:paraId="02403D69">
      <w:pPr>
        <w:adjustRightInd w:val="0"/>
        <w:snapToGrid w:val="0"/>
        <w:spacing w:line="360" w:lineRule="auto"/>
        <w:rPr>
          <w:color w:val="auto"/>
          <w:highlight w:val="none"/>
        </w:rPr>
      </w:pPr>
    </w:p>
    <w:p w14:paraId="21B43253">
      <w:pPr>
        <w:adjustRightInd w:val="0"/>
        <w:snapToGrid w:val="0"/>
        <w:spacing w:line="360" w:lineRule="auto"/>
        <w:rPr>
          <w:color w:val="auto"/>
          <w:highlight w:val="none"/>
        </w:rPr>
      </w:pPr>
    </w:p>
    <w:p w14:paraId="576E76BB">
      <w:pPr>
        <w:adjustRightInd w:val="0"/>
        <w:snapToGrid w:val="0"/>
        <w:spacing w:line="360" w:lineRule="auto"/>
        <w:rPr>
          <w:color w:val="auto"/>
          <w:highlight w:val="none"/>
        </w:rPr>
      </w:pPr>
    </w:p>
    <w:p w14:paraId="7B123464">
      <w:pPr>
        <w:adjustRightInd w:val="0"/>
        <w:snapToGrid w:val="0"/>
        <w:spacing w:line="360" w:lineRule="auto"/>
        <w:ind w:firstLine="649"/>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崇左铁路支专线布局研究</w:t>
      </w:r>
      <w:r>
        <w:rPr>
          <w:rFonts w:hint="eastAsia" w:ascii="宋体" w:hAnsi="宋体" w:cs="宋体"/>
          <w:b/>
          <w:bCs/>
          <w:color w:val="auto"/>
          <w:sz w:val="32"/>
          <w:szCs w:val="32"/>
          <w:highlight w:val="none"/>
        </w:rPr>
        <w:t>合同</w:t>
      </w:r>
    </w:p>
    <w:p w14:paraId="7B9116DA">
      <w:pPr>
        <w:adjustRightInd w:val="0"/>
        <w:snapToGrid w:val="0"/>
        <w:spacing w:line="360" w:lineRule="auto"/>
        <w:ind w:firstLine="811"/>
        <w:rPr>
          <w:b/>
          <w:color w:val="auto"/>
          <w:sz w:val="40"/>
          <w:szCs w:val="21"/>
          <w:highlight w:val="none"/>
        </w:rPr>
      </w:pPr>
    </w:p>
    <w:p w14:paraId="5F738888">
      <w:pPr>
        <w:adjustRightInd w:val="0"/>
        <w:snapToGrid w:val="0"/>
        <w:spacing w:line="360" w:lineRule="auto"/>
        <w:ind w:firstLine="811"/>
        <w:rPr>
          <w:b/>
          <w:color w:val="auto"/>
          <w:sz w:val="40"/>
          <w:szCs w:val="21"/>
          <w:highlight w:val="none"/>
        </w:rPr>
      </w:pPr>
    </w:p>
    <w:p w14:paraId="4758A109">
      <w:pPr>
        <w:adjustRightInd w:val="0"/>
        <w:snapToGrid w:val="0"/>
        <w:spacing w:line="360" w:lineRule="auto"/>
        <w:ind w:firstLine="811"/>
        <w:rPr>
          <w:b/>
          <w:color w:val="auto"/>
          <w:sz w:val="40"/>
          <w:szCs w:val="21"/>
          <w:highlight w:val="none"/>
        </w:rPr>
      </w:pPr>
    </w:p>
    <w:p w14:paraId="6D99AF12">
      <w:pPr>
        <w:adjustRightInd w:val="0"/>
        <w:snapToGrid w:val="0"/>
        <w:spacing w:line="360" w:lineRule="auto"/>
        <w:ind w:firstLine="811"/>
        <w:rPr>
          <w:b/>
          <w:color w:val="auto"/>
          <w:sz w:val="40"/>
          <w:szCs w:val="21"/>
          <w:highlight w:val="none"/>
        </w:rPr>
      </w:pPr>
    </w:p>
    <w:p w14:paraId="44D8689D">
      <w:pPr>
        <w:adjustRightInd w:val="0"/>
        <w:snapToGrid w:val="0"/>
        <w:spacing w:line="360" w:lineRule="auto"/>
        <w:ind w:firstLine="811"/>
        <w:rPr>
          <w:b/>
          <w:color w:val="auto"/>
          <w:sz w:val="40"/>
          <w:szCs w:val="21"/>
          <w:highlight w:val="none"/>
        </w:rPr>
      </w:pPr>
    </w:p>
    <w:p w14:paraId="46184FA8">
      <w:pPr>
        <w:adjustRightInd w:val="0"/>
        <w:snapToGrid w:val="0"/>
        <w:spacing w:line="360" w:lineRule="auto"/>
        <w:ind w:firstLine="811"/>
        <w:rPr>
          <w:b/>
          <w:color w:val="auto"/>
          <w:sz w:val="40"/>
          <w:szCs w:val="21"/>
          <w:highlight w:val="none"/>
        </w:rPr>
      </w:pPr>
    </w:p>
    <w:p w14:paraId="49CDD7C4">
      <w:pPr>
        <w:adjustRightInd w:val="0"/>
        <w:snapToGrid w:val="0"/>
        <w:spacing w:line="360" w:lineRule="auto"/>
        <w:ind w:firstLine="485"/>
        <w:rPr>
          <w:color w:val="auto"/>
          <w:sz w:val="24"/>
          <w:highlight w:val="none"/>
        </w:rPr>
      </w:pPr>
      <w:r>
        <w:rPr>
          <w:rFonts w:hAnsi="华文楷体"/>
          <w:color w:val="auto"/>
          <w:sz w:val="24"/>
          <w:highlight w:val="none"/>
        </w:rPr>
        <w:t>项目名称</w:t>
      </w:r>
      <w:r>
        <w:rPr>
          <w:rFonts w:hint="eastAsia" w:hAnsi="华文楷体"/>
          <w:color w:val="auto"/>
          <w:sz w:val="24"/>
          <w:highlight w:val="none"/>
        </w:rPr>
        <w:t>：</w:t>
      </w:r>
      <w:r>
        <w:rPr>
          <w:rFonts w:hint="eastAsia"/>
          <w:color w:val="auto"/>
          <w:sz w:val="24"/>
          <w:highlight w:val="none"/>
          <w:u w:val="single"/>
        </w:rPr>
        <w:t xml:space="preserve">                             </w:t>
      </w:r>
    </w:p>
    <w:p w14:paraId="5B50C30C">
      <w:pPr>
        <w:adjustRightInd w:val="0"/>
        <w:snapToGrid w:val="0"/>
        <w:spacing w:line="360" w:lineRule="auto"/>
        <w:ind w:firstLine="485"/>
        <w:rPr>
          <w:b/>
          <w:color w:val="auto"/>
          <w:sz w:val="24"/>
          <w:highlight w:val="none"/>
          <w:u w:val="single"/>
        </w:rPr>
      </w:pPr>
      <w:r>
        <w:rPr>
          <w:rFonts w:hAnsi="华文楷体"/>
          <w:color w:val="auto"/>
          <w:sz w:val="24"/>
          <w:highlight w:val="none"/>
        </w:rPr>
        <w:t>委托方（甲方）：</w:t>
      </w:r>
      <w:r>
        <w:rPr>
          <w:rFonts w:hint="eastAsia"/>
          <w:color w:val="auto"/>
          <w:sz w:val="24"/>
          <w:highlight w:val="none"/>
          <w:u w:val="single"/>
        </w:rPr>
        <w:t xml:space="preserve">                          </w:t>
      </w:r>
    </w:p>
    <w:p w14:paraId="3600DC28">
      <w:pPr>
        <w:adjustRightInd w:val="0"/>
        <w:snapToGrid w:val="0"/>
        <w:spacing w:line="360" w:lineRule="auto"/>
        <w:ind w:firstLine="485"/>
        <w:rPr>
          <w:b/>
          <w:color w:val="auto"/>
          <w:sz w:val="24"/>
          <w:highlight w:val="none"/>
          <w:u w:val="single"/>
        </w:rPr>
      </w:pPr>
      <w:r>
        <w:rPr>
          <w:rFonts w:hAnsi="华文楷体"/>
          <w:color w:val="auto"/>
          <w:sz w:val="24"/>
          <w:highlight w:val="none"/>
        </w:rPr>
        <w:t>受托方（乙方）：</w:t>
      </w:r>
      <w:r>
        <w:rPr>
          <w:rFonts w:hint="eastAsia"/>
          <w:color w:val="auto"/>
          <w:sz w:val="24"/>
          <w:highlight w:val="none"/>
          <w:u w:val="single"/>
        </w:rPr>
        <w:t xml:space="preserve">                          </w:t>
      </w:r>
    </w:p>
    <w:p w14:paraId="48E68294">
      <w:pPr>
        <w:adjustRightInd w:val="0"/>
        <w:snapToGrid w:val="0"/>
        <w:spacing w:line="360" w:lineRule="auto"/>
        <w:ind w:firstLine="485"/>
        <w:rPr>
          <w:color w:val="auto"/>
          <w:sz w:val="24"/>
          <w:highlight w:val="none"/>
        </w:rPr>
      </w:pPr>
      <w:r>
        <w:rPr>
          <w:rFonts w:hAnsi="华文楷体"/>
          <w:color w:val="auto"/>
          <w:sz w:val="24"/>
          <w:highlight w:val="none"/>
        </w:rPr>
        <w:t>签订地点：</w:t>
      </w:r>
      <w:r>
        <w:rPr>
          <w:rFonts w:hint="eastAsia"/>
          <w:color w:val="auto"/>
          <w:sz w:val="24"/>
          <w:highlight w:val="none"/>
          <w:u w:val="single"/>
        </w:rPr>
        <w:t xml:space="preserve">                           </w:t>
      </w:r>
    </w:p>
    <w:p w14:paraId="7FAC397E">
      <w:pPr>
        <w:adjustRightInd w:val="0"/>
        <w:snapToGrid w:val="0"/>
        <w:spacing w:line="360" w:lineRule="auto"/>
        <w:ind w:firstLine="485"/>
        <w:rPr>
          <w:rFonts w:hAnsi="华文楷体"/>
          <w:color w:val="auto"/>
          <w:sz w:val="24"/>
          <w:highlight w:val="none"/>
        </w:rPr>
      </w:pPr>
      <w:r>
        <w:rPr>
          <w:rFonts w:hint="eastAsia" w:hAnsi="华文楷体"/>
          <w:color w:val="auto"/>
          <w:sz w:val="24"/>
          <w:highlight w:val="none"/>
        </w:rPr>
        <w:t>签订日期：</w:t>
      </w:r>
      <w:r>
        <w:rPr>
          <w:rFonts w:hint="eastAsia"/>
          <w:color w:val="auto"/>
          <w:sz w:val="24"/>
          <w:highlight w:val="none"/>
          <w:u w:val="single"/>
        </w:rPr>
        <w:t xml:space="preserve">                         </w:t>
      </w:r>
    </w:p>
    <w:p w14:paraId="6ABB68F0">
      <w:pPr>
        <w:pStyle w:val="20"/>
        <w:ind w:firstLine="485"/>
        <w:rPr>
          <w:rFonts w:hAnsi="华文楷体"/>
          <w:color w:val="auto"/>
          <w:sz w:val="24"/>
          <w:highlight w:val="none"/>
        </w:rPr>
      </w:pPr>
    </w:p>
    <w:p w14:paraId="26285821">
      <w:pPr>
        <w:ind w:firstLine="485"/>
        <w:rPr>
          <w:rFonts w:hAnsi="华文楷体"/>
          <w:color w:val="auto"/>
          <w:sz w:val="24"/>
          <w:highlight w:val="none"/>
        </w:rPr>
      </w:pPr>
    </w:p>
    <w:p w14:paraId="51073191">
      <w:pPr>
        <w:pStyle w:val="20"/>
        <w:rPr>
          <w:color w:val="auto"/>
          <w:highlight w:val="none"/>
        </w:rPr>
      </w:pPr>
    </w:p>
    <w:p w14:paraId="5C1BBE4E">
      <w:pPr>
        <w:adjustRightInd w:val="0"/>
        <w:snapToGrid w:val="0"/>
        <w:spacing w:line="360" w:lineRule="auto"/>
        <w:ind w:firstLine="727"/>
        <w:rPr>
          <w:color w:val="auto"/>
          <w:sz w:val="36"/>
          <w:highlight w:val="none"/>
        </w:rPr>
      </w:pPr>
    </w:p>
    <w:p w14:paraId="76AC4078">
      <w:pPr>
        <w:adjustRightInd w:val="0"/>
        <w:snapToGrid w:val="0"/>
        <w:spacing w:line="360" w:lineRule="auto"/>
        <w:ind w:firstLine="727"/>
        <w:rPr>
          <w:color w:val="auto"/>
          <w:sz w:val="36"/>
          <w:highlight w:val="none"/>
        </w:rPr>
      </w:pPr>
    </w:p>
    <w:p w14:paraId="13D18ED6">
      <w:pPr>
        <w:adjustRightInd w:val="0"/>
        <w:snapToGrid w:val="0"/>
        <w:spacing w:line="360" w:lineRule="auto"/>
        <w:ind w:firstLine="727"/>
        <w:rPr>
          <w:color w:val="auto"/>
          <w:sz w:val="36"/>
          <w:highlight w:val="none"/>
        </w:rPr>
      </w:pPr>
    </w:p>
    <w:p w14:paraId="3C0B9BA5">
      <w:pPr>
        <w:adjustRightInd w:val="0"/>
        <w:snapToGrid w:val="0"/>
        <w:spacing w:line="360" w:lineRule="auto"/>
        <w:ind w:firstLine="727"/>
        <w:rPr>
          <w:color w:val="auto"/>
          <w:sz w:val="36"/>
          <w:highlight w:val="none"/>
        </w:rPr>
      </w:pPr>
    </w:p>
    <w:p w14:paraId="05876E81">
      <w:pPr>
        <w:ind w:right="193"/>
        <w:jc w:val="center"/>
        <w:rPr>
          <w:rFonts w:hint="eastAsia" w:asciiTheme="majorEastAsia" w:hAnsiTheme="majorEastAsia" w:eastAsiaTheme="majorEastAsia" w:cstheme="majorEastAsia"/>
          <w:b/>
          <w:color w:val="auto"/>
          <w:sz w:val="36"/>
          <w:szCs w:val="21"/>
          <w:highlight w:val="none"/>
          <w:lang w:eastAsia="zh-CN"/>
        </w:rPr>
      </w:pPr>
    </w:p>
    <w:p w14:paraId="1AC14BAF">
      <w:pPr>
        <w:snapToGrid w:val="0"/>
        <w:spacing w:line="360" w:lineRule="auto"/>
        <w:jc w:val="center"/>
        <w:rPr>
          <w:rFonts w:hint="eastAsia" w:asciiTheme="majorEastAsia" w:hAnsiTheme="majorEastAsia" w:eastAsiaTheme="majorEastAsia" w:cstheme="majorEastAsia"/>
          <w:b/>
          <w:color w:val="auto"/>
          <w:sz w:val="21"/>
          <w:szCs w:val="21"/>
          <w:highlight w:val="none"/>
        </w:rPr>
      </w:pPr>
    </w:p>
    <w:p w14:paraId="6B5920AF">
      <w:pPr>
        <w:snapToGrid w:val="0"/>
        <w:spacing w:line="360" w:lineRule="auto"/>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目录</w:t>
      </w:r>
    </w:p>
    <w:p w14:paraId="5F9569E6">
      <w:pPr>
        <w:snapToGrid w:val="0"/>
        <w:spacing w:line="360" w:lineRule="auto"/>
        <w:jc w:val="center"/>
        <w:rPr>
          <w:rFonts w:hint="eastAsia" w:asciiTheme="majorEastAsia" w:hAnsiTheme="majorEastAsia" w:eastAsiaTheme="majorEastAsia" w:cstheme="majorEastAsia"/>
          <w:b/>
          <w:bCs/>
          <w:color w:val="auto"/>
          <w:sz w:val="36"/>
          <w:szCs w:val="21"/>
          <w:highlight w:val="none"/>
        </w:rPr>
      </w:pPr>
    </w:p>
    <w:p w14:paraId="3B6FAE97">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一、</w:t>
      </w:r>
      <w:r>
        <w:rPr>
          <w:rFonts w:hint="eastAsia" w:asciiTheme="majorEastAsia" w:hAnsiTheme="majorEastAsia" w:eastAsiaTheme="majorEastAsia" w:cstheme="majorEastAsia"/>
          <w:color w:val="auto"/>
          <w:sz w:val="21"/>
          <w:szCs w:val="21"/>
          <w:highlight w:val="none"/>
        </w:rPr>
        <w:t>第一部分 合同书</w:t>
      </w:r>
      <w:r>
        <w:rPr>
          <w:rFonts w:hint="eastAsia" w:asciiTheme="majorEastAsia" w:hAnsiTheme="majorEastAsia" w:eastAsiaTheme="majorEastAsia" w:cstheme="majorEastAsia"/>
          <w:color w:val="auto"/>
          <w:kern w:val="0"/>
          <w:sz w:val="21"/>
          <w:szCs w:val="21"/>
          <w:highlight w:val="none"/>
        </w:rPr>
        <w:t>……………………………………………………………（页码）</w:t>
      </w:r>
    </w:p>
    <w:p w14:paraId="3CE6EECD">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二、第二部分 合同一般条款……………………………………………………（页码）</w:t>
      </w:r>
    </w:p>
    <w:p w14:paraId="025174F4">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三、第三部分 合同专用条款……………………………………………………（页码）</w:t>
      </w:r>
    </w:p>
    <w:p w14:paraId="30587125">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四、</w:t>
      </w:r>
      <w:r>
        <w:rPr>
          <w:rFonts w:hint="eastAsia" w:asciiTheme="majorEastAsia" w:hAnsiTheme="majorEastAsia" w:eastAsiaTheme="majorEastAsia" w:cstheme="majorEastAsia"/>
          <w:color w:val="auto"/>
          <w:sz w:val="21"/>
          <w:szCs w:val="21"/>
          <w:highlight w:val="none"/>
        </w:rPr>
        <w:t>第四部分 合同附件</w:t>
      </w:r>
      <w:r>
        <w:rPr>
          <w:rFonts w:hint="eastAsia" w:asciiTheme="majorEastAsia" w:hAnsiTheme="majorEastAsia" w:eastAsiaTheme="majorEastAsia" w:cstheme="majorEastAsia"/>
          <w:color w:val="auto"/>
          <w:kern w:val="0"/>
          <w:sz w:val="21"/>
          <w:szCs w:val="21"/>
          <w:highlight w:val="none"/>
        </w:rPr>
        <w:t>…………………………………………………………（页码）</w:t>
      </w:r>
    </w:p>
    <w:p w14:paraId="47F4A634">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4.1中标通知书 …………………………………………………………………（页码）</w:t>
      </w:r>
    </w:p>
    <w:p w14:paraId="051EBDBA">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4.2招标文件服务需求一览表 …………………………………………………（页码）</w:t>
      </w:r>
    </w:p>
    <w:p w14:paraId="22A8C602">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4.3招标文件的更改通知（如有） ……………………………………………（页码）</w:t>
      </w:r>
    </w:p>
    <w:p w14:paraId="68F15E2D">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4.4投标函 ………………………………………………………………………（页码）</w:t>
      </w:r>
    </w:p>
    <w:p w14:paraId="68186A98">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4.5报价表 ………………………………………………………………………（页码）</w:t>
      </w:r>
    </w:p>
    <w:p w14:paraId="232E77AD">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4.6投标服务技术资料表 ………………………………………………………（页码）</w:t>
      </w:r>
    </w:p>
    <w:p w14:paraId="45FCF25B">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4.7商务条款偏离表 ……………………………………………………………（页码）</w:t>
      </w:r>
    </w:p>
    <w:p w14:paraId="3C3529CC">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4.8中标供应商澄清函（如有请提供） ………………………………………（页码）</w:t>
      </w:r>
    </w:p>
    <w:p w14:paraId="0ABF1F49">
      <w:pPr>
        <w:snapToGrid w:val="0"/>
        <w:spacing w:line="360" w:lineRule="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4.9其他与本合同相关的资料（如有请提供） ………………………………（页码）</w:t>
      </w:r>
    </w:p>
    <w:p w14:paraId="2B698768">
      <w:pPr>
        <w:snapToGrid w:val="0"/>
        <w:spacing w:line="360" w:lineRule="auto"/>
        <w:rPr>
          <w:rFonts w:hint="eastAsia" w:asciiTheme="majorEastAsia" w:hAnsiTheme="majorEastAsia" w:eastAsiaTheme="majorEastAsia" w:cstheme="majorEastAsia"/>
          <w:color w:val="auto"/>
          <w:kern w:val="0"/>
          <w:sz w:val="21"/>
          <w:szCs w:val="21"/>
          <w:highlight w:val="none"/>
        </w:rPr>
      </w:pPr>
    </w:p>
    <w:p w14:paraId="4E2F8AF8">
      <w:pPr>
        <w:pStyle w:val="21"/>
        <w:ind w:firstLine="1126"/>
        <w:rPr>
          <w:rFonts w:hint="eastAsia" w:asciiTheme="majorEastAsia" w:hAnsiTheme="majorEastAsia" w:eastAsiaTheme="majorEastAsia" w:cstheme="majorEastAsia"/>
          <w:color w:val="auto"/>
          <w:sz w:val="24"/>
          <w:szCs w:val="16"/>
          <w:highlight w:val="none"/>
        </w:rPr>
        <w:sectPr>
          <w:headerReference r:id="rId8" w:type="default"/>
          <w:footerReference r:id="rId9" w:type="default"/>
          <w:pgSz w:w="11906" w:h="16838"/>
          <w:pgMar w:top="1134" w:right="1134" w:bottom="1134" w:left="1134" w:header="720" w:footer="720" w:gutter="0"/>
          <w:cols w:space="720" w:num="1"/>
          <w:docGrid w:type="lines" w:linePitch="331" w:charSpace="0"/>
        </w:sectPr>
      </w:pPr>
    </w:p>
    <w:p w14:paraId="2C885453">
      <w:pPr>
        <w:pStyle w:val="183"/>
        <w:spacing w:after="0"/>
        <w:ind w:firstLine="562"/>
        <w:jc w:val="center"/>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b/>
          <w:color w:val="auto"/>
          <w:sz w:val="22"/>
          <w:szCs w:val="22"/>
          <w:highlight w:val="none"/>
        </w:rPr>
        <w:t>第一部分 合同书</w:t>
      </w:r>
    </w:p>
    <w:p w14:paraId="49C756C7">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4923795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6F0AB7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55B8195E">
      <w:pPr>
        <w:spacing w:line="360" w:lineRule="auto"/>
        <w:rPr>
          <w:rFonts w:hint="default" w:eastAsia="宋体"/>
          <w:color w:val="auto"/>
          <w:highlight w:val="none"/>
          <w:lang w:val="en-US" w:eastAsia="zh-CN"/>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0834465D">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根据《中华人民共和国民法典》、《中华人民共和国政府采购法》等相关法律法规之规定，按照平等、自愿、公平和诚实信用的原则，经</w:t>
      </w:r>
      <w:r>
        <w:rPr>
          <w:rFonts w:hint="eastAsia" w:asciiTheme="majorEastAsia" w:hAnsiTheme="majorEastAsia" w:eastAsiaTheme="majorEastAsia" w:cstheme="majorEastAsia"/>
          <w:color w:val="auto"/>
          <w:sz w:val="21"/>
          <w:szCs w:val="21"/>
          <w:highlight w:val="none"/>
          <w:u w:val="single"/>
        </w:rPr>
        <w:t xml:space="preserve">   （采购人名称）   </w:t>
      </w:r>
      <w:r>
        <w:rPr>
          <w:rFonts w:hint="eastAsia" w:asciiTheme="majorEastAsia" w:hAnsiTheme="majorEastAsia" w:eastAsiaTheme="majorEastAsia" w:cstheme="majorEastAsia"/>
          <w:color w:val="auto"/>
          <w:sz w:val="21"/>
          <w:szCs w:val="21"/>
          <w:highlight w:val="none"/>
          <w:lang w:val="zh-CN"/>
        </w:rPr>
        <w:t>(以下简称：甲方)和</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u w:val="single"/>
          <w:lang w:eastAsia="zh-CN"/>
        </w:rPr>
        <w:t>成交人</w:t>
      </w:r>
      <w:r>
        <w:rPr>
          <w:rFonts w:hint="eastAsia" w:asciiTheme="majorEastAsia" w:hAnsiTheme="majorEastAsia" w:eastAsiaTheme="majorEastAsia" w:cstheme="majorEastAsia"/>
          <w:color w:val="auto"/>
          <w:sz w:val="21"/>
          <w:szCs w:val="21"/>
          <w:highlight w:val="none"/>
          <w:u w:val="single"/>
        </w:rPr>
        <w:t xml:space="preserve">名称）   </w:t>
      </w:r>
      <w:r>
        <w:rPr>
          <w:rFonts w:hint="eastAsia" w:asciiTheme="majorEastAsia" w:hAnsiTheme="majorEastAsia" w:eastAsiaTheme="majorEastAsia" w:cstheme="majorEastAsia"/>
          <w:color w:val="auto"/>
          <w:sz w:val="21"/>
          <w:szCs w:val="21"/>
          <w:highlight w:val="none"/>
          <w:lang w:val="zh-CN"/>
        </w:rPr>
        <w:t>(以下简称：乙方)协商一致，约定以下合同</w:t>
      </w:r>
      <w:r>
        <w:rPr>
          <w:rFonts w:hint="eastAsia" w:asciiTheme="majorEastAsia" w:hAnsiTheme="majorEastAsia" w:eastAsiaTheme="majorEastAsia" w:cstheme="majorEastAsia"/>
          <w:color w:val="auto"/>
          <w:sz w:val="21"/>
          <w:szCs w:val="21"/>
          <w:highlight w:val="none"/>
        </w:rPr>
        <w:t>条款，以兹共同遵守、全面履行。</w:t>
      </w:r>
    </w:p>
    <w:p w14:paraId="1402A34C">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09" w:name="_Toc3029"/>
      <w:bookmarkStart w:id="210" w:name="_Toc24059"/>
      <w:bookmarkStart w:id="211" w:name="_Toc2232"/>
      <w:r>
        <w:rPr>
          <w:rFonts w:hint="eastAsia" w:asciiTheme="majorEastAsia" w:hAnsiTheme="majorEastAsia" w:eastAsiaTheme="majorEastAsia" w:cstheme="majorEastAsia"/>
          <w:b/>
          <w:color w:val="auto"/>
          <w:sz w:val="21"/>
          <w:szCs w:val="21"/>
          <w:highlight w:val="none"/>
        </w:rPr>
        <w:t>1.1 合同组成部分</w:t>
      </w:r>
      <w:bookmarkEnd w:id="209"/>
      <w:bookmarkEnd w:id="210"/>
      <w:bookmarkEnd w:id="211"/>
    </w:p>
    <w:p w14:paraId="4F07D71A">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24CE7EB">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1.1.1 本合同及其补充合同、变更协议；</w:t>
      </w:r>
    </w:p>
    <w:p w14:paraId="2F19CB54">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1.1.2 中标通知书；</w:t>
      </w:r>
    </w:p>
    <w:p w14:paraId="57C49CDA">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1.1.3 投标文件及“投标报价”（含澄清或者说明文件）；</w:t>
      </w:r>
    </w:p>
    <w:p w14:paraId="6A24B18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1.1.4 招标文件（含澄清或者修改文件）；</w:t>
      </w:r>
    </w:p>
    <w:p w14:paraId="502DE959">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1.1.5 其他相关采购文件。</w:t>
      </w:r>
    </w:p>
    <w:p w14:paraId="6B58E9AE">
      <w:pPr>
        <w:spacing w:line="360" w:lineRule="auto"/>
        <w:ind w:firstLine="422" w:firstLineChars="200"/>
        <w:rPr>
          <w:rFonts w:hint="default" w:asciiTheme="majorEastAsia" w:hAnsiTheme="majorEastAsia" w:eastAsiaTheme="majorEastAsia" w:cstheme="majorEastAsia"/>
          <w:b/>
          <w:color w:val="auto"/>
          <w:sz w:val="21"/>
          <w:szCs w:val="21"/>
          <w:highlight w:val="none"/>
          <w:lang w:val="en-US"/>
        </w:rPr>
      </w:pPr>
      <w:bookmarkStart w:id="212" w:name="_Toc27126"/>
      <w:bookmarkStart w:id="213" w:name="_Toc21295"/>
      <w:bookmarkStart w:id="214" w:name="_Toc24300"/>
      <w:r>
        <w:rPr>
          <w:rFonts w:hint="eastAsia" w:asciiTheme="majorEastAsia" w:hAnsiTheme="majorEastAsia" w:eastAsiaTheme="majorEastAsia" w:cstheme="majorEastAsia"/>
          <w:b/>
          <w:color w:val="auto"/>
          <w:sz w:val="21"/>
          <w:szCs w:val="21"/>
          <w:highlight w:val="none"/>
        </w:rPr>
        <w:t xml:space="preserve">1.2 </w:t>
      </w:r>
      <w:bookmarkEnd w:id="212"/>
      <w:bookmarkEnd w:id="213"/>
      <w:bookmarkEnd w:id="214"/>
      <w:r>
        <w:rPr>
          <w:rFonts w:hint="eastAsia" w:asciiTheme="majorEastAsia" w:hAnsiTheme="majorEastAsia" w:eastAsiaTheme="majorEastAsia" w:cstheme="majorEastAsia"/>
          <w:b/>
          <w:color w:val="auto"/>
          <w:sz w:val="21"/>
          <w:szCs w:val="21"/>
          <w:highlight w:val="none"/>
          <w:lang w:val="en-US" w:eastAsia="zh-CN"/>
        </w:rPr>
        <w:t>标的物和服务内容要求</w:t>
      </w:r>
    </w:p>
    <w:p w14:paraId="24C049E8">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1.2.1 标的物信息</w:t>
      </w:r>
    </w:p>
    <w:p w14:paraId="58B921EC">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1.2.1.1名称：</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w:t>
      </w:r>
    </w:p>
    <w:p w14:paraId="3F81E33C">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1.2.1.2数量：</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w:t>
      </w:r>
    </w:p>
    <w:p w14:paraId="15F3066D">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1.2.1.3</w:t>
      </w:r>
      <w:r>
        <w:rPr>
          <w:rFonts w:hint="eastAsia" w:asciiTheme="majorEastAsia" w:hAnsiTheme="majorEastAsia" w:eastAsiaTheme="majorEastAsia" w:cstheme="majorEastAsia"/>
          <w:color w:val="auto"/>
          <w:sz w:val="21"/>
          <w:szCs w:val="21"/>
          <w:highlight w:val="none"/>
          <w:lang w:val="en-US" w:eastAsia="zh-CN"/>
        </w:rPr>
        <w:t>内容</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w:t>
      </w:r>
    </w:p>
    <w:p w14:paraId="3C76ED0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p w14:paraId="18615B02">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15" w:name="_Toc21551"/>
      <w:bookmarkStart w:id="216" w:name="_Toc23292"/>
      <w:bookmarkStart w:id="217" w:name="_Toc21631"/>
      <w:r>
        <w:rPr>
          <w:rFonts w:hint="eastAsia" w:asciiTheme="majorEastAsia" w:hAnsiTheme="majorEastAsia" w:eastAsiaTheme="majorEastAsia" w:cstheme="majorEastAsia"/>
          <w:b/>
          <w:color w:val="auto"/>
          <w:sz w:val="21"/>
          <w:szCs w:val="21"/>
          <w:highlight w:val="none"/>
        </w:rPr>
        <w:t>1.3 价款</w:t>
      </w:r>
      <w:bookmarkEnd w:id="215"/>
      <w:bookmarkEnd w:id="216"/>
      <w:bookmarkEnd w:id="217"/>
    </w:p>
    <w:p w14:paraId="14D21DFE">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本合同总价为：人民币</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元（大写：</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元人民币，含税）。</w:t>
      </w:r>
    </w:p>
    <w:p w14:paraId="7F3A7F6A">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分项价格</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如有）</w:t>
      </w:r>
      <w:r>
        <w:rPr>
          <w:rFonts w:hint="eastAsia" w:asciiTheme="majorEastAsia" w:hAnsiTheme="majorEastAsia" w:eastAsiaTheme="majorEastAsia" w:cstheme="majorEastAsia"/>
          <w:color w:val="auto"/>
          <w:sz w:val="21"/>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9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2BE087E">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序号</w:t>
            </w:r>
          </w:p>
        </w:tc>
        <w:tc>
          <w:tcPr>
            <w:tcW w:w="3402" w:type="dxa"/>
            <w:noWrap w:val="0"/>
            <w:vAlign w:val="center"/>
          </w:tcPr>
          <w:p w14:paraId="11CFAD09">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分项名称</w:t>
            </w:r>
          </w:p>
        </w:tc>
        <w:tc>
          <w:tcPr>
            <w:tcW w:w="2552" w:type="dxa"/>
            <w:noWrap w:val="0"/>
            <w:vAlign w:val="center"/>
          </w:tcPr>
          <w:p w14:paraId="02D4694E">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分项价格</w:t>
            </w:r>
          </w:p>
        </w:tc>
      </w:tr>
      <w:tr w14:paraId="05B4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80C48A3">
            <w:pPr>
              <w:spacing w:line="360" w:lineRule="auto"/>
              <w:ind w:firstLine="420" w:firstLineChars="200"/>
              <w:rPr>
                <w:rFonts w:hint="eastAsia" w:asciiTheme="majorEastAsia" w:hAnsiTheme="majorEastAsia" w:eastAsiaTheme="majorEastAsia" w:cstheme="majorEastAsia"/>
                <w:color w:val="auto"/>
                <w:sz w:val="21"/>
                <w:szCs w:val="21"/>
                <w:highlight w:val="none"/>
              </w:rPr>
            </w:pPr>
          </w:p>
        </w:tc>
        <w:tc>
          <w:tcPr>
            <w:tcW w:w="3402" w:type="dxa"/>
            <w:noWrap w:val="0"/>
            <w:vAlign w:val="center"/>
          </w:tcPr>
          <w:p w14:paraId="7392B2BA">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552" w:type="dxa"/>
            <w:noWrap w:val="0"/>
            <w:vAlign w:val="center"/>
          </w:tcPr>
          <w:p w14:paraId="5EA618A9">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14:paraId="574B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4E80AD">
            <w:pPr>
              <w:spacing w:line="360" w:lineRule="auto"/>
              <w:ind w:firstLine="420" w:firstLineChars="200"/>
              <w:rPr>
                <w:rFonts w:hint="eastAsia" w:asciiTheme="majorEastAsia" w:hAnsiTheme="majorEastAsia" w:eastAsiaTheme="majorEastAsia" w:cstheme="majorEastAsia"/>
                <w:color w:val="auto"/>
                <w:sz w:val="21"/>
                <w:szCs w:val="21"/>
                <w:highlight w:val="none"/>
              </w:rPr>
            </w:pPr>
          </w:p>
        </w:tc>
        <w:tc>
          <w:tcPr>
            <w:tcW w:w="3402" w:type="dxa"/>
            <w:noWrap w:val="0"/>
            <w:vAlign w:val="center"/>
          </w:tcPr>
          <w:p w14:paraId="6A9F1C2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552" w:type="dxa"/>
            <w:noWrap w:val="0"/>
            <w:vAlign w:val="center"/>
          </w:tcPr>
          <w:p w14:paraId="1B7F82EB">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14:paraId="724B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966A26">
            <w:pPr>
              <w:spacing w:line="360" w:lineRule="auto"/>
              <w:ind w:firstLine="420" w:firstLineChars="200"/>
              <w:rPr>
                <w:rFonts w:hint="eastAsia" w:asciiTheme="majorEastAsia" w:hAnsiTheme="majorEastAsia" w:eastAsiaTheme="majorEastAsia" w:cstheme="majorEastAsia"/>
                <w:color w:val="auto"/>
                <w:sz w:val="21"/>
                <w:szCs w:val="21"/>
                <w:highlight w:val="none"/>
              </w:rPr>
            </w:pPr>
          </w:p>
        </w:tc>
        <w:tc>
          <w:tcPr>
            <w:tcW w:w="3402" w:type="dxa"/>
            <w:noWrap w:val="0"/>
            <w:vAlign w:val="center"/>
          </w:tcPr>
          <w:p w14:paraId="1E6E40ED">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552" w:type="dxa"/>
            <w:noWrap w:val="0"/>
            <w:vAlign w:val="center"/>
          </w:tcPr>
          <w:p w14:paraId="71037E1E">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14:paraId="2CB0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2B8ED8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总价</w:t>
            </w:r>
          </w:p>
        </w:tc>
        <w:tc>
          <w:tcPr>
            <w:tcW w:w="2552" w:type="dxa"/>
            <w:noWrap w:val="0"/>
            <w:vAlign w:val="center"/>
          </w:tcPr>
          <w:p w14:paraId="7FFB9E4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bl>
    <w:p w14:paraId="6D8A4AD3">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18" w:name="_Toc22618"/>
      <w:bookmarkStart w:id="219" w:name="_Toc10340"/>
      <w:bookmarkStart w:id="220" w:name="_Toc1814"/>
      <w:r>
        <w:rPr>
          <w:rFonts w:hint="eastAsia" w:asciiTheme="majorEastAsia" w:hAnsiTheme="majorEastAsia" w:eastAsiaTheme="majorEastAsia" w:cstheme="majorEastAsia"/>
          <w:b/>
          <w:color w:val="auto"/>
          <w:sz w:val="21"/>
          <w:szCs w:val="21"/>
          <w:highlight w:val="none"/>
        </w:rPr>
        <w:t>1.4 付款方式和发票开具方式</w:t>
      </w:r>
      <w:bookmarkEnd w:id="218"/>
      <w:bookmarkEnd w:id="219"/>
      <w:bookmarkEnd w:id="220"/>
    </w:p>
    <w:p w14:paraId="33FCEC79">
      <w:pPr>
        <w:pStyle w:val="27"/>
        <w:adjustRightInd w:val="0"/>
        <w:snapToGrid w:val="0"/>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1.4.1 付款方式：</w:t>
      </w:r>
    </w:p>
    <w:p w14:paraId="4FC94E94">
      <w:pPr>
        <w:pStyle w:val="27"/>
        <w:adjustRightInd w:val="0"/>
        <w:snapToGrid w:val="0"/>
        <w:spacing w:line="360" w:lineRule="auto"/>
        <w:ind w:firstLine="420" w:firstLineChars="200"/>
        <w:rPr>
          <w:rFonts w:hint="eastAsia" w:ascii="宋体" w:hAnsi="宋体" w:eastAsia="宋体" w:cs="宋体"/>
          <w:color w:val="auto"/>
          <w:sz w:val="21"/>
          <w:highlight w:val="none"/>
        </w:rPr>
      </w:pPr>
      <w:r>
        <w:rPr>
          <w:rFonts w:hint="eastAsia" w:hAnsi="宋体" w:cs="宋体"/>
          <w:color w:val="auto"/>
          <w:sz w:val="21"/>
          <w:highlight w:val="none"/>
        </w:rPr>
        <w:t>（1）签订合同后，供应商安排技术人员到位，</w:t>
      </w:r>
      <w:r>
        <w:rPr>
          <w:rFonts w:hint="eastAsia" w:hAnsi="宋体" w:cs="宋体"/>
          <w:color w:val="auto"/>
          <w:sz w:val="21"/>
          <w:highlight w:val="none"/>
          <w:lang w:val="en-US" w:eastAsia="zh-CN"/>
        </w:rPr>
        <w:t>具备可实施条件</w:t>
      </w:r>
      <w:r>
        <w:rPr>
          <w:rFonts w:hint="eastAsia" w:hAnsi="宋体" w:cs="宋体"/>
          <w:color w:val="auto"/>
          <w:sz w:val="21"/>
          <w:highlight w:val="none"/>
        </w:rPr>
        <w:t>后，采购人在成交供应商开具等额发票后向乙方支</w:t>
      </w:r>
      <w:r>
        <w:rPr>
          <w:rFonts w:hint="eastAsia" w:ascii="宋体" w:hAnsi="宋体" w:eastAsia="宋体" w:cs="宋体"/>
          <w:color w:val="auto"/>
          <w:sz w:val="21"/>
          <w:highlight w:val="none"/>
        </w:rPr>
        <w:t>付合同价款的30%。</w:t>
      </w:r>
    </w:p>
    <w:p w14:paraId="7F53D8F2">
      <w:pPr>
        <w:pStyle w:val="27"/>
        <w:adjustRightInd w:val="0"/>
        <w:snapToGrid w:val="0"/>
        <w:spacing w:line="360" w:lineRule="auto"/>
        <w:ind w:firstLine="420" w:firstLineChars="200"/>
        <w:rPr>
          <w:rFonts w:hAnsi="宋体" w:cs="宋体"/>
          <w:color w:val="auto"/>
          <w:sz w:val="21"/>
          <w:highlight w:val="none"/>
        </w:rPr>
      </w:pPr>
      <w:r>
        <w:rPr>
          <w:rFonts w:hint="eastAsia" w:ascii="宋体" w:hAnsi="宋体" w:eastAsia="宋体" w:cs="宋体"/>
          <w:color w:val="auto"/>
          <w:sz w:val="21"/>
          <w:highlight w:val="none"/>
        </w:rPr>
        <w:t>（2）供应商</w:t>
      </w:r>
      <w:r>
        <w:rPr>
          <w:rFonts w:hint="eastAsia" w:ascii="宋体" w:hAnsi="宋体" w:eastAsia="宋体" w:cs="宋体"/>
          <w:color w:val="auto"/>
          <w:sz w:val="21"/>
          <w:highlight w:val="none"/>
          <w:lang w:val="en-US" w:eastAsia="zh-CN"/>
        </w:rPr>
        <w:t>向采购人</w:t>
      </w:r>
      <w:r>
        <w:rPr>
          <w:rFonts w:hint="eastAsia" w:ascii="宋体" w:hAnsi="宋体" w:eastAsia="宋体" w:cs="宋体"/>
          <w:color w:val="auto"/>
          <w:sz w:val="21"/>
          <w:highlight w:val="none"/>
        </w:rPr>
        <w:t>提交规划成果送审稿后，采</w:t>
      </w:r>
      <w:r>
        <w:rPr>
          <w:rFonts w:hint="eastAsia" w:hAnsi="宋体" w:cs="宋体"/>
          <w:color w:val="auto"/>
          <w:sz w:val="21"/>
          <w:highlight w:val="none"/>
        </w:rPr>
        <w:t>购人在成交供应商开具等额发票后向成交供应商支付合同总价的30%；</w:t>
      </w:r>
    </w:p>
    <w:p w14:paraId="530D73E3">
      <w:pPr>
        <w:spacing w:line="360" w:lineRule="auto"/>
        <w:ind w:firstLine="420" w:firstLineChars="200"/>
        <w:jc w:val="left"/>
        <w:rPr>
          <w:rFonts w:hint="eastAsia" w:asciiTheme="majorEastAsia" w:hAnsiTheme="majorEastAsia" w:eastAsiaTheme="majorEastAsia" w:cstheme="majorEastAsia"/>
          <w:color w:val="auto"/>
          <w:sz w:val="21"/>
          <w:szCs w:val="21"/>
          <w:highlight w:val="none"/>
        </w:rPr>
      </w:pPr>
      <w:r>
        <w:rPr>
          <w:rFonts w:hint="eastAsia" w:hAnsi="宋体" w:cs="宋体"/>
          <w:color w:val="auto"/>
          <w:sz w:val="21"/>
          <w:highlight w:val="none"/>
        </w:rPr>
        <w:t>（3）供应商完成项目全部工作并上交成果且经通过</w:t>
      </w:r>
      <w:r>
        <w:rPr>
          <w:rFonts w:hint="eastAsia" w:hAnsi="宋体" w:cs="宋体"/>
          <w:color w:val="auto"/>
          <w:sz w:val="21"/>
          <w:highlight w:val="none"/>
          <w:lang w:val="en-US" w:eastAsia="zh-CN"/>
        </w:rPr>
        <w:t>专家评审</w:t>
      </w:r>
      <w:r>
        <w:rPr>
          <w:rFonts w:hint="eastAsia" w:hAnsi="宋体" w:cs="宋体"/>
          <w:color w:val="auto"/>
          <w:sz w:val="21"/>
          <w:highlight w:val="none"/>
        </w:rPr>
        <w:t>后，采购人在成交供应商开具等额发票后向成交供应商支付合同总价的40%。</w:t>
      </w:r>
    </w:p>
    <w:p w14:paraId="167F6DD6">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21" w:name="_Toc2846"/>
      <w:bookmarkStart w:id="222" w:name="_Toc32071"/>
      <w:bookmarkStart w:id="223" w:name="_Toc19304"/>
      <w:r>
        <w:rPr>
          <w:rFonts w:hint="eastAsia" w:asciiTheme="majorEastAsia" w:hAnsiTheme="majorEastAsia" w:eastAsiaTheme="majorEastAsia" w:cstheme="majorEastAsia"/>
          <w:b/>
          <w:color w:val="auto"/>
          <w:sz w:val="21"/>
          <w:szCs w:val="21"/>
          <w:highlight w:val="none"/>
        </w:rPr>
        <w:t>1.5 交付期限、地点、方式</w:t>
      </w:r>
      <w:bookmarkEnd w:id="221"/>
      <w:bookmarkEnd w:id="222"/>
      <w:bookmarkEnd w:id="223"/>
      <w:r>
        <w:rPr>
          <w:rFonts w:hint="eastAsia" w:asciiTheme="majorEastAsia" w:hAnsiTheme="majorEastAsia" w:eastAsiaTheme="majorEastAsia" w:cstheme="majorEastAsia"/>
          <w:b/>
          <w:color w:val="auto"/>
          <w:sz w:val="21"/>
          <w:szCs w:val="21"/>
          <w:highlight w:val="none"/>
        </w:rPr>
        <w:t>和服务期限</w:t>
      </w:r>
    </w:p>
    <w:p w14:paraId="3C1D20BA">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1.5.1 交付期限：</w:t>
      </w:r>
      <w:r>
        <w:rPr>
          <w:rFonts w:hint="eastAsia" w:asciiTheme="majorEastAsia" w:hAnsiTheme="majorEastAsia" w:eastAsiaTheme="majorEastAsia" w:cstheme="majorEastAsia"/>
          <w:color w:val="auto"/>
          <w:sz w:val="21"/>
          <w:szCs w:val="21"/>
          <w:highlight w:val="none"/>
          <w:u w:val="single"/>
        </w:rPr>
        <w:t xml:space="preserve">                                                 ；</w:t>
      </w:r>
    </w:p>
    <w:p w14:paraId="2DB1FD9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1.5.2 交付地点：</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w:t>
      </w:r>
    </w:p>
    <w:p w14:paraId="48B6D846">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1.5.3 交付方式：</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w:t>
      </w:r>
    </w:p>
    <w:p w14:paraId="15761EEC">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1.5.4 服务及质保期限：</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w:t>
      </w:r>
    </w:p>
    <w:p w14:paraId="1C20A491">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24" w:name="_Toc19554"/>
      <w:bookmarkStart w:id="225" w:name="_Toc21423"/>
      <w:bookmarkStart w:id="226" w:name="_Toc27250"/>
      <w:r>
        <w:rPr>
          <w:rFonts w:hint="eastAsia" w:asciiTheme="majorEastAsia" w:hAnsiTheme="majorEastAsia" w:eastAsiaTheme="majorEastAsia" w:cstheme="majorEastAsia"/>
          <w:b/>
          <w:color w:val="auto"/>
          <w:sz w:val="21"/>
          <w:szCs w:val="21"/>
          <w:highlight w:val="none"/>
        </w:rPr>
        <w:t>1.6 违约责任</w:t>
      </w:r>
      <w:bookmarkEnd w:id="224"/>
      <w:bookmarkEnd w:id="225"/>
      <w:bookmarkEnd w:id="226"/>
    </w:p>
    <w:p w14:paraId="1DCCF31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Theme="majorEastAsia" w:hAnsiTheme="majorEastAsia" w:eastAsiaTheme="majorEastAsia" w:cstheme="majorEastAsia"/>
          <w:color w:val="auto"/>
          <w:sz w:val="21"/>
          <w:szCs w:val="21"/>
          <w:highlight w:val="none"/>
          <w:u w:val="single"/>
        </w:rPr>
        <w:t xml:space="preserve">   万分之一    </w:t>
      </w:r>
      <w:r>
        <w:rPr>
          <w:rFonts w:hint="eastAsia" w:asciiTheme="majorEastAsia" w:hAnsiTheme="majorEastAsia" w:eastAsiaTheme="majorEastAsia" w:cstheme="majorEastAsia"/>
          <w:color w:val="auto"/>
          <w:sz w:val="21"/>
          <w:szCs w:val="21"/>
          <w:highlight w:val="none"/>
        </w:rPr>
        <w:t>（根据项目实际填写，一般为万分之五）计算，最高限额为本合同总价的</w:t>
      </w:r>
      <w:r>
        <w:rPr>
          <w:rFonts w:hint="eastAsia" w:asciiTheme="majorEastAsia" w:hAnsiTheme="majorEastAsia" w:eastAsiaTheme="majorEastAsia" w:cstheme="majorEastAsia"/>
          <w:color w:val="auto"/>
          <w:sz w:val="21"/>
          <w:szCs w:val="21"/>
          <w:highlight w:val="none"/>
          <w:u w:val="single"/>
        </w:rPr>
        <w:t xml:space="preserve">  10   </w:t>
      </w:r>
      <w:r>
        <w:rPr>
          <w:rFonts w:hint="eastAsia" w:asciiTheme="majorEastAsia" w:hAnsiTheme="majorEastAsia" w:eastAsiaTheme="majorEastAsia" w:cstheme="majorEastAsia"/>
          <w:color w:val="auto"/>
          <w:sz w:val="21"/>
          <w:szCs w:val="21"/>
          <w:highlight w:val="none"/>
        </w:rPr>
        <w:t>%（根据项目实际填写，一般为20%）；迟延超过【 30 】（根据项目实际填写）日的，甲方有权在要求乙方支付违约金的同时，书面通知乙方解除本合同，乙方应退回全部已收取的合同价款并按合同总金额的5%</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（根据项目实际填写，一般为20%）向甲方支付违约金；</w:t>
      </w:r>
    </w:p>
    <w:p w14:paraId="2F51B560">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1.6.2 除不可抗力外，如果甲方没有按照本合同约定的付款方式付款，乙方可要求甲方支付违约金，违约金按每迟延付款一日的应付而未付款的</w:t>
      </w:r>
      <w:r>
        <w:rPr>
          <w:rFonts w:hint="eastAsia" w:asciiTheme="majorEastAsia" w:hAnsiTheme="majorEastAsia" w:eastAsiaTheme="majorEastAsia" w:cstheme="majorEastAsia"/>
          <w:color w:val="auto"/>
          <w:sz w:val="21"/>
          <w:szCs w:val="21"/>
          <w:highlight w:val="none"/>
          <w:u w:val="single"/>
        </w:rPr>
        <w:t xml:space="preserve">   万分之一    </w:t>
      </w:r>
      <w:r>
        <w:rPr>
          <w:rFonts w:hint="eastAsia" w:asciiTheme="majorEastAsia" w:hAnsiTheme="majorEastAsia" w:eastAsiaTheme="majorEastAsia" w:cstheme="majorEastAsia"/>
          <w:color w:val="auto"/>
          <w:sz w:val="21"/>
          <w:szCs w:val="21"/>
          <w:highlight w:val="none"/>
        </w:rPr>
        <w:t>（根据项目实际填写，一般为万分之五）计算，最高限额为欠付金额的</w:t>
      </w:r>
      <w:r>
        <w:rPr>
          <w:rFonts w:hint="eastAsia" w:asciiTheme="majorEastAsia" w:hAnsiTheme="majorEastAsia" w:eastAsiaTheme="majorEastAsia" w:cstheme="majorEastAsia"/>
          <w:color w:val="auto"/>
          <w:sz w:val="21"/>
          <w:szCs w:val="21"/>
          <w:highlight w:val="none"/>
          <w:u w:val="single"/>
        </w:rPr>
        <w:t xml:space="preserve"> 10    </w:t>
      </w:r>
      <w:r>
        <w:rPr>
          <w:rFonts w:hint="eastAsia" w:asciiTheme="majorEastAsia" w:hAnsiTheme="majorEastAsia" w:eastAsiaTheme="majorEastAsia" w:cstheme="majorEastAsia"/>
          <w:color w:val="auto"/>
          <w:sz w:val="21"/>
          <w:szCs w:val="21"/>
          <w:highlight w:val="none"/>
        </w:rPr>
        <w:t>%（根据项目实际填写，一般为20%）；迟延付款的违约金计算数额达到前述最高限额之日起，乙方有权在要求甲方支付违约金的同时，书面通知甲方解除本合同；</w:t>
      </w:r>
    </w:p>
    <w:p w14:paraId="3EC0206B">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F24D14">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1.6.4乙方在质保期内未按承诺提供售后等服务的，每发生一次向甲方支付违约金额</w:t>
      </w:r>
      <w:r>
        <w:rPr>
          <w:rFonts w:hint="eastAsia" w:asciiTheme="majorEastAsia" w:hAnsiTheme="majorEastAsia" w:eastAsiaTheme="majorEastAsia" w:cstheme="majorEastAsia"/>
          <w:color w:val="auto"/>
          <w:sz w:val="21"/>
          <w:szCs w:val="21"/>
          <w:highlight w:val="none"/>
          <w:u w:val="single"/>
        </w:rPr>
        <w:t xml:space="preserve">  10000      </w:t>
      </w:r>
      <w:r>
        <w:rPr>
          <w:rFonts w:hint="eastAsia" w:asciiTheme="majorEastAsia" w:hAnsiTheme="majorEastAsia" w:eastAsiaTheme="majorEastAsia" w:cstheme="majorEastAsia"/>
          <w:color w:val="auto"/>
          <w:sz w:val="21"/>
          <w:szCs w:val="21"/>
          <w:highlight w:val="none"/>
        </w:rPr>
        <w:t>元。（根据项目实际填写）</w:t>
      </w:r>
    </w:p>
    <w:p w14:paraId="3A8FA9C2">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5D4826">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EF16740">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75B5FBE5">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27" w:name="_Toc15583"/>
      <w:bookmarkStart w:id="228" w:name="_Toc28375"/>
      <w:bookmarkStart w:id="229" w:name="_Toc16021"/>
      <w:r>
        <w:rPr>
          <w:rFonts w:hint="eastAsia" w:asciiTheme="majorEastAsia" w:hAnsiTheme="majorEastAsia" w:eastAsiaTheme="majorEastAsia" w:cstheme="majorEastAsia"/>
          <w:b/>
          <w:color w:val="auto"/>
          <w:sz w:val="21"/>
          <w:szCs w:val="21"/>
          <w:highlight w:val="none"/>
        </w:rPr>
        <w:t>1.7 合同争议的解决</w:t>
      </w:r>
      <w:bookmarkEnd w:id="227"/>
      <w:bookmarkEnd w:id="228"/>
      <w:bookmarkEnd w:id="229"/>
    </w:p>
    <w:p w14:paraId="7A60DE81">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本合同履行过程中发生的任何争议，双方当事人均应通过友好协商的方式和解或者调解解决；不愿和解、调解或者和解、调解不成的，可以选择下列第</w:t>
      </w:r>
      <w:r>
        <w:rPr>
          <w:rFonts w:hint="eastAsia" w:asciiTheme="majorEastAsia" w:hAnsiTheme="majorEastAsia" w:eastAsiaTheme="majorEastAsia" w:cstheme="majorEastAsia"/>
          <w:color w:val="auto"/>
          <w:sz w:val="21"/>
          <w:szCs w:val="21"/>
          <w:highlight w:val="none"/>
          <w:u w:val="single"/>
        </w:rPr>
        <w:t xml:space="preserve">  1.7.1   </w:t>
      </w:r>
      <w:r>
        <w:rPr>
          <w:rFonts w:hint="eastAsia" w:asciiTheme="majorEastAsia" w:hAnsiTheme="majorEastAsia" w:eastAsiaTheme="majorEastAsia" w:cstheme="majorEastAsia"/>
          <w:color w:val="auto"/>
          <w:sz w:val="21"/>
          <w:szCs w:val="21"/>
          <w:highlight w:val="none"/>
        </w:rPr>
        <w:t>种方式解决：</w:t>
      </w:r>
    </w:p>
    <w:p w14:paraId="49A56819">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1.7.1 将争议提交</w:t>
      </w:r>
      <w:r>
        <w:rPr>
          <w:rFonts w:hint="eastAsia" w:asciiTheme="majorEastAsia" w:hAnsiTheme="majorEastAsia" w:eastAsiaTheme="majorEastAsia" w:cstheme="majorEastAsia"/>
          <w:color w:val="auto"/>
          <w:sz w:val="21"/>
          <w:szCs w:val="21"/>
          <w:highlight w:val="none"/>
          <w:u w:val="single"/>
          <w:lang w:val="en-US" w:eastAsia="zh-CN"/>
        </w:rPr>
        <w:t>崇左</w:t>
      </w:r>
      <w:r>
        <w:rPr>
          <w:rFonts w:hint="eastAsia" w:asciiTheme="majorEastAsia" w:hAnsiTheme="majorEastAsia" w:eastAsiaTheme="majorEastAsia" w:cstheme="majorEastAsia"/>
          <w:color w:val="auto"/>
          <w:sz w:val="21"/>
          <w:szCs w:val="21"/>
          <w:highlight w:val="none"/>
          <w:u w:val="single"/>
        </w:rPr>
        <w:t>市</w:t>
      </w:r>
      <w:r>
        <w:rPr>
          <w:rFonts w:hint="eastAsia" w:asciiTheme="majorEastAsia" w:hAnsiTheme="majorEastAsia" w:eastAsiaTheme="majorEastAsia" w:cstheme="majorEastAsia"/>
          <w:color w:val="auto"/>
          <w:sz w:val="21"/>
          <w:szCs w:val="21"/>
          <w:highlight w:val="none"/>
        </w:rPr>
        <w:t>仲裁委员会依申请仲裁时其现行有效的仲裁规则裁决；</w:t>
      </w:r>
    </w:p>
    <w:p w14:paraId="3FC9C932">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1.7.2 向</w:t>
      </w:r>
      <w:r>
        <w:rPr>
          <w:rFonts w:hint="eastAsia" w:asciiTheme="majorEastAsia" w:hAnsiTheme="majorEastAsia" w:eastAsiaTheme="majorEastAsia" w:cstheme="majorEastAsia"/>
          <w:color w:val="auto"/>
          <w:sz w:val="21"/>
          <w:szCs w:val="21"/>
          <w:highlight w:val="none"/>
          <w:u w:val="single"/>
        </w:rPr>
        <w:t xml:space="preserve">   甲方所在地    有管辖权的</w:t>
      </w:r>
      <w:r>
        <w:rPr>
          <w:rFonts w:hint="eastAsia" w:asciiTheme="majorEastAsia" w:hAnsiTheme="majorEastAsia" w:eastAsiaTheme="majorEastAsia" w:cstheme="majorEastAsia"/>
          <w:color w:val="auto"/>
          <w:sz w:val="21"/>
          <w:szCs w:val="21"/>
          <w:highlight w:val="none"/>
        </w:rPr>
        <w:t>人民法院起诉。</w:t>
      </w:r>
    </w:p>
    <w:p w14:paraId="1F3B36AE">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30" w:name="_Toc7245"/>
      <w:bookmarkStart w:id="231" w:name="_Toc15322"/>
      <w:bookmarkStart w:id="232" w:name="_Toc11173"/>
      <w:r>
        <w:rPr>
          <w:rFonts w:hint="eastAsia" w:asciiTheme="majorEastAsia" w:hAnsiTheme="majorEastAsia" w:eastAsiaTheme="majorEastAsia" w:cstheme="majorEastAsia"/>
          <w:b/>
          <w:color w:val="auto"/>
          <w:sz w:val="21"/>
          <w:szCs w:val="21"/>
          <w:highlight w:val="none"/>
        </w:rPr>
        <w:t>1.8 合同生效</w:t>
      </w:r>
      <w:bookmarkEnd w:id="230"/>
      <w:bookmarkEnd w:id="231"/>
      <w:bookmarkEnd w:id="232"/>
    </w:p>
    <w:p w14:paraId="3A1476C2">
      <w:pPr>
        <w:spacing w:line="360" w:lineRule="auto"/>
        <w:ind w:firstLine="420"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color w:val="auto"/>
          <w:sz w:val="21"/>
          <w:szCs w:val="21"/>
          <w:highlight w:val="none"/>
        </w:rPr>
        <w:t>本合同自双方当事人加盖有效电子公章时生效。</w:t>
      </w:r>
    </w:p>
    <w:p w14:paraId="4926E3C7">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甲方：                                  乙方：</w:t>
      </w:r>
    </w:p>
    <w:p w14:paraId="537DCE63">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统一社会信用代码：                      统一社会信用代码或身份证号码：</w:t>
      </w:r>
    </w:p>
    <w:p w14:paraId="5BE0CA22">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住所：                                   住所：</w:t>
      </w:r>
    </w:p>
    <w:p w14:paraId="4CD70B4D">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法定代表人或                             法定代表人</w:t>
      </w:r>
    </w:p>
    <w:p w14:paraId="7DB61D4E">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授权代表（签字）：                       或授权代表（签字）: </w:t>
      </w:r>
    </w:p>
    <w:p w14:paraId="324B8379">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联系人：                                 联系人：</w:t>
      </w:r>
    </w:p>
    <w:p w14:paraId="05005CFD">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约定送达地址：                           约定送达地址：</w:t>
      </w:r>
    </w:p>
    <w:p w14:paraId="0A781C5C">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邮政编码：                               邮政编码：</w:t>
      </w:r>
    </w:p>
    <w:p w14:paraId="78544161">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 xml:space="preserve">电话:                                    电话: </w:t>
      </w:r>
    </w:p>
    <w:p w14:paraId="67520CAB">
      <w:pPr>
        <w:spacing w:line="360" w:lineRule="auto"/>
        <w:ind w:firstLine="200"/>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传真:                                    传真:</w:t>
      </w:r>
    </w:p>
    <w:p w14:paraId="21B805C6">
      <w:pPr>
        <w:spacing w:line="360" w:lineRule="auto"/>
        <w:ind w:firstLine="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电子邮箱：                               电子邮箱：</w:t>
      </w:r>
    </w:p>
    <w:p w14:paraId="74434F89">
      <w:pPr>
        <w:spacing w:line="360" w:lineRule="auto"/>
        <w:ind w:firstLine="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开户银行：                               开户银行： </w:t>
      </w:r>
    </w:p>
    <w:p w14:paraId="138E2C78">
      <w:pPr>
        <w:spacing w:line="360" w:lineRule="auto"/>
        <w:ind w:firstLine="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开户名称：                               开户名称： </w:t>
      </w:r>
    </w:p>
    <w:p w14:paraId="240D50EE">
      <w:pPr>
        <w:spacing w:line="360" w:lineRule="auto"/>
        <w:ind w:firstLine="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开户账号：</w:t>
      </w:r>
      <w:r>
        <w:rPr>
          <w:rFonts w:hint="eastAsia" w:asciiTheme="majorEastAsia" w:hAnsiTheme="majorEastAsia" w:eastAsiaTheme="majorEastAsia" w:cstheme="majorEastAsia"/>
          <w:color w:val="auto"/>
          <w:sz w:val="21"/>
          <w:szCs w:val="21"/>
          <w:highlight w:val="none"/>
          <w:lang w:val="zh-CN"/>
        </w:rPr>
        <w:t xml:space="preserve">                               </w:t>
      </w:r>
      <w:r>
        <w:rPr>
          <w:rFonts w:hint="eastAsia" w:asciiTheme="majorEastAsia" w:hAnsiTheme="majorEastAsia" w:eastAsiaTheme="majorEastAsia" w:cstheme="majorEastAsia"/>
          <w:color w:val="auto"/>
          <w:sz w:val="21"/>
          <w:szCs w:val="21"/>
          <w:highlight w:val="none"/>
        </w:rPr>
        <w:t>开户账号：</w:t>
      </w:r>
    </w:p>
    <w:p w14:paraId="7CD558D2">
      <w:pPr>
        <w:spacing w:line="360" w:lineRule="auto"/>
        <w:ind w:firstLine="200"/>
        <w:jc w:val="center"/>
        <w:rPr>
          <w:rFonts w:hint="eastAsia" w:asciiTheme="majorEastAsia" w:hAnsiTheme="majorEastAsia" w:eastAsiaTheme="majorEastAsia" w:cstheme="majorEastAsia"/>
          <w:b/>
          <w:color w:val="auto"/>
          <w:sz w:val="22"/>
          <w:szCs w:val="22"/>
          <w:highlight w:val="none"/>
        </w:rPr>
      </w:pPr>
      <w:bookmarkStart w:id="233" w:name="_Toc331685783"/>
      <w:r>
        <w:rPr>
          <w:rFonts w:hint="eastAsia" w:asciiTheme="majorEastAsia" w:hAnsiTheme="majorEastAsia" w:eastAsiaTheme="majorEastAsia" w:cstheme="majorEastAsia"/>
          <w:b/>
          <w:color w:val="auto"/>
          <w:sz w:val="18"/>
          <w:szCs w:val="21"/>
          <w:highlight w:val="none"/>
        </w:rPr>
        <w:br w:type="page"/>
      </w:r>
      <w:r>
        <w:rPr>
          <w:rFonts w:hint="eastAsia" w:asciiTheme="majorEastAsia" w:hAnsiTheme="majorEastAsia" w:eastAsiaTheme="majorEastAsia" w:cstheme="majorEastAsia"/>
          <w:b/>
          <w:color w:val="auto"/>
          <w:sz w:val="22"/>
          <w:szCs w:val="22"/>
          <w:highlight w:val="none"/>
        </w:rPr>
        <w:t>第二部分 合同一般条款</w:t>
      </w:r>
      <w:bookmarkEnd w:id="233"/>
    </w:p>
    <w:p w14:paraId="4BBA641C">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34" w:name="_Toc16917"/>
      <w:bookmarkStart w:id="235" w:name="_Ref467379205"/>
      <w:bookmarkStart w:id="236" w:name="_Toc487900349"/>
      <w:bookmarkStart w:id="237" w:name="_Ref467379195"/>
      <w:bookmarkStart w:id="238" w:name="_Ref467378499"/>
      <w:bookmarkStart w:id="239" w:name="_Ref467379094"/>
      <w:bookmarkStart w:id="240" w:name="_Ref467378463"/>
      <w:bookmarkStart w:id="241" w:name="_Ref467378404"/>
      <w:bookmarkStart w:id="242" w:name="_Toc19614"/>
      <w:bookmarkStart w:id="243" w:name="_Toc28763"/>
      <w:bookmarkStart w:id="244" w:name="_Ref467379214"/>
      <w:bookmarkStart w:id="245" w:name="_Ref467379101"/>
      <w:bookmarkStart w:id="246" w:name="_Ref467379225"/>
      <w:bookmarkStart w:id="247" w:name="_Ref467379109"/>
      <w:bookmarkStart w:id="248" w:name="_Toc259093669"/>
      <w:bookmarkStart w:id="249" w:name="_Toc279701240"/>
      <w:r>
        <w:rPr>
          <w:rFonts w:hint="eastAsia" w:asciiTheme="majorEastAsia" w:hAnsiTheme="majorEastAsia" w:eastAsiaTheme="majorEastAsia" w:cstheme="majorEastAsia"/>
          <w:b/>
          <w:color w:val="auto"/>
          <w:sz w:val="21"/>
          <w:szCs w:val="21"/>
          <w:highlight w:val="none"/>
        </w:rPr>
        <w:t>2.1 定义</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46D733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本合同中的下列词语应按以下内容进行解释：</w:t>
      </w:r>
    </w:p>
    <w:p w14:paraId="5F2631BD">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2.1.1 “合同”系指采购人和</w:t>
      </w:r>
      <w:r>
        <w:rPr>
          <w:rFonts w:hint="eastAsia" w:asciiTheme="majorEastAsia" w:hAnsiTheme="majorEastAsia" w:eastAsiaTheme="majorEastAsia" w:cstheme="majorEastAsia"/>
          <w:color w:val="auto"/>
          <w:sz w:val="21"/>
          <w:szCs w:val="21"/>
          <w:highlight w:val="none"/>
          <w:lang w:eastAsia="zh-CN"/>
        </w:rPr>
        <w:t>成交人</w:t>
      </w:r>
      <w:r>
        <w:rPr>
          <w:rFonts w:hint="eastAsia" w:asciiTheme="majorEastAsia" w:hAnsiTheme="majorEastAsia" w:eastAsiaTheme="majorEastAsia" w:cstheme="majorEastAsia"/>
          <w:color w:val="auto"/>
          <w:sz w:val="21"/>
          <w:szCs w:val="21"/>
          <w:highlight w:val="none"/>
        </w:rPr>
        <w:t>签订的载明双方当事人所达成的协议，并包括所有的附件、附录和构成合同的其他文件。</w:t>
      </w:r>
    </w:p>
    <w:p w14:paraId="112ED5D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2.1.2 “合同价”系指根据合同约定，</w:t>
      </w:r>
      <w:r>
        <w:rPr>
          <w:rFonts w:hint="eastAsia" w:asciiTheme="majorEastAsia" w:hAnsiTheme="majorEastAsia" w:eastAsiaTheme="majorEastAsia" w:cstheme="majorEastAsia"/>
          <w:color w:val="auto"/>
          <w:sz w:val="21"/>
          <w:szCs w:val="21"/>
          <w:highlight w:val="none"/>
          <w:lang w:eastAsia="zh-CN"/>
        </w:rPr>
        <w:t>成交人</w:t>
      </w:r>
      <w:r>
        <w:rPr>
          <w:rFonts w:hint="eastAsia" w:asciiTheme="majorEastAsia" w:hAnsiTheme="majorEastAsia" w:eastAsiaTheme="majorEastAsia" w:cstheme="majorEastAsia"/>
          <w:color w:val="auto"/>
          <w:sz w:val="21"/>
          <w:szCs w:val="21"/>
          <w:highlight w:val="none"/>
        </w:rPr>
        <w:t>在完全履行合同义务后，采购人应支付给</w:t>
      </w:r>
      <w:r>
        <w:rPr>
          <w:rFonts w:hint="eastAsia" w:asciiTheme="majorEastAsia" w:hAnsiTheme="majorEastAsia" w:eastAsiaTheme="majorEastAsia" w:cstheme="majorEastAsia"/>
          <w:color w:val="auto"/>
          <w:sz w:val="21"/>
          <w:szCs w:val="21"/>
          <w:highlight w:val="none"/>
          <w:lang w:eastAsia="zh-CN"/>
        </w:rPr>
        <w:t>成交人</w:t>
      </w:r>
      <w:r>
        <w:rPr>
          <w:rFonts w:hint="eastAsia" w:asciiTheme="majorEastAsia" w:hAnsiTheme="majorEastAsia" w:eastAsiaTheme="majorEastAsia" w:cstheme="majorEastAsia"/>
          <w:color w:val="auto"/>
          <w:sz w:val="21"/>
          <w:szCs w:val="21"/>
          <w:highlight w:val="none"/>
        </w:rPr>
        <w:t>的价格。</w:t>
      </w:r>
    </w:p>
    <w:p w14:paraId="2281BD65">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2.1.3 “标的物”系指</w:t>
      </w:r>
      <w:r>
        <w:rPr>
          <w:rFonts w:hint="eastAsia" w:asciiTheme="majorEastAsia" w:hAnsiTheme="majorEastAsia" w:eastAsiaTheme="majorEastAsia" w:cstheme="majorEastAsia"/>
          <w:color w:val="auto"/>
          <w:sz w:val="21"/>
          <w:szCs w:val="21"/>
          <w:highlight w:val="none"/>
          <w:lang w:eastAsia="zh-CN"/>
        </w:rPr>
        <w:t>成交人</w:t>
      </w:r>
      <w:r>
        <w:rPr>
          <w:rFonts w:hint="eastAsia" w:asciiTheme="majorEastAsia" w:hAnsiTheme="majorEastAsia" w:eastAsiaTheme="majorEastAsia" w:cstheme="majorEastAsia"/>
          <w:color w:val="auto"/>
          <w:sz w:val="21"/>
          <w:szCs w:val="21"/>
          <w:highlight w:val="none"/>
        </w:rPr>
        <w:t>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F5CCF4D">
      <w:pPr>
        <w:spacing w:line="360" w:lineRule="auto"/>
        <w:ind w:firstLine="420" w:firstLineChars="200"/>
        <w:rPr>
          <w:rFonts w:hint="eastAsia" w:asciiTheme="majorEastAsia" w:hAnsiTheme="majorEastAsia" w:eastAsiaTheme="majorEastAsia" w:cstheme="majorEastAsia"/>
          <w:color w:val="auto"/>
          <w:sz w:val="21"/>
          <w:szCs w:val="21"/>
          <w:highlight w:val="none"/>
        </w:rPr>
      </w:pPr>
      <w:bookmarkStart w:id="250" w:name="_Ref467378840"/>
      <w:r>
        <w:rPr>
          <w:rFonts w:hint="eastAsia" w:asciiTheme="majorEastAsia" w:hAnsiTheme="majorEastAsia" w:eastAsiaTheme="majorEastAsia" w:cstheme="majorEastAsia"/>
          <w:color w:val="auto"/>
          <w:sz w:val="21"/>
          <w:szCs w:val="21"/>
          <w:highlight w:val="none"/>
        </w:rPr>
        <w:t>2.1.4 “甲方”系指与</w:t>
      </w:r>
      <w:r>
        <w:rPr>
          <w:rFonts w:hint="eastAsia" w:asciiTheme="majorEastAsia" w:hAnsiTheme="majorEastAsia" w:eastAsiaTheme="majorEastAsia" w:cstheme="majorEastAsia"/>
          <w:color w:val="auto"/>
          <w:sz w:val="21"/>
          <w:szCs w:val="21"/>
          <w:highlight w:val="none"/>
          <w:lang w:eastAsia="zh-CN"/>
        </w:rPr>
        <w:t>成交人</w:t>
      </w:r>
      <w:r>
        <w:rPr>
          <w:rFonts w:hint="eastAsia" w:asciiTheme="majorEastAsia" w:hAnsiTheme="majorEastAsia" w:eastAsiaTheme="majorEastAsia" w:cstheme="majorEastAsia"/>
          <w:color w:val="auto"/>
          <w:sz w:val="21"/>
          <w:szCs w:val="21"/>
          <w:highlight w:val="none"/>
        </w:rPr>
        <w:t>签署合同的采购人</w:t>
      </w:r>
      <w:bookmarkEnd w:id="250"/>
      <w:r>
        <w:rPr>
          <w:rFonts w:hint="eastAsia" w:asciiTheme="majorEastAsia" w:hAnsiTheme="majorEastAsia" w:eastAsiaTheme="majorEastAsia" w:cstheme="majorEastAsia"/>
          <w:color w:val="auto"/>
          <w:sz w:val="21"/>
          <w:szCs w:val="21"/>
          <w:highlight w:val="none"/>
        </w:rPr>
        <w:t>；采购人委托采购机构代表其与乙方签订合同的，采购人的授权委托书作为合同附件。</w:t>
      </w:r>
    </w:p>
    <w:p w14:paraId="7A073DC4">
      <w:pPr>
        <w:spacing w:line="360" w:lineRule="auto"/>
        <w:ind w:firstLine="420" w:firstLineChars="200"/>
        <w:rPr>
          <w:rFonts w:hint="eastAsia" w:asciiTheme="majorEastAsia" w:hAnsiTheme="majorEastAsia" w:eastAsiaTheme="majorEastAsia" w:cstheme="majorEastAsia"/>
          <w:color w:val="auto"/>
          <w:sz w:val="21"/>
          <w:szCs w:val="21"/>
          <w:highlight w:val="none"/>
        </w:rPr>
      </w:pPr>
      <w:bookmarkStart w:id="251" w:name="_Ref467379400"/>
      <w:r>
        <w:rPr>
          <w:rFonts w:hint="eastAsia" w:asciiTheme="majorEastAsia" w:hAnsiTheme="majorEastAsia" w:eastAsiaTheme="majorEastAsia" w:cstheme="majorEastAsia"/>
          <w:color w:val="auto"/>
          <w:sz w:val="21"/>
          <w:szCs w:val="21"/>
          <w:highlight w:val="none"/>
        </w:rPr>
        <w:t>2.1.5 “乙方”系指根据合同约定交付标的物的</w:t>
      </w:r>
      <w:bookmarkEnd w:id="251"/>
      <w:r>
        <w:rPr>
          <w:rFonts w:hint="eastAsia" w:asciiTheme="majorEastAsia" w:hAnsiTheme="majorEastAsia" w:eastAsiaTheme="majorEastAsia" w:cstheme="majorEastAsia"/>
          <w:color w:val="auto"/>
          <w:sz w:val="21"/>
          <w:szCs w:val="21"/>
          <w:highlight w:val="none"/>
          <w:lang w:eastAsia="zh-CN"/>
        </w:rPr>
        <w:t>成交人</w:t>
      </w:r>
      <w:r>
        <w:rPr>
          <w:rFonts w:hint="eastAsia" w:asciiTheme="majorEastAsia" w:hAnsiTheme="majorEastAsia" w:eastAsiaTheme="majorEastAsia" w:cstheme="majorEastAsia"/>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3BDACA">
      <w:pPr>
        <w:spacing w:line="360" w:lineRule="auto"/>
        <w:ind w:firstLine="420" w:firstLineChars="200"/>
        <w:rPr>
          <w:rFonts w:hint="eastAsia" w:asciiTheme="majorEastAsia" w:hAnsiTheme="majorEastAsia" w:eastAsiaTheme="majorEastAsia" w:cstheme="majorEastAsia"/>
          <w:color w:val="auto"/>
          <w:sz w:val="21"/>
          <w:szCs w:val="21"/>
          <w:highlight w:val="none"/>
        </w:rPr>
      </w:pPr>
      <w:bookmarkStart w:id="252" w:name="_Ref467379436"/>
      <w:r>
        <w:rPr>
          <w:rFonts w:hint="eastAsia" w:asciiTheme="majorEastAsia" w:hAnsiTheme="majorEastAsia" w:eastAsiaTheme="majorEastAsia" w:cstheme="majorEastAsia"/>
          <w:color w:val="auto"/>
          <w:sz w:val="21"/>
          <w:szCs w:val="21"/>
          <w:highlight w:val="none"/>
        </w:rPr>
        <w:t>2.1.6 “现场”系指合同约定标的物将要运至或者实施或者安装的地点。</w:t>
      </w:r>
      <w:bookmarkEnd w:id="252"/>
    </w:p>
    <w:p w14:paraId="392D26CB">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53" w:name="_Toc13336"/>
      <w:bookmarkStart w:id="254" w:name="_Toc279701241"/>
      <w:bookmarkStart w:id="255" w:name="_Toc27635"/>
      <w:bookmarkStart w:id="256" w:name="_Toc259093670"/>
      <w:bookmarkStart w:id="257" w:name="_Toc32504"/>
      <w:bookmarkStart w:id="258" w:name="_Toc487900350"/>
      <w:r>
        <w:rPr>
          <w:rFonts w:hint="eastAsia" w:asciiTheme="majorEastAsia" w:hAnsiTheme="majorEastAsia" w:eastAsiaTheme="majorEastAsia" w:cstheme="majorEastAsia"/>
          <w:b/>
          <w:color w:val="auto"/>
          <w:sz w:val="21"/>
          <w:szCs w:val="21"/>
          <w:highlight w:val="none"/>
        </w:rPr>
        <w:t>2.2 技术规范</w:t>
      </w:r>
      <w:bookmarkEnd w:id="253"/>
      <w:bookmarkEnd w:id="254"/>
      <w:bookmarkEnd w:id="255"/>
      <w:bookmarkEnd w:id="256"/>
      <w:bookmarkEnd w:id="257"/>
      <w:bookmarkEnd w:id="258"/>
    </w:p>
    <w:p w14:paraId="18491C36">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794181A">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59" w:name="_Toc27853"/>
      <w:bookmarkStart w:id="260" w:name="_Toc279701242"/>
      <w:bookmarkStart w:id="261" w:name="_Toc487900351"/>
      <w:bookmarkStart w:id="262" w:name="_Toc9829"/>
      <w:bookmarkStart w:id="263" w:name="_Toc259093671"/>
      <w:bookmarkStart w:id="264" w:name="_Toc31634"/>
      <w:r>
        <w:rPr>
          <w:rFonts w:hint="eastAsia" w:asciiTheme="majorEastAsia" w:hAnsiTheme="majorEastAsia" w:eastAsiaTheme="majorEastAsia" w:cstheme="majorEastAsia"/>
          <w:b/>
          <w:color w:val="auto"/>
          <w:sz w:val="21"/>
          <w:szCs w:val="21"/>
          <w:highlight w:val="none"/>
        </w:rPr>
        <w:t>2.3 知识产权</w:t>
      </w:r>
      <w:bookmarkEnd w:id="259"/>
      <w:bookmarkEnd w:id="260"/>
      <w:bookmarkEnd w:id="261"/>
      <w:bookmarkEnd w:id="262"/>
      <w:bookmarkEnd w:id="263"/>
      <w:bookmarkEnd w:id="264"/>
    </w:p>
    <w:p w14:paraId="30C8FD5E">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0F85F6E">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2.3.2具有知识产权的计算机软件等标的物的知识产权归属，详见</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w:t>
      </w:r>
    </w:p>
    <w:p w14:paraId="3DDE7A22">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65" w:name="_Toc11932"/>
      <w:bookmarkStart w:id="266" w:name="_Toc29149"/>
      <w:bookmarkStart w:id="267" w:name="_Toc4194"/>
      <w:r>
        <w:rPr>
          <w:rFonts w:hint="eastAsia" w:asciiTheme="majorEastAsia" w:hAnsiTheme="majorEastAsia" w:eastAsiaTheme="majorEastAsia" w:cstheme="majorEastAsia"/>
          <w:b/>
          <w:color w:val="auto"/>
          <w:sz w:val="21"/>
          <w:szCs w:val="21"/>
          <w:highlight w:val="none"/>
        </w:rPr>
        <w:t>2.4 包装和装运</w:t>
      </w:r>
      <w:bookmarkEnd w:id="265"/>
      <w:bookmarkEnd w:id="266"/>
      <w:bookmarkEnd w:id="267"/>
    </w:p>
    <w:p w14:paraId="1FA6C5BA">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2.4.1除</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5619E62">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2.4.2 装运标的物的要求和通知，详见</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w:t>
      </w:r>
    </w:p>
    <w:p w14:paraId="25FCD382">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68" w:name="_Toc259093674"/>
      <w:bookmarkStart w:id="269" w:name="_Toc279701245"/>
      <w:bookmarkStart w:id="270" w:name="_Toc487900354"/>
      <w:bookmarkStart w:id="271" w:name="_Ref467378591"/>
      <w:bookmarkStart w:id="272" w:name="_Ref467378541"/>
      <w:bookmarkStart w:id="273" w:name="_Ref467379536"/>
      <w:bookmarkStart w:id="274" w:name="_Ref467379527"/>
      <w:bookmarkStart w:id="275" w:name="_Ref467379542"/>
      <w:bookmarkStart w:id="276" w:name="_Toc30272"/>
      <w:bookmarkStart w:id="277" w:name="_Toc19074"/>
      <w:bookmarkStart w:id="278" w:name="_Toc26182"/>
      <w:r>
        <w:rPr>
          <w:rFonts w:hint="eastAsia" w:asciiTheme="majorEastAsia" w:hAnsiTheme="majorEastAsia" w:eastAsiaTheme="majorEastAsia" w:cstheme="majorEastAsia"/>
          <w:b/>
          <w:color w:val="auto"/>
          <w:sz w:val="21"/>
          <w:szCs w:val="21"/>
          <w:highlight w:val="none"/>
        </w:rPr>
        <w:t>2.</w:t>
      </w:r>
      <w:bookmarkEnd w:id="268"/>
      <w:bookmarkEnd w:id="269"/>
      <w:bookmarkEnd w:id="270"/>
      <w:bookmarkEnd w:id="271"/>
      <w:bookmarkEnd w:id="272"/>
      <w:bookmarkEnd w:id="273"/>
      <w:bookmarkEnd w:id="274"/>
      <w:bookmarkEnd w:id="275"/>
      <w:r>
        <w:rPr>
          <w:rFonts w:hint="eastAsia" w:asciiTheme="majorEastAsia" w:hAnsiTheme="majorEastAsia" w:eastAsiaTheme="majorEastAsia" w:cstheme="majorEastAsia"/>
          <w:b/>
          <w:color w:val="auto"/>
          <w:sz w:val="21"/>
          <w:szCs w:val="21"/>
          <w:highlight w:val="none"/>
        </w:rPr>
        <w:t>5 履约检查和问题反馈</w:t>
      </w:r>
      <w:bookmarkEnd w:id="276"/>
      <w:bookmarkEnd w:id="277"/>
      <w:bookmarkEnd w:id="278"/>
    </w:p>
    <w:p w14:paraId="421247E4">
      <w:pPr>
        <w:spacing w:line="360" w:lineRule="auto"/>
        <w:ind w:firstLine="420" w:firstLineChars="200"/>
        <w:rPr>
          <w:rFonts w:hint="eastAsia" w:asciiTheme="majorEastAsia" w:hAnsiTheme="majorEastAsia" w:eastAsiaTheme="majorEastAsia" w:cstheme="majorEastAsia"/>
          <w:color w:val="auto"/>
          <w:sz w:val="21"/>
          <w:szCs w:val="21"/>
          <w:highlight w:val="none"/>
        </w:rPr>
      </w:pPr>
      <w:bookmarkStart w:id="279" w:name="_Ref467379657"/>
      <w:r>
        <w:rPr>
          <w:rFonts w:hint="eastAsia" w:asciiTheme="majorEastAsia" w:hAnsiTheme="majorEastAsia" w:eastAsiaTheme="majorEastAsia" w:cstheme="majorEastAsia"/>
          <w:color w:val="auto"/>
          <w:sz w:val="21"/>
          <w:szCs w:val="21"/>
          <w:highlight w:val="none"/>
        </w:rPr>
        <w:t>2.5.1</w:t>
      </w:r>
      <w:bookmarkEnd w:id="279"/>
      <w:bookmarkStart w:id="280" w:name="_Toc186431854"/>
      <w:bookmarkStart w:id="281" w:name="_Ref467379793"/>
      <w:bookmarkStart w:id="282" w:name="_Toc487900357"/>
      <w:bookmarkStart w:id="283" w:name="_Toc259093676"/>
      <w:bookmarkStart w:id="284" w:name="_Ref467379807"/>
      <w:bookmarkStart w:id="285" w:name="_Toc279701247"/>
      <w:r>
        <w:rPr>
          <w:rFonts w:hint="eastAsia" w:asciiTheme="majorEastAsia" w:hAnsiTheme="majorEastAsia" w:eastAsiaTheme="majorEastAsia" w:cstheme="majorEastAsia"/>
          <w:color w:val="auto"/>
          <w:sz w:val="21"/>
          <w:szCs w:val="21"/>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5CFE3EC">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2.5.2 合同履行期间，甲方有权将履行过程中出现的问题反馈给乙方，双方当事人应以书面形式约定需要完善和改进的内容</w:t>
      </w:r>
      <w:bookmarkEnd w:id="280"/>
      <w:bookmarkStart w:id="286" w:name="_Toc186431855"/>
      <w:r>
        <w:rPr>
          <w:rFonts w:hint="eastAsia" w:asciiTheme="majorEastAsia" w:hAnsiTheme="majorEastAsia" w:eastAsiaTheme="majorEastAsia" w:cstheme="majorEastAsia"/>
          <w:color w:val="auto"/>
          <w:sz w:val="21"/>
          <w:szCs w:val="21"/>
          <w:highlight w:val="none"/>
        </w:rPr>
        <w:t>。</w:t>
      </w:r>
    </w:p>
    <w:bookmarkEnd w:id="286"/>
    <w:p w14:paraId="661DA85F">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87" w:name="_Toc28451"/>
      <w:bookmarkStart w:id="288" w:name="_Toc19219"/>
      <w:bookmarkStart w:id="289" w:name="_Toc7836"/>
      <w:r>
        <w:rPr>
          <w:rFonts w:hint="eastAsia" w:asciiTheme="majorEastAsia" w:hAnsiTheme="majorEastAsia" w:eastAsiaTheme="majorEastAsia" w:cstheme="majorEastAsia"/>
          <w:b/>
          <w:color w:val="auto"/>
          <w:sz w:val="21"/>
          <w:szCs w:val="21"/>
          <w:highlight w:val="none"/>
        </w:rPr>
        <w:t>2.6 结算方式和付款条件</w:t>
      </w:r>
      <w:bookmarkEnd w:id="281"/>
      <w:bookmarkEnd w:id="282"/>
      <w:bookmarkEnd w:id="283"/>
      <w:bookmarkEnd w:id="284"/>
      <w:bookmarkEnd w:id="285"/>
      <w:bookmarkEnd w:id="287"/>
      <w:bookmarkEnd w:id="288"/>
      <w:bookmarkEnd w:id="289"/>
    </w:p>
    <w:p w14:paraId="43E7846C">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详见</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w:t>
      </w:r>
    </w:p>
    <w:p w14:paraId="29475E06">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90" w:name="_Toc487900358"/>
      <w:bookmarkStart w:id="291" w:name="_Toc279701248"/>
      <w:bookmarkStart w:id="292" w:name="_Ref467379852"/>
      <w:bookmarkStart w:id="293" w:name="_Ref467379923"/>
      <w:bookmarkStart w:id="294" w:name="_Toc259093677"/>
      <w:bookmarkStart w:id="295" w:name="_Ref467379863"/>
      <w:bookmarkStart w:id="296" w:name="_Toc3225"/>
      <w:bookmarkStart w:id="297" w:name="_Toc774"/>
      <w:bookmarkStart w:id="298" w:name="_Toc16110"/>
      <w:r>
        <w:rPr>
          <w:rFonts w:hint="eastAsia" w:asciiTheme="majorEastAsia" w:hAnsiTheme="majorEastAsia" w:eastAsiaTheme="majorEastAsia" w:cstheme="majorEastAsia"/>
          <w:b/>
          <w:color w:val="auto"/>
          <w:sz w:val="21"/>
          <w:szCs w:val="21"/>
          <w:highlight w:val="none"/>
        </w:rPr>
        <w:t>2.7 技术资料</w:t>
      </w:r>
      <w:bookmarkEnd w:id="290"/>
      <w:bookmarkEnd w:id="291"/>
      <w:bookmarkEnd w:id="292"/>
      <w:bookmarkEnd w:id="293"/>
      <w:bookmarkEnd w:id="294"/>
      <w:bookmarkEnd w:id="295"/>
      <w:r>
        <w:rPr>
          <w:rFonts w:hint="eastAsia" w:asciiTheme="majorEastAsia" w:hAnsiTheme="majorEastAsia" w:eastAsiaTheme="majorEastAsia" w:cstheme="majorEastAsia"/>
          <w:b/>
          <w:color w:val="auto"/>
          <w:sz w:val="21"/>
          <w:szCs w:val="21"/>
          <w:highlight w:val="none"/>
        </w:rPr>
        <w:t>和保密义务</w:t>
      </w:r>
      <w:bookmarkEnd w:id="296"/>
      <w:bookmarkEnd w:id="297"/>
      <w:bookmarkEnd w:id="298"/>
    </w:p>
    <w:p w14:paraId="6B091914">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2.7.1 乙方有权依据合同约定和项目需要，向甲方了解有关情况，调阅有关资料等，甲方应予积极配合；</w:t>
      </w:r>
    </w:p>
    <w:p w14:paraId="48680BE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2.7.2 乙方有义务妥善保管和保护由甲方提供的前款信息和资料等；</w:t>
      </w:r>
    </w:p>
    <w:p w14:paraId="730A323F">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264E470">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299" w:name="_Toc7860"/>
      <w:r>
        <w:rPr>
          <w:rFonts w:hint="eastAsia" w:asciiTheme="majorEastAsia" w:hAnsiTheme="majorEastAsia" w:eastAsiaTheme="majorEastAsia" w:cstheme="majorEastAsia"/>
          <w:b/>
          <w:color w:val="auto"/>
          <w:sz w:val="21"/>
          <w:szCs w:val="21"/>
          <w:highlight w:val="none"/>
        </w:rPr>
        <w:t>2.8 质量保证</w:t>
      </w:r>
      <w:bookmarkEnd w:id="299"/>
    </w:p>
    <w:p w14:paraId="41FCB642">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2.8.1 乙方应建立和完善履行合同的内部质量保证体系，并提供相关内部规章制度给甲方，以便甲方进行监督检查；</w:t>
      </w:r>
    </w:p>
    <w:p w14:paraId="29F52181">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2.8.2 乙方应保证履行合同的人员数量和素质、软件和硬件设备的配置、场地、环境和设施等满足全面履行合同的要求，并应接受甲方的监督检查。</w:t>
      </w:r>
    </w:p>
    <w:p w14:paraId="38EB2EAB">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2.8.3乙方应确保项目技术人员的数量和水平与投标文件一致。未经甲方书面同意，乙方不得擅自更换投标文件中注明的项目经理和技术负责人。否则</w:t>
      </w:r>
      <w:r>
        <w:rPr>
          <w:rFonts w:hint="eastAsia" w:asciiTheme="majorEastAsia" w:hAnsiTheme="majorEastAsia" w:eastAsiaTheme="majorEastAsia" w:cstheme="majorEastAsia"/>
          <w:color w:val="auto"/>
          <w:kern w:val="0"/>
          <w:sz w:val="21"/>
          <w:szCs w:val="21"/>
          <w:highlight w:val="none"/>
        </w:rPr>
        <w:t>甲方有权放弃或终止合同，并没收履约保证金。</w:t>
      </w:r>
    </w:p>
    <w:p w14:paraId="4DC5E056">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2.8.4因乙方原因造成甲方其他系统不能正常运行，酿成重大事故（工作日系统中断一天以上）的，乙方应承担全部法律责任，并赔偿经济损失，赔偿金额为项目总价的</w:t>
      </w:r>
      <w:r>
        <w:rPr>
          <w:rFonts w:hint="eastAsia" w:asciiTheme="majorEastAsia" w:hAnsiTheme="majorEastAsia" w:eastAsiaTheme="majorEastAsia" w:cstheme="majorEastAsia"/>
          <w:color w:val="auto"/>
          <w:sz w:val="21"/>
          <w:szCs w:val="21"/>
          <w:highlight w:val="none"/>
          <w:u w:val="single"/>
        </w:rPr>
        <w:t xml:space="preserve">    /   </w:t>
      </w:r>
      <w:r>
        <w:rPr>
          <w:rFonts w:hint="eastAsia" w:asciiTheme="majorEastAsia" w:hAnsiTheme="majorEastAsia" w:eastAsiaTheme="majorEastAsia" w:cstheme="majorEastAsia"/>
          <w:color w:val="auto"/>
          <w:sz w:val="21"/>
          <w:szCs w:val="21"/>
          <w:highlight w:val="none"/>
        </w:rPr>
        <w:t>（根据项目实际情况填写，一般为30%）。</w:t>
      </w:r>
    </w:p>
    <w:p w14:paraId="0C4E34EC">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00" w:name="_Toc17244"/>
      <w:bookmarkStart w:id="301" w:name="_Toc259093681"/>
      <w:bookmarkStart w:id="302" w:name="_Toc279701252"/>
      <w:bookmarkStart w:id="303" w:name="_Toc487900362"/>
      <w:r>
        <w:rPr>
          <w:rFonts w:hint="eastAsia" w:asciiTheme="majorEastAsia" w:hAnsiTheme="majorEastAsia" w:eastAsiaTheme="majorEastAsia" w:cstheme="majorEastAsia"/>
          <w:b/>
          <w:color w:val="auto"/>
          <w:sz w:val="21"/>
          <w:szCs w:val="21"/>
          <w:highlight w:val="none"/>
        </w:rPr>
        <w:t>2.9 标的物的风险负担</w:t>
      </w:r>
      <w:bookmarkEnd w:id="300"/>
    </w:p>
    <w:p w14:paraId="47DF7513">
      <w:pPr>
        <w:spacing w:line="360" w:lineRule="auto"/>
        <w:ind w:firstLine="420"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color w:val="auto"/>
          <w:sz w:val="21"/>
          <w:szCs w:val="21"/>
          <w:highlight w:val="none"/>
        </w:rPr>
        <w:t>标的物或者在途标的物或者交付给第一承运人后的标的物毁损、灭失的风险负担详见</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w:t>
      </w:r>
    </w:p>
    <w:p w14:paraId="6A76AED9">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04" w:name="_Toc14055"/>
      <w:r>
        <w:rPr>
          <w:rFonts w:hint="eastAsia" w:asciiTheme="majorEastAsia" w:hAnsiTheme="majorEastAsia" w:eastAsiaTheme="majorEastAsia" w:cstheme="majorEastAsia"/>
          <w:b/>
          <w:color w:val="auto"/>
          <w:sz w:val="21"/>
          <w:szCs w:val="21"/>
          <w:highlight w:val="none"/>
        </w:rPr>
        <w:t>2.10 延迟交货</w:t>
      </w:r>
      <w:bookmarkEnd w:id="301"/>
      <w:bookmarkEnd w:id="302"/>
      <w:bookmarkEnd w:id="303"/>
      <w:bookmarkEnd w:id="304"/>
      <w:r>
        <w:rPr>
          <w:rFonts w:hint="eastAsia" w:asciiTheme="majorEastAsia" w:hAnsiTheme="majorEastAsia" w:eastAsiaTheme="majorEastAsia" w:cstheme="majorEastAsia"/>
          <w:b/>
          <w:color w:val="auto"/>
          <w:sz w:val="21"/>
          <w:szCs w:val="21"/>
          <w:highlight w:val="none"/>
        </w:rPr>
        <w:t>/交付</w:t>
      </w:r>
    </w:p>
    <w:p w14:paraId="2BCF203B">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F86DB24">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05" w:name="_Toc7502"/>
      <w:bookmarkStart w:id="306" w:name="_Toc259093683"/>
      <w:bookmarkStart w:id="307" w:name="_Toc487900364"/>
      <w:bookmarkStart w:id="308" w:name="_Toc279701254"/>
      <w:bookmarkStart w:id="309" w:name="_Ref467378121"/>
      <w:r>
        <w:rPr>
          <w:rFonts w:hint="eastAsia" w:asciiTheme="majorEastAsia" w:hAnsiTheme="majorEastAsia" w:eastAsiaTheme="majorEastAsia" w:cstheme="majorEastAsia"/>
          <w:b/>
          <w:color w:val="auto"/>
          <w:sz w:val="21"/>
          <w:szCs w:val="21"/>
          <w:highlight w:val="none"/>
        </w:rPr>
        <w:t>2.11 合同变更</w:t>
      </w:r>
      <w:bookmarkEnd w:id="305"/>
    </w:p>
    <w:p w14:paraId="0F554E40">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89C2638">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2.11.2 合同继续履行将损害国家利益和社会公共利益的，双方当事人应当以书面形式变更合同。有过错的一方应当承担赔偿责任，双方当事人都有过错的，各自承担相应的责任。</w:t>
      </w:r>
      <w:bookmarkStart w:id="310" w:name="_Toc279701259"/>
      <w:bookmarkStart w:id="311" w:name="_Toc259093688"/>
      <w:bookmarkStart w:id="312" w:name="_Toc487900369"/>
    </w:p>
    <w:p w14:paraId="142758AC">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13" w:name="_Toc22955"/>
      <w:bookmarkStart w:id="314" w:name="_Toc10366"/>
      <w:bookmarkStart w:id="315" w:name="_Toc15237"/>
      <w:r>
        <w:rPr>
          <w:rFonts w:hint="eastAsia" w:asciiTheme="majorEastAsia" w:hAnsiTheme="majorEastAsia" w:eastAsiaTheme="majorEastAsia" w:cstheme="majorEastAsia"/>
          <w:b/>
          <w:color w:val="auto"/>
          <w:sz w:val="21"/>
          <w:szCs w:val="21"/>
          <w:highlight w:val="none"/>
        </w:rPr>
        <w:t>2.12 合同转让</w:t>
      </w:r>
      <w:bookmarkEnd w:id="310"/>
      <w:bookmarkEnd w:id="311"/>
      <w:bookmarkEnd w:id="312"/>
      <w:r>
        <w:rPr>
          <w:rFonts w:hint="eastAsia" w:asciiTheme="majorEastAsia" w:hAnsiTheme="majorEastAsia" w:eastAsiaTheme="majorEastAsia" w:cstheme="majorEastAsia"/>
          <w:b/>
          <w:color w:val="auto"/>
          <w:sz w:val="21"/>
          <w:szCs w:val="21"/>
          <w:highlight w:val="none"/>
        </w:rPr>
        <w:t>和分包</w:t>
      </w:r>
      <w:bookmarkEnd w:id="313"/>
      <w:bookmarkEnd w:id="314"/>
      <w:bookmarkEnd w:id="315"/>
    </w:p>
    <w:p w14:paraId="09BCD9A0">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328D78E">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16" w:name="_Toc14066"/>
      <w:bookmarkStart w:id="317" w:name="_Toc16508"/>
      <w:bookmarkStart w:id="318" w:name="_Toc13566"/>
      <w:r>
        <w:rPr>
          <w:rFonts w:hint="eastAsia" w:asciiTheme="majorEastAsia" w:hAnsiTheme="majorEastAsia" w:eastAsiaTheme="majorEastAsia" w:cstheme="majorEastAsia"/>
          <w:b/>
          <w:color w:val="auto"/>
          <w:sz w:val="21"/>
          <w:szCs w:val="21"/>
          <w:highlight w:val="none"/>
        </w:rPr>
        <w:t>2.13 不可抗力</w:t>
      </w:r>
      <w:bookmarkEnd w:id="316"/>
      <w:bookmarkEnd w:id="317"/>
      <w:bookmarkEnd w:id="318"/>
    </w:p>
    <w:p w14:paraId="75FDAC48">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2.13.1如果任何一方遭遇法律规定的不可抗力，致使合同履行受阻时，履行合同的期限应予延长，延长的期限应相当于不可抗力所影响的时间；</w:t>
      </w:r>
    </w:p>
    <w:p w14:paraId="626ADDBA">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2.13.2受不可抗力影响的一方在不可抗力发生后，应在</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约定时间内以书面形式通知对方当事人，并在</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约定时间内，将有关部门出具的证明文件送达对方当事人。</w:t>
      </w:r>
    </w:p>
    <w:p w14:paraId="629B1E14">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2.13.3 因不可抗力致使不能实现合同目的的，当事人可以解除合同；</w:t>
      </w:r>
    </w:p>
    <w:p w14:paraId="42A7F39B">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2.13.4 因不可抗力致使合同有变更必要的，双方当事人应在</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约定时间内以书面形式变更合同；</w:t>
      </w:r>
    </w:p>
    <w:p w14:paraId="541C2409">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19" w:name="_Toc30676"/>
      <w:bookmarkStart w:id="320" w:name="_Toc6969"/>
      <w:bookmarkStart w:id="321" w:name="_Toc259093684"/>
      <w:bookmarkStart w:id="322" w:name="_Toc689"/>
      <w:bookmarkStart w:id="323" w:name="_Toc487900365"/>
      <w:bookmarkStart w:id="324" w:name="_Toc279701255"/>
      <w:r>
        <w:rPr>
          <w:rFonts w:hint="eastAsia" w:asciiTheme="majorEastAsia" w:hAnsiTheme="majorEastAsia" w:eastAsiaTheme="majorEastAsia" w:cstheme="majorEastAsia"/>
          <w:b/>
          <w:color w:val="auto"/>
          <w:sz w:val="21"/>
          <w:szCs w:val="21"/>
          <w:highlight w:val="none"/>
        </w:rPr>
        <w:t>2.14 税费</w:t>
      </w:r>
      <w:bookmarkEnd w:id="319"/>
      <w:bookmarkEnd w:id="320"/>
      <w:bookmarkEnd w:id="321"/>
      <w:bookmarkEnd w:id="322"/>
      <w:bookmarkEnd w:id="323"/>
      <w:bookmarkEnd w:id="324"/>
    </w:p>
    <w:p w14:paraId="14584F66">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与合同有关的一切税费，均按照中华人民共和国法律的相关规定执行。</w:t>
      </w:r>
    </w:p>
    <w:p w14:paraId="0D0F4DED">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25" w:name="_Toc279701258"/>
      <w:bookmarkStart w:id="326" w:name="_Toc7102"/>
      <w:bookmarkStart w:id="327" w:name="_Toc259093687"/>
      <w:bookmarkStart w:id="328" w:name="_Toc16959"/>
      <w:bookmarkStart w:id="329" w:name="_Toc8298"/>
      <w:bookmarkStart w:id="330" w:name="_Toc487900368"/>
      <w:r>
        <w:rPr>
          <w:rFonts w:hint="eastAsia" w:asciiTheme="majorEastAsia" w:hAnsiTheme="majorEastAsia" w:eastAsiaTheme="majorEastAsia" w:cstheme="majorEastAsia"/>
          <w:b/>
          <w:color w:val="auto"/>
          <w:sz w:val="21"/>
          <w:szCs w:val="21"/>
          <w:highlight w:val="none"/>
        </w:rPr>
        <w:t>2.15 乙方破产</w:t>
      </w:r>
      <w:bookmarkEnd w:id="325"/>
      <w:bookmarkEnd w:id="326"/>
      <w:bookmarkEnd w:id="327"/>
      <w:bookmarkEnd w:id="328"/>
      <w:bookmarkEnd w:id="329"/>
      <w:bookmarkEnd w:id="330"/>
    </w:p>
    <w:p w14:paraId="7F8B1FC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D0169E">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31" w:name="_Toc15387"/>
      <w:bookmarkStart w:id="332" w:name="_Toc29333"/>
      <w:bookmarkStart w:id="333" w:name="_Toc6134"/>
      <w:r>
        <w:rPr>
          <w:rFonts w:hint="eastAsia" w:asciiTheme="majorEastAsia" w:hAnsiTheme="majorEastAsia" w:eastAsiaTheme="majorEastAsia" w:cstheme="majorEastAsia"/>
          <w:b/>
          <w:color w:val="auto"/>
          <w:sz w:val="21"/>
          <w:szCs w:val="21"/>
          <w:highlight w:val="none"/>
        </w:rPr>
        <w:t>2.16 合同中止、终止</w:t>
      </w:r>
      <w:bookmarkEnd w:id="331"/>
      <w:bookmarkEnd w:id="332"/>
      <w:bookmarkEnd w:id="333"/>
    </w:p>
    <w:p w14:paraId="75889559">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2.16.1 双方当事人不得擅自中止或者终止合同；</w:t>
      </w:r>
    </w:p>
    <w:p w14:paraId="3896E5F6">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2.16.2合同继续履行将损害国家利益和社会公共利益的，双方当事人应当中止或者终止合同。有过错的一方应当承担赔偿责任，双方当事人都有过错的，各自承担相应的责任。</w:t>
      </w:r>
    </w:p>
    <w:p w14:paraId="2279217D">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34" w:name="_Toc14563"/>
      <w:bookmarkStart w:id="335" w:name="_Toc1125"/>
      <w:bookmarkStart w:id="336" w:name="_Toc6596"/>
      <w:r>
        <w:rPr>
          <w:rFonts w:hint="eastAsia" w:asciiTheme="majorEastAsia" w:hAnsiTheme="majorEastAsia" w:eastAsiaTheme="majorEastAsia" w:cstheme="majorEastAsia"/>
          <w:b/>
          <w:color w:val="auto"/>
          <w:sz w:val="21"/>
          <w:szCs w:val="21"/>
          <w:highlight w:val="none"/>
        </w:rPr>
        <w:t>2.17 检验和验收</w:t>
      </w:r>
      <w:bookmarkEnd w:id="334"/>
      <w:bookmarkEnd w:id="335"/>
      <w:bookmarkEnd w:id="336"/>
    </w:p>
    <w:p w14:paraId="1103DA94">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2.17.1标的物交付前，乙方应对标的物的质量、数量等方面进行详细、全面的检验，并向甲方出具证明标的物符合合同约定的文件；标的物交付时，乙方在</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color w:val="auto"/>
          <w:sz w:val="21"/>
          <w:szCs w:val="21"/>
          <w:highlight w:val="none"/>
        </w:rPr>
        <w:t>约定时间内组织验收，并可依法邀请相关方参加，验收应出具验收书。</w:t>
      </w:r>
    </w:p>
    <w:p w14:paraId="26CFE44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FDAA5A9">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2.17.3 检验和验收标准、程序等具体内容以及前述验收书的效力详见</w:t>
      </w:r>
      <w:r>
        <w:rPr>
          <w:rFonts w:hint="eastAsia" w:asciiTheme="majorEastAsia" w:hAnsiTheme="majorEastAsia" w:eastAsiaTheme="majorEastAsia" w:cstheme="majorEastAsia"/>
          <w:b/>
          <w:i/>
          <w:color w:val="auto"/>
          <w:sz w:val="21"/>
          <w:szCs w:val="21"/>
          <w:highlight w:val="none"/>
          <w:u w:val="single"/>
        </w:rPr>
        <w:t>合同专用条款</w:t>
      </w:r>
      <w:r>
        <w:rPr>
          <w:rFonts w:hint="eastAsia" w:asciiTheme="majorEastAsia" w:hAnsiTheme="majorEastAsia" w:eastAsiaTheme="majorEastAsia" w:cstheme="majorEastAsia"/>
          <w:i/>
          <w:color w:val="auto"/>
          <w:sz w:val="21"/>
          <w:szCs w:val="21"/>
          <w:highlight w:val="none"/>
        </w:rPr>
        <w:t>。</w:t>
      </w:r>
    </w:p>
    <w:bookmarkEnd w:id="306"/>
    <w:bookmarkEnd w:id="307"/>
    <w:bookmarkEnd w:id="308"/>
    <w:bookmarkEnd w:id="309"/>
    <w:p w14:paraId="3E2F4F64">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37" w:name="_Toc279701261"/>
      <w:bookmarkStart w:id="338" w:name="_Toc259093690"/>
      <w:bookmarkStart w:id="339" w:name="_Toc487900371"/>
      <w:bookmarkStart w:id="340" w:name="_Toc11284"/>
      <w:bookmarkStart w:id="341" w:name="_Toc19604"/>
      <w:bookmarkStart w:id="342" w:name="_Toc25182"/>
      <w:r>
        <w:rPr>
          <w:rFonts w:hint="eastAsia" w:asciiTheme="majorEastAsia" w:hAnsiTheme="majorEastAsia" w:eastAsiaTheme="majorEastAsia" w:cstheme="majorEastAsia"/>
          <w:b/>
          <w:color w:val="auto"/>
          <w:sz w:val="21"/>
          <w:szCs w:val="21"/>
          <w:highlight w:val="none"/>
        </w:rPr>
        <w:t>2.18 通知</w:t>
      </w:r>
      <w:bookmarkEnd w:id="337"/>
      <w:bookmarkEnd w:id="338"/>
      <w:bookmarkEnd w:id="339"/>
      <w:r>
        <w:rPr>
          <w:rFonts w:hint="eastAsia" w:asciiTheme="majorEastAsia" w:hAnsiTheme="majorEastAsia" w:eastAsiaTheme="majorEastAsia" w:cstheme="majorEastAsia"/>
          <w:b/>
          <w:color w:val="auto"/>
          <w:sz w:val="21"/>
          <w:szCs w:val="21"/>
          <w:highlight w:val="none"/>
        </w:rPr>
        <w:t>和送达</w:t>
      </w:r>
      <w:bookmarkEnd w:id="340"/>
      <w:bookmarkEnd w:id="341"/>
      <w:bookmarkEnd w:id="342"/>
    </w:p>
    <w:p w14:paraId="63D26E45">
      <w:pPr>
        <w:spacing w:line="360" w:lineRule="auto"/>
        <w:ind w:firstLine="420" w:firstLineChars="200"/>
        <w:rPr>
          <w:rFonts w:hint="eastAsia" w:asciiTheme="majorEastAsia" w:hAnsiTheme="majorEastAsia" w:eastAsiaTheme="majorEastAsia" w:cstheme="majorEastAsia"/>
          <w:color w:val="auto"/>
          <w:sz w:val="21"/>
          <w:szCs w:val="21"/>
          <w:highlight w:val="none"/>
        </w:rPr>
      </w:pPr>
      <w:bookmarkStart w:id="343" w:name="_Toc6698"/>
      <w:bookmarkStart w:id="344" w:name="_Toc3135"/>
      <w:bookmarkStart w:id="345" w:name="_Toc487900372"/>
      <w:bookmarkStart w:id="346" w:name="_Toc259093691"/>
      <w:bookmarkStart w:id="347" w:name="_Toc279701262"/>
      <w:r>
        <w:rPr>
          <w:rFonts w:hint="eastAsia" w:asciiTheme="majorEastAsia" w:hAnsiTheme="majorEastAsia" w:eastAsiaTheme="majorEastAsia" w:cstheme="majorEastAsia"/>
          <w:color w:val="auto"/>
          <w:sz w:val="21"/>
          <w:szCs w:val="21"/>
          <w:highlight w:val="none"/>
        </w:rPr>
        <w:t>2.18.1 任何一方因履行合同而以合同第一部分尾部所列明的</w:t>
      </w:r>
      <w:r>
        <w:rPr>
          <w:rFonts w:hint="eastAsia" w:asciiTheme="majorEastAsia" w:hAnsiTheme="majorEastAsia" w:eastAsiaTheme="majorEastAsia" w:cstheme="majorEastAsia"/>
          <w:color w:val="auto"/>
          <w:sz w:val="21"/>
          <w:szCs w:val="21"/>
          <w:highlight w:val="none"/>
          <w:u w:val="single"/>
        </w:rPr>
        <w:t>“约定送达地址”</w:t>
      </w:r>
      <w:r>
        <w:rPr>
          <w:rFonts w:hint="eastAsia" w:asciiTheme="majorEastAsia" w:hAnsiTheme="majorEastAsia" w:eastAsiaTheme="majorEastAsia" w:cstheme="majorEastAsia"/>
          <w:color w:val="auto"/>
          <w:sz w:val="21"/>
          <w:szCs w:val="21"/>
          <w:highlight w:val="none"/>
        </w:rPr>
        <w:t>为收件地址的所有通知、文件、材料，均视为已向对方当事人送达；任何一方变更上述送达方式或者地址的，应于</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个工作日（根据项目实际情况填写）内书面通知对方当事人，在对方当事人收到有关变更通知之前，变更前的约定送达方式或者地址仍视为有效。</w:t>
      </w:r>
      <w:bookmarkEnd w:id="343"/>
      <w:bookmarkEnd w:id="344"/>
    </w:p>
    <w:p w14:paraId="75342250">
      <w:pPr>
        <w:spacing w:line="360" w:lineRule="auto"/>
        <w:ind w:firstLine="420" w:firstLineChars="200"/>
        <w:rPr>
          <w:rFonts w:hint="eastAsia" w:asciiTheme="majorEastAsia" w:hAnsiTheme="majorEastAsia" w:eastAsiaTheme="majorEastAsia" w:cstheme="majorEastAsia"/>
          <w:color w:val="auto"/>
          <w:sz w:val="21"/>
          <w:szCs w:val="21"/>
          <w:highlight w:val="none"/>
        </w:rPr>
      </w:pPr>
      <w:bookmarkStart w:id="348" w:name="_Toc23294"/>
      <w:bookmarkStart w:id="349" w:name="_Toc23128"/>
      <w:r>
        <w:rPr>
          <w:rFonts w:hint="eastAsia" w:asciiTheme="majorEastAsia" w:hAnsiTheme="majorEastAsia" w:eastAsiaTheme="majorEastAsia" w:cstheme="majorEastAsia"/>
          <w:color w:val="auto"/>
          <w:sz w:val="21"/>
          <w:szCs w:val="21"/>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48"/>
      <w:bookmarkEnd w:id="349"/>
    </w:p>
    <w:p w14:paraId="52BFEE87">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50" w:name="_Toc30599"/>
      <w:bookmarkStart w:id="351" w:name="_Toc18540"/>
      <w:bookmarkStart w:id="352" w:name="_Toc4355"/>
      <w:r>
        <w:rPr>
          <w:rFonts w:hint="eastAsia" w:asciiTheme="majorEastAsia" w:hAnsiTheme="majorEastAsia" w:eastAsiaTheme="majorEastAsia" w:cstheme="majorEastAsia"/>
          <w:b/>
          <w:color w:val="auto"/>
          <w:sz w:val="21"/>
          <w:szCs w:val="21"/>
          <w:highlight w:val="none"/>
        </w:rPr>
        <w:t>2.19 计量单位</w:t>
      </w:r>
      <w:bookmarkEnd w:id="345"/>
      <w:bookmarkEnd w:id="346"/>
      <w:bookmarkEnd w:id="347"/>
      <w:bookmarkEnd w:id="350"/>
      <w:bookmarkEnd w:id="351"/>
      <w:bookmarkEnd w:id="352"/>
    </w:p>
    <w:p w14:paraId="4BE40A31">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除技术规范中另有规定外,合同的计量单位均使用国家法定计量单位。</w:t>
      </w:r>
    </w:p>
    <w:p w14:paraId="1AB208B4">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53" w:name="_Toc487900373"/>
      <w:bookmarkStart w:id="354" w:name="_Toc279701263"/>
      <w:bookmarkStart w:id="355" w:name="_Toc10330"/>
      <w:bookmarkStart w:id="356" w:name="_Toc18567"/>
      <w:bookmarkStart w:id="357" w:name="_Toc259093692"/>
      <w:bookmarkStart w:id="358" w:name="_Toc12773"/>
      <w:r>
        <w:rPr>
          <w:rFonts w:hint="eastAsia" w:asciiTheme="majorEastAsia" w:hAnsiTheme="majorEastAsia" w:eastAsiaTheme="majorEastAsia" w:cstheme="majorEastAsia"/>
          <w:b/>
          <w:color w:val="auto"/>
          <w:sz w:val="21"/>
          <w:szCs w:val="21"/>
          <w:highlight w:val="none"/>
        </w:rPr>
        <w:t>2.20 合同使用的文字和适用的法律</w:t>
      </w:r>
      <w:bookmarkEnd w:id="353"/>
      <w:bookmarkEnd w:id="354"/>
      <w:bookmarkEnd w:id="355"/>
      <w:bookmarkEnd w:id="356"/>
      <w:bookmarkEnd w:id="357"/>
      <w:bookmarkEnd w:id="358"/>
    </w:p>
    <w:p w14:paraId="348249D0">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2.20.1 合同使用汉语书就、变更和解释；</w:t>
      </w:r>
    </w:p>
    <w:p w14:paraId="59228FED">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2.20.2 合同适用中华人民共和国法律。</w:t>
      </w:r>
    </w:p>
    <w:p w14:paraId="172AA687">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59" w:name="_Toc12004"/>
      <w:bookmarkStart w:id="360" w:name="_Toc3148"/>
      <w:bookmarkStart w:id="361" w:name="_Toc259093693"/>
      <w:bookmarkStart w:id="362" w:name="_Toc279701264"/>
      <w:bookmarkStart w:id="363" w:name="_Toc16673"/>
      <w:bookmarkStart w:id="364" w:name="_Toc487900374"/>
      <w:r>
        <w:rPr>
          <w:rFonts w:hint="eastAsia" w:asciiTheme="majorEastAsia" w:hAnsiTheme="majorEastAsia" w:eastAsiaTheme="majorEastAsia" w:cstheme="majorEastAsia"/>
          <w:b/>
          <w:color w:val="auto"/>
          <w:sz w:val="21"/>
          <w:szCs w:val="21"/>
          <w:highlight w:val="none"/>
        </w:rPr>
        <w:t>2.21 履约保证金</w:t>
      </w:r>
      <w:bookmarkEnd w:id="359"/>
      <w:bookmarkEnd w:id="360"/>
      <w:bookmarkEnd w:id="361"/>
      <w:bookmarkEnd w:id="362"/>
      <w:bookmarkEnd w:id="363"/>
    </w:p>
    <w:p w14:paraId="2E36874B">
      <w:pPr>
        <w:spacing w:line="360" w:lineRule="auto"/>
        <w:ind w:firstLine="420" w:firstLineChars="200"/>
        <w:rPr>
          <w:rFonts w:hint="eastAsia"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本项目不收取履约保证金</w:t>
      </w:r>
    </w:p>
    <w:p w14:paraId="44052B9A">
      <w:pPr>
        <w:spacing w:line="360" w:lineRule="auto"/>
        <w:ind w:firstLine="422" w:firstLineChars="200"/>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b/>
          <w:color w:val="auto"/>
          <w:sz w:val="21"/>
          <w:szCs w:val="21"/>
          <w:highlight w:val="none"/>
        </w:rPr>
        <w:t>2.22 中小企业政策</w:t>
      </w:r>
    </w:p>
    <w:p w14:paraId="3C3BF4DB">
      <w:pPr>
        <w:spacing w:line="360" w:lineRule="auto"/>
        <w:ind w:firstLine="420" w:firstLineChars="200"/>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2.22.1本合同（□是  □否）为可融资合同，关于中小企业信用融资事项见采购文件“投标人须知正文”。</w:t>
      </w:r>
    </w:p>
    <w:p w14:paraId="26C31279">
      <w:pPr>
        <w:spacing w:line="360" w:lineRule="auto"/>
        <w:ind w:firstLine="420" w:firstLineChars="200"/>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2.22.2本合同（□是  □否）为中小企业预留合同。</w:t>
      </w:r>
    </w:p>
    <w:bookmarkEnd w:id="364"/>
    <w:p w14:paraId="7F65C706">
      <w:pPr>
        <w:spacing w:line="360" w:lineRule="auto"/>
        <w:ind w:firstLine="422" w:firstLineChars="200"/>
        <w:rPr>
          <w:rFonts w:hint="eastAsia" w:asciiTheme="majorEastAsia" w:hAnsiTheme="majorEastAsia" w:eastAsiaTheme="majorEastAsia" w:cstheme="majorEastAsia"/>
          <w:b/>
          <w:color w:val="auto"/>
          <w:sz w:val="21"/>
          <w:szCs w:val="21"/>
          <w:highlight w:val="none"/>
        </w:rPr>
      </w:pPr>
      <w:bookmarkStart w:id="365" w:name="_Toc6885"/>
      <w:bookmarkStart w:id="366" w:name="_Toc14001"/>
      <w:bookmarkStart w:id="367" w:name="_Toc19890"/>
      <w:r>
        <w:rPr>
          <w:rFonts w:hint="eastAsia" w:asciiTheme="majorEastAsia" w:hAnsiTheme="majorEastAsia" w:eastAsiaTheme="majorEastAsia" w:cstheme="majorEastAsia"/>
          <w:b/>
          <w:color w:val="auto"/>
          <w:sz w:val="21"/>
          <w:szCs w:val="21"/>
          <w:highlight w:val="none"/>
        </w:rPr>
        <w:t>2.23 合同份数</w:t>
      </w:r>
      <w:bookmarkEnd w:id="365"/>
      <w:bookmarkEnd w:id="366"/>
      <w:bookmarkEnd w:id="367"/>
    </w:p>
    <w:p w14:paraId="2E8B9324">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本合同壹式</w:t>
      </w:r>
      <w:r>
        <w:rPr>
          <w:rFonts w:hint="eastAsia" w:asciiTheme="majorEastAsia" w:hAnsiTheme="majorEastAsia" w:eastAsiaTheme="majorEastAsia" w:cstheme="majorEastAsia"/>
          <w:color w:val="auto"/>
          <w:sz w:val="21"/>
          <w:szCs w:val="21"/>
          <w:highlight w:val="none"/>
          <w:u w:val="single"/>
        </w:rPr>
        <w:t xml:space="preserve"> 陆  </w:t>
      </w:r>
      <w:r>
        <w:rPr>
          <w:rFonts w:hint="eastAsia" w:asciiTheme="majorEastAsia" w:hAnsiTheme="majorEastAsia" w:eastAsiaTheme="majorEastAsia" w:cstheme="majorEastAsia"/>
          <w:color w:val="auto"/>
          <w:sz w:val="21"/>
          <w:szCs w:val="21"/>
          <w:highlight w:val="none"/>
        </w:rPr>
        <w:t>份，甲方执</w:t>
      </w:r>
      <w:r>
        <w:rPr>
          <w:rFonts w:hint="eastAsia" w:asciiTheme="majorEastAsia" w:hAnsiTheme="majorEastAsia" w:eastAsiaTheme="majorEastAsia" w:cstheme="majorEastAsia"/>
          <w:color w:val="auto"/>
          <w:sz w:val="21"/>
          <w:szCs w:val="21"/>
          <w:highlight w:val="none"/>
          <w:u w:val="single"/>
        </w:rPr>
        <w:t xml:space="preserve">  叁 </w:t>
      </w:r>
      <w:r>
        <w:rPr>
          <w:rFonts w:hint="eastAsia" w:asciiTheme="majorEastAsia" w:hAnsiTheme="majorEastAsia" w:eastAsiaTheme="majorEastAsia" w:cstheme="majorEastAsia"/>
          <w:color w:val="auto"/>
          <w:sz w:val="21"/>
          <w:szCs w:val="21"/>
          <w:highlight w:val="none"/>
        </w:rPr>
        <w:t>份，乙方执</w:t>
      </w:r>
      <w:r>
        <w:rPr>
          <w:rFonts w:hint="eastAsia" w:asciiTheme="majorEastAsia" w:hAnsiTheme="majorEastAsia" w:eastAsiaTheme="majorEastAsia" w:cstheme="majorEastAsia"/>
          <w:color w:val="auto"/>
          <w:sz w:val="21"/>
          <w:szCs w:val="21"/>
          <w:highlight w:val="none"/>
          <w:u w:val="single"/>
        </w:rPr>
        <w:t xml:space="preserve"> 叁  </w:t>
      </w:r>
      <w:r>
        <w:rPr>
          <w:rFonts w:hint="eastAsia" w:asciiTheme="majorEastAsia" w:hAnsiTheme="majorEastAsia" w:eastAsiaTheme="majorEastAsia" w:cstheme="majorEastAsia"/>
          <w:color w:val="auto"/>
          <w:sz w:val="21"/>
          <w:szCs w:val="21"/>
          <w:highlight w:val="none"/>
        </w:rPr>
        <w:t>份。每份均具有同等法律效力。</w:t>
      </w:r>
    </w:p>
    <w:p w14:paraId="67E26730">
      <w:pPr>
        <w:spacing w:line="360" w:lineRule="auto"/>
        <w:jc w:val="center"/>
        <w:rPr>
          <w:rFonts w:hint="eastAsia" w:asciiTheme="majorEastAsia" w:hAnsiTheme="majorEastAsia" w:eastAsiaTheme="majorEastAsia" w:cstheme="majorEastAsia"/>
          <w:b/>
          <w:color w:val="auto"/>
          <w:sz w:val="22"/>
          <w:szCs w:val="22"/>
          <w:highlight w:val="none"/>
        </w:rPr>
      </w:pPr>
      <w:r>
        <w:rPr>
          <w:rFonts w:hint="eastAsia" w:asciiTheme="majorEastAsia" w:hAnsiTheme="majorEastAsia" w:eastAsiaTheme="majorEastAsia" w:cstheme="majorEastAsia"/>
          <w:color w:val="auto"/>
          <w:sz w:val="18"/>
          <w:szCs w:val="21"/>
          <w:highlight w:val="none"/>
        </w:rPr>
        <w:br w:type="page"/>
      </w:r>
      <w:bookmarkStart w:id="368" w:name="_Toc331685784"/>
      <w:r>
        <w:rPr>
          <w:rFonts w:hint="eastAsia" w:asciiTheme="majorEastAsia" w:hAnsiTheme="majorEastAsia" w:eastAsiaTheme="majorEastAsia" w:cstheme="majorEastAsia"/>
          <w:b/>
          <w:color w:val="auto"/>
          <w:sz w:val="22"/>
          <w:szCs w:val="22"/>
          <w:highlight w:val="none"/>
        </w:rPr>
        <w:t>第三部分  合同专用条款</w:t>
      </w:r>
      <w:bookmarkEnd w:id="368"/>
    </w:p>
    <w:p w14:paraId="13A1F6D7">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0EFC0FC">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2.3.2具有知识产权的标的物知识产权归属：</w:t>
      </w:r>
    </w:p>
    <w:p w14:paraId="2218100C">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 xml:space="preserve">           </w:t>
      </w:r>
    </w:p>
    <w:p w14:paraId="3754BB6A">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2.4.1包装和装运专用条款（如果有）：</w:t>
      </w:r>
    </w:p>
    <w:p w14:paraId="42948530">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 xml:space="preserve">                                                                     </w:t>
      </w:r>
    </w:p>
    <w:p w14:paraId="496143F5">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2.4.2装运标的物的要求和通知：</w:t>
      </w:r>
    </w:p>
    <w:p w14:paraId="5E92B359">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 xml:space="preserve">                                                                     </w:t>
      </w:r>
    </w:p>
    <w:p w14:paraId="18E73E9B">
      <w:pPr>
        <w:spacing w:line="360" w:lineRule="auto"/>
        <w:ind w:firstLine="420"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color w:val="auto"/>
          <w:sz w:val="21"/>
          <w:szCs w:val="21"/>
          <w:highlight w:val="none"/>
        </w:rPr>
        <w:t>2.6</w:t>
      </w:r>
      <w:r>
        <w:rPr>
          <w:rFonts w:hint="eastAsia" w:asciiTheme="majorEastAsia" w:hAnsiTheme="majorEastAsia" w:eastAsiaTheme="majorEastAsia" w:cstheme="majorEastAsia"/>
          <w:b/>
          <w:color w:val="auto"/>
          <w:sz w:val="21"/>
          <w:szCs w:val="21"/>
          <w:highlight w:val="none"/>
        </w:rPr>
        <w:t>结算方式和付款条件</w:t>
      </w:r>
    </w:p>
    <w:p w14:paraId="462885D4">
      <w:pPr>
        <w:spacing w:line="360" w:lineRule="auto"/>
        <w:ind w:firstLine="420" w:firstLineChars="200"/>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本次项目合同总价为大写人民币</w:t>
      </w:r>
      <w:r>
        <w:rPr>
          <w:rFonts w:hint="eastAsia" w:asciiTheme="majorEastAsia" w:hAnsiTheme="majorEastAsia" w:eastAsiaTheme="majorEastAsia" w:cstheme="majorEastAsia"/>
          <w:color w:val="auto"/>
          <w:kern w:val="0"/>
          <w:sz w:val="21"/>
          <w:szCs w:val="21"/>
          <w:highlight w:val="none"/>
          <w:u w:val="single"/>
          <w:lang w:val="zh-CN"/>
        </w:rPr>
        <w:t xml:space="preserve">            （</w:t>
      </w:r>
      <w:r>
        <w:rPr>
          <w:rFonts w:hint="eastAsia" w:asciiTheme="majorEastAsia" w:hAnsiTheme="majorEastAsia" w:eastAsiaTheme="majorEastAsia" w:cstheme="majorEastAsia"/>
          <w:color w:val="auto"/>
          <w:kern w:val="0"/>
          <w:sz w:val="21"/>
          <w:szCs w:val="21"/>
          <w:highlight w:val="none"/>
          <w:lang w:val="zh-CN"/>
        </w:rPr>
        <w:t>￥    元）。本项目采用以下勾选结算方式进行支付：</w:t>
      </w:r>
    </w:p>
    <w:p w14:paraId="26655DA8">
      <w:pPr>
        <w:spacing w:line="360" w:lineRule="auto"/>
        <w:ind w:firstLine="420" w:firstLineChars="200"/>
        <w:rPr>
          <w:rFonts w:hint="eastAsia" w:asciiTheme="majorEastAsia" w:hAnsiTheme="majorEastAsia" w:eastAsiaTheme="majorEastAsia" w:cstheme="majorEastAsia"/>
          <w:color w:val="auto"/>
          <w:kern w:val="0"/>
          <w:sz w:val="21"/>
          <w:szCs w:val="21"/>
          <w:highlight w:val="none"/>
          <w:lang w:val="zh-CN"/>
        </w:rPr>
      </w:pPr>
      <w:r>
        <w:rPr>
          <w:rFonts w:hint="eastAsia" w:asciiTheme="majorEastAsia" w:hAnsiTheme="majorEastAsia" w:eastAsiaTheme="majorEastAsia" w:cstheme="majorEastAsia"/>
          <w:color w:val="auto"/>
          <w:kern w:val="0"/>
          <w:sz w:val="21"/>
          <w:szCs w:val="21"/>
          <w:highlight w:val="none"/>
          <w:lang w:val="zh-CN"/>
        </w:rPr>
        <w:t>□采用一次性支付方式，付款条件为：</w:t>
      </w:r>
      <w:r>
        <w:rPr>
          <w:rFonts w:hint="eastAsia" w:asciiTheme="majorEastAsia" w:hAnsiTheme="majorEastAsia" w:eastAsiaTheme="majorEastAsia" w:cstheme="majorEastAsia"/>
          <w:color w:val="auto"/>
          <w:kern w:val="0"/>
          <w:sz w:val="21"/>
          <w:szCs w:val="21"/>
          <w:highlight w:val="none"/>
          <w:u w:val="single"/>
        </w:rPr>
        <w:t xml:space="preserve">           </w:t>
      </w:r>
    </w:p>
    <w:p w14:paraId="00B4563C">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zh-CN"/>
        </w:rPr>
        <w:t>☑采用分期付款方式，付款条件为</w:t>
      </w:r>
      <w:r>
        <w:rPr>
          <w:rFonts w:hint="eastAsia" w:asciiTheme="majorEastAsia" w:hAnsiTheme="majorEastAsia" w:eastAsiaTheme="majorEastAsia" w:cstheme="majorEastAsia"/>
          <w:color w:val="auto"/>
          <w:kern w:val="0"/>
          <w:sz w:val="21"/>
          <w:szCs w:val="21"/>
          <w:highlight w:val="none"/>
        </w:rPr>
        <w:t>：</w:t>
      </w:r>
    </w:p>
    <w:p w14:paraId="5E9B7918">
      <w:pPr>
        <w:pStyle w:val="27"/>
        <w:adjustRightInd w:val="0"/>
        <w:snapToGrid w:val="0"/>
        <w:spacing w:line="360" w:lineRule="auto"/>
        <w:ind w:firstLine="420" w:firstLineChars="200"/>
        <w:rPr>
          <w:rFonts w:hint="eastAsia" w:ascii="宋体" w:hAnsi="宋体" w:eastAsia="宋体" w:cs="宋体"/>
          <w:color w:val="auto"/>
          <w:sz w:val="21"/>
          <w:highlight w:val="none"/>
        </w:rPr>
      </w:pPr>
      <w:r>
        <w:rPr>
          <w:rFonts w:hint="eastAsia" w:hAnsi="宋体" w:cs="宋体"/>
          <w:color w:val="auto"/>
          <w:sz w:val="21"/>
          <w:highlight w:val="none"/>
        </w:rPr>
        <w:t>（1）签订合同后，供应商安排技术人员到位，</w:t>
      </w:r>
      <w:r>
        <w:rPr>
          <w:rFonts w:hint="eastAsia" w:hAnsi="宋体" w:cs="宋体"/>
          <w:color w:val="auto"/>
          <w:sz w:val="21"/>
          <w:highlight w:val="none"/>
          <w:lang w:val="en-US" w:eastAsia="zh-CN"/>
        </w:rPr>
        <w:t>具备可实施条件</w:t>
      </w:r>
      <w:r>
        <w:rPr>
          <w:rFonts w:hint="eastAsia" w:hAnsi="宋体" w:cs="宋体"/>
          <w:color w:val="auto"/>
          <w:sz w:val="21"/>
          <w:highlight w:val="none"/>
        </w:rPr>
        <w:t>后，采购人在成交供应商开具等额发票后向乙方支</w:t>
      </w:r>
      <w:r>
        <w:rPr>
          <w:rFonts w:hint="eastAsia" w:ascii="宋体" w:hAnsi="宋体" w:eastAsia="宋体" w:cs="宋体"/>
          <w:color w:val="auto"/>
          <w:sz w:val="21"/>
          <w:highlight w:val="none"/>
        </w:rPr>
        <w:t>付合同价款的30%。</w:t>
      </w:r>
    </w:p>
    <w:p w14:paraId="3AF51A8B">
      <w:pPr>
        <w:pStyle w:val="27"/>
        <w:adjustRightInd w:val="0"/>
        <w:snapToGrid w:val="0"/>
        <w:spacing w:line="360" w:lineRule="auto"/>
        <w:ind w:firstLine="420" w:firstLineChars="200"/>
        <w:rPr>
          <w:rFonts w:hAnsi="宋体" w:cs="宋体"/>
          <w:color w:val="auto"/>
          <w:sz w:val="21"/>
          <w:highlight w:val="none"/>
        </w:rPr>
      </w:pPr>
      <w:r>
        <w:rPr>
          <w:rFonts w:hint="eastAsia" w:ascii="宋体" w:hAnsi="宋体" w:eastAsia="宋体" w:cs="宋体"/>
          <w:color w:val="auto"/>
          <w:sz w:val="21"/>
          <w:highlight w:val="none"/>
        </w:rPr>
        <w:t>（2）供应商</w:t>
      </w:r>
      <w:r>
        <w:rPr>
          <w:rFonts w:hint="eastAsia" w:ascii="宋体" w:hAnsi="宋体" w:eastAsia="宋体" w:cs="宋体"/>
          <w:color w:val="auto"/>
          <w:sz w:val="21"/>
          <w:highlight w:val="none"/>
          <w:lang w:val="en-US" w:eastAsia="zh-CN"/>
        </w:rPr>
        <w:t>向采购人</w:t>
      </w:r>
      <w:r>
        <w:rPr>
          <w:rFonts w:hint="eastAsia" w:ascii="宋体" w:hAnsi="宋体" w:eastAsia="宋体" w:cs="宋体"/>
          <w:color w:val="auto"/>
          <w:sz w:val="21"/>
          <w:highlight w:val="none"/>
        </w:rPr>
        <w:t>提交规划成果送审稿后，采</w:t>
      </w:r>
      <w:r>
        <w:rPr>
          <w:rFonts w:hint="eastAsia" w:hAnsi="宋体" w:cs="宋体"/>
          <w:color w:val="auto"/>
          <w:sz w:val="21"/>
          <w:highlight w:val="none"/>
        </w:rPr>
        <w:t>购人在成交供应商开具等额发票后向成交供应商支付合同总价的30%；</w:t>
      </w:r>
    </w:p>
    <w:p w14:paraId="426AB8E3">
      <w:pPr>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（3）供应商完成项目全部工作并上交成果且经通过</w:t>
      </w:r>
      <w:r>
        <w:rPr>
          <w:rFonts w:hint="eastAsia" w:hAnsi="宋体" w:cs="宋体"/>
          <w:color w:val="auto"/>
          <w:sz w:val="21"/>
          <w:highlight w:val="none"/>
          <w:lang w:val="en-US" w:eastAsia="zh-CN"/>
        </w:rPr>
        <w:t>专家评审</w:t>
      </w:r>
      <w:r>
        <w:rPr>
          <w:rFonts w:hint="eastAsia" w:hAnsi="宋体" w:cs="宋体"/>
          <w:color w:val="auto"/>
          <w:sz w:val="21"/>
          <w:highlight w:val="none"/>
        </w:rPr>
        <w:t>后，采购人在成交供应商开具等额发票后向成交供应商支付合同总价的40%。</w:t>
      </w:r>
    </w:p>
    <w:p w14:paraId="2413E20E">
      <w:pPr>
        <w:spacing w:line="360" w:lineRule="auto"/>
        <w:ind w:firstLine="420"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color w:val="auto"/>
          <w:sz w:val="21"/>
          <w:szCs w:val="21"/>
          <w:highlight w:val="none"/>
        </w:rPr>
        <w:t>2.9</w:t>
      </w:r>
      <w:r>
        <w:rPr>
          <w:rFonts w:hint="eastAsia" w:asciiTheme="majorEastAsia" w:hAnsiTheme="majorEastAsia" w:eastAsiaTheme="majorEastAsia" w:cstheme="majorEastAsia"/>
          <w:b/>
          <w:color w:val="auto"/>
          <w:sz w:val="21"/>
          <w:szCs w:val="21"/>
          <w:highlight w:val="none"/>
        </w:rPr>
        <w:t>标的物的风险负担</w:t>
      </w:r>
    </w:p>
    <w:p w14:paraId="156EBC00">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标的物或者在途标的物或者交付给第一承运人后的标的物毁损、灭失的风险负担：</w:t>
      </w:r>
    </w:p>
    <w:p w14:paraId="741DE674">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u w:val="single"/>
        </w:rPr>
        <w:t xml:space="preserve">乙方   </w:t>
      </w:r>
    </w:p>
    <w:p w14:paraId="1FB6B890">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2.13.2受不可抗力影响的一方在不可抗力发生后，应在</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日内（根据项目实际填写）以书面形式通知对方当事人，并在</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日内，将有关部门出具的证明文件送达对方当事人。</w:t>
      </w:r>
    </w:p>
    <w:p w14:paraId="1EDDF77D">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2.13.4因不可抗力致使合同有变更必要的，双方当事人应在</w:t>
      </w:r>
      <w:r>
        <w:rPr>
          <w:rFonts w:hint="eastAsia" w:asciiTheme="majorEastAsia" w:hAnsiTheme="majorEastAsia" w:eastAsiaTheme="majorEastAsia" w:cstheme="majorEastAsia"/>
          <w:color w:val="auto"/>
          <w:sz w:val="21"/>
          <w:szCs w:val="21"/>
          <w:highlight w:val="none"/>
          <w:u w:val="single"/>
        </w:rPr>
        <w:t xml:space="preserve">    </w:t>
      </w:r>
      <w:r>
        <w:rPr>
          <w:rFonts w:hint="eastAsia" w:asciiTheme="majorEastAsia" w:hAnsiTheme="majorEastAsia" w:eastAsiaTheme="majorEastAsia" w:cstheme="majorEastAsia"/>
          <w:color w:val="auto"/>
          <w:sz w:val="21"/>
          <w:szCs w:val="21"/>
          <w:highlight w:val="none"/>
        </w:rPr>
        <w:t>日内（根据项目实际填写）以书面形式变更合同；</w:t>
      </w:r>
    </w:p>
    <w:p w14:paraId="2A82DCB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2.17.1标的物交付前，乙方应对标的物的质量、数量等方面进行详细、全面的检验，并向甲方出具证明标的物符合合同约定的文件；标的物交付时，乙方在</w:t>
      </w:r>
      <w:r>
        <w:rPr>
          <w:rFonts w:hint="eastAsia" w:asciiTheme="majorEastAsia" w:hAnsiTheme="majorEastAsia" w:eastAsiaTheme="majorEastAsia" w:cstheme="majorEastAsia"/>
          <w:color w:val="auto"/>
          <w:sz w:val="21"/>
          <w:szCs w:val="21"/>
          <w:highlight w:val="none"/>
          <w:u w:val="single"/>
        </w:rPr>
        <w:t xml:space="preserve">  10   </w:t>
      </w:r>
      <w:r>
        <w:rPr>
          <w:rFonts w:hint="eastAsia" w:asciiTheme="majorEastAsia" w:hAnsiTheme="majorEastAsia" w:eastAsiaTheme="majorEastAsia" w:cstheme="majorEastAsia"/>
          <w:color w:val="auto"/>
          <w:sz w:val="21"/>
          <w:szCs w:val="21"/>
          <w:highlight w:val="none"/>
        </w:rPr>
        <w:t>日内发（根据项目实际填写）起验收，并可依法邀请相关方参加，验收应出具验收书。</w:t>
      </w:r>
    </w:p>
    <w:p w14:paraId="0EE3124E">
      <w:pPr>
        <w:spacing w:line="360" w:lineRule="auto"/>
        <w:ind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2.17.3 检验和验收标准、程序等具体内容以及前述验收书的效力：</w:t>
      </w:r>
      <w:r>
        <w:rPr>
          <w:rFonts w:hint="eastAsia" w:asciiTheme="majorEastAsia" w:hAnsiTheme="majorEastAsia" w:eastAsiaTheme="majorEastAsia" w:cstheme="majorEastAsia"/>
          <w:color w:val="auto"/>
          <w:sz w:val="21"/>
          <w:szCs w:val="21"/>
          <w:highlight w:val="none"/>
          <w:u w:val="single"/>
        </w:rPr>
        <w:t xml:space="preserve">                                                                       </w:t>
      </w:r>
    </w:p>
    <w:p w14:paraId="30B09CA3">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3.1 其他：</w:t>
      </w:r>
    </w:p>
    <w:p w14:paraId="60D63C8B">
      <w:pPr>
        <w:spacing w:line="360" w:lineRule="auto"/>
        <w:ind w:firstLine="422"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项目验收：</w:t>
      </w:r>
    </w:p>
    <w:p w14:paraId="7E2B3A47">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甲方参照《政府采购供应商履约验收评价管理办法》规定组织对乙方履约的验收。验收方成员应当在验收书上签字，并承担相应的法律责任。如果发现与合同中要求不符，乙方须承担由此发生的一切损失和费用，并接受相应的处理。</w:t>
      </w:r>
    </w:p>
    <w:p w14:paraId="04D93E32">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CD585CF">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6EC079D">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4、验收产生的费用首次验收费用由甲方承担，如首次验收不合格，后续验收费用由乙方支付。</w:t>
      </w:r>
    </w:p>
    <w:p w14:paraId="5FEF7A8B">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5、验收内容及资料要求：</w:t>
      </w:r>
    </w:p>
    <w:p w14:paraId="5569852A">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根根据采购文件确定的技术指标或者服务要求确定验收指标和标准。未进行相应约定的，应当符合国家强制性规定、政策要求、安全标准、行业或企业有关标准等。</w:t>
      </w:r>
    </w:p>
    <w:p w14:paraId="5E73321B">
      <w:pPr>
        <w:tabs>
          <w:tab w:val="left" w:pos="904"/>
        </w:tabs>
        <w:snapToGrid w:val="0"/>
        <w:spacing w:line="360" w:lineRule="auto"/>
        <w:ind w:firstLine="420" w:firstLineChars="20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5.1验收内容</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31EA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6B9CBAE1">
            <w:pPr>
              <w:widowControl/>
              <w:spacing w:line="360" w:lineRule="auto"/>
              <w:ind w:firstLine="200"/>
              <w:jc w:val="center"/>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序号</w:t>
            </w:r>
          </w:p>
        </w:tc>
        <w:tc>
          <w:tcPr>
            <w:tcW w:w="1914" w:type="dxa"/>
            <w:noWrap w:val="0"/>
            <w:vAlign w:val="center"/>
          </w:tcPr>
          <w:p w14:paraId="53FE038C">
            <w:pPr>
              <w:widowControl/>
              <w:spacing w:line="360" w:lineRule="auto"/>
              <w:ind w:firstLine="200"/>
              <w:jc w:val="center"/>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验收内容</w:t>
            </w:r>
          </w:p>
        </w:tc>
        <w:tc>
          <w:tcPr>
            <w:tcW w:w="5930" w:type="dxa"/>
            <w:noWrap w:val="0"/>
            <w:vAlign w:val="center"/>
          </w:tcPr>
          <w:p w14:paraId="5A718E82">
            <w:pPr>
              <w:widowControl/>
              <w:spacing w:line="360" w:lineRule="auto"/>
              <w:ind w:firstLine="200"/>
              <w:jc w:val="center"/>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 xml:space="preserve"> 验收标准</w:t>
            </w:r>
          </w:p>
        </w:tc>
      </w:tr>
      <w:tr w14:paraId="4237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6C8CA0B0">
            <w:pPr>
              <w:widowControl/>
              <w:spacing w:line="360" w:lineRule="auto"/>
              <w:ind w:firstLine="200"/>
              <w:jc w:val="center"/>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1</w:t>
            </w:r>
          </w:p>
        </w:tc>
        <w:tc>
          <w:tcPr>
            <w:tcW w:w="1914" w:type="dxa"/>
            <w:noWrap w:val="0"/>
            <w:vAlign w:val="center"/>
          </w:tcPr>
          <w:p w14:paraId="1D5A3E48">
            <w:pPr>
              <w:widowControl/>
              <w:spacing w:line="360" w:lineRule="auto"/>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交付标的物数量</w:t>
            </w:r>
          </w:p>
        </w:tc>
        <w:tc>
          <w:tcPr>
            <w:tcW w:w="5930" w:type="dxa"/>
            <w:noWrap w:val="0"/>
            <w:vAlign w:val="center"/>
          </w:tcPr>
          <w:p w14:paraId="78D2613E">
            <w:pPr>
              <w:widowControl/>
              <w:spacing w:line="360" w:lineRule="auto"/>
              <w:ind w:firstLine="200"/>
              <w:jc w:val="center"/>
              <w:rPr>
                <w:rFonts w:hint="eastAsia" w:asciiTheme="majorEastAsia" w:hAnsiTheme="majorEastAsia" w:eastAsiaTheme="majorEastAsia" w:cstheme="majorEastAsia"/>
                <w:color w:val="auto"/>
                <w:kern w:val="0"/>
                <w:sz w:val="21"/>
                <w:szCs w:val="21"/>
                <w:highlight w:val="none"/>
              </w:rPr>
            </w:pPr>
          </w:p>
        </w:tc>
      </w:tr>
      <w:tr w14:paraId="636D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43EBCE85">
            <w:pPr>
              <w:widowControl/>
              <w:spacing w:line="360" w:lineRule="auto"/>
              <w:ind w:firstLine="200"/>
              <w:jc w:val="center"/>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2</w:t>
            </w:r>
          </w:p>
        </w:tc>
        <w:tc>
          <w:tcPr>
            <w:tcW w:w="1914" w:type="dxa"/>
            <w:noWrap w:val="0"/>
            <w:vAlign w:val="center"/>
          </w:tcPr>
          <w:p w14:paraId="626A11E8">
            <w:pPr>
              <w:widowControl/>
              <w:spacing w:line="360" w:lineRule="auto"/>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交付标的物质量文件</w:t>
            </w:r>
          </w:p>
        </w:tc>
        <w:tc>
          <w:tcPr>
            <w:tcW w:w="5930" w:type="dxa"/>
            <w:noWrap w:val="0"/>
            <w:vAlign w:val="center"/>
          </w:tcPr>
          <w:p w14:paraId="3EC0F14A">
            <w:pPr>
              <w:widowControl/>
              <w:spacing w:line="360" w:lineRule="auto"/>
              <w:ind w:firstLine="200"/>
              <w:jc w:val="center"/>
              <w:rPr>
                <w:rFonts w:hint="eastAsia" w:asciiTheme="majorEastAsia" w:hAnsiTheme="majorEastAsia" w:eastAsiaTheme="majorEastAsia" w:cstheme="majorEastAsia"/>
                <w:color w:val="auto"/>
                <w:kern w:val="0"/>
                <w:sz w:val="21"/>
                <w:szCs w:val="21"/>
                <w:highlight w:val="none"/>
              </w:rPr>
            </w:pPr>
          </w:p>
        </w:tc>
      </w:tr>
      <w:tr w14:paraId="2598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2A181172">
            <w:pPr>
              <w:widowControl/>
              <w:spacing w:line="360" w:lineRule="auto"/>
              <w:ind w:firstLine="200"/>
              <w:jc w:val="center"/>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4</w:t>
            </w:r>
          </w:p>
        </w:tc>
        <w:tc>
          <w:tcPr>
            <w:tcW w:w="1914" w:type="dxa"/>
            <w:noWrap w:val="0"/>
            <w:vAlign w:val="center"/>
          </w:tcPr>
          <w:p w14:paraId="464108E3">
            <w:pPr>
              <w:spacing w:line="360" w:lineRule="auto"/>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 xml:space="preserve">交付标的物技术、性能指标 </w:t>
            </w:r>
          </w:p>
        </w:tc>
        <w:tc>
          <w:tcPr>
            <w:tcW w:w="5930" w:type="dxa"/>
            <w:noWrap w:val="0"/>
            <w:vAlign w:val="center"/>
          </w:tcPr>
          <w:p w14:paraId="19C78028">
            <w:pPr>
              <w:pStyle w:val="20"/>
              <w:spacing w:after="0" w:line="360" w:lineRule="auto"/>
              <w:ind w:firstLine="200"/>
              <w:jc w:val="left"/>
              <w:rPr>
                <w:rFonts w:hint="eastAsia" w:asciiTheme="majorEastAsia" w:hAnsiTheme="majorEastAsia" w:eastAsiaTheme="majorEastAsia" w:cstheme="majorEastAsia"/>
                <w:color w:val="auto"/>
                <w:sz w:val="18"/>
                <w:szCs w:val="21"/>
                <w:highlight w:val="none"/>
              </w:rPr>
            </w:pPr>
          </w:p>
        </w:tc>
      </w:tr>
      <w:tr w14:paraId="7F88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03145940">
            <w:pPr>
              <w:widowControl/>
              <w:spacing w:line="360" w:lineRule="auto"/>
              <w:ind w:firstLine="200"/>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914" w:type="dxa"/>
            <w:noWrap w:val="0"/>
            <w:vAlign w:val="center"/>
          </w:tcPr>
          <w:p w14:paraId="35D91B68">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售后服务承诺</w:t>
            </w:r>
          </w:p>
        </w:tc>
        <w:tc>
          <w:tcPr>
            <w:tcW w:w="5930" w:type="dxa"/>
            <w:noWrap w:val="0"/>
            <w:vAlign w:val="center"/>
          </w:tcPr>
          <w:p w14:paraId="3416EC63">
            <w:pPr>
              <w:widowControl/>
              <w:spacing w:line="360" w:lineRule="auto"/>
              <w:ind w:firstLine="200"/>
              <w:jc w:val="center"/>
              <w:rPr>
                <w:rFonts w:hint="eastAsia" w:asciiTheme="majorEastAsia" w:hAnsiTheme="majorEastAsia" w:eastAsiaTheme="majorEastAsia" w:cstheme="majorEastAsia"/>
                <w:color w:val="auto"/>
                <w:kern w:val="0"/>
                <w:sz w:val="21"/>
                <w:szCs w:val="21"/>
                <w:highlight w:val="none"/>
              </w:rPr>
            </w:pPr>
          </w:p>
        </w:tc>
      </w:tr>
      <w:tr w14:paraId="7721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6142126A">
            <w:pPr>
              <w:widowControl/>
              <w:spacing w:line="360" w:lineRule="auto"/>
              <w:ind w:firstLine="200"/>
              <w:jc w:val="center"/>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6</w:t>
            </w:r>
          </w:p>
        </w:tc>
        <w:tc>
          <w:tcPr>
            <w:tcW w:w="1914" w:type="dxa"/>
            <w:noWrap w:val="0"/>
            <w:vAlign w:val="center"/>
          </w:tcPr>
          <w:p w14:paraId="37D794E4">
            <w:pPr>
              <w:widowControl/>
              <w:spacing w:line="360" w:lineRule="auto"/>
              <w:rPr>
                <w:rFonts w:hint="eastAsia" w:asciiTheme="majorEastAsia" w:hAnsiTheme="majorEastAsia" w:eastAsiaTheme="majorEastAsia" w:cstheme="majorEastAsia"/>
                <w:bCs/>
                <w:color w:val="auto"/>
                <w:kern w:val="0"/>
                <w:sz w:val="21"/>
                <w:szCs w:val="21"/>
                <w:highlight w:val="none"/>
              </w:rPr>
            </w:pPr>
            <w:r>
              <w:rPr>
                <w:rFonts w:hint="eastAsia" w:asciiTheme="majorEastAsia" w:hAnsiTheme="majorEastAsia" w:eastAsiaTheme="majorEastAsia" w:cstheme="majorEastAsia"/>
                <w:bCs/>
                <w:color w:val="auto"/>
                <w:kern w:val="0"/>
                <w:sz w:val="21"/>
                <w:szCs w:val="21"/>
                <w:highlight w:val="none"/>
              </w:rPr>
              <w:t>其他工作</w:t>
            </w:r>
          </w:p>
        </w:tc>
        <w:tc>
          <w:tcPr>
            <w:tcW w:w="5930" w:type="dxa"/>
            <w:noWrap w:val="0"/>
            <w:vAlign w:val="center"/>
          </w:tcPr>
          <w:p w14:paraId="2BCBB473">
            <w:pPr>
              <w:widowControl/>
              <w:spacing w:line="360" w:lineRule="auto"/>
              <w:ind w:firstLine="200"/>
              <w:jc w:val="left"/>
              <w:rPr>
                <w:rFonts w:hint="eastAsia" w:asciiTheme="majorEastAsia" w:hAnsiTheme="majorEastAsia" w:eastAsiaTheme="majorEastAsia" w:cstheme="majorEastAsia"/>
                <w:color w:val="auto"/>
                <w:kern w:val="0"/>
                <w:sz w:val="21"/>
                <w:szCs w:val="21"/>
                <w:highlight w:val="none"/>
              </w:rPr>
            </w:pPr>
          </w:p>
        </w:tc>
      </w:tr>
    </w:tbl>
    <w:p w14:paraId="712D5005">
      <w:pPr>
        <w:tabs>
          <w:tab w:val="left" w:pos="904"/>
        </w:tabs>
        <w:snapToGrid w:val="0"/>
        <w:spacing w:line="360" w:lineRule="auto"/>
        <w:ind w:firstLine="420" w:firstLineChars="200"/>
        <w:jc w:val="left"/>
        <w:rPr>
          <w:rFonts w:hint="eastAsia" w:asciiTheme="majorEastAsia" w:hAnsiTheme="majorEastAsia" w:eastAsiaTheme="majorEastAsia" w:cstheme="majorEastAsia"/>
          <w:color w:val="auto"/>
          <w:sz w:val="21"/>
          <w:szCs w:val="21"/>
          <w:highlight w:val="none"/>
        </w:rPr>
      </w:pPr>
    </w:p>
    <w:p w14:paraId="7C746A52">
      <w:pPr>
        <w:tabs>
          <w:tab w:val="left" w:pos="904"/>
        </w:tabs>
        <w:snapToGrid w:val="0"/>
        <w:spacing w:line="360" w:lineRule="auto"/>
        <w:ind w:firstLine="420" w:firstLineChars="20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5.2验收资料要求</w:t>
      </w:r>
    </w:p>
    <w:p w14:paraId="6875A466">
      <w:pPr>
        <w:tabs>
          <w:tab w:val="left" w:pos="904"/>
        </w:tabs>
        <w:snapToGrid w:val="0"/>
        <w:spacing w:line="360" w:lineRule="auto"/>
        <w:ind w:firstLine="420" w:firstLineChars="20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验收资料要求包括（不限于）以下内容：</w:t>
      </w:r>
    </w:p>
    <w:p w14:paraId="39B3004A">
      <w:pPr>
        <w:tabs>
          <w:tab w:val="left" w:pos="904"/>
        </w:tabs>
        <w:adjustRightInd w:val="0"/>
        <w:snapToGrid w:val="0"/>
        <w:spacing w:line="360" w:lineRule="auto"/>
        <w:ind w:firstLine="210" w:firstLineChars="10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（1）采购文件；</w:t>
      </w:r>
    </w:p>
    <w:p w14:paraId="0FD601EE">
      <w:pPr>
        <w:tabs>
          <w:tab w:val="left" w:pos="904"/>
        </w:tabs>
        <w:adjustRightInd w:val="0"/>
        <w:snapToGrid w:val="0"/>
        <w:spacing w:line="360" w:lineRule="auto"/>
        <w:ind w:firstLine="210" w:firstLineChars="10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（2）投标文件；</w:t>
      </w:r>
    </w:p>
    <w:p w14:paraId="39D13F92">
      <w:pPr>
        <w:tabs>
          <w:tab w:val="left" w:pos="904"/>
        </w:tabs>
        <w:adjustRightInd w:val="0"/>
        <w:snapToGrid w:val="0"/>
        <w:spacing w:line="360" w:lineRule="auto"/>
        <w:ind w:firstLine="210" w:firstLineChars="10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（3）采购合同；</w:t>
      </w:r>
    </w:p>
    <w:p w14:paraId="64382A59">
      <w:pPr>
        <w:tabs>
          <w:tab w:val="left" w:pos="904"/>
        </w:tabs>
        <w:adjustRightInd w:val="0"/>
        <w:snapToGrid w:val="0"/>
        <w:spacing w:line="360" w:lineRule="auto"/>
        <w:ind w:firstLine="210" w:firstLineChars="100"/>
        <w:jc w:val="left"/>
        <w:rPr>
          <w:rFonts w:hint="eastAsia" w:asciiTheme="majorEastAsia" w:hAnsiTheme="majorEastAsia" w:eastAsiaTheme="majorEastAsia" w:cstheme="majorEastAsia"/>
          <w:color w:val="auto"/>
          <w:sz w:val="18"/>
          <w:szCs w:val="21"/>
          <w:highlight w:val="none"/>
        </w:rPr>
      </w:pPr>
      <w:r>
        <w:rPr>
          <w:rFonts w:hint="eastAsia" w:asciiTheme="majorEastAsia" w:hAnsiTheme="majorEastAsia" w:eastAsiaTheme="majorEastAsia" w:cstheme="majorEastAsia"/>
          <w:color w:val="auto"/>
          <w:sz w:val="21"/>
          <w:szCs w:val="21"/>
          <w:highlight w:val="none"/>
        </w:rPr>
        <w:t>（4）其他需提供的相关材料</w:t>
      </w:r>
      <w:r>
        <w:rPr>
          <w:rFonts w:hint="eastAsia" w:asciiTheme="majorEastAsia" w:hAnsiTheme="majorEastAsia" w:eastAsiaTheme="majorEastAsia" w:cstheme="majorEastAsia"/>
          <w:color w:val="auto"/>
          <w:sz w:val="21"/>
          <w:szCs w:val="21"/>
          <w:highlight w:val="none"/>
          <w:u w:val="single"/>
        </w:rPr>
        <w:t xml:space="preserve">                               </w:t>
      </w:r>
    </w:p>
    <w:p w14:paraId="68388F46">
      <w:pPr>
        <w:pStyle w:val="184"/>
        <w:ind w:firstLine="480"/>
        <w:rPr>
          <w:rFonts w:hint="eastAsia" w:asciiTheme="majorEastAsia" w:hAnsiTheme="majorEastAsia" w:eastAsiaTheme="majorEastAsia" w:cstheme="majorEastAsia"/>
          <w:color w:val="auto"/>
          <w:sz w:val="21"/>
          <w:szCs w:val="20"/>
          <w:highlight w:val="none"/>
        </w:rPr>
      </w:pPr>
    </w:p>
    <w:p w14:paraId="22B0ABD9">
      <w:pPr>
        <w:rPr>
          <w:rFonts w:hint="eastAsia" w:asciiTheme="majorEastAsia" w:hAnsiTheme="majorEastAsia" w:eastAsiaTheme="majorEastAsia" w:cstheme="majorEastAsia"/>
          <w:color w:val="auto"/>
          <w:sz w:val="18"/>
          <w:szCs w:val="21"/>
          <w:highlight w:val="none"/>
        </w:rPr>
      </w:pPr>
    </w:p>
    <w:p w14:paraId="15F95E67">
      <w:pPr>
        <w:adjustRightInd w:val="0"/>
        <w:snapToGrid w:val="0"/>
        <w:spacing w:line="360" w:lineRule="auto"/>
        <w:rPr>
          <w:color w:val="auto"/>
          <w:szCs w:val="21"/>
          <w:highlight w:val="none"/>
        </w:rPr>
      </w:pPr>
    </w:p>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B832C26-E80A-43F2-8499-2A98B4A49617}"/>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A0FFD74-7DD3-482F-BB8D-81C2FCBB8D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8781910-4AFE-4F73-A5EB-5A49C31A8A3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2C4EA6F9-1BFF-4000-8E5B-AF520664994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2"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金山简黑体">
    <w:altName w:val="黑体"/>
    <w:panose1 w:val="00000000000000000000"/>
    <w:charset w:val="86"/>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embedRegular r:id="rId5" w:fontKey="{503E5302-8406-4373-8045-3638C87AFA22}"/>
  </w:font>
  <w:font w:name="Wingdings 2">
    <w:panose1 w:val="05020102010507070707"/>
    <w:charset w:val="02"/>
    <w:family w:val="roman"/>
    <w:pitch w:val="default"/>
    <w:sig w:usb0="00000000" w:usb1="00000000" w:usb2="00000000" w:usb3="00000000" w:csb0="80000000" w:csb1="00000000"/>
    <w:embedRegular r:id="rId6" w:fontKey="{7518A0D7-9D74-4634-B380-D078BA2E62E2}"/>
  </w:font>
  <w:font w:name="华文楷体">
    <w:panose1 w:val="02010600040101010101"/>
    <w:charset w:val="86"/>
    <w:family w:val="auto"/>
    <w:pitch w:val="default"/>
    <w:sig w:usb0="00000287" w:usb1="080F0000" w:usb2="00000000" w:usb3="00000000" w:csb0="0004009F" w:csb1="DFD70000"/>
    <w:embedRegular r:id="rId7" w:fontKey="{59CC0EDB-8956-4B84-A1B8-667F03ECCFC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52E1E">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37F830">
                          <w:pPr>
                            <w:pStyle w:val="32"/>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vert="horz" wrap="none" lIns="0" tIns="0" rIns="0" bIns="0" anchor="t" anchorCtr="0">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z3dIHt8BAADDAwAADgAAAAAA&#10;AAABACAAAAAeAQAAZHJzL2Uyb0RvYy54bWxQSwUGAAAAAAYABgBZAQAAbwUAAAAA&#10;">
              <v:fill on="f" focussize="0,0"/>
              <v:stroke on="f"/>
              <v:imagedata o:title=""/>
              <o:lock v:ext="edit" aspectratio="f"/>
              <v:textbox inset="0mm,0mm,0mm,0mm" style="mso-fit-shape-to-text:t;">
                <w:txbxContent>
                  <w:p w14:paraId="2037F830">
                    <w:pPr>
                      <w:pStyle w:val="32"/>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14:paraId="0A3D3D16">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E637">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9A8CD5">
                          <w:pPr>
                            <w:pStyle w:val="32"/>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JZ3qyQEAAJ4DAAAOAAAAAAAAAAEAIAAAAB4BAABkcnMvZTJvRG9j&#10;LnhtbFBLBQYAAAAABgAGAFkBAABZBQAAAAA=&#10;">
              <v:fill on="f" focussize="0,0"/>
              <v:stroke on="f"/>
              <v:imagedata o:title=""/>
              <o:lock v:ext="edit" aspectratio="f"/>
              <v:textbox inset="0mm,0mm,0mm,0mm" style="mso-fit-shape-to-text:t;">
                <w:txbxContent>
                  <w:p w14:paraId="399A8CD5">
                    <w:pPr>
                      <w:pStyle w:val="3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4FF7">
    <w:pPr>
      <w:pStyle w:val="20"/>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2619232">
                          <w:pPr>
                            <w:spacing w:before="12"/>
                            <w:ind w:left="40"/>
                            <w:rPr>
                              <w:sz w:val="18"/>
                            </w:rPr>
                          </w:pPr>
                          <w:r>
                            <w:rPr>
                              <w:sz w:val="18"/>
                            </w:rPr>
                            <w:fldChar w:fldCharType="begin"/>
                          </w:r>
                          <w:r>
                            <w:rPr>
                              <w:sz w:val="18"/>
                            </w:rPr>
                            <w:instrText xml:space="preserve"> PAGE </w:instrText>
                          </w:r>
                          <w:r>
                            <w:rPr>
                              <w:sz w:val="18"/>
                            </w:rPr>
                            <w:fldChar w:fldCharType="separate"/>
                          </w:r>
                          <w:r>
                            <w:rPr>
                              <w:sz w:val="18"/>
                            </w:rPr>
                            <w:t>65</w:t>
                          </w:r>
                          <w:r>
                            <w:rPr>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JPkILTAAAAAwEAAA8AAAAAAAAAAQAgAAAAIgAAAGRycy9kb3ducmV2LnhtbFBLAQIUABQAAAAI&#10;AIdO4kDn3BvmuQEAAHEDAAAOAAAAAAAAAAEAIAAAACIBAABkcnMvZTJvRG9jLnhtbFBLBQYAAAAA&#10;BgAGAFkBAABNBQAAAAA=&#10;">
              <v:fill on="f" focussize="0,0"/>
              <v:stroke on="f"/>
              <v:imagedata o:title=""/>
              <o:lock v:ext="edit" aspectratio="f"/>
              <v:textbox inset="0mm,0mm,0mm,0mm">
                <w:txbxContent>
                  <w:p w14:paraId="02619232">
                    <w:pPr>
                      <w:spacing w:before="12"/>
                      <w:ind w:left="40"/>
                      <w:rPr>
                        <w:sz w:val="18"/>
                      </w:rPr>
                    </w:pPr>
                    <w:r>
                      <w:rPr>
                        <w:sz w:val="18"/>
                      </w:rPr>
                      <w:fldChar w:fldCharType="begin"/>
                    </w:r>
                    <w:r>
                      <w:rPr>
                        <w:sz w:val="18"/>
                      </w:rPr>
                      <w:instrText xml:space="preserve"> PAGE </w:instrText>
                    </w:r>
                    <w:r>
                      <w:rPr>
                        <w:sz w:val="18"/>
                      </w:rPr>
                      <w:fldChar w:fldCharType="separate"/>
                    </w:r>
                    <w:r>
                      <w:rPr>
                        <w:sz w:val="18"/>
                      </w:rPr>
                      <w:t>65</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8BD7">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5945">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A1130">
    <w:pPr>
      <w:pStyle w:val="20"/>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4983">
    <w:pPr>
      <w:pStyle w:val="33"/>
      <w:tabs>
        <w:tab w:val="center" w:pos="0"/>
        <w:tab w:val="left" w:pos="9214"/>
        <w:tab w:val="right" w:pos="9781"/>
        <w:tab w:val="clear" w:pos="4153"/>
        <w:tab w:val="clear" w:pos="8306"/>
      </w:tabs>
      <w:jc w:val="both"/>
      <w:rPr>
        <w:rFonts w:hint="eastAs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F8C89A9A"/>
    <w:multiLevelType w:val="singleLevel"/>
    <w:tmpl w:val="F8C89A9A"/>
    <w:lvl w:ilvl="0" w:tentative="0">
      <w:start w:val="1"/>
      <w:numFmt w:val="decimal"/>
      <w:suff w:val="nothing"/>
      <w:lvlText w:val="%1、"/>
      <w:lvlJc w:val="left"/>
      <w:pPr>
        <w:ind w:left="-210"/>
      </w:pPr>
    </w:lvl>
  </w:abstractNum>
  <w:abstractNum w:abstractNumId="2">
    <w:nsid w:val="157C0F12"/>
    <w:multiLevelType w:val="singleLevel"/>
    <w:tmpl w:val="157C0F12"/>
    <w:lvl w:ilvl="0" w:tentative="0">
      <w:start w:val="1"/>
      <w:numFmt w:val="decimal"/>
      <w:suff w:val="nothing"/>
      <w:lvlText w:val="%1、"/>
      <w:lvlJc w:val="left"/>
    </w:lvl>
  </w:abstractNum>
  <w:abstractNum w:abstractNumId="3">
    <w:nsid w:val="2967EE64"/>
    <w:multiLevelType w:val="singleLevel"/>
    <w:tmpl w:val="2967EE64"/>
    <w:lvl w:ilvl="0" w:tentative="0">
      <w:start w:val="1"/>
      <w:numFmt w:val="decimal"/>
      <w:suff w:val="nothing"/>
      <w:lvlText w:val="（%1）"/>
      <w:lvlJc w:val="left"/>
    </w:lvl>
  </w:abstractNum>
  <w:abstractNum w:abstractNumId="4">
    <w:nsid w:val="5C2676D2"/>
    <w:multiLevelType w:val="multilevel"/>
    <w:tmpl w:val="5C2676D2"/>
    <w:lvl w:ilvl="0" w:tentative="0">
      <w:start w:val="1"/>
      <w:numFmt w:val="chineseCountingThousand"/>
      <w:suff w:val="space"/>
      <w:lvlText w:val="第%1章"/>
      <w:lvlJc w:val="left"/>
      <w:pPr>
        <w:ind w:left="568"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bCs w:val="0"/>
        <w:i w:val="0"/>
        <w:iCs w:val="0"/>
        <w:caps w:val="0"/>
        <w:smallCaps w:val="0"/>
        <w:strike w:val="0"/>
        <w:dstrike w:val="0"/>
        <w:vanish w:val="0"/>
        <w:color w:val="000000"/>
        <w:spacing w:val="0"/>
        <w:position w:val="0"/>
        <w:u w:val="none"/>
        <w:vertAlign w:val="baseline"/>
      </w:rPr>
    </w:lvl>
    <w:lvl w:ilvl="2" w:tentative="0">
      <w:start w:val="1"/>
      <w:numFmt w:val="decimal"/>
      <w:pStyle w:val="4"/>
      <w:isLgl/>
      <w:suff w:val="space"/>
      <w:lvlText w:val="%1.%2.%3"/>
      <w:lvlJc w:val="left"/>
      <w:pPr>
        <w:ind w:left="0" w:firstLine="0"/>
      </w:pPr>
      <w:rPr>
        <w:rFonts w:hint="eastAsia"/>
        <w:bCs w:val="0"/>
        <w:i w:val="0"/>
        <w:iCs w:val="0"/>
        <w:caps w:val="0"/>
        <w:smallCaps w:val="0"/>
        <w:strike w:val="0"/>
        <w:dstrike w:val="0"/>
        <w:vanish w:val="0"/>
        <w:color w:val="000000"/>
        <w:spacing w:val="0"/>
        <w:position w:val="0"/>
        <w:sz w:val="30"/>
        <w:u w:val="none"/>
        <w:vertAlign w:val="baseline"/>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isLgl/>
      <w:suff w:val="space"/>
      <w:lvlText w:val="%1.%2.%3.%4.%5"/>
      <w:lvlJc w:val="left"/>
      <w:pPr>
        <w:ind w:left="0" w:firstLine="0"/>
      </w:pPr>
      <w:rPr>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dit="forms" w:formatting="1" w:enforcement="1" w:cryptProviderType="rsaFull" w:cryptAlgorithmClass="hash" w:cryptAlgorithmType="typeAny" w:cryptAlgorithmSid="4" w:cryptSpinCount="0" w:hash="8qeGqNd7o4t3RvfzMxTGTYrpJwM=" w:salt="C90ZEyUDa0qPHDgX5jfZOw=="/>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Q2N2Q5ZGNhOWFlMDAwOWM1NjNjZjA2MzQ0ZGUifQ=="/>
  </w:docVars>
  <w:rsids>
    <w:rsidRoot w:val="00172A27"/>
    <w:rsid w:val="00000672"/>
    <w:rsid w:val="00001013"/>
    <w:rsid w:val="00001799"/>
    <w:rsid w:val="00001AF2"/>
    <w:rsid w:val="00001ECA"/>
    <w:rsid w:val="00002D29"/>
    <w:rsid w:val="00003B93"/>
    <w:rsid w:val="0000474D"/>
    <w:rsid w:val="0000513F"/>
    <w:rsid w:val="00005FDF"/>
    <w:rsid w:val="000070B3"/>
    <w:rsid w:val="000076B8"/>
    <w:rsid w:val="000109DC"/>
    <w:rsid w:val="00010D39"/>
    <w:rsid w:val="0001172C"/>
    <w:rsid w:val="00012854"/>
    <w:rsid w:val="00012EA6"/>
    <w:rsid w:val="000139CF"/>
    <w:rsid w:val="00013AA4"/>
    <w:rsid w:val="00013DFE"/>
    <w:rsid w:val="000141EA"/>
    <w:rsid w:val="00016ABC"/>
    <w:rsid w:val="000176A7"/>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2D"/>
    <w:rsid w:val="000352E9"/>
    <w:rsid w:val="00035494"/>
    <w:rsid w:val="00036125"/>
    <w:rsid w:val="00036A07"/>
    <w:rsid w:val="0003780B"/>
    <w:rsid w:val="00040571"/>
    <w:rsid w:val="00040973"/>
    <w:rsid w:val="0004156E"/>
    <w:rsid w:val="00041713"/>
    <w:rsid w:val="0004440C"/>
    <w:rsid w:val="00046B5E"/>
    <w:rsid w:val="000470CB"/>
    <w:rsid w:val="000500AD"/>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297"/>
    <w:rsid w:val="00065E08"/>
    <w:rsid w:val="00066B8B"/>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036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50C7"/>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DF"/>
    <w:rsid w:val="00112E51"/>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5344"/>
    <w:rsid w:val="001263B8"/>
    <w:rsid w:val="0012740F"/>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2A1E"/>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DB"/>
    <w:rsid w:val="001629FD"/>
    <w:rsid w:val="0016428A"/>
    <w:rsid w:val="001647C9"/>
    <w:rsid w:val="00165627"/>
    <w:rsid w:val="001661A3"/>
    <w:rsid w:val="00167226"/>
    <w:rsid w:val="0016782B"/>
    <w:rsid w:val="0016784D"/>
    <w:rsid w:val="00172A27"/>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497A"/>
    <w:rsid w:val="00195424"/>
    <w:rsid w:val="001955FF"/>
    <w:rsid w:val="001963AC"/>
    <w:rsid w:val="00197EDD"/>
    <w:rsid w:val="001A02B3"/>
    <w:rsid w:val="001A049D"/>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36B"/>
    <w:rsid w:val="001B59FF"/>
    <w:rsid w:val="001B6512"/>
    <w:rsid w:val="001B65D7"/>
    <w:rsid w:val="001B6752"/>
    <w:rsid w:val="001B6768"/>
    <w:rsid w:val="001B6F1F"/>
    <w:rsid w:val="001B7ECC"/>
    <w:rsid w:val="001C025B"/>
    <w:rsid w:val="001C0318"/>
    <w:rsid w:val="001C115F"/>
    <w:rsid w:val="001C25A7"/>
    <w:rsid w:val="001C318C"/>
    <w:rsid w:val="001C35C4"/>
    <w:rsid w:val="001C4287"/>
    <w:rsid w:val="001C4479"/>
    <w:rsid w:val="001C4D4C"/>
    <w:rsid w:val="001C5190"/>
    <w:rsid w:val="001C6081"/>
    <w:rsid w:val="001C7ABC"/>
    <w:rsid w:val="001C7B48"/>
    <w:rsid w:val="001D0CFB"/>
    <w:rsid w:val="001D1A0D"/>
    <w:rsid w:val="001D343C"/>
    <w:rsid w:val="001D58A1"/>
    <w:rsid w:val="001D58C2"/>
    <w:rsid w:val="001D5A8A"/>
    <w:rsid w:val="001D735E"/>
    <w:rsid w:val="001D73C8"/>
    <w:rsid w:val="001D7BC6"/>
    <w:rsid w:val="001E0214"/>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066F4"/>
    <w:rsid w:val="002114C7"/>
    <w:rsid w:val="0021302C"/>
    <w:rsid w:val="00213B1C"/>
    <w:rsid w:val="00214202"/>
    <w:rsid w:val="002148E3"/>
    <w:rsid w:val="0021552D"/>
    <w:rsid w:val="002156AE"/>
    <w:rsid w:val="00215E99"/>
    <w:rsid w:val="0022054D"/>
    <w:rsid w:val="002222EE"/>
    <w:rsid w:val="0022361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2692"/>
    <w:rsid w:val="00243189"/>
    <w:rsid w:val="002439AB"/>
    <w:rsid w:val="00243C19"/>
    <w:rsid w:val="00244AE8"/>
    <w:rsid w:val="00245587"/>
    <w:rsid w:val="00245F2B"/>
    <w:rsid w:val="00246E6D"/>
    <w:rsid w:val="00247F3A"/>
    <w:rsid w:val="00250122"/>
    <w:rsid w:val="00250755"/>
    <w:rsid w:val="00251043"/>
    <w:rsid w:val="00251C4A"/>
    <w:rsid w:val="0025271C"/>
    <w:rsid w:val="002533CD"/>
    <w:rsid w:val="00254EAB"/>
    <w:rsid w:val="002557AF"/>
    <w:rsid w:val="0025589C"/>
    <w:rsid w:val="00255B62"/>
    <w:rsid w:val="002566B1"/>
    <w:rsid w:val="00256F7F"/>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561"/>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AD"/>
    <w:rsid w:val="002F16DD"/>
    <w:rsid w:val="002F199D"/>
    <w:rsid w:val="002F213C"/>
    <w:rsid w:val="002F2453"/>
    <w:rsid w:val="002F352D"/>
    <w:rsid w:val="002F4084"/>
    <w:rsid w:val="002F4A08"/>
    <w:rsid w:val="002F4ADB"/>
    <w:rsid w:val="002F51AC"/>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452"/>
    <w:rsid w:val="0033691E"/>
    <w:rsid w:val="00336A6A"/>
    <w:rsid w:val="00336CCB"/>
    <w:rsid w:val="003411D1"/>
    <w:rsid w:val="003416BA"/>
    <w:rsid w:val="00342148"/>
    <w:rsid w:val="00342F99"/>
    <w:rsid w:val="0034575A"/>
    <w:rsid w:val="00345F57"/>
    <w:rsid w:val="00350E6C"/>
    <w:rsid w:val="003518A6"/>
    <w:rsid w:val="00351E7F"/>
    <w:rsid w:val="00352953"/>
    <w:rsid w:val="0035376F"/>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332"/>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2CC0"/>
    <w:rsid w:val="0039366C"/>
    <w:rsid w:val="00393EC8"/>
    <w:rsid w:val="00395E42"/>
    <w:rsid w:val="00396409"/>
    <w:rsid w:val="00396A2D"/>
    <w:rsid w:val="00396FC3"/>
    <w:rsid w:val="003A0D13"/>
    <w:rsid w:val="003A1A94"/>
    <w:rsid w:val="003A204E"/>
    <w:rsid w:val="003A2D25"/>
    <w:rsid w:val="003A5728"/>
    <w:rsid w:val="003A60E7"/>
    <w:rsid w:val="003A7092"/>
    <w:rsid w:val="003A72A1"/>
    <w:rsid w:val="003A7611"/>
    <w:rsid w:val="003A7D1F"/>
    <w:rsid w:val="003B0B6A"/>
    <w:rsid w:val="003B22F7"/>
    <w:rsid w:val="003B29CF"/>
    <w:rsid w:val="003B3A90"/>
    <w:rsid w:val="003B3DCC"/>
    <w:rsid w:val="003B534F"/>
    <w:rsid w:val="003B7A79"/>
    <w:rsid w:val="003C0780"/>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3119"/>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E7F37"/>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04F"/>
    <w:rsid w:val="004336A9"/>
    <w:rsid w:val="00433827"/>
    <w:rsid w:val="00433A40"/>
    <w:rsid w:val="00434B70"/>
    <w:rsid w:val="004360C8"/>
    <w:rsid w:val="004371D5"/>
    <w:rsid w:val="0044006B"/>
    <w:rsid w:val="0044033F"/>
    <w:rsid w:val="00440630"/>
    <w:rsid w:val="00441F0F"/>
    <w:rsid w:val="00442965"/>
    <w:rsid w:val="00443994"/>
    <w:rsid w:val="00444157"/>
    <w:rsid w:val="0044417C"/>
    <w:rsid w:val="00444DB3"/>
    <w:rsid w:val="00445617"/>
    <w:rsid w:val="00445A2F"/>
    <w:rsid w:val="00445D4F"/>
    <w:rsid w:val="0044684E"/>
    <w:rsid w:val="00446F22"/>
    <w:rsid w:val="0045019F"/>
    <w:rsid w:val="004503A4"/>
    <w:rsid w:val="00450555"/>
    <w:rsid w:val="004506FA"/>
    <w:rsid w:val="00450DC6"/>
    <w:rsid w:val="004516A5"/>
    <w:rsid w:val="00451E9C"/>
    <w:rsid w:val="00452507"/>
    <w:rsid w:val="0045280F"/>
    <w:rsid w:val="004535AE"/>
    <w:rsid w:val="0045444D"/>
    <w:rsid w:val="0045463A"/>
    <w:rsid w:val="00454AC9"/>
    <w:rsid w:val="00455050"/>
    <w:rsid w:val="004554A3"/>
    <w:rsid w:val="00455A6E"/>
    <w:rsid w:val="00455EAD"/>
    <w:rsid w:val="004570A2"/>
    <w:rsid w:val="004578EB"/>
    <w:rsid w:val="00457C56"/>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802"/>
    <w:rsid w:val="0049797C"/>
    <w:rsid w:val="004A1405"/>
    <w:rsid w:val="004A1FC6"/>
    <w:rsid w:val="004A2E5F"/>
    <w:rsid w:val="004A38C2"/>
    <w:rsid w:val="004A3C03"/>
    <w:rsid w:val="004A3DB7"/>
    <w:rsid w:val="004A3F75"/>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52AB"/>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4E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565"/>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235"/>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245F"/>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0AC"/>
    <w:rsid w:val="00562149"/>
    <w:rsid w:val="00564B70"/>
    <w:rsid w:val="005672BD"/>
    <w:rsid w:val="00567B5D"/>
    <w:rsid w:val="00570757"/>
    <w:rsid w:val="0057216F"/>
    <w:rsid w:val="005733E7"/>
    <w:rsid w:val="00573733"/>
    <w:rsid w:val="00573F8B"/>
    <w:rsid w:val="00574554"/>
    <w:rsid w:val="00574E06"/>
    <w:rsid w:val="005751BB"/>
    <w:rsid w:val="00576089"/>
    <w:rsid w:val="005764B1"/>
    <w:rsid w:val="00576852"/>
    <w:rsid w:val="00576D06"/>
    <w:rsid w:val="005779E4"/>
    <w:rsid w:val="005804B6"/>
    <w:rsid w:val="0058289C"/>
    <w:rsid w:val="005836C7"/>
    <w:rsid w:val="0058408E"/>
    <w:rsid w:val="00585374"/>
    <w:rsid w:val="005854CA"/>
    <w:rsid w:val="00585FAB"/>
    <w:rsid w:val="00590B77"/>
    <w:rsid w:val="00590D9A"/>
    <w:rsid w:val="005913A3"/>
    <w:rsid w:val="00593F6F"/>
    <w:rsid w:val="005940D4"/>
    <w:rsid w:val="00594A7B"/>
    <w:rsid w:val="0059580E"/>
    <w:rsid w:val="00595D90"/>
    <w:rsid w:val="00596A6F"/>
    <w:rsid w:val="00596FCE"/>
    <w:rsid w:val="005A11BC"/>
    <w:rsid w:val="005A1525"/>
    <w:rsid w:val="005A1E17"/>
    <w:rsid w:val="005A252B"/>
    <w:rsid w:val="005A2A8F"/>
    <w:rsid w:val="005A3204"/>
    <w:rsid w:val="005A3341"/>
    <w:rsid w:val="005A3698"/>
    <w:rsid w:val="005A3C3D"/>
    <w:rsid w:val="005A46EC"/>
    <w:rsid w:val="005A5EAE"/>
    <w:rsid w:val="005A6407"/>
    <w:rsid w:val="005A6659"/>
    <w:rsid w:val="005B07EC"/>
    <w:rsid w:val="005B2B11"/>
    <w:rsid w:val="005B32A4"/>
    <w:rsid w:val="005B338D"/>
    <w:rsid w:val="005B3BAF"/>
    <w:rsid w:val="005B4DA3"/>
    <w:rsid w:val="005B5BEE"/>
    <w:rsid w:val="005B77D2"/>
    <w:rsid w:val="005C019B"/>
    <w:rsid w:val="005C1AED"/>
    <w:rsid w:val="005C30F5"/>
    <w:rsid w:val="005C4B93"/>
    <w:rsid w:val="005C51A5"/>
    <w:rsid w:val="005C557A"/>
    <w:rsid w:val="005C5C47"/>
    <w:rsid w:val="005C61DD"/>
    <w:rsid w:val="005C6438"/>
    <w:rsid w:val="005C66E5"/>
    <w:rsid w:val="005C6B8B"/>
    <w:rsid w:val="005C727F"/>
    <w:rsid w:val="005D02E3"/>
    <w:rsid w:val="005D1F34"/>
    <w:rsid w:val="005D2C1F"/>
    <w:rsid w:val="005D34B2"/>
    <w:rsid w:val="005D3B54"/>
    <w:rsid w:val="005D40CD"/>
    <w:rsid w:val="005D6B59"/>
    <w:rsid w:val="005D784B"/>
    <w:rsid w:val="005E03E4"/>
    <w:rsid w:val="005E0454"/>
    <w:rsid w:val="005E05F6"/>
    <w:rsid w:val="005E16D4"/>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3447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571DB"/>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6E1F"/>
    <w:rsid w:val="00677576"/>
    <w:rsid w:val="0068051E"/>
    <w:rsid w:val="00680603"/>
    <w:rsid w:val="00680B9D"/>
    <w:rsid w:val="00681F13"/>
    <w:rsid w:val="0068231C"/>
    <w:rsid w:val="00682344"/>
    <w:rsid w:val="006827A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4755"/>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1EC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1162"/>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41"/>
    <w:rsid w:val="0077068F"/>
    <w:rsid w:val="00771EDF"/>
    <w:rsid w:val="00772A90"/>
    <w:rsid w:val="00772CC6"/>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58E0"/>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251"/>
    <w:rsid w:val="007D6D68"/>
    <w:rsid w:val="007E32DA"/>
    <w:rsid w:val="007E4998"/>
    <w:rsid w:val="007E4A9C"/>
    <w:rsid w:val="007E6914"/>
    <w:rsid w:val="007E7F78"/>
    <w:rsid w:val="007F0179"/>
    <w:rsid w:val="007F2C13"/>
    <w:rsid w:val="007F2CEC"/>
    <w:rsid w:val="007F3435"/>
    <w:rsid w:val="007F55DE"/>
    <w:rsid w:val="007F656D"/>
    <w:rsid w:val="007F762D"/>
    <w:rsid w:val="007F78F0"/>
    <w:rsid w:val="007F78FF"/>
    <w:rsid w:val="008001C5"/>
    <w:rsid w:val="00800F6C"/>
    <w:rsid w:val="00801065"/>
    <w:rsid w:val="00802C0B"/>
    <w:rsid w:val="00803525"/>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161"/>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375AC"/>
    <w:rsid w:val="008407A7"/>
    <w:rsid w:val="00842F7D"/>
    <w:rsid w:val="0084322B"/>
    <w:rsid w:val="00843F81"/>
    <w:rsid w:val="00844087"/>
    <w:rsid w:val="00844425"/>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90"/>
    <w:rsid w:val="008672E2"/>
    <w:rsid w:val="0086784E"/>
    <w:rsid w:val="0087121C"/>
    <w:rsid w:val="00872084"/>
    <w:rsid w:val="00872827"/>
    <w:rsid w:val="00872A32"/>
    <w:rsid w:val="00874911"/>
    <w:rsid w:val="008754E4"/>
    <w:rsid w:val="00875DA9"/>
    <w:rsid w:val="00876EAE"/>
    <w:rsid w:val="00880106"/>
    <w:rsid w:val="00880F95"/>
    <w:rsid w:val="00882B44"/>
    <w:rsid w:val="00883398"/>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0A20"/>
    <w:rsid w:val="008C191C"/>
    <w:rsid w:val="008C1DA4"/>
    <w:rsid w:val="008C23A0"/>
    <w:rsid w:val="008C29B0"/>
    <w:rsid w:val="008C2CD5"/>
    <w:rsid w:val="008C3618"/>
    <w:rsid w:val="008C43AD"/>
    <w:rsid w:val="008C6118"/>
    <w:rsid w:val="008C6341"/>
    <w:rsid w:val="008C731F"/>
    <w:rsid w:val="008C74D9"/>
    <w:rsid w:val="008D19F2"/>
    <w:rsid w:val="008D3B2D"/>
    <w:rsid w:val="008D58D9"/>
    <w:rsid w:val="008D5AD4"/>
    <w:rsid w:val="008D6DD5"/>
    <w:rsid w:val="008D6E59"/>
    <w:rsid w:val="008D7155"/>
    <w:rsid w:val="008E0B29"/>
    <w:rsid w:val="008E141A"/>
    <w:rsid w:val="008E1A44"/>
    <w:rsid w:val="008E28E6"/>
    <w:rsid w:val="008E2C21"/>
    <w:rsid w:val="008E3232"/>
    <w:rsid w:val="008E3674"/>
    <w:rsid w:val="008E3B6C"/>
    <w:rsid w:val="008E562C"/>
    <w:rsid w:val="008E77D4"/>
    <w:rsid w:val="008E7ADD"/>
    <w:rsid w:val="008F091F"/>
    <w:rsid w:val="008F17B2"/>
    <w:rsid w:val="008F22B3"/>
    <w:rsid w:val="008F3275"/>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5FDE"/>
    <w:rsid w:val="00916BC5"/>
    <w:rsid w:val="0091726A"/>
    <w:rsid w:val="00917C01"/>
    <w:rsid w:val="00917D22"/>
    <w:rsid w:val="00917E29"/>
    <w:rsid w:val="00920184"/>
    <w:rsid w:val="00920EA4"/>
    <w:rsid w:val="00921792"/>
    <w:rsid w:val="00921BEA"/>
    <w:rsid w:val="009227BE"/>
    <w:rsid w:val="009238FD"/>
    <w:rsid w:val="00923998"/>
    <w:rsid w:val="00923DB4"/>
    <w:rsid w:val="00923F40"/>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10B9"/>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24D"/>
    <w:rsid w:val="00971CF1"/>
    <w:rsid w:val="00971F5D"/>
    <w:rsid w:val="009721E9"/>
    <w:rsid w:val="00973772"/>
    <w:rsid w:val="00973F93"/>
    <w:rsid w:val="0097560A"/>
    <w:rsid w:val="00975E1E"/>
    <w:rsid w:val="00975E70"/>
    <w:rsid w:val="009761DE"/>
    <w:rsid w:val="009766FA"/>
    <w:rsid w:val="00977CD6"/>
    <w:rsid w:val="00980DF9"/>
    <w:rsid w:val="00981750"/>
    <w:rsid w:val="0098243D"/>
    <w:rsid w:val="00982D26"/>
    <w:rsid w:val="00983B6E"/>
    <w:rsid w:val="00983FE5"/>
    <w:rsid w:val="009849E9"/>
    <w:rsid w:val="009859E4"/>
    <w:rsid w:val="00985D0A"/>
    <w:rsid w:val="00986EC1"/>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56F"/>
    <w:rsid w:val="009D6CB1"/>
    <w:rsid w:val="009E0286"/>
    <w:rsid w:val="009E153F"/>
    <w:rsid w:val="009E1DBC"/>
    <w:rsid w:val="009E322A"/>
    <w:rsid w:val="009E393E"/>
    <w:rsid w:val="009E3CF7"/>
    <w:rsid w:val="009E3D60"/>
    <w:rsid w:val="009E444E"/>
    <w:rsid w:val="009E4968"/>
    <w:rsid w:val="009E663C"/>
    <w:rsid w:val="009E684A"/>
    <w:rsid w:val="009E6BB1"/>
    <w:rsid w:val="009E6E14"/>
    <w:rsid w:val="009F0494"/>
    <w:rsid w:val="009F0A32"/>
    <w:rsid w:val="009F0CD9"/>
    <w:rsid w:val="009F1A79"/>
    <w:rsid w:val="009F1F57"/>
    <w:rsid w:val="009F2DDD"/>
    <w:rsid w:val="009F3447"/>
    <w:rsid w:val="009F65F4"/>
    <w:rsid w:val="009F676B"/>
    <w:rsid w:val="009F6D2D"/>
    <w:rsid w:val="009F6D54"/>
    <w:rsid w:val="00A004DF"/>
    <w:rsid w:val="00A00FD5"/>
    <w:rsid w:val="00A012C0"/>
    <w:rsid w:val="00A01717"/>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9CC"/>
    <w:rsid w:val="00A1740C"/>
    <w:rsid w:val="00A20069"/>
    <w:rsid w:val="00A2244D"/>
    <w:rsid w:val="00A2253D"/>
    <w:rsid w:val="00A247B8"/>
    <w:rsid w:val="00A2495A"/>
    <w:rsid w:val="00A24C7A"/>
    <w:rsid w:val="00A24D8F"/>
    <w:rsid w:val="00A25B8B"/>
    <w:rsid w:val="00A25C69"/>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4C5"/>
    <w:rsid w:val="00A47ECC"/>
    <w:rsid w:val="00A50171"/>
    <w:rsid w:val="00A504FA"/>
    <w:rsid w:val="00A5102E"/>
    <w:rsid w:val="00A5132E"/>
    <w:rsid w:val="00A51375"/>
    <w:rsid w:val="00A51533"/>
    <w:rsid w:val="00A531D4"/>
    <w:rsid w:val="00A54572"/>
    <w:rsid w:val="00A552C3"/>
    <w:rsid w:val="00A575B8"/>
    <w:rsid w:val="00A61C60"/>
    <w:rsid w:val="00A61ECB"/>
    <w:rsid w:val="00A6410C"/>
    <w:rsid w:val="00A647B1"/>
    <w:rsid w:val="00A64DEF"/>
    <w:rsid w:val="00A654D2"/>
    <w:rsid w:val="00A665DF"/>
    <w:rsid w:val="00A67FCC"/>
    <w:rsid w:val="00A70AA5"/>
    <w:rsid w:val="00A70C03"/>
    <w:rsid w:val="00A71256"/>
    <w:rsid w:val="00A7217B"/>
    <w:rsid w:val="00A72DD9"/>
    <w:rsid w:val="00A73861"/>
    <w:rsid w:val="00A739A6"/>
    <w:rsid w:val="00A740ED"/>
    <w:rsid w:val="00A74C29"/>
    <w:rsid w:val="00A74C62"/>
    <w:rsid w:val="00A75EF9"/>
    <w:rsid w:val="00A8311C"/>
    <w:rsid w:val="00A835D0"/>
    <w:rsid w:val="00A84C5F"/>
    <w:rsid w:val="00A85930"/>
    <w:rsid w:val="00A863F7"/>
    <w:rsid w:val="00A86604"/>
    <w:rsid w:val="00A87519"/>
    <w:rsid w:val="00A91034"/>
    <w:rsid w:val="00A9246D"/>
    <w:rsid w:val="00A93BD0"/>
    <w:rsid w:val="00A93CC2"/>
    <w:rsid w:val="00A9542E"/>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AF5921"/>
    <w:rsid w:val="00AF63F5"/>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67360"/>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1C21"/>
    <w:rsid w:val="00BD255F"/>
    <w:rsid w:val="00BD2895"/>
    <w:rsid w:val="00BD32A0"/>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5D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11B"/>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49C"/>
    <w:rsid w:val="00C31B7E"/>
    <w:rsid w:val="00C322D1"/>
    <w:rsid w:val="00C3242A"/>
    <w:rsid w:val="00C33201"/>
    <w:rsid w:val="00C33A39"/>
    <w:rsid w:val="00C35D01"/>
    <w:rsid w:val="00C360B3"/>
    <w:rsid w:val="00C36196"/>
    <w:rsid w:val="00C37027"/>
    <w:rsid w:val="00C37B19"/>
    <w:rsid w:val="00C413CB"/>
    <w:rsid w:val="00C42752"/>
    <w:rsid w:val="00C42973"/>
    <w:rsid w:val="00C43590"/>
    <w:rsid w:val="00C5034F"/>
    <w:rsid w:val="00C50830"/>
    <w:rsid w:val="00C51452"/>
    <w:rsid w:val="00C52479"/>
    <w:rsid w:val="00C5266E"/>
    <w:rsid w:val="00C52C59"/>
    <w:rsid w:val="00C5349E"/>
    <w:rsid w:val="00C539FF"/>
    <w:rsid w:val="00C53BC0"/>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6F5C"/>
    <w:rsid w:val="00C67223"/>
    <w:rsid w:val="00C70679"/>
    <w:rsid w:val="00C707B8"/>
    <w:rsid w:val="00C712AC"/>
    <w:rsid w:val="00C71C15"/>
    <w:rsid w:val="00C71F3D"/>
    <w:rsid w:val="00C72F53"/>
    <w:rsid w:val="00C74035"/>
    <w:rsid w:val="00C748EA"/>
    <w:rsid w:val="00C77818"/>
    <w:rsid w:val="00C8063F"/>
    <w:rsid w:val="00C80DEB"/>
    <w:rsid w:val="00C81282"/>
    <w:rsid w:val="00C81975"/>
    <w:rsid w:val="00C83214"/>
    <w:rsid w:val="00C8329F"/>
    <w:rsid w:val="00C84F8A"/>
    <w:rsid w:val="00C85BA4"/>
    <w:rsid w:val="00C8618F"/>
    <w:rsid w:val="00C8625D"/>
    <w:rsid w:val="00C90372"/>
    <w:rsid w:val="00C9041F"/>
    <w:rsid w:val="00C912A5"/>
    <w:rsid w:val="00C9166B"/>
    <w:rsid w:val="00C91A45"/>
    <w:rsid w:val="00C91FB4"/>
    <w:rsid w:val="00C92150"/>
    <w:rsid w:val="00C92328"/>
    <w:rsid w:val="00C92D42"/>
    <w:rsid w:val="00C938C2"/>
    <w:rsid w:val="00C93F8A"/>
    <w:rsid w:val="00C94EA1"/>
    <w:rsid w:val="00C95745"/>
    <w:rsid w:val="00C95902"/>
    <w:rsid w:val="00C962E3"/>
    <w:rsid w:val="00C97549"/>
    <w:rsid w:val="00C978E2"/>
    <w:rsid w:val="00C97997"/>
    <w:rsid w:val="00CA10A2"/>
    <w:rsid w:val="00CA1D83"/>
    <w:rsid w:val="00CA25C0"/>
    <w:rsid w:val="00CA321C"/>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6DF6"/>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0FC"/>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CF76DC"/>
    <w:rsid w:val="00CF79D7"/>
    <w:rsid w:val="00CF7A7B"/>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49D1"/>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1A0"/>
    <w:rsid w:val="00D45B4C"/>
    <w:rsid w:val="00D45BA4"/>
    <w:rsid w:val="00D471AF"/>
    <w:rsid w:val="00D4724F"/>
    <w:rsid w:val="00D50519"/>
    <w:rsid w:val="00D51601"/>
    <w:rsid w:val="00D51BCC"/>
    <w:rsid w:val="00D51ECB"/>
    <w:rsid w:val="00D5264C"/>
    <w:rsid w:val="00D52BBC"/>
    <w:rsid w:val="00D537FE"/>
    <w:rsid w:val="00D53CC9"/>
    <w:rsid w:val="00D54A3A"/>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6B09"/>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1C6"/>
    <w:rsid w:val="00D965D5"/>
    <w:rsid w:val="00D97DA2"/>
    <w:rsid w:val="00DA01FD"/>
    <w:rsid w:val="00DA1A3A"/>
    <w:rsid w:val="00DA2351"/>
    <w:rsid w:val="00DA249E"/>
    <w:rsid w:val="00DA2D3D"/>
    <w:rsid w:val="00DA4C30"/>
    <w:rsid w:val="00DA793A"/>
    <w:rsid w:val="00DB145E"/>
    <w:rsid w:val="00DB1A94"/>
    <w:rsid w:val="00DB1D52"/>
    <w:rsid w:val="00DB1F62"/>
    <w:rsid w:val="00DB21E7"/>
    <w:rsid w:val="00DB2E03"/>
    <w:rsid w:val="00DB3742"/>
    <w:rsid w:val="00DB3E9B"/>
    <w:rsid w:val="00DB3F4B"/>
    <w:rsid w:val="00DB5375"/>
    <w:rsid w:val="00DB67C1"/>
    <w:rsid w:val="00DB6C0B"/>
    <w:rsid w:val="00DB70F4"/>
    <w:rsid w:val="00DB7D75"/>
    <w:rsid w:val="00DC1056"/>
    <w:rsid w:val="00DC1442"/>
    <w:rsid w:val="00DC21D8"/>
    <w:rsid w:val="00DC282A"/>
    <w:rsid w:val="00DC34DC"/>
    <w:rsid w:val="00DC3780"/>
    <w:rsid w:val="00DC3ADA"/>
    <w:rsid w:val="00DC3C9E"/>
    <w:rsid w:val="00DC3CC6"/>
    <w:rsid w:val="00DC3F55"/>
    <w:rsid w:val="00DC4782"/>
    <w:rsid w:val="00DC514A"/>
    <w:rsid w:val="00DC67B1"/>
    <w:rsid w:val="00DC70E6"/>
    <w:rsid w:val="00DC7FBC"/>
    <w:rsid w:val="00DD0019"/>
    <w:rsid w:val="00DD132B"/>
    <w:rsid w:val="00DD1725"/>
    <w:rsid w:val="00DD2159"/>
    <w:rsid w:val="00DD218B"/>
    <w:rsid w:val="00DD2A18"/>
    <w:rsid w:val="00DD3044"/>
    <w:rsid w:val="00DD38E3"/>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10F"/>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17662"/>
    <w:rsid w:val="00E219CE"/>
    <w:rsid w:val="00E23EC9"/>
    <w:rsid w:val="00E24071"/>
    <w:rsid w:val="00E24EBC"/>
    <w:rsid w:val="00E2522C"/>
    <w:rsid w:val="00E2552F"/>
    <w:rsid w:val="00E2599B"/>
    <w:rsid w:val="00E2710C"/>
    <w:rsid w:val="00E27428"/>
    <w:rsid w:val="00E305B4"/>
    <w:rsid w:val="00E306A4"/>
    <w:rsid w:val="00E31AFA"/>
    <w:rsid w:val="00E31CB7"/>
    <w:rsid w:val="00E32316"/>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0BA0"/>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27D9"/>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CE9"/>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39B2"/>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703"/>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0CF"/>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04B2"/>
    <w:rsid w:val="00F8104D"/>
    <w:rsid w:val="00F81587"/>
    <w:rsid w:val="00F81A5A"/>
    <w:rsid w:val="00F8288F"/>
    <w:rsid w:val="00F84802"/>
    <w:rsid w:val="00F85B72"/>
    <w:rsid w:val="00F86540"/>
    <w:rsid w:val="00F865CE"/>
    <w:rsid w:val="00F8766F"/>
    <w:rsid w:val="00F91082"/>
    <w:rsid w:val="00F91160"/>
    <w:rsid w:val="00F9116D"/>
    <w:rsid w:val="00F91A9A"/>
    <w:rsid w:val="00F923CD"/>
    <w:rsid w:val="00F93ABB"/>
    <w:rsid w:val="00F946B3"/>
    <w:rsid w:val="00F94D79"/>
    <w:rsid w:val="00F9658C"/>
    <w:rsid w:val="00F97A7F"/>
    <w:rsid w:val="00FA0889"/>
    <w:rsid w:val="00FA16E7"/>
    <w:rsid w:val="00FA31C7"/>
    <w:rsid w:val="00FA472D"/>
    <w:rsid w:val="00FA4B4F"/>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4F3"/>
    <w:rsid w:val="00FE57DE"/>
    <w:rsid w:val="00FE7A68"/>
    <w:rsid w:val="00FF0231"/>
    <w:rsid w:val="00FF1C9B"/>
    <w:rsid w:val="00FF1D49"/>
    <w:rsid w:val="00FF203B"/>
    <w:rsid w:val="00FF2562"/>
    <w:rsid w:val="00FF3A41"/>
    <w:rsid w:val="00FF3E5B"/>
    <w:rsid w:val="00FF57E4"/>
    <w:rsid w:val="00FF6739"/>
    <w:rsid w:val="00FF78E5"/>
    <w:rsid w:val="0138198F"/>
    <w:rsid w:val="017A71AE"/>
    <w:rsid w:val="017E5995"/>
    <w:rsid w:val="018F7EF8"/>
    <w:rsid w:val="019E2D54"/>
    <w:rsid w:val="01AF3D99"/>
    <w:rsid w:val="01CD2789"/>
    <w:rsid w:val="01CD29A4"/>
    <w:rsid w:val="01D45980"/>
    <w:rsid w:val="01D91F20"/>
    <w:rsid w:val="01EB3D3B"/>
    <w:rsid w:val="024302DC"/>
    <w:rsid w:val="02511F9D"/>
    <w:rsid w:val="028975AE"/>
    <w:rsid w:val="03893022"/>
    <w:rsid w:val="03A314B8"/>
    <w:rsid w:val="03AF6EB8"/>
    <w:rsid w:val="03B27326"/>
    <w:rsid w:val="03CA6FDA"/>
    <w:rsid w:val="03D50A0C"/>
    <w:rsid w:val="03D82B98"/>
    <w:rsid w:val="03F83E8B"/>
    <w:rsid w:val="042F43EE"/>
    <w:rsid w:val="043023F0"/>
    <w:rsid w:val="04480275"/>
    <w:rsid w:val="0450404A"/>
    <w:rsid w:val="04553127"/>
    <w:rsid w:val="04A3672E"/>
    <w:rsid w:val="04C0677C"/>
    <w:rsid w:val="04CE071B"/>
    <w:rsid w:val="04F84E7D"/>
    <w:rsid w:val="05181F39"/>
    <w:rsid w:val="058C53C5"/>
    <w:rsid w:val="05C56868"/>
    <w:rsid w:val="0658588B"/>
    <w:rsid w:val="06936FD0"/>
    <w:rsid w:val="069468BC"/>
    <w:rsid w:val="075474DA"/>
    <w:rsid w:val="075C647D"/>
    <w:rsid w:val="07703AF0"/>
    <w:rsid w:val="07721C6F"/>
    <w:rsid w:val="07B72767"/>
    <w:rsid w:val="07C03D8D"/>
    <w:rsid w:val="07D92A0D"/>
    <w:rsid w:val="08077E72"/>
    <w:rsid w:val="0830410D"/>
    <w:rsid w:val="085426EE"/>
    <w:rsid w:val="086A0EAC"/>
    <w:rsid w:val="08882DD0"/>
    <w:rsid w:val="08CF4179"/>
    <w:rsid w:val="09691E4B"/>
    <w:rsid w:val="097062B1"/>
    <w:rsid w:val="09735318"/>
    <w:rsid w:val="09BC2609"/>
    <w:rsid w:val="09CC2AAC"/>
    <w:rsid w:val="09DF3020"/>
    <w:rsid w:val="09F95804"/>
    <w:rsid w:val="0A195DC5"/>
    <w:rsid w:val="0A217E50"/>
    <w:rsid w:val="0A631F5D"/>
    <w:rsid w:val="0A652D3E"/>
    <w:rsid w:val="0A7456FB"/>
    <w:rsid w:val="0AB72C74"/>
    <w:rsid w:val="0AB731E2"/>
    <w:rsid w:val="0B01080D"/>
    <w:rsid w:val="0B176B7F"/>
    <w:rsid w:val="0B326F2A"/>
    <w:rsid w:val="0B926361"/>
    <w:rsid w:val="0BA94EBF"/>
    <w:rsid w:val="0C1E2888"/>
    <w:rsid w:val="0C663114"/>
    <w:rsid w:val="0C8B1716"/>
    <w:rsid w:val="0C92213C"/>
    <w:rsid w:val="0C9A2B3C"/>
    <w:rsid w:val="0C9D4ECA"/>
    <w:rsid w:val="0CA174B2"/>
    <w:rsid w:val="0D074FED"/>
    <w:rsid w:val="0D1317ED"/>
    <w:rsid w:val="0D267BAE"/>
    <w:rsid w:val="0D596A0A"/>
    <w:rsid w:val="0D62652F"/>
    <w:rsid w:val="0D84032B"/>
    <w:rsid w:val="0D8900E3"/>
    <w:rsid w:val="0D8F5A3B"/>
    <w:rsid w:val="0DEB39CE"/>
    <w:rsid w:val="0E3344EB"/>
    <w:rsid w:val="0E737B10"/>
    <w:rsid w:val="0E8E4C1D"/>
    <w:rsid w:val="0E9C6D49"/>
    <w:rsid w:val="0F2A74C4"/>
    <w:rsid w:val="0F351AD3"/>
    <w:rsid w:val="0FB87AC1"/>
    <w:rsid w:val="101C0D44"/>
    <w:rsid w:val="103E7872"/>
    <w:rsid w:val="10A27F31"/>
    <w:rsid w:val="10D86529"/>
    <w:rsid w:val="115A5438"/>
    <w:rsid w:val="11927058"/>
    <w:rsid w:val="119753F2"/>
    <w:rsid w:val="11A6451C"/>
    <w:rsid w:val="11B62585"/>
    <w:rsid w:val="11C65BED"/>
    <w:rsid w:val="125E3DF4"/>
    <w:rsid w:val="12A036A4"/>
    <w:rsid w:val="12DF3673"/>
    <w:rsid w:val="13924D25"/>
    <w:rsid w:val="139B26F3"/>
    <w:rsid w:val="139B5C05"/>
    <w:rsid w:val="13AF4F03"/>
    <w:rsid w:val="142D2812"/>
    <w:rsid w:val="147163FD"/>
    <w:rsid w:val="14736E66"/>
    <w:rsid w:val="147F458F"/>
    <w:rsid w:val="14B06F9F"/>
    <w:rsid w:val="14E8498B"/>
    <w:rsid w:val="151436D5"/>
    <w:rsid w:val="151F179F"/>
    <w:rsid w:val="152C1A1D"/>
    <w:rsid w:val="1534169A"/>
    <w:rsid w:val="15A9419A"/>
    <w:rsid w:val="15AA7228"/>
    <w:rsid w:val="15AD2E11"/>
    <w:rsid w:val="15BE38DD"/>
    <w:rsid w:val="15C03E03"/>
    <w:rsid w:val="15DE07D9"/>
    <w:rsid w:val="15E402C0"/>
    <w:rsid w:val="161776B5"/>
    <w:rsid w:val="162A25EB"/>
    <w:rsid w:val="162B6ECF"/>
    <w:rsid w:val="163D1F20"/>
    <w:rsid w:val="16584C66"/>
    <w:rsid w:val="16640FCC"/>
    <w:rsid w:val="166A7410"/>
    <w:rsid w:val="167825AB"/>
    <w:rsid w:val="16AF0125"/>
    <w:rsid w:val="16D61AFF"/>
    <w:rsid w:val="16E00168"/>
    <w:rsid w:val="16F05627"/>
    <w:rsid w:val="16FD2A55"/>
    <w:rsid w:val="16FD5805"/>
    <w:rsid w:val="17067C1A"/>
    <w:rsid w:val="17076CE5"/>
    <w:rsid w:val="172A0724"/>
    <w:rsid w:val="17366761"/>
    <w:rsid w:val="173A36D9"/>
    <w:rsid w:val="17725E03"/>
    <w:rsid w:val="177C01F0"/>
    <w:rsid w:val="17A82A05"/>
    <w:rsid w:val="17AF06CF"/>
    <w:rsid w:val="17CE6630"/>
    <w:rsid w:val="182F050C"/>
    <w:rsid w:val="18464CD2"/>
    <w:rsid w:val="184D592B"/>
    <w:rsid w:val="185334D4"/>
    <w:rsid w:val="18590E71"/>
    <w:rsid w:val="18AA37E6"/>
    <w:rsid w:val="18C464E2"/>
    <w:rsid w:val="18CD4695"/>
    <w:rsid w:val="18E174E4"/>
    <w:rsid w:val="18E5204B"/>
    <w:rsid w:val="18ED6C20"/>
    <w:rsid w:val="18F266D1"/>
    <w:rsid w:val="18F27770"/>
    <w:rsid w:val="19355557"/>
    <w:rsid w:val="19624CF7"/>
    <w:rsid w:val="197805DF"/>
    <w:rsid w:val="199F4FD5"/>
    <w:rsid w:val="19B64958"/>
    <w:rsid w:val="19DF47E4"/>
    <w:rsid w:val="19F91D3D"/>
    <w:rsid w:val="1A0D0A45"/>
    <w:rsid w:val="1A605BF7"/>
    <w:rsid w:val="1A6522AE"/>
    <w:rsid w:val="1A6E2F44"/>
    <w:rsid w:val="1A6F32DD"/>
    <w:rsid w:val="1A762B2D"/>
    <w:rsid w:val="1A781D39"/>
    <w:rsid w:val="1A924083"/>
    <w:rsid w:val="1AA26807"/>
    <w:rsid w:val="1AD03EF7"/>
    <w:rsid w:val="1AD73BD4"/>
    <w:rsid w:val="1AE41201"/>
    <w:rsid w:val="1AFF0AFE"/>
    <w:rsid w:val="1B4F19F8"/>
    <w:rsid w:val="1B7F617E"/>
    <w:rsid w:val="1BF04841"/>
    <w:rsid w:val="1C014B20"/>
    <w:rsid w:val="1C3616D4"/>
    <w:rsid w:val="1C3E685E"/>
    <w:rsid w:val="1C757FFC"/>
    <w:rsid w:val="1CB9135A"/>
    <w:rsid w:val="1D477CD7"/>
    <w:rsid w:val="1D86370F"/>
    <w:rsid w:val="1D8D1E98"/>
    <w:rsid w:val="1E3A6289"/>
    <w:rsid w:val="1E4101C1"/>
    <w:rsid w:val="1E4E2AE5"/>
    <w:rsid w:val="1EC60DAD"/>
    <w:rsid w:val="1ECC44FA"/>
    <w:rsid w:val="1ED13EF3"/>
    <w:rsid w:val="1ED6751F"/>
    <w:rsid w:val="1EE5130A"/>
    <w:rsid w:val="1EE726EE"/>
    <w:rsid w:val="1F063325"/>
    <w:rsid w:val="1F2D14A9"/>
    <w:rsid w:val="1F396EFF"/>
    <w:rsid w:val="1F43038C"/>
    <w:rsid w:val="1F4370A6"/>
    <w:rsid w:val="1F8D5F8E"/>
    <w:rsid w:val="1FBC5DF5"/>
    <w:rsid w:val="1FD0341F"/>
    <w:rsid w:val="201C1225"/>
    <w:rsid w:val="201C6AC0"/>
    <w:rsid w:val="20766556"/>
    <w:rsid w:val="208041DD"/>
    <w:rsid w:val="20C3623F"/>
    <w:rsid w:val="210C5756"/>
    <w:rsid w:val="21512705"/>
    <w:rsid w:val="215E49C8"/>
    <w:rsid w:val="21781212"/>
    <w:rsid w:val="217B2CF9"/>
    <w:rsid w:val="21A65F45"/>
    <w:rsid w:val="21B83F86"/>
    <w:rsid w:val="221178A8"/>
    <w:rsid w:val="221213CF"/>
    <w:rsid w:val="22327A92"/>
    <w:rsid w:val="227243FA"/>
    <w:rsid w:val="22BA62D7"/>
    <w:rsid w:val="22BE79A3"/>
    <w:rsid w:val="231415A5"/>
    <w:rsid w:val="231D53A2"/>
    <w:rsid w:val="23492034"/>
    <w:rsid w:val="2360291A"/>
    <w:rsid w:val="236D5383"/>
    <w:rsid w:val="237B669D"/>
    <w:rsid w:val="23836B6B"/>
    <w:rsid w:val="239E3746"/>
    <w:rsid w:val="23B7504C"/>
    <w:rsid w:val="23F55305"/>
    <w:rsid w:val="2435188D"/>
    <w:rsid w:val="244A4D1A"/>
    <w:rsid w:val="244E6F10"/>
    <w:rsid w:val="24571307"/>
    <w:rsid w:val="24B836CF"/>
    <w:rsid w:val="24D9423D"/>
    <w:rsid w:val="25110A2A"/>
    <w:rsid w:val="252767F1"/>
    <w:rsid w:val="256C0944"/>
    <w:rsid w:val="25756724"/>
    <w:rsid w:val="25BD16C8"/>
    <w:rsid w:val="26446DE3"/>
    <w:rsid w:val="269669E7"/>
    <w:rsid w:val="26D7699F"/>
    <w:rsid w:val="2700624D"/>
    <w:rsid w:val="275C0E9C"/>
    <w:rsid w:val="275F70DD"/>
    <w:rsid w:val="278E2078"/>
    <w:rsid w:val="27A03AE4"/>
    <w:rsid w:val="27C15CA5"/>
    <w:rsid w:val="27C83903"/>
    <w:rsid w:val="282565A2"/>
    <w:rsid w:val="285459BF"/>
    <w:rsid w:val="29161CBC"/>
    <w:rsid w:val="292856DE"/>
    <w:rsid w:val="2936586D"/>
    <w:rsid w:val="298C78AB"/>
    <w:rsid w:val="29C6569B"/>
    <w:rsid w:val="2A0241C9"/>
    <w:rsid w:val="2A421663"/>
    <w:rsid w:val="2A461ACE"/>
    <w:rsid w:val="2B4A5AF5"/>
    <w:rsid w:val="2B774624"/>
    <w:rsid w:val="2B925891"/>
    <w:rsid w:val="2BA662DD"/>
    <w:rsid w:val="2BAE56F2"/>
    <w:rsid w:val="2BCD3115"/>
    <w:rsid w:val="2BCE7CB5"/>
    <w:rsid w:val="2BDF7923"/>
    <w:rsid w:val="2C2B66A2"/>
    <w:rsid w:val="2C6372AB"/>
    <w:rsid w:val="2C7065B0"/>
    <w:rsid w:val="2C7A72BE"/>
    <w:rsid w:val="2C9A7D75"/>
    <w:rsid w:val="2CC230BB"/>
    <w:rsid w:val="2CEF51E4"/>
    <w:rsid w:val="2D3C0B18"/>
    <w:rsid w:val="2D67693D"/>
    <w:rsid w:val="2D8A2232"/>
    <w:rsid w:val="2D8C1945"/>
    <w:rsid w:val="2DB534C1"/>
    <w:rsid w:val="2DC4048B"/>
    <w:rsid w:val="2DF5773F"/>
    <w:rsid w:val="2E531569"/>
    <w:rsid w:val="2E60297C"/>
    <w:rsid w:val="2E8D0089"/>
    <w:rsid w:val="2E9976CE"/>
    <w:rsid w:val="2E9D2D1A"/>
    <w:rsid w:val="2EF108B8"/>
    <w:rsid w:val="2F0C3F6A"/>
    <w:rsid w:val="2F401D3C"/>
    <w:rsid w:val="2F5B24E1"/>
    <w:rsid w:val="2F5D56EE"/>
    <w:rsid w:val="2FA95C88"/>
    <w:rsid w:val="2FB4463B"/>
    <w:rsid w:val="2FB63EEE"/>
    <w:rsid w:val="30095DFF"/>
    <w:rsid w:val="3041370F"/>
    <w:rsid w:val="30446547"/>
    <w:rsid w:val="305E5BB7"/>
    <w:rsid w:val="30A302FB"/>
    <w:rsid w:val="30F249B4"/>
    <w:rsid w:val="312B50A3"/>
    <w:rsid w:val="31440F69"/>
    <w:rsid w:val="316227F8"/>
    <w:rsid w:val="316C20AF"/>
    <w:rsid w:val="31F317B4"/>
    <w:rsid w:val="31F360CC"/>
    <w:rsid w:val="320B72D5"/>
    <w:rsid w:val="32134AB8"/>
    <w:rsid w:val="32453A27"/>
    <w:rsid w:val="3263064A"/>
    <w:rsid w:val="3268664E"/>
    <w:rsid w:val="32714337"/>
    <w:rsid w:val="328672F4"/>
    <w:rsid w:val="32A43132"/>
    <w:rsid w:val="32AC0C06"/>
    <w:rsid w:val="330548B9"/>
    <w:rsid w:val="33344EF5"/>
    <w:rsid w:val="334D73EC"/>
    <w:rsid w:val="335B1B95"/>
    <w:rsid w:val="33AD0E22"/>
    <w:rsid w:val="343525D6"/>
    <w:rsid w:val="34423301"/>
    <w:rsid w:val="347824A4"/>
    <w:rsid w:val="349B3370"/>
    <w:rsid w:val="34B365FD"/>
    <w:rsid w:val="34EC0469"/>
    <w:rsid w:val="351146C5"/>
    <w:rsid w:val="3537750C"/>
    <w:rsid w:val="3537798C"/>
    <w:rsid w:val="35450A65"/>
    <w:rsid w:val="35544780"/>
    <w:rsid w:val="35636F94"/>
    <w:rsid w:val="35C13FC9"/>
    <w:rsid w:val="35E33494"/>
    <w:rsid w:val="35F83CAF"/>
    <w:rsid w:val="360C4AC7"/>
    <w:rsid w:val="364257B6"/>
    <w:rsid w:val="364D6DB7"/>
    <w:rsid w:val="366C1FFA"/>
    <w:rsid w:val="36B23480"/>
    <w:rsid w:val="36C86864"/>
    <w:rsid w:val="36D52FE3"/>
    <w:rsid w:val="36D94CEF"/>
    <w:rsid w:val="36F0250C"/>
    <w:rsid w:val="37770307"/>
    <w:rsid w:val="37847BEA"/>
    <w:rsid w:val="37872686"/>
    <w:rsid w:val="379A3AB2"/>
    <w:rsid w:val="379A790F"/>
    <w:rsid w:val="37A252E8"/>
    <w:rsid w:val="37C75CF8"/>
    <w:rsid w:val="37E2299A"/>
    <w:rsid w:val="37EA5922"/>
    <w:rsid w:val="37EF4DE8"/>
    <w:rsid w:val="37F37953"/>
    <w:rsid w:val="38276B93"/>
    <w:rsid w:val="38370423"/>
    <w:rsid w:val="384A38BC"/>
    <w:rsid w:val="38571D22"/>
    <w:rsid w:val="385B03E8"/>
    <w:rsid w:val="38AC3431"/>
    <w:rsid w:val="38CF7549"/>
    <w:rsid w:val="392F2E16"/>
    <w:rsid w:val="39432F14"/>
    <w:rsid w:val="399C0AF0"/>
    <w:rsid w:val="39AD422C"/>
    <w:rsid w:val="39B165E5"/>
    <w:rsid w:val="39D51149"/>
    <w:rsid w:val="39E00529"/>
    <w:rsid w:val="39F629F5"/>
    <w:rsid w:val="3A056EF1"/>
    <w:rsid w:val="3A0B64A7"/>
    <w:rsid w:val="3A407E04"/>
    <w:rsid w:val="3A4666CA"/>
    <w:rsid w:val="3A574DDA"/>
    <w:rsid w:val="3A880C39"/>
    <w:rsid w:val="3A8B38DB"/>
    <w:rsid w:val="3A924CCA"/>
    <w:rsid w:val="3AC151B3"/>
    <w:rsid w:val="3ACA7A7E"/>
    <w:rsid w:val="3AD3075A"/>
    <w:rsid w:val="3AE56BEF"/>
    <w:rsid w:val="3AF04325"/>
    <w:rsid w:val="3AF74C02"/>
    <w:rsid w:val="3B1A44F1"/>
    <w:rsid w:val="3B1A483D"/>
    <w:rsid w:val="3B5162EB"/>
    <w:rsid w:val="3B694AC0"/>
    <w:rsid w:val="3BB94107"/>
    <w:rsid w:val="3BC57F85"/>
    <w:rsid w:val="3C0059A5"/>
    <w:rsid w:val="3C134E78"/>
    <w:rsid w:val="3C4B51A2"/>
    <w:rsid w:val="3C76321A"/>
    <w:rsid w:val="3C9A7061"/>
    <w:rsid w:val="3CAF5F4F"/>
    <w:rsid w:val="3CC93136"/>
    <w:rsid w:val="3CE47C7E"/>
    <w:rsid w:val="3CE7140F"/>
    <w:rsid w:val="3CE75497"/>
    <w:rsid w:val="3D474EF0"/>
    <w:rsid w:val="3D534E0B"/>
    <w:rsid w:val="3D715FC1"/>
    <w:rsid w:val="3D915182"/>
    <w:rsid w:val="3D9D31FA"/>
    <w:rsid w:val="3DA52491"/>
    <w:rsid w:val="3DBB4FA3"/>
    <w:rsid w:val="3DD85519"/>
    <w:rsid w:val="3DF6345D"/>
    <w:rsid w:val="3E353700"/>
    <w:rsid w:val="3E443562"/>
    <w:rsid w:val="3E443E21"/>
    <w:rsid w:val="3E4D4F28"/>
    <w:rsid w:val="3E9C4F94"/>
    <w:rsid w:val="3EE13701"/>
    <w:rsid w:val="3F181876"/>
    <w:rsid w:val="3F1A4BB3"/>
    <w:rsid w:val="3F487C50"/>
    <w:rsid w:val="3F4C621C"/>
    <w:rsid w:val="3F6339BE"/>
    <w:rsid w:val="3F6F1681"/>
    <w:rsid w:val="3F7B482B"/>
    <w:rsid w:val="3FCB0C91"/>
    <w:rsid w:val="3FF65168"/>
    <w:rsid w:val="40192BA6"/>
    <w:rsid w:val="405F7654"/>
    <w:rsid w:val="408C47FB"/>
    <w:rsid w:val="40A12481"/>
    <w:rsid w:val="40B83022"/>
    <w:rsid w:val="40E55862"/>
    <w:rsid w:val="4166744F"/>
    <w:rsid w:val="418A03D9"/>
    <w:rsid w:val="41C250E4"/>
    <w:rsid w:val="41D674D0"/>
    <w:rsid w:val="41EA2B79"/>
    <w:rsid w:val="41EC7F36"/>
    <w:rsid w:val="41F37156"/>
    <w:rsid w:val="42277524"/>
    <w:rsid w:val="42550A18"/>
    <w:rsid w:val="427D1562"/>
    <w:rsid w:val="429D496A"/>
    <w:rsid w:val="42D7290C"/>
    <w:rsid w:val="42EC6F95"/>
    <w:rsid w:val="42F473A1"/>
    <w:rsid w:val="430648D3"/>
    <w:rsid w:val="431B58D8"/>
    <w:rsid w:val="432301A2"/>
    <w:rsid w:val="43647E25"/>
    <w:rsid w:val="43706ED0"/>
    <w:rsid w:val="43BF6237"/>
    <w:rsid w:val="43F319E1"/>
    <w:rsid w:val="440252A6"/>
    <w:rsid w:val="441E62C0"/>
    <w:rsid w:val="442356A7"/>
    <w:rsid w:val="448D4C02"/>
    <w:rsid w:val="44962799"/>
    <w:rsid w:val="44BF364A"/>
    <w:rsid w:val="44E00644"/>
    <w:rsid w:val="45213E9F"/>
    <w:rsid w:val="45325D14"/>
    <w:rsid w:val="455306D9"/>
    <w:rsid w:val="45811C7C"/>
    <w:rsid w:val="458854C3"/>
    <w:rsid w:val="45C55D52"/>
    <w:rsid w:val="4606742E"/>
    <w:rsid w:val="4638615B"/>
    <w:rsid w:val="468B3EFB"/>
    <w:rsid w:val="468E58AD"/>
    <w:rsid w:val="46907973"/>
    <w:rsid w:val="46D274F1"/>
    <w:rsid w:val="46DF533E"/>
    <w:rsid w:val="470A6193"/>
    <w:rsid w:val="47385210"/>
    <w:rsid w:val="473A05EB"/>
    <w:rsid w:val="473C7485"/>
    <w:rsid w:val="47D0308C"/>
    <w:rsid w:val="47DC4F5C"/>
    <w:rsid w:val="47F62F14"/>
    <w:rsid w:val="48057376"/>
    <w:rsid w:val="48947100"/>
    <w:rsid w:val="48B40671"/>
    <w:rsid w:val="49012270"/>
    <w:rsid w:val="49541BB7"/>
    <w:rsid w:val="49602288"/>
    <w:rsid w:val="49830203"/>
    <w:rsid w:val="49883890"/>
    <w:rsid w:val="499B5738"/>
    <w:rsid w:val="499E328F"/>
    <w:rsid w:val="499F244D"/>
    <w:rsid w:val="49BF4DEA"/>
    <w:rsid w:val="49DA6560"/>
    <w:rsid w:val="49F42EAF"/>
    <w:rsid w:val="4A544357"/>
    <w:rsid w:val="4A973F3F"/>
    <w:rsid w:val="4AD04FB9"/>
    <w:rsid w:val="4AF96BC7"/>
    <w:rsid w:val="4B2577B7"/>
    <w:rsid w:val="4B862A85"/>
    <w:rsid w:val="4BCF4E7F"/>
    <w:rsid w:val="4BE51DAA"/>
    <w:rsid w:val="4BF548F5"/>
    <w:rsid w:val="4C145341"/>
    <w:rsid w:val="4C2E22A6"/>
    <w:rsid w:val="4C453D83"/>
    <w:rsid w:val="4CAA04BA"/>
    <w:rsid w:val="4CB80598"/>
    <w:rsid w:val="4CC216AD"/>
    <w:rsid w:val="4CEF36E2"/>
    <w:rsid w:val="4CEF3FE9"/>
    <w:rsid w:val="4CEF4DC5"/>
    <w:rsid w:val="4CF92401"/>
    <w:rsid w:val="4D210555"/>
    <w:rsid w:val="4D3976A9"/>
    <w:rsid w:val="4DAE73A6"/>
    <w:rsid w:val="4E011E35"/>
    <w:rsid w:val="4E257655"/>
    <w:rsid w:val="4E44194E"/>
    <w:rsid w:val="4E88341A"/>
    <w:rsid w:val="4ED54E62"/>
    <w:rsid w:val="4F095248"/>
    <w:rsid w:val="4F372380"/>
    <w:rsid w:val="4F372FFB"/>
    <w:rsid w:val="4F7A197D"/>
    <w:rsid w:val="4F8A7C3F"/>
    <w:rsid w:val="4F8B1F3B"/>
    <w:rsid w:val="4FFC020D"/>
    <w:rsid w:val="5064466C"/>
    <w:rsid w:val="50735AF6"/>
    <w:rsid w:val="50A86B61"/>
    <w:rsid w:val="50B72674"/>
    <w:rsid w:val="50C6158C"/>
    <w:rsid w:val="510B2BA9"/>
    <w:rsid w:val="513721FC"/>
    <w:rsid w:val="516D090A"/>
    <w:rsid w:val="518F5F2E"/>
    <w:rsid w:val="51B7743C"/>
    <w:rsid w:val="51C71D18"/>
    <w:rsid w:val="51E80643"/>
    <w:rsid w:val="523862CF"/>
    <w:rsid w:val="5239401E"/>
    <w:rsid w:val="52395ECD"/>
    <w:rsid w:val="5275657F"/>
    <w:rsid w:val="52C10D75"/>
    <w:rsid w:val="530F700F"/>
    <w:rsid w:val="531911A9"/>
    <w:rsid w:val="53574E8E"/>
    <w:rsid w:val="53C27FF8"/>
    <w:rsid w:val="53F536B4"/>
    <w:rsid w:val="53FC7D96"/>
    <w:rsid w:val="54107651"/>
    <w:rsid w:val="5423205A"/>
    <w:rsid w:val="546140E7"/>
    <w:rsid w:val="546D4C35"/>
    <w:rsid w:val="549E1A80"/>
    <w:rsid w:val="54A533F9"/>
    <w:rsid w:val="54C658F4"/>
    <w:rsid w:val="54EB7772"/>
    <w:rsid w:val="54ED2B26"/>
    <w:rsid w:val="550C4BD7"/>
    <w:rsid w:val="554C1D56"/>
    <w:rsid w:val="55572986"/>
    <w:rsid w:val="5611758B"/>
    <w:rsid w:val="563A4971"/>
    <w:rsid w:val="565340FA"/>
    <w:rsid w:val="56AC391A"/>
    <w:rsid w:val="56AC540B"/>
    <w:rsid w:val="5707553F"/>
    <w:rsid w:val="571B5116"/>
    <w:rsid w:val="581B39AE"/>
    <w:rsid w:val="586F4122"/>
    <w:rsid w:val="58C03568"/>
    <w:rsid w:val="58DB598B"/>
    <w:rsid w:val="58DE34F7"/>
    <w:rsid w:val="591C35AB"/>
    <w:rsid w:val="592B7B1E"/>
    <w:rsid w:val="595C23C2"/>
    <w:rsid w:val="59A122E9"/>
    <w:rsid w:val="59E36A51"/>
    <w:rsid w:val="59E67145"/>
    <w:rsid w:val="59ED455E"/>
    <w:rsid w:val="5A09410E"/>
    <w:rsid w:val="5A273310"/>
    <w:rsid w:val="5A2A339F"/>
    <w:rsid w:val="5A2F2CC8"/>
    <w:rsid w:val="5A343378"/>
    <w:rsid w:val="5A3E565B"/>
    <w:rsid w:val="5A6337B6"/>
    <w:rsid w:val="5A69369C"/>
    <w:rsid w:val="5A922067"/>
    <w:rsid w:val="5AA25FD4"/>
    <w:rsid w:val="5AB80632"/>
    <w:rsid w:val="5ADF0C60"/>
    <w:rsid w:val="5B177B49"/>
    <w:rsid w:val="5B745E49"/>
    <w:rsid w:val="5B915FDD"/>
    <w:rsid w:val="5BE41941"/>
    <w:rsid w:val="5C016B7E"/>
    <w:rsid w:val="5C0A6081"/>
    <w:rsid w:val="5C10702D"/>
    <w:rsid w:val="5C152601"/>
    <w:rsid w:val="5C716764"/>
    <w:rsid w:val="5C7A790A"/>
    <w:rsid w:val="5C8A1B2F"/>
    <w:rsid w:val="5C9A2715"/>
    <w:rsid w:val="5CA359D5"/>
    <w:rsid w:val="5CBD0464"/>
    <w:rsid w:val="5CBF1609"/>
    <w:rsid w:val="5CDA3D88"/>
    <w:rsid w:val="5CE0289D"/>
    <w:rsid w:val="5CF9113C"/>
    <w:rsid w:val="5D3120A8"/>
    <w:rsid w:val="5D360D0A"/>
    <w:rsid w:val="5D3D0F4F"/>
    <w:rsid w:val="5D4C0618"/>
    <w:rsid w:val="5D7A4F01"/>
    <w:rsid w:val="5DD11902"/>
    <w:rsid w:val="5E234127"/>
    <w:rsid w:val="5E3D73EA"/>
    <w:rsid w:val="5E724AB7"/>
    <w:rsid w:val="5E8F07C4"/>
    <w:rsid w:val="5E8F267C"/>
    <w:rsid w:val="5EC008F2"/>
    <w:rsid w:val="5EE412EC"/>
    <w:rsid w:val="5F680EF3"/>
    <w:rsid w:val="5F715A55"/>
    <w:rsid w:val="5FE84B9D"/>
    <w:rsid w:val="600B6E9C"/>
    <w:rsid w:val="603A2131"/>
    <w:rsid w:val="606007BB"/>
    <w:rsid w:val="60641B7D"/>
    <w:rsid w:val="608C725E"/>
    <w:rsid w:val="6092251F"/>
    <w:rsid w:val="60A2201E"/>
    <w:rsid w:val="60AC7F66"/>
    <w:rsid w:val="60E05F2C"/>
    <w:rsid w:val="612B6CCB"/>
    <w:rsid w:val="612C59A5"/>
    <w:rsid w:val="6146709C"/>
    <w:rsid w:val="616474CA"/>
    <w:rsid w:val="61932B1D"/>
    <w:rsid w:val="61BF10D9"/>
    <w:rsid w:val="61CE1DDF"/>
    <w:rsid w:val="61F66F47"/>
    <w:rsid w:val="621032ED"/>
    <w:rsid w:val="62774F24"/>
    <w:rsid w:val="62861D79"/>
    <w:rsid w:val="62A83BBE"/>
    <w:rsid w:val="62AC22DC"/>
    <w:rsid w:val="62BF71FB"/>
    <w:rsid w:val="63155591"/>
    <w:rsid w:val="63202696"/>
    <w:rsid w:val="63626E21"/>
    <w:rsid w:val="63BD1DB1"/>
    <w:rsid w:val="64182F33"/>
    <w:rsid w:val="642E3985"/>
    <w:rsid w:val="643D7FB7"/>
    <w:rsid w:val="64E45EF7"/>
    <w:rsid w:val="64E96B0C"/>
    <w:rsid w:val="64F63195"/>
    <w:rsid w:val="653A7EB8"/>
    <w:rsid w:val="65431C0B"/>
    <w:rsid w:val="65786BF4"/>
    <w:rsid w:val="65A221F8"/>
    <w:rsid w:val="65B320EB"/>
    <w:rsid w:val="65CA29C0"/>
    <w:rsid w:val="65F9293B"/>
    <w:rsid w:val="65FB1C7A"/>
    <w:rsid w:val="663F7E38"/>
    <w:rsid w:val="664F3941"/>
    <w:rsid w:val="66661DDE"/>
    <w:rsid w:val="6691014E"/>
    <w:rsid w:val="66FB36BF"/>
    <w:rsid w:val="66FC4319"/>
    <w:rsid w:val="672F6A72"/>
    <w:rsid w:val="67475525"/>
    <w:rsid w:val="677435B2"/>
    <w:rsid w:val="6779091D"/>
    <w:rsid w:val="67C53777"/>
    <w:rsid w:val="67C81DA9"/>
    <w:rsid w:val="67EF75F1"/>
    <w:rsid w:val="682C3FCE"/>
    <w:rsid w:val="6838670D"/>
    <w:rsid w:val="6847224D"/>
    <w:rsid w:val="684B1AA6"/>
    <w:rsid w:val="68510EAF"/>
    <w:rsid w:val="68E92842"/>
    <w:rsid w:val="69124F16"/>
    <w:rsid w:val="69404730"/>
    <w:rsid w:val="69586A88"/>
    <w:rsid w:val="69CD5C14"/>
    <w:rsid w:val="69CF0D33"/>
    <w:rsid w:val="69D027BF"/>
    <w:rsid w:val="6A320C28"/>
    <w:rsid w:val="6A373470"/>
    <w:rsid w:val="6A3D2E79"/>
    <w:rsid w:val="6A64525C"/>
    <w:rsid w:val="6A8F515D"/>
    <w:rsid w:val="6AF176B5"/>
    <w:rsid w:val="6B434A4A"/>
    <w:rsid w:val="6B68057F"/>
    <w:rsid w:val="6B98376F"/>
    <w:rsid w:val="6B9946B3"/>
    <w:rsid w:val="6BC17CE5"/>
    <w:rsid w:val="6BC363C7"/>
    <w:rsid w:val="6BDE3191"/>
    <w:rsid w:val="6BF80E4A"/>
    <w:rsid w:val="6C2D335D"/>
    <w:rsid w:val="6C7007C7"/>
    <w:rsid w:val="6CF60967"/>
    <w:rsid w:val="6D7D2057"/>
    <w:rsid w:val="6DA0340C"/>
    <w:rsid w:val="6DB43E10"/>
    <w:rsid w:val="6DB849A8"/>
    <w:rsid w:val="6DDE1BFF"/>
    <w:rsid w:val="6DE76850"/>
    <w:rsid w:val="6E1360BF"/>
    <w:rsid w:val="6E5D06EC"/>
    <w:rsid w:val="6E5D7657"/>
    <w:rsid w:val="6EB96E0A"/>
    <w:rsid w:val="6EC3399D"/>
    <w:rsid w:val="6ED22F0F"/>
    <w:rsid w:val="6EEC7267"/>
    <w:rsid w:val="6EF868DE"/>
    <w:rsid w:val="6F1239D1"/>
    <w:rsid w:val="6F135258"/>
    <w:rsid w:val="6F1D2BBB"/>
    <w:rsid w:val="6F663C05"/>
    <w:rsid w:val="6F83485C"/>
    <w:rsid w:val="6F992D80"/>
    <w:rsid w:val="6FB20BD4"/>
    <w:rsid w:val="6FB60E13"/>
    <w:rsid w:val="6FBA59BE"/>
    <w:rsid w:val="6FC1425F"/>
    <w:rsid w:val="700A0487"/>
    <w:rsid w:val="70296B3E"/>
    <w:rsid w:val="704769F8"/>
    <w:rsid w:val="704F0913"/>
    <w:rsid w:val="70611204"/>
    <w:rsid w:val="707046AC"/>
    <w:rsid w:val="707A6EEE"/>
    <w:rsid w:val="707B5963"/>
    <w:rsid w:val="70BC7007"/>
    <w:rsid w:val="70C13E5A"/>
    <w:rsid w:val="70E7148E"/>
    <w:rsid w:val="710F1745"/>
    <w:rsid w:val="7169365F"/>
    <w:rsid w:val="716A694D"/>
    <w:rsid w:val="7189527B"/>
    <w:rsid w:val="71B17292"/>
    <w:rsid w:val="71E46DC2"/>
    <w:rsid w:val="721639C9"/>
    <w:rsid w:val="723840DA"/>
    <w:rsid w:val="724E32AE"/>
    <w:rsid w:val="726C1EA2"/>
    <w:rsid w:val="72764D1C"/>
    <w:rsid w:val="72985CE5"/>
    <w:rsid w:val="72D22DC0"/>
    <w:rsid w:val="72EC05E6"/>
    <w:rsid w:val="72FD7CD8"/>
    <w:rsid w:val="72FE60C8"/>
    <w:rsid w:val="73087957"/>
    <w:rsid w:val="73743E89"/>
    <w:rsid w:val="73A81DFF"/>
    <w:rsid w:val="742D16B9"/>
    <w:rsid w:val="743C5421"/>
    <w:rsid w:val="743D6695"/>
    <w:rsid w:val="74FA2C30"/>
    <w:rsid w:val="754D5C4B"/>
    <w:rsid w:val="7573103D"/>
    <w:rsid w:val="75BB5530"/>
    <w:rsid w:val="75D65C1F"/>
    <w:rsid w:val="760756CF"/>
    <w:rsid w:val="76A265F0"/>
    <w:rsid w:val="76C240A7"/>
    <w:rsid w:val="775246B7"/>
    <w:rsid w:val="776123FB"/>
    <w:rsid w:val="776913AD"/>
    <w:rsid w:val="77A67BEE"/>
    <w:rsid w:val="77C366C3"/>
    <w:rsid w:val="77D20958"/>
    <w:rsid w:val="77DF67E5"/>
    <w:rsid w:val="781E69D1"/>
    <w:rsid w:val="7856776A"/>
    <w:rsid w:val="78755594"/>
    <w:rsid w:val="78AA0A59"/>
    <w:rsid w:val="78BC1AF7"/>
    <w:rsid w:val="792A6C21"/>
    <w:rsid w:val="796A4136"/>
    <w:rsid w:val="79734650"/>
    <w:rsid w:val="798B6C4A"/>
    <w:rsid w:val="799D2601"/>
    <w:rsid w:val="7A263B6B"/>
    <w:rsid w:val="7A3E6F9D"/>
    <w:rsid w:val="7A96680E"/>
    <w:rsid w:val="7AAA2232"/>
    <w:rsid w:val="7ABD42ED"/>
    <w:rsid w:val="7AE30DA5"/>
    <w:rsid w:val="7AF46346"/>
    <w:rsid w:val="7B0F5EBF"/>
    <w:rsid w:val="7B130FB9"/>
    <w:rsid w:val="7B247FC6"/>
    <w:rsid w:val="7B2B457B"/>
    <w:rsid w:val="7B407128"/>
    <w:rsid w:val="7BBA0ACE"/>
    <w:rsid w:val="7BC410DA"/>
    <w:rsid w:val="7BE0544F"/>
    <w:rsid w:val="7BF00FC8"/>
    <w:rsid w:val="7BF64EDE"/>
    <w:rsid w:val="7C400C1E"/>
    <w:rsid w:val="7C603522"/>
    <w:rsid w:val="7C611D76"/>
    <w:rsid w:val="7C7542C2"/>
    <w:rsid w:val="7D380432"/>
    <w:rsid w:val="7D4B77BF"/>
    <w:rsid w:val="7D5A0CED"/>
    <w:rsid w:val="7D8B3DB8"/>
    <w:rsid w:val="7DD11708"/>
    <w:rsid w:val="7DD85788"/>
    <w:rsid w:val="7DFA51EE"/>
    <w:rsid w:val="7E476EFF"/>
    <w:rsid w:val="7E48288A"/>
    <w:rsid w:val="7E721F94"/>
    <w:rsid w:val="7EC167BD"/>
    <w:rsid w:val="7ECD5A97"/>
    <w:rsid w:val="7EE36060"/>
    <w:rsid w:val="7F272D9E"/>
    <w:rsid w:val="7F3651D1"/>
    <w:rsid w:val="7F432570"/>
    <w:rsid w:val="7F4B5BF2"/>
    <w:rsid w:val="7F4B5EF0"/>
    <w:rsid w:val="7F971A1F"/>
    <w:rsid w:val="7FB2433B"/>
    <w:rsid w:val="7FD51D48"/>
    <w:rsid w:val="7FF3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qFormat="1"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9"/>
    <w:pPr>
      <w:autoSpaceDE w:val="0"/>
      <w:autoSpaceDN w:val="0"/>
      <w:adjustRightInd w:val="0"/>
      <w:ind w:left="425" w:hanging="425"/>
      <w:jc w:val="center"/>
      <w:outlineLvl w:val="0"/>
    </w:pPr>
    <w:rPr>
      <w:b/>
      <w:kern w:val="0"/>
      <w:sz w:val="28"/>
      <w:szCs w:val="20"/>
    </w:rPr>
  </w:style>
  <w:style w:type="paragraph" w:styleId="3">
    <w:name w:val="heading 2"/>
    <w:basedOn w:val="1"/>
    <w:next w:val="1"/>
    <w:link w:val="6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qFormat/>
    <w:uiPriority w:val="9"/>
    <w:pPr>
      <w:keepNext/>
      <w:keepLines/>
      <w:numPr>
        <w:ilvl w:val="2"/>
        <w:numId w:val="1"/>
      </w:numPr>
      <w:spacing w:before="120" w:after="120"/>
      <w:jc w:val="left"/>
      <w:outlineLvl w:val="2"/>
    </w:pPr>
    <w:rPr>
      <w:b/>
      <w:bCs/>
      <w:sz w:val="30"/>
      <w:szCs w:val="32"/>
    </w:rPr>
  </w:style>
  <w:style w:type="paragraph" w:styleId="5">
    <w:name w:val="heading 4"/>
    <w:basedOn w:val="1"/>
    <w:next w:val="1"/>
    <w:link w:val="68"/>
    <w:qFormat/>
    <w:uiPriority w:val="9"/>
    <w:pPr>
      <w:ind w:firstLine="680"/>
      <w:outlineLvl w:val="3"/>
    </w:pPr>
    <w:rPr>
      <w:rFonts w:ascii="宋体"/>
      <w:sz w:val="28"/>
      <w:szCs w:val="20"/>
    </w:rPr>
  </w:style>
  <w:style w:type="paragraph" w:styleId="6">
    <w:name w:val="heading 5"/>
    <w:basedOn w:val="1"/>
    <w:next w:val="7"/>
    <w:link w:val="69"/>
    <w:qFormat/>
    <w:uiPriority w:val="9"/>
    <w:pPr>
      <w:keepNext/>
      <w:keepLines/>
      <w:spacing w:before="280" w:after="290" w:line="376" w:lineRule="auto"/>
      <w:outlineLvl w:val="4"/>
    </w:pPr>
    <w:rPr>
      <w:b/>
      <w:bCs/>
      <w:sz w:val="28"/>
      <w:szCs w:val="28"/>
    </w:rPr>
  </w:style>
  <w:style w:type="paragraph" w:styleId="8">
    <w:name w:val="heading 6"/>
    <w:basedOn w:val="1"/>
    <w:next w:val="1"/>
    <w:link w:val="71"/>
    <w:qFormat/>
    <w:uiPriority w:val="9"/>
    <w:pPr>
      <w:ind w:firstLine="680"/>
      <w:outlineLvl w:val="5"/>
    </w:pPr>
    <w:rPr>
      <w:sz w:val="28"/>
      <w:szCs w:val="20"/>
    </w:rPr>
  </w:style>
  <w:style w:type="paragraph" w:styleId="9">
    <w:name w:val="heading 7"/>
    <w:basedOn w:val="1"/>
    <w:next w:val="1"/>
    <w:link w:val="72"/>
    <w:qFormat/>
    <w:uiPriority w:val="9"/>
    <w:pPr>
      <w:keepNext/>
      <w:keepLines/>
      <w:spacing w:before="240" w:after="64" w:line="317" w:lineRule="auto"/>
      <w:outlineLvl w:val="6"/>
    </w:pPr>
    <w:rPr>
      <w:b/>
      <w:sz w:val="24"/>
      <w:szCs w:val="20"/>
    </w:rPr>
  </w:style>
  <w:style w:type="paragraph" w:styleId="10">
    <w:name w:val="heading 8"/>
    <w:basedOn w:val="1"/>
    <w:next w:val="1"/>
    <w:link w:val="73"/>
    <w:qFormat/>
    <w:uiPriority w:val="0"/>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4"/>
    <w:qFormat/>
    <w:uiPriority w:val="9"/>
    <w:pPr>
      <w:keepNext/>
      <w:keepLines/>
      <w:spacing w:before="240" w:after="64" w:line="320" w:lineRule="auto"/>
      <w:outlineLvl w:val="8"/>
    </w:pPr>
    <w:rPr>
      <w:rFonts w:ascii="Cambria" w:hAnsi="Cambria"/>
      <w:i/>
      <w:iCs/>
      <w:color w:val="404040"/>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70"/>
    <w:qFormat/>
    <w:uiPriority w:val="99"/>
    <w:pPr>
      <w:ind w:firstLine="420"/>
    </w:pPr>
    <w:rPr>
      <w:color w:val="FF0000"/>
      <w:szCs w:val="20"/>
    </w:rPr>
  </w:style>
  <w:style w:type="paragraph" w:styleId="12">
    <w:name w:val="toc 7"/>
    <w:basedOn w:val="1"/>
    <w:next w:val="1"/>
    <w:qFormat/>
    <w:uiPriority w:val="0"/>
    <w:pPr>
      <w:ind w:left="2520" w:leftChars="1200"/>
    </w:pPr>
    <w:rPr>
      <w:szCs w:val="20"/>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rPr>
      <w:rFonts w:ascii="Arial" w:hAnsi="Arial" w:eastAsia="黑体"/>
      <w:sz w:val="20"/>
      <w:szCs w:val="20"/>
    </w:rPr>
  </w:style>
  <w:style w:type="paragraph" w:styleId="16">
    <w:name w:val="Document Map"/>
    <w:basedOn w:val="1"/>
    <w:link w:val="75"/>
    <w:qFormat/>
    <w:uiPriority w:val="0"/>
    <w:pPr>
      <w:shd w:val="clear" w:color="auto" w:fill="000080"/>
    </w:pPr>
    <w:rPr>
      <w:szCs w:val="20"/>
    </w:rPr>
  </w:style>
  <w:style w:type="paragraph" w:styleId="17">
    <w:name w:val="toa heading"/>
    <w:basedOn w:val="1"/>
    <w:next w:val="1"/>
    <w:qFormat/>
    <w:uiPriority w:val="0"/>
    <w:pPr>
      <w:spacing w:before="120" w:line="240" w:lineRule="atLeast"/>
    </w:pPr>
    <w:rPr>
      <w:rFonts w:ascii="Arial" w:hAnsi="Arial"/>
      <w:sz w:val="24"/>
      <w:szCs w:val="20"/>
    </w:rPr>
  </w:style>
  <w:style w:type="paragraph" w:styleId="18">
    <w:name w:val="annotation text"/>
    <w:basedOn w:val="1"/>
    <w:link w:val="76"/>
    <w:qFormat/>
    <w:uiPriority w:val="99"/>
    <w:pPr>
      <w:jc w:val="left"/>
    </w:pPr>
  </w:style>
  <w:style w:type="paragraph" w:styleId="19">
    <w:name w:val="Body Text 3"/>
    <w:basedOn w:val="1"/>
    <w:link w:val="77"/>
    <w:unhideWhenUsed/>
    <w:qFormat/>
    <w:uiPriority w:val="99"/>
    <w:pPr>
      <w:spacing w:after="120"/>
    </w:pPr>
    <w:rPr>
      <w:sz w:val="16"/>
      <w:szCs w:val="16"/>
    </w:rPr>
  </w:style>
  <w:style w:type="paragraph" w:styleId="20">
    <w:name w:val="Body Text"/>
    <w:basedOn w:val="1"/>
    <w:next w:val="1"/>
    <w:link w:val="78"/>
    <w:unhideWhenUsed/>
    <w:qFormat/>
    <w:uiPriority w:val="0"/>
    <w:pPr>
      <w:spacing w:after="120"/>
    </w:pPr>
  </w:style>
  <w:style w:type="paragraph" w:styleId="21">
    <w:name w:val="Body Text Indent"/>
    <w:basedOn w:val="1"/>
    <w:next w:val="22"/>
    <w:link w:val="79"/>
    <w:qFormat/>
    <w:uiPriority w:val="0"/>
    <w:pPr>
      <w:ind w:firstLine="830" w:firstLineChars="352"/>
    </w:pPr>
    <w:rPr>
      <w:rFonts w:ascii="仿宋_GB2312" w:eastAsia="仿宋_GB2312"/>
      <w:kern w:val="0"/>
      <w:sz w:val="32"/>
      <w:szCs w:val="20"/>
    </w:rPr>
  </w:style>
  <w:style w:type="paragraph" w:styleId="22">
    <w:name w:val="envelope return"/>
    <w:basedOn w:val="1"/>
    <w:qFormat/>
    <w:uiPriority w:val="99"/>
    <w:pPr>
      <w:snapToGrid w:val="0"/>
    </w:pPr>
    <w:rPr>
      <w:rFonts w:ascii="Arial" w:hAnsi="Arial"/>
    </w:rPr>
  </w:style>
  <w:style w:type="paragraph" w:styleId="23">
    <w:name w:val="List 2"/>
    <w:basedOn w:val="1"/>
    <w:unhideWhenUsed/>
    <w:qFormat/>
    <w:uiPriority w:val="99"/>
    <w:pPr>
      <w:ind w:left="100" w:leftChars="200" w:hanging="200" w:hangingChars="200"/>
      <w:contextualSpacing/>
    </w:pPr>
  </w:style>
  <w:style w:type="paragraph" w:styleId="24">
    <w:name w:val="Block Text"/>
    <w:basedOn w:val="1"/>
    <w:qFormat/>
    <w:uiPriority w:val="0"/>
    <w:pPr>
      <w:autoSpaceDE w:val="0"/>
      <w:autoSpaceDN w:val="0"/>
      <w:adjustRightInd w:val="0"/>
      <w:spacing w:line="460" w:lineRule="atLeast"/>
      <w:ind w:left="510" w:right="284"/>
    </w:pPr>
    <w:rPr>
      <w:rFonts w:ascii="宋体"/>
      <w:kern w:val="0"/>
      <w:sz w:val="32"/>
      <w:szCs w:val="20"/>
    </w:rPr>
  </w:style>
  <w:style w:type="paragraph" w:styleId="25">
    <w:name w:val="toc 5"/>
    <w:basedOn w:val="1"/>
    <w:next w:val="1"/>
    <w:qFormat/>
    <w:uiPriority w:val="0"/>
    <w:pPr>
      <w:ind w:left="400" w:leftChars="400"/>
    </w:pPr>
    <w:rPr>
      <w:szCs w:val="20"/>
    </w:rPr>
  </w:style>
  <w:style w:type="paragraph" w:styleId="26">
    <w:name w:val="toc 3"/>
    <w:basedOn w:val="1"/>
    <w:next w:val="1"/>
    <w:qFormat/>
    <w:uiPriority w:val="0"/>
    <w:pPr>
      <w:ind w:left="200" w:leftChars="200"/>
    </w:pPr>
    <w:rPr>
      <w:szCs w:val="20"/>
    </w:rPr>
  </w:style>
  <w:style w:type="paragraph" w:styleId="27">
    <w:name w:val="Plain Text"/>
    <w:basedOn w:val="1"/>
    <w:next w:val="5"/>
    <w:link w:val="80"/>
    <w:qFormat/>
    <w:uiPriority w:val="0"/>
    <w:rPr>
      <w:rFonts w:ascii="宋体" w:hAnsi="Courier New"/>
      <w:kern w:val="0"/>
      <w:sz w:val="20"/>
      <w:szCs w:val="21"/>
    </w:rPr>
  </w:style>
  <w:style w:type="paragraph" w:styleId="28">
    <w:name w:val="toc 8"/>
    <w:basedOn w:val="1"/>
    <w:next w:val="1"/>
    <w:qFormat/>
    <w:uiPriority w:val="0"/>
    <w:pPr>
      <w:ind w:left="2940" w:leftChars="1400"/>
    </w:pPr>
    <w:rPr>
      <w:szCs w:val="20"/>
    </w:rPr>
  </w:style>
  <w:style w:type="paragraph" w:styleId="29">
    <w:name w:val="Date"/>
    <w:basedOn w:val="1"/>
    <w:next w:val="1"/>
    <w:link w:val="81"/>
    <w:unhideWhenUsed/>
    <w:qFormat/>
    <w:uiPriority w:val="0"/>
    <w:pPr>
      <w:ind w:left="100" w:leftChars="2500"/>
    </w:pPr>
  </w:style>
  <w:style w:type="paragraph" w:styleId="30">
    <w:name w:val="Body Text Indent 2"/>
    <w:basedOn w:val="1"/>
    <w:link w:val="82"/>
    <w:qFormat/>
    <w:uiPriority w:val="0"/>
    <w:pPr>
      <w:spacing w:before="50" w:line="240" w:lineRule="atLeast"/>
      <w:ind w:firstLine="482" w:firstLineChars="200"/>
    </w:pPr>
    <w:rPr>
      <w:rFonts w:ascii="宋体" w:hAnsi="宋体"/>
      <w:b/>
      <w:sz w:val="24"/>
      <w:szCs w:val="20"/>
    </w:rPr>
  </w:style>
  <w:style w:type="paragraph" w:styleId="31">
    <w:name w:val="Balloon Text"/>
    <w:basedOn w:val="1"/>
    <w:link w:val="83"/>
    <w:qFormat/>
    <w:uiPriority w:val="0"/>
    <w:rPr>
      <w:sz w:val="18"/>
      <w:szCs w:val="18"/>
    </w:rPr>
  </w:style>
  <w:style w:type="paragraph" w:styleId="32">
    <w:name w:val="footer"/>
    <w:basedOn w:val="1"/>
    <w:next w:val="1"/>
    <w:link w:val="84"/>
    <w:unhideWhenUsed/>
    <w:qFormat/>
    <w:uiPriority w:val="0"/>
    <w:pPr>
      <w:tabs>
        <w:tab w:val="center" w:pos="4153"/>
        <w:tab w:val="right" w:pos="8306"/>
      </w:tabs>
      <w:snapToGrid w:val="0"/>
      <w:jc w:val="left"/>
    </w:pPr>
    <w:rPr>
      <w:kern w:val="0"/>
      <w:sz w:val="18"/>
      <w:szCs w:val="18"/>
    </w:rPr>
  </w:style>
  <w:style w:type="paragraph" w:styleId="33">
    <w:name w:val="header"/>
    <w:basedOn w:val="1"/>
    <w:next w:val="1"/>
    <w:link w:val="8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0"/>
  </w:style>
  <w:style w:type="paragraph" w:styleId="35">
    <w:name w:val="toc 4"/>
    <w:basedOn w:val="1"/>
    <w:next w:val="1"/>
    <w:qFormat/>
    <w:uiPriority w:val="0"/>
    <w:pPr>
      <w:ind w:left="300" w:leftChars="300"/>
    </w:pPr>
    <w:rPr>
      <w:szCs w:val="20"/>
    </w:rPr>
  </w:style>
  <w:style w:type="paragraph" w:styleId="36">
    <w:name w:val="index heading"/>
    <w:basedOn w:val="1"/>
    <w:next w:val="37"/>
    <w:qFormat/>
    <w:uiPriority w:val="0"/>
    <w:rPr>
      <w:szCs w:val="20"/>
    </w:rPr>
  </w:style>
  <w:style w:type="paragraph" w:styleId="37">
    <w:name w:val="index 1"/>
    <w:basedOn w:val="1"/>
    <w:next w:val="1"/>
    <w:qFormat/>
    <w:uiPriority w:val="0"/>
    <w:pPr>
      <w:widowControl/>
      <w:jc w:val="left"/>
    </w:pPr>
    <w:rPr>
      <w:kern w:val="0"/>
      <w:szCs w:val="20"/>
    </w:rPr>
  </w:style>
  <w:style w:type="paragraph" w:styleId="38">
    <w:name w:val="List"/>
    <w:basedOn w:val="1"/>
    <w:unhideWhenUsed/>
    <w:qFormat/>
    <w:uiPriority w:val="0"/>
    <w:pPr>
      <w:ind w:left="200" w:hanging="200" w:hangingChars="200"/>
    </w:pPr>
  </w:style>
  <w:style w:type="paragraph" w:styleId="39">
    <w:name w:val="toc 6"/>
    <w:basedOn w:val="1"/>
    <w:next w:val="1"/>
    <w:qFormat/>
    <w:uiPriority w:val="0"/>
    <w:pPr>
      <w:ind w:left="500" w:leftChars="500"/>
    </w:pPr>
    <w:rPr>
      <w:szCs w:val="20"/>
    </w:rPr>
  </w:style>
  <w:style w:type="paragraph" w:styleId="40">
    <w:name w:val="Body Text Indent 3"/>
    <w:basedOn w:val="1"/>
    <w:link w:val="86"/>
    <w:qFormat/>
    <w:uiPriority w:val="0"/>
    <w:pPr>
      <w:spacing w:after="120"/>
      <w:ind w:left="420" w:leftChars="200"/>
    </w:pPr>
    <w:rPr>
      <w:sz w:val="16"/>
      <w:szCs w:val="20"/>
    </w:rPr>
  </w:style>
  <w:style w:type="paragraph" w:styleId="41">
    <w:name w:val="index 9"/>
    <w:basedOn w:val="1"/>
    <w:next w:val="1"/>
    <w:qFormat/>
    <w:uiPriority w:val="0"/>
    <w:pPr>
      <w:spacing w:line="240" w:lineRule="atLeast"/>
      <w:ind w:left="1600" w:leftChars="1600"/>
    </w:pPr>
    <w:rPr>
      <w:szCs w:val="20"/>
    </w:rPr>
  </w:style>
  <w:style w:type="paragraph" w:styleId="42">
    <w:name w:val="toc 2"/>
    <w:basedOn w:val="1"/>
    <w:next w:val="1"/>
    <w:unhideWhenUsed/>
    <w:qFormat/>
    <w:uiPriority w:val="0"/>
    <w:pPr>
      <w:tabs>
        <w:tab w:val="right" w:leader="dot" w:pos="8296"/>
      </w:tabs>
      <w:ind w:left="420" w:leftChars="200"/>
    </w:pPr>
  </w:style>
  <w:style w:type="paragraph" w:styleId="43">
    <w:name w:val="toc 9"/>
    <w:basedOn w:val="1"/>
    <w:next w:val="1"/>
    <w:qFormat/>
    <w:uiPriority w:val="0"/>
    <w:pPr>
      <w:ind w:left="3360" w:leftChars="1600"/>
    </w:pPr>
    <w:rPr>
      <w:szCs w:val="20"/>
    </w:rPr>
  </w:style>
  <w:style w:type="paragraph" w:styleId="44">
    <w:name w:val="Body Text 2"/>
    <w:basedOn w:val="1"/>
    <w:link w:val="87"/>
    <w:qFormat/>
    <w:uiPriority w:val="0"/>
    <w:pPr>
      <w:spacing w:line="360" w:lineRule="auto"/>
    </w:pPr>
    <w:rPr>
      <w:rFonts w:ascii="宋体"/>
      <w:b/>
      <w:sz w:val="36"/>
      <w:szCs w:val="36"/>
    </w:rPr>
  </w:style>
  <w:style w:type="paragraph" w:styleId="45">
    <w:name w:val="List 4"/>
    <w:basedOn w:val="1"/>
    <w:unhideWhenUsed/>
    <w:qFormat/>
    <w:uiPriority w:val="0"/>
    <w:pPr>
      <w:ind w:left="100" w:leftChars="600" w:hanging="200" w:hangingChars="200"/>
    </w:pPr>
  </w:style>
  <w:style w:type="paragraph" w:styleId="46">
    <w:name w:val="Normal (Web)"/>
    <w:basedOn w:val="1"/>
    <w:link w:val="88"/>
    <w:unhideWhenUsed/>
    <w:qFormat/>
    <w:uiPriority w:val="0"/>
    <w:rPr>
      <w:rFonts w:ascii="Calibri" w:hAnsi="Calibri"/>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89"/>
    <w:qFormat/>
    <w:uiPriority w:val="0"/>
    <w:rPr>
      <w:b/>
      <w:bCs/>
    </w:rPr>
  </w:style>
  <w:style w:type="paragraph" w:styleId="49">
    <w:name w:val="Body Text First Indent"/>
    <w:basedOn w:val="1"/>
    <w:link w:val="90"/>
    <w:qFormat/>
    <w:uiPriority w:val="0"/>
    <w:pPr>
      <w:tabs>
        <w:tab w:val="left" w:pos="420"/>
      </w:tabs>
      <w:ind w:firstLine="560" w:firstLineChars="200"/>
      <w:jc w:val="left"/>
    </w:pPr>
    <w:rPr>
      <w:rFonts w:ascii="Arial" w:hAnsi="Arial"/>
      <w:kern w:val="0"/>
      <w:sz w:val="20"/>
      <w:szCs w:val="20"/>
    </w:rPr>
  </w:style>
  <w:style w:type="paragraph" w:styleId="50">
    <w:name w:val="Body Text First Indent 2"/>
    <w:basedOn w:val="21"/>
    <w:link w:val="91"/>
    <w:qFormat/>
    <w:uiPriority w:val="0"/>
    <w:pPr>
      <w:spacing w:after="120"/>
      <w:ind w:left="420" w:leftChars="200" w:firstLine="420" w:firstLineChars="200"/>
    </w:p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0"/>
    <w:rPr>
      <w:b/>
    </w:rPr>
  </w:style>
  <w:style w:type="character" w:styleId="55">
    <w:name w:val="endnote reference"/>
    <w:unhideWhenUsed/>
    <w:qFormat/>
    <w:uiPriority w:val="99"/>
    <w:rPr>
      <w:vertAlign w:val="superscript"/>
    </w:rPr>
  </w:style>
  <w:style w:type="character" w:styleId="56">
    <w:name w:val="page number"/>
    <w:qFormat/>
    <w:uiPriority w:val="0"/>
  </w:style>
  <w:style w:type="character" w:styleId="57">
    <w:name w:val="FollowedHyperlink"/>
    <w:basedOn w:val="53"/>
    <w:unhideWhenUsed/>
    <w:qFormat/>
    <w:uiPriority w:val="99"/>
    <w:rPr>
      <w:color w:val="800080"/>
      <w:u w:val="single"/>
    </w:rPr>
  </w:style>
  <w:style w:type="character" w:styleId="58">
    <w:name w:val="Hyperlink"/>
    <w:unhideWhenUsed/>
    <w:qFormat/>
    <w:uiPriority w:val="0"/>
    <w:rPr>
      <w:color w:val="0000FF"/>
      <w:u w:val="single"/>
    </w:rPr>
  </w:style>
  <w:style w:type="character" w:styleId="59">
    <w:name w:val="annotation reference"/>
    <w:qFormat/>
    <w:uiPriority w:val="0"/>
    <w:rPr>
      <w:sz w:val="21"/>
      <w:szCs w:val="21"/>
    </w:rPr>
  </w:style>
  <w:style w:type="character" w:styleId="60">
    <w:name w:val="HTML Sample"/>
    <w:basedOn w:val="53"/>
    <w:semiHidden/>
    <w:unhideWhenUsed/>
    <w:qFormat/>
    <w:uiPriority w:val="99"/>
    <w:rPr>
      <w:rFonts w:ascii="Courier New" w:hAnsi="Courier New"/>
    </w:rPr>
  </w:style>
  <w:style w:type="paragraph" w:customStyle="1" w:styleId="61">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62">
    <w:name w:val="表格文字"/>
    <w:basedOn w:val="21"/>
    <w:qFormat/>
    <w:uiPriority w:val="0"/>
    <w:pPr>
      <w:jc w:val="left"/>
    </w:pPr>
    <w:rPr>
      <w:bCs/>
      <w:spacing w:val="10"/>
      <w:sz w:val="24"/>
    </w:rPr>
  </w:style>
  <w:style w:type="paragraph" w:customStyle="1" w:styleId="63">
    <w:name w:val="BodyText1I2"/>
    <w:basedOn w:val="64"/>
    <w:qFormat/>
    <w:uiPriority w:val="0"/>
    <w:pPr>
      <w:ind w:firstLine="200" w:firstLineChars="200"/>
    </w:pPr>
  </w:style>
  <w:style w:type="paragraph" w:customStyle="1" w:styleId="64">
    <w:name w:val="BodyTextIndent"/>
    <w:basedOn w:val="1"/>
    <w:qFormat/>
    <w:uiPriority w:val="0"/>
    <w:pPr>
      <w:spacing w:after="120"/>
      <w:ind w:left="420" w:leftChars="200"/>
    </w:pPr>
  </w:style>
  <w:style w:type="character" w:customStyle="1" w:styleId="65">
    <w:name w:val="标题 1 Char"/>
    <w:link w:val="2"/>
    <w:qFormat/>
    <w:uiPriority w:val="9"/>
    <w:rPr>
      <w:rFonts w:ascii="Times New Roman" w:hAnsi="Times New Roman" w:eastAsia="宋体"/>
      <w:b/>
      <w:sz w:val="28"/>
    </w:rPr>
  </w:style>
  <w:style w:type="character" w:customStyle="1" w:styleId="66">
    <w:name w:val="标题 2 Char1"/>
    <w:link w:val="3"/>
    <w:qFormat/>
    <w:uiPriority w:val="9"/>
    <w:rPr>
      <w:rFonts w:ascii="Cambria" w:hAnsi="Cambria" w:eastAsia="宋体" w:cs="Times New Roman"/>
      <w:b/>
      <w:bCs/>
      <w:kern w:val="2"/>
      <w:sz w:val="32"/>
      <w:szCs w:val="32"/>
    </w:rPr>
  </w:style>
  <w:style w:type="character" w:customStyle="1" w:styleId="67">
    <w:name w:val="标题 3 Char"/>
    <w:link w:val="4"/>
    <w:qFormat/>
    <w:uiPriority w:val="9"/>
    <w:rPr>
      <w:b/>
      <w:bCs/>
      <w:kern w:val="2"/>
      <w:sz w:val="30"/>
      <w:szCs w:val="32"/>
    </w:rPr>
  </w:style>
  <w:style w:type="character" w:customStyle="1" w:styleId="68">
    <w:name w:val="标题 4 Char"/>
    <w:link w:val="5"/>
    <w:qFormat/>
    <w:uiPriority w:val="9"/>
    <w:rPr>
      <w:rFonts w:ascii="宋体"/>
      <w:kern w:val="2"/>
      <w:sz w:val="28"/>
    </w:rPr>
  </w:style>
  <w:style w:type="character" w:customStyle="1" w:styleId="69">
    <w:name w:val="标题 5 Char"/>
    <w:link w:val="6"/>
    <w:qFormat/>
    <w:uiPriority w:val="9"/>
    <w:rPr>
      <w:rFonts w:ascii="Times New Roman" w:hAnsi="Times New Roman"/>
      <w:b/>
      <w:bCs/>
      <w:kern w:val="2"/>
      <w:sz w:val="28"/>
      <w:szCs w:val="28"/>
    </w:rPr>
  </w:style>
  <w:style w:type="character" w:customStyle="1" w:styleId="70">
    <w:name w:val="正文缩进 Char"/>
    <w:link w:val="7"/>
    <w:qFormat/>
    <w:uiPriority w:val="99"/>
    <w:rPr>
      <w:color w:val="FF0000"/>
      <w:kern w:val="2"/>
      <w:sz w:val="21"/>
    </w:rPr>
  </w:style>
  <w:style w:type="character" w:customStyle="1" w:styleId="71">
    <w:name w:val="标题 6 Char"/>
    <w:link w:val="8"/>
    <w:qFormat/>
    <w:uiPriority w:val="9"/>
    <w:rPr>
      <w:kern w:val="2"/>
      <w:sz w:val="28"/>
    </w:rPr>
  </w:style>
  <w:style w:type="character" w:customStyle="1" w:styleId="72">
    <w:name w:val="标题 7 Char"/>
    <w:link w:val="9"/>
    <w:qFormat/>
    <w:uiPriority w:val="9"/>
    <w:rPr>
      <w:b/>
      <w:kern w:val="2"/>
      <w:sz w:val="24"/>
    </w:rPr>
  </w:style>
  <w:style w:type="character" w:customStyle="1" w:styleId="73">
    <w:name w:val="标题 8 Char1"/>
    <w:link w:val="10"/>
    <w:semiHidden/>
    <w:qFormat/>
    <w:uiPriority w:val="0"/>
    <w:rPr>
      <w:rFonts w:ascii="等线 Light" w:hAnsi="等线 Light" w:eastAsia="等线 Light" w:cs="Times New Roman"/>
      <w:kern w:val="2"/>
      <w:sz w:val="24"/>
      <w:szCs w:val="24"/>
    </w:rPr>
  </w:style>
  <w:style w:type="character" w:customStyle="1" w:styleId="74">
    <w:name w:val="标题 9 Char"/>
    <w:link w:val="11"/>
    <w:qFormat/>
    <w:uiPriority w:val="9"/>
    <w:rPr>
      <w:rFonts w:ascii="Cambria" w:hAnsi="Cambria"/>
      <w:i/>
      <w:iCs/>
      <w:color w:val="404040"/>
    </w:rPr>
  </w:style>
  <w:style w:type="character" w:customStyle="1" w:styleId="75">
    <w:name w:val="文档结构图 Char"/>
    <w:link w:val="16"/>
    <w:qFormat/>
    <w:uiPriority w:val="0"/>
    <w:rPr>
      <w:kern w:val="2"/>
      <w:sz w:val="21"/>
      <w:shd w:val="clear" w:color="auto" w:fill="000080"/>
    </w:rPr>
  </w:style>
  <w:style w:type="character" w:customStyle="1" w:styleId="76">
    <w:name w:val="批注文字 Char1"/>
    <w:link w:val="18"/>
    <w:qFormat/>
    <w:uiPriority w:val="99"/>
    <w:rPr>
      <w:rFonts w:ascii="Times New Roman" w:hAnsi="Times New Roman"/>
      <w:kern w:val="2"/>
      <w:sz w:val="21"/>
      <w:szCs w:val="24"/>
    </w:rPr>
  </w:style>
  <w:style w:type="character" w:customStyle="1" w:styleId="77">
    <w:name w:val="正文文本 3 Char"/>
    <w:link w:val="19"/>
    <w:semiHidden/>
    <w:qFormat/>
    <w:uiPriority w:val="99"/>
    <w:rPr>
      <w:kern w:val="2"/>
      <w:sz w:val="16"/>
      <w:szCs w:val="16"/>
    </w:rPr>
  </w:style>
  <w:style w:type="character" w:customStyle="1" w:styleId="78">
    <w:name w:val="正文文本 Char1"/>
    <w:link w:val="20"/>
    <w:qFormat/>
    <w:uiPriority w:val="0"/>
    <w:rPr>
      <w:rFonts w:ascii="Times New Roman" w:hAnsi="Times New Roman"/>
      <w:kern w:val="2"/>
      <w:sz w:val="21"/>
      <w:szCs w:val="24"/>
    </w:rPr>
  </w:style>
  <w:style w:type="character" w:customStyle="1" w:styleId="79">
    <w:name w:val="正文文本缩进 Char"/>
    <w:link w:val="21"/>
    <w:qFormat/>
    <w:uiPriority w:val="0"/>
    <w:rPr>
      <w:rFonts w:ascii="仿宋_GB2312" w:hAnsi="Times New Roman" w:eastAsia="仿宋_GB2312" w:cs="Times New Roman"/>
      <w:sz w:val="32"/>
      <w:szCs w:val="20"/>
    </w:rPr>
  </w:style>
  <w:style w:type="character" w:customStyle="1" w:styleId="80">
    <w:name w:val="纯文本 Char1"/>
    <w:link w:val="27"/>
    <w:qFormat/>
    <w:uiPriority w:val="99"/>
    <w:rPr>
      <w:rFonts w:ascii="宋体" w:hAnsi="Courier New" w:eastAsia="宋体" w:cs="Courier New"/>
      <w:szCs w:val="21"/>
    </w:rPr>
  </w:style>
  <w:style w:type="character" w:customStyle="1" w:styleId="81">
    <w:name w:val="日期 Char"/>
    <w:link w:val="29"/>
    <w:qFormat/>
    <w:uiPriority w:val="0"/>
    <w:rPr>
      <w:rFonts w:ascii="Times New Roman" w:hAnsi="Times New Roman"/>
      <w:kern w:val="2"/>
      <w:sz w:val="21"/>
      <w:szCs w:val="24"/>
    </w:rPr>
  </w:style>
  <w:style w:type="character" w:customStyle="1" w:styleId="82">
    <w:name w:val="正文文本缩进 2 Char"/>
    <w:link w:val="30"/>
    <w:qFormat/>
    <w:uiPriority w:val="0"/>
    <w:rPr>
      <w:rFonts w:ascii="宋体" w:hAnsi="宋体"/>
      <w:b/>
      <w:kern w:val="2"/>
      <w:sz w:val="24"/>
    </w:rPr>
  </w:style>
  <w:style w:type="character" w:customStyle="1" w:styleId="83">
    <w:name w:val="批注框文本 Char"/>
    <w:link w:val="31"/>
    <w:qFormat/>
    <w:uiPriority w:val="0"/>
    <w:rPr>
      <w:kern w:val="2"/>
      <w:sz w:val="18"/>
      <w:szCs w:val="18"/>
    </w:rPr>
  </w:style>
  <w:style w:type="character" w:customStyle="1" w:styleId="84">
    <w:name w:val="页脚 Char"/>
    <w:link w:val="32"/>
    <w:qFormat/>
    <w:uiPriority w:val="0"/>
    <w:rPr>
      <w:sz w:val="18"/>
      <w:szCs w:val="18"/>
    </w:rPr>
  </w:style>
  <w:style w:type="character" w:customStyle="1" w:styleId="85">
    <w:name w:val="页眉 Char"/>
    <w:link w:val="33"/>
    <w:qFormat/>
    <w:uiPriority w:val="0"/>
    <w:rPr>
      <w:sz w:val="18"/>
      <w:szCs w:val="18"/>
    </w:rPr>
  </w:style>
  <w:style w:type="character" w:customStyle="1" w:styleId="86">
    <w:name w:val="正文文本缩进 3 Char"/>
    <w:link w:val="40"/>
    <w:qFormat/>
    <w:uiPriority w:val="0"/>
    <w:rPr>
      <w:kern w:val="2"/>
      <w:sz w:val="16"/>
    </w:rPr>
  </w:style>
  <w:style w:type="character" w:customStyle="1" w:styleId="87">
    <w:name w:val="正文文本 2 Char"/>
    <w:link w:val="44"/>
    <w:qFormat/>
    <w:uiPriority w:val="0"/>
    <w:rPr>
      <w:rFonts w:ascii="宋体"/>
      <w:b/>
      <w:kern w:val="2"/>
      <w:sz w:val="36"/>
      <w:szCs w:val="36"/>
    </w:rPr>
  </w:style>
  <w:style w:type="character" w:customStyle="1" w:styleId="88">
    <w:name w:val="普通(网站) Char"/>
    <w:link w:val="46"/>
    <w:qFormat/>
    <w:uiPriority w:val="0"/>
    <w:rPr>
      <w:rFonts w:ascii="Calibri" w:hAnsi="Calibri"/>
      <w:sz w:val="24"/>
      <w:szCs w:val="24"/>
    </w:rPr>
  </w:style>
  <w:style w:type="character" w:customStyle="1" w:styleId="89">
    <w:name w:val="批注主题 Char"/>
    <w:link w:val="48"/>
    <w:qFormat/>
    <w:uiPriority w:val="0"/>
    <w:rPr>
      <w:rFonts w:ascii="Times New Roman" w:hAnsi="Times New Roman"/>
      <w:b/>
      <w:bCs/>
      <w:kern w:val="2"/>
      <w:sz w:val="21"/>
      <w:szCs w:val="24"/>
    </w:rPr>
  </w:style>
  <w:style w:type="character" w:customStyle="1" w:styleId="90">
    <w:name w:val="正文首行缩进 Char"/>
    <w:link w:val="49"/>
    <w:qFormat/>
    <w:uiPriority w:val="0"/>
    <w:rPr>
      <w:rFonts w:ascii="Arial" w:hAnsi="Arial"/>
    </w:rPr>
  </w:style>
  <w:style w:type="character" w:customStyle="1" w:styleId="91">
    <w:name w:val="正文首行缩进 2 Char"/>
    <w:link w:val="50"/>
    <w:qFormat/>
    <w:uiPriority w:val="0"/>
  </w:style>
  <w:style w:type="character" w:customStyle="1" w:styleId="92">
    <w:name w:val="Char Char Char Char Char"/>
    <w:link w:val="93"/>
    <w:qFormat/>
    <w:uiPriority w:val="0"/>
    <w:rPr>
      <w:sz w:val="24"/>
    </w:rPr>
  </w:style>
  <w:style w:type="paragraph" w:customStyle="1" w:styleId="93">
    <w:name w:val="Char Char Char Char"/>
    <w:basedOn w:val="16"/>
    <w:link w:val="92"/>
    <w:qFormat/>
    <w:uiPriority w:val="0"/>
    <w:pPr>
      <w:spacing w:line="360" w:lineRule="auto"/>
    </w:pPr>
    <w:rPr>
      <w:kern w:val="0"/>
      <w:sz w:val="24"/>
    </w:rPr>
  </w:style>
  <w:style w:type="character" w:customStyle="1" w:styleId="94">
    <w:name w:val="font71"/>
    <w:qFormat/>
    <w:uiPriority w:val="0"/>
    <w:rPr>
      <w:rFonts w:hint="default" w:ascii="Times New Roman" w:hAnsi="Times New Roman" w:cs="Times New Roman"/>
      <w:color w:val="000000"/>
      <w:sz w:val="22"/>
      <w:szCs w:val="22"/>
      <w:u w:val="none"/>
    </w:rPr>
  </w:style>
  <w:style w:type="character" w:customStyle="1" w:styleId="95">
    <w:name w:val="列出段落 Char1"/>
    <w:link w:val="96"/>
    <w:qFormat/>
    <w:locked/>
    <w:uiPriority w:val="0"/>
    <w:rPr>
      <w:kern w:val="2"/>
      <w:sz w:val="21"/>
      <w:szCs w:val="24"/>
    </w:rPr>
  </w:style>
  <w:style w:type="paragraph" w:styleId="96">
    <w:name w:val="List Paragraph"/>
    <w:basedOn w:val="1"/>
    <w:link w:val="95"/>
    <w:qFormat/>
    <w:uiPriority w:val="0"/>
    <w:pPr>
      <w:ind w:firstLine="420" w:firstLineChars="200"/>
    </w:pPr>
  </w:style>
  <w:style w:type="character" w:customStyle="1" w:styleId="97">
    <w:name w:val="批注文字 字符1"/>
    <w:qFormat/>
    <w:uiPriority w:val="0"/>
    <w:rPr>
      <w:rFonts w:ascii="Times New Roman" w:hAnsi="Times New Roman"/>
      <w:kern w:val="2"/>
      <w:sz w:val="21"/>
      <w:szCs w:val="24"/>
    </w:rPr>
  </w:style>
  <w:style w:type="character" w:customStyle="1" w:styleId="98">
    <w:name w:val="超链接 New"/>
    <w:qFormat/>
    <w:uiPriority w:val="0"/>
    <w:rPr>
      <w:color w:val="0000FF"/>
      <w:u w:val="single"/>
    </w:rPr>
  </w:style>
  <w:style w:type="character" w:customStyle="1" w:styleId="99">
    <w:name w:val="批注主题 Char1"/>
    <w:semiHidden/>
    <w:qFormat/>
    <w:uiPriority w:val="99"/>
    <w:rPr>
      <w:rFonts w:eastAsia="宋体" w:cs="Times New Roman"/>
      <w:b/>
      <w:bCs/>
      <w:szCs w:val="20"/>
    </w:rPr>
  </w:style>
  <w:style w:type="character" w:customStyle="1" w:styleId="100">
    <w:name w:val="font101"/>
    <w:qFormat/>
    <w:uiPriority w:val="0"/>
    <w:rPr>
      <w:rFonts w:hint="eastAsia" w:ascii="宋体" w:hAnsi="宋体" w:eastAsia="宋体" w:cs="宋体"/>
      <w:color w:val="000000"/>
      <w:sz w:val="22"/>
      <w:szCs w:val="22"/>
      <w:u w:val="none"/>
    </w:rPr>
  </w:style>
  <w:style w:type="character" w:customStyle="1" w:styleId="101">
    <w:name w:val="textcontents"/>
    <w:qFormat/>
    <w:uiPriority w:val="0"/>
  </w:style>
  <w:style w:type="character" w:customStyle="1" w:styleId="102">
    <w:name w:val="正文首行缩进 2 Char1"/>
    <w:semiHidden/>
    <w:qFormat/>
    <w:uiPriority w:val="99"/>
    <w:rPr>
      <w:kern w:val="2"/>
      <w:sz w:val="21"/>
      <w:szCs w:val="24"/>
    </w:rPr>
  </w:style>
  <w:style w:type="character" w:customStyle="1" w:styleId="103">
    <w:name w:val="纯文本 字符2"/>
    <w:qFormat/>
    <w:uiPriority w:val="0"/>
    <w:rPr>
      <w:rFonts w:ascii="宋体" w:hAnsi="Courier New" w:eastAsia="宋体" w:cs="Courier New"/>
      <w:szCs w:val="21"/>
    </w:rPr>
  </w:style>
  <w:style w:type="character" w:customStyle="1" w:styleId="104">
    <w:name w:val="style1"/>
    <w:qFormat/>
    <w:uiPriority w:val="0"/>
  </w:style>
  <w:style w:type="character" w:customStyle="1" w:styleId="105">
    <w:name w:val="medium_text1"/>
    <w:qFormat/>
    <w:uiPriority w:val="0"/>
    <w:rPr>
      <w:sz w:val="14"/>
      <w:szCs w:val="14"/>
    </w:rPr>
  </w:style>
  <w:style w:type="character" w:customStyle="1" w:styleId="106">
    <w:name w:val="point_normal1"/>
    <w:qFormat/>
    <w:uiPriority w:val="0"/>
    <w:rPr>
      <w:rFonts w:hint="default" w:ascii="Arial" w:hAnsi="Arial"/>
      <w:sz w:val="18"/>
    </w:rPr>
  </w:style>
  <w:style w:type="character" w:customStyle="1" w:styleId="107">
    <w:name w:val="标题 9 Char1"/>
    <w:semiHidden/>
    <w:qFormat/>
    <w:uiPriority w:val="0"/>
    <w:rPr>
      <w:rFonts w:ascii="Cambria" w:hAnsi="Cambria" w:eastAsia="宋体" w:cs="Times New Roman"/>
      <w:kern w:val="2"/>
      <w:sz w:val="21"/>
      <w:szCs w:val="21"/>
    </w:rPr>
  </w:style>
  <w:style w:type="character" w:customStyle="1" w:styleId="108">
    <w:name w:val="apple-converted-space"/>
    <w:qFormat/>
    <w:uiPriority w:val="0"/>
  </w:style>
  <w:style w:type="character" w:customStyle="1" w:styleId="109">
    <w:name w:val="NormalCharacter"/>
    <w:qFormat/>
    <w:uiPriority w:val="0"/>
  </w:style>
  <w:style w:type="character" w:customStyle="1" w:styleId="110">
    <w:name w:val="apple-style-span"/>
    <w:qFormat/>
    <w:uiPriority w:val="0"/>
  </w:style>
  <w:style w:type="character" w:customStyle="1" w:styleId="111">
    <w:name w:val="yellow_s1"/>
    <w:qFormat/>
    <w:uiPriority w:val="0"/>
    <w:rPr>
      <w:rFonts w:hint="default" w:ascii="ˎ̥" w:hAnsi="ˎ̥"/>
      <w:b/>
      <w:color w:val="FF9900"/>
      <w:sz w:val="18"/>
      <w:u w:val="none"/>
    </w:rPr>
  </w:style>
  <w:style w:type="character" w:customStyle="1" w:styleId="112">
    <w:name w:val="批注文字 Char2"/>
    <w:qFormat/>
    <w:uiPriority w:val="99"/>
    <w:rPr>
      <w:rFonts w:ascii="Tahoma" w:hAnsi="Tahoma" w:eastAsia="宋体"/>
      <w:kern w:val="2"/>
      <w:sz w:val="21"/>
      <w:szCs w:val="24"/>
      <w:lang w:val="en-US" w:eastAsia="zh-CN" w:bidi="ar-SA"/>
    </w:rPr>
  </w:style>
  <w:style w:type="character" w:customStyle="1" w:styleId="113">
    <w:name w:val="msonormal"/>
    <w:qFormat/>
    <w:uiPriority w:val="0"/>
  </w:style>
  <w:style w:type="character" w:customStyle="1" w:styleId="114">
    <w:name w:val="font41"/>
    <w:qFormat/>
    <w:uiPriority w:val="0"/>
    <w:rPr>
      <w:rFonts w:hint="eastAsia" w:ascii="宋体" w:hAnsi="宋体" w:eastAsia="宋体" w:cs="宋体"/>
      <w:b/>
      <w:color w:val="000000"/>
      <w:sz w:val="28"/>
      <w:szCs w:val="28"/>
      <w:u w:val="none"/>
    </w:rPr>
  </w:style>
  <w:style w:type="character" w:customStyle="1" w:styleId="115">
    <w:name w:val="批注文字 Char"/>
    <w:qFormat/>
    <w:uiPriority w:val="0"/>
    <w:rPr>
      <w:rFonts w:ascii="Times New Roman" w:hAnsi="Times New Roman"/>
      <w:kern w:val="2"/>
      <w:sz w:val="21"/>
      <w:szCs w:val="24"/>
    </w:rPr>
  </w:style>
  <w:style w:type="character" w:customStyle="1" w:styleId="116">
    <w:name w:val="列出段落 Char"/>
    <w:qFormat/>
    <w:uiPriority w:val="34"/>
    <w:rPr>
      <w:rFonts w:ascii="Calibri" w:hAnsi="Calibri" w:eastAsia="宋体" w:cs="Times New Roman"/>
    </w:rPr>
  </w:style>
  <w:style w:type="character" w:customStyle="1" w:styleId="117">
    <w:name w:val="style4"/>
    <w:qFormat/>
    <w:uiPriority w:val="0"/>
  </w:style>
  <w:style w:type="character" w:customStyle="1" w:styleId="11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9">
    <w:name w:val="12normal"/>
    <w:qFormat/>
    <w:uiPriority w:val="0"/>
  </w:style>
  <w:style w:type="character" w:customStyle="1" w:styleId="120">
    <w:name w:val="style9"/>
    <w:qFormat/>
    <w:uiPriority w:val="0"/>
  </w:style>
  <w:style w:type="character" w:customStyle="1" w:styleId="121">
    <w:name w:val="para1"/>
    <w:qFormat/>
    <w:uiPriority w:val="0"/>
    <w:rPr>
      <w:rFonts w:hint="default" w:ascii="Arial" w:hAnsi="Arial"/>
      <w:sz w:val="18"/>
    </w:rPr>
  </w:style>
  <w:style w:type="character" w:customStyle="1" w:styleId="122">
    <w:name w:val="font141"/>
    <w:qFormat/>
    <w:uiPriority w:val="0"/>
    <w:rPr>
      <w:rFonts w:hint="eastAsia" w:ascii="宋体" w:hAnsi="宋体" w:eastAsia="宋体" w:cs="宋体"/>
      <w:color w:val="000000"/>
      <w:sz w:val="22"/>
      <w:szCs w:val="22"/>
      <w:u w:val="none"/>
    </w:rPr>
  </w:style>
  <w:style w:type="character" w:customStyle="1" w:styleId="123">
    <w:name w:val="font31"/>
    <w:qFormat/>
    <w:uiPriority w:val="0"/>
    <w:rPr>
      <w:rFonts w:hint="eastAsia" w:ascii="宋体" w:hAnsi="宋体" w:eastAsia="宋体" w:cs="宋体"/>
      <w:color w:val="000000"/>
      <w:sz w:val="24"/>
      <w:szCs w:val="24"/>
      <w:u w:val="none"/>
    </w:rPr>
  </w:style>
  <w:style w:type="character" w:customStyle="1" w:styleId="124">
    <w:name w:val="纯文本 Char"/>
    <w:qFormat/>
    <w:uiPriority w:val="0"/>
    <w:rPr>
      <w:rFonts w:ascii="宋体" w:hAnsi="Courier New" w:eastAsia="宋体" w:cs="Courier New"/>
      <w:szCs w:val="21"/>
    </w:rPr>
  </w:style>
  <w:style w:type="character" w:customStyle="1" w:styleId="125">
    <w:name w:val="标题 2 Char"/>
    <w:qFormat/>
    <w:uiPriority w:val="0"/>
    <w:rPr>
      <w:rFonts w:ascii="Cambria" w:hAnsi="Cambria" w:eastAsia="宋体" w:cs="Times New Roman"/>
      <w:b/>
      <w:bCs/>
      <w:kern w:val="2"/>
      <w:sz w:val="32"/>
      <w:szCs w:val="32"/>
    </w:rPr>
  </w:style>
  <w:style w:type="character" w:customStyle="1" w:styleId="126">
    <w:name w:val="正文文本缩进 Char1"/>
    <w:semiHidden/>
    <w:qFormat/>
    <w:uiPriority w:val="99"/>
    <w:rPr>
      <w:rFonts w:ascii="Times New Roman" w:hAnsi="Times New Roman" w:eastAsia="宋体" w:cs="Times New Roman"/>
      <w:szCs w:val="20"/>
    </w:rPr>
  </w:style>
  <w:style w:type="character" w:customStyle="1" w:styleId="127">
    <w:name w:val="标题 8 Char"/>
    <w:qFormat/>
    <w:uiPriority w:val="9"/>
    <w:rPr>
      <w:rFonts w:ascii="Arial" w:hAnsi="Arial" w:eastAsia="黑体"/>
      <w:kern w:val="2"/>
      <w:sz w:val="24"/>
      <w:szCs w:val="24"/>
    </w:rPr>
  </w:style>
  <w:style w:type="character" w:customStyle="1" w:styleId="128">
    <w:name w:val="Char Char Char1"/>
    <w:link w:val="129"/>
    <w:qFormat/>
    <w:uiPriority w:val="0"/>
    <w:rPr>
      <w:rFonts w:ascii="Tahoma" w:hAnsi="Tahoma"/>
      <w:sz w:val="24"/>
      <w:szCs w:val="20"/>
    </w:rPr>
  </w:style>
  <w:style w:type="paragraph" w:customStyle="1" w:styleId="129">
    <w:name w:val="Char Char"/>
    <w:basedOn w:val="1"/>
    <w:link w:val="128"/>
    <w:qFormat/>
    <w:uiPriority w:val="0"/>
    <w:rPr>
      <w:rFonts w:ascii="Tahoma" w:hAnsi="Tahoma"/>
      <w:kern w:val="0"/>
      <w:sz w:val="24"/>
      <w:szCs w:val="20"/>
    </w:rPr>
  </w:style>
  <w:style w:type="character" w:customStyle="1" w:styleId="130">
    <w:name w:val="font01"/>
    <w:qFormat/>
    <w:uiPriority w:val="0"/>
    <w:rPr>
      <w:rFonts w:hint="eastAsia" w:ascii="宋体" w:hAnsi="宋体" w:eastAsia="宋体" w:cs="宋体"/>
      <w:b/>
      <w:color w:val="000000"/>
      <w:sz w:val="28"/>
      <w:szCs w:val="28"/>
      <w:u w:val="single"/>
    </w:rPr>
  </w:style>
  <w:style w:type="character" w:customStyle="1" w:styleId="131">
    <w:name w:val="font151"/>
    <w:qFormat/>
    <w:uiPriority w:val="0"/>
    <w:rPr>
      <w:rFonts w:hint="eastAsia" w:ascii="宋体" w:hAnsi="宋体" w:eastAsia="宋体" w:cs="宋体"/>
      <w:color w:val="000000"/>
      <w:sz w:val="24"/>
      <w:szCs w:val="24"/>
      <w:u w:val="none"/>
    </w:rPr>
  </w:style>
  <w:style w:type="character" w:customStyle="1" w:styleId="132">
    <w:name w:val="font131"/>
    <w:qFormat/>
    <w:uiPriority w:val="0"/>
    <w:rPr>
      <w:rFonts w:hint="eastAsia" w:ascii="宋体" w:hAnsi="宋体" w:eastAsia="宋体" w:cs="宋体"/>
      <w:color w:val="000000"/>
      <w:sz w:val="22"/>
      <w:szCs w:val="22"/>
      <w:u w:val="none"/>
    </w:rPr>
  </w:style>
  <w:style w:type="character" w:customStyle="1" w:styleId="133">
    <w:name w:val="纯文本 字符1"/>
    <w:qFormat/>
    <w:uiPriority w:val="0"/>
    <w:rPr>
      <w:rFonts w:ascii="宋体" w:hAnsi="Courier New"/>
    </w:rPr>
  </w:style>
  <w:style w:type="character" w:customStyle="1" w:styleId="134">
    <w:name w:val="正文文本 Char"/>
    <w:qFormat/>
    <w:uiPriority w:val="0"/>
    <w:rPr>
      <w:rFonts w:ascii="Times New Roman" w:hAnsi="Times New Roman"/>
      <w:kern w:val="2"/>
      <w:sz w:val="21"/>
      <w:szCs w:val="24"/>
    </w:rPr>
  </w:style>
  <w:style w:type="paragraph" w:customStyle="1" w:styleId="135">
    <w:name w:val="样式2"/>
    <w:basedOn w:val="42"/>
    <w:qFormat/>
    <w:uiPriority w:val="0"/>
    <w:pPr>
      <w:tabs>
        <w:tab w:val="clear" w:pos="8296"/>
      </w:tabs>
      <w:ind w:left="100" w:leftChars="100"/>
    </w:pPr>
    <w:rPr>
      <w:rFonts w:hAnsi="宋体"/>
      <w:b/>
      <w:caps/>
      <w:color w:val="000000"/>
      <w:szCs w:val="20"/>
    </w:rPr>
  </w:style>
  <w:style w:type="paragraph" w:customStyle="1" w:styleId="13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标题 81"/>
    <w:basedOn w:val="1"/>
    <w:next w:val="1"/>
    <w:unhideWhenUsed/>
    <w:qFormat/>
    <w:uiPriority w:val="9"/>
    <w:pPr>
      <w:keepNext/>
      <w:keepLines/>
      <w:widowControl/>
      <w:spacing w:before="200" w:line="400" w:lineRule="exact"/>
      <w:outlineLvl w:val="7"/>
    </w:pPr>
    <w:rPr>
      <w:rFonts w:ascii="Cambria" w:hAnsi="Cambria"/>
      <w:color w:val="4F81BD"/>
      <w:kern w:val="0"/>
      <w:sz w:val="20"/>
      <w:szCs w:val="20"/>
    </w:rPr>
  </w:style>
  <w:style w:type="paragraph" w:customStyle="1" w:styleId="13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13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文本首行缩进 21"/>
    <w:basedOn w:val="141"/>
    <w:qFormat/>
    <w:uiPriority w:val="0"/>
    <w:pPr>
      <w:ind w:firstLine="420" w:firstLineChars="200"/>
    </w:pPr>
  </w:style>
  <w:style w:type="paragraph" w:customStyle="1" w:styleId="141">
    <w:name w:val="正文文本缩进1"/>
    <w:basedOn w:val="1"/>
    <w:qFormat/>
    <w:uiPriority w:val="0"/>
    <w:pPr>
      <w:spacing w:after="120"/>
      <w:ind w:left="420" w:leftChars="200"/>
    </w:pPr>
  </w:style>
  <w:style w:type="paragraph" w:customStyle="1" w:styleId="142">
    <w:name w:val="5"/>
    <w:basedOn w:val="1"/>
    <w:next w:val="21"/>
    <w:qFormat/>
    <w:uiPriority w:val="0"/>
    <w:pPr>
      <w:tabs>
        <w:tab w:val="left" w:pos="0"/>
      </w:tabs>
      <w:spacing w:line="420" w:lineRule="exact"/>
      <w:ind w:firstLine="525"/>
    </w:pPr>
    <w:rPr>
      <w:rFonts w:ascii="仿宋_GB2312" w:eastAsia="仿宋_GB2312"/>
      <w:sz w:val="28"/>
      <w:szCs w:val="20"/>
    </w:rPr>
  </w:style>
  <w:style w:type="paragraph" w:customStyle="1" w:styleId="143">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144">
    <w:name w:val="_Style 141"/>
    <w:qFormat/>
    <w:uiPriority w:val="0"/>
    <w:rPr>
      <w:rFonts w:ascii="Times New Roman" w:hAnsi="Times New Roman" w:eastAsia="宋体" w:cs="Times New Roman"/>
      <w:kern w:val="2"/>
      <w:sz w:val="21"/>
      <w:lang w:val="en-US" w:eastAsia="zh-CN" w:bidi="ar-SA"/>
    </w:rPr>
  </w:style>
  <w:style w:type="paragraph" w:customStyle="1" w:styleId="145">
    <w:name w:val="列出段落3"/>
    <w:basedOn w:val="1"/>
    <w:qFormat/>
    <w:uiPriority w:val="0"/>
    <w:pPr>
      <w:ind w:firstLine="420" w:firstLineChars="200"/>
    </w:pPr>
    <w:rPr>
      <w:rFonts w:ascii="Calibri" w:hAnsi="Calibri"/>
      <w:szCs w:val="22"/>
    </w:rPr>
  </w:style>
  <w:style w:type="paragraph" w:customStyle="1" w:styleId="146">
    <w:name w:val="题注5"/>
    <w:basedOn w:val="1"/>
    <w:next w:val="15"/>
    <w:qFormat/>
    <w:uiPriority w:val="0"/>
    <w:pPr>
      <w:jc w:val="center"/>
    </w:pPr>
    <w:rPr>
      <w:b/>
      <w:color w:val="000000"/>
      <w:sz w:val="24"/>
      <w:szCs w:val="20"/>
    </w:rPr>
  </w:style>
  <w:style w:type="paragraph" w:customStyle="1" w:styleId="147">
    <w:name w:val="图"/>
    <w:basedOn w:val="1"/>
    <w:qFormat/>
    <w:uiPriority w:val="0"/>
    <w:pPr>
      <w:keepNext/>
      <w:adjustRightInd w:val="0"/>
      <w:spacing w:before="60" w:after="60" w:line="300" w:lineRule="auto"/>
      <w:jc w:val="center"/>
      <w:textAlignment w:val="center"/>
    </w:pPr>
    <w:rPr>
      <w:rFonts w:ascii="Calibri" w:hAnsi="Calibri" w:cs="黑体"/>
      <w:snapToGrid w:val="0"/>
      <w:spacing w:val="20"/>
      <w:kern w:val="0"/>
      <w:sz w:val="24"/>
      <w:szCs w:val="20"/>
    </w:rPr>
  </w:style>
  <w:style w:type="paragraph" w:customStyle="1" w:styleId="148">
    <w:name w:val="_Style 332"/>
    <w:basedOn w:val="1"/>
    <w:qFormat/>
    <w:uiPriority w:val="0"/>
    <w:rPr>
      <w:szCs w:val="20"/>
    </w:rPr>
  </w:style>
  <w:style w:type="paragraph" w:customStyle="1" w:styleId="149">
    <w:name w:val="样式3"/>
    <w:basedOn w:val="26"/>
    <w:qFormat/>
    <w:uiPriority w:val="0"/>
    <w:pPr>
      <w:tabs>
        <w:tab w:val="right" w:leader="dot" w:pos="9288"/>
      </w:tabs>
    </w:pPr>
    <w:rPr>
      <w:rFonts w:hAnsi="宋体"/>
      <w:b/>
      <w:caps/>
      <w:color w:val="000000"/>
    </w:rPr>
  </w:style>
  <w:style w:type="paragraph" w:customStyle="1" w:styleId="150">
    <w:name w:val="样式 0正文 + 首行缩进:  2 字符1"/>
    <w:basedOn w:val="1"/>
    <w:qFormat/>
    <w:uiPriority w:val="99"/>
    <w:pPr>
      <w:spacing w:line="360" w:lineRule="auto"/>
      <w:ind w:firstLine="200" w:firstLineChars="200"/>
    </w:pPr>
    <w:rPr>
      <w:szCs w:val="20"/>
    </w:rPr>
  </w:style>
  <w:style w:type="paragraph" w:customStyle="1" w:styleId="151">
    <w:name w:val="纯文本1"/>
    <w:basedOn w:val="1"/>
    <w:qFormat/>
    <w:uiPriority w:val="0"/>
    <w:rPr>
      <w:rFonts w:ascii="宋体" w:hAnsi="Courier New"/>
      <w:szCs w:val="20"/>
    </w:rPr>
  </w:style>
  <w:style w:type="paragraph" w:customStyle="1" w:styleId="152">
    <w:name w:val="样式1"/>
    <w:basedOn w:val="34"/>
    <w:qFormat/>
    <w:uiPriority w:val="0"/>
    <w:rPr>
      <w:rFonts w:hAnsi="宋体"/>
      <w:caps/>
      <w:color w:val="000000"/>
      <w:szCs w:val="20"/>
    </w:rPr>
  </w:style>
  <w:style w:type="paragraph" w:customStyle="1" w:styleId="153">
    <w:name w:val="正文内容"/>
    <w:basedOn w:val="1"/>
    <w:qFormat/>
    <w:uiPriority w:val="0"/>
    <w:pPr>
      <w:adjustRightInd w:val="0"/>
      <w:spacing w:line="360" w:lineRule="atLeast"/>
      <w:textAlignment w:val="baseline"/>
    </w:pPr>
    <w:rPr>
      <w:rFonts w:ascii="Arial" w:hAnsi="Arial"/>
      <w:spacing w:val="-12"/>
      <w:szCs w:val="20"/>
    </w:rPr>
  </w:style>
  <w:style w:type="paragraph" w:customStyle="1" w:styleId="154">
    <w:name w:val="p0"/>
    <w:basedOn w:val="1"/>
    <w:qFormat/>
    <w:uiPriority w:val="0"/>
    <w:pPr>
      <w:widowControl/>
    </w:pPr>
    <w:rPr>
      <w:kern w:val="0"/>
      <w:szCs w:val="21"/>
    </w:rPr>
  </w:style>
  <w:style w:type="paragraph" w:customStyle="1" w:styleId="155">
    <w:name w:val="正文文本 2 New"/>
    <w:basedOn w:val="1"/>
    <w:qFormat/>
    <w:uiPriority w:val="0"/>
    <w:pPr>
      <w:spacing w:line="360" w:lineRule="auto"/>
    </w:pPr>
    <w:rPr>
      <w:rFonts w:ascii="宋体"/>
      <w:b/>
      <w:sz w:val="36"/>
      <w:szCs w:val="36"/>
    </w:rPr>
  </w:style>
  <w:style w:type="paragraph" w:customStyle="1" w:styleId="156">
    <w:name w:val="xl28"/>
    <w:basedOn w:val="1"/>
    <w:qFormat/>
    <w:uiPriority w:val="0"/>
    <w:pPr>
      <w:widowControl/>
      <w:pBdr>
        <w:left w:val="single" w:color="auto" w:sz="4" w:space="0"/>
        <w:right w:val="single" w:color="auto" w:sz="4" w:space="0"/>
      </w:pBdr>
      <w:spacing w:before="100" w:beforeAutospacing="1" w:after="100" w:afterAutospacing="1" w:line="240" w:lineRule="atLeast"/>
      <w:jc w:val="center"/>
    </w:pPr>
    <w:rPr>
      <w:rFonts w:hint="eastAsia" w:ascii="方正仿宋简体" w:hAnsi="Arial Unicode MS" w:eastAsia="方正仿宋简体"/>
      <w:kern w:val="0"/>
      <w:sz w:val="24"/>
      <w:szCs w:val="20"/>
    </w:rPr>
  </w:style>
  <w:style w:type="paragraph" w:customStyle="1" w:styleId="157">
    <w:name w:val="缺省文本"/>
    <w:basedOn w:val="1"/>
    <w:qFormat/>
    <w:uiPriority w:val="0"/>
    <w:pPr>
      <w:autoSpaceDE w:val="0"/>
      <w:autoSpaceDN w:val="0"/>
      <w:adjustRightInd w:val="0"/>
      <w:jc w:val="left"/>
    </w:pPr>
    <w:rPr>
      <w:kern w:val="0"/>
      <w:sz w:val="24"/>
      <w:szCs w:val="20"/>
    </w:rPr>
  </w:style>
  <w:style w:type="paragraph" w:customStyle="1" w:styleId="15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 Char Char Char1"/>
    <w:basedOn w:val="1"/>
    <w:qFormat/>
    <w:uiPriority w:val="0"/>
    <w:pPr>
      <w:widowControl/>
      <w:snapToGrid w:val="0"/>
      <w:spacing w:after="160" w:line="360" w:lineRule="auto"/>
      <w:jc w:val="left"/>
    </w:pPr>
    <w:rPr>
      <w:szCs w:val="20"/>
    </w:rPr>
  </w:style>
  <w:style w:type="paragraph" w:customStyle="1" w:styleId="160">
    <w:name w:val="默认段落字体 Para Char Char Char Char Char Char Char Char Char1 Char Char Char Char"/>
    <w:basedOn w:val="1"/>
    <w:qFormat/>
    <w:uiPriority w:val="0"/>
    <w:rPr>
      <w:rFonts w:ascii="Tahoma" w:hAnsi="Tahoma"/>
      <w:sz w:val="24"/>
      <w:szCs w:val="20"/>
    </w:rPr>
  </w:style>
  <w:style w:type="paragraph" w:customStyle="1" w:styleId="16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62">
    <w:name w:val="HP Full Page"/>
    <w:qFormat/>
    <w:uiPriority w:val="0"/>
    <w:rPr>
      <w:rFonts w:ascii="Arial" w:hAnsi="Arial" w:eastAsia="宋体" w:cs="Times New Roman"/>
      <w:sz w:val="16"/>
      <w:lang w:val="en-US" w:eastAsia="en-US" w:bidi="ar-SA"/>
    </w:rPr>
  </w:style>
  <w:style w:type="paragraph" w:customStyle="1" w:styleId="163">
    <w:name w:val="Char Char2 Char"/>
    <w:basedOn w:val="1"/>
    <w:qFormat/>
    <w:uiPriority w:val="0"/>
    <w:rPr>
      <w:rFonts w:ascii="宋体" w:hAnsi="宋体"/>
      <w:b/>
      <w:sz w:val="28"/>
      <w:szCs w:val="20"/>
    </w:rPr>
  </w:style>
  <w:style w:type="paragraph" w:customStyle="1" w:styleId="16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5">
    <w:name w:val="Char Char Char"/>
    <w:basedOn w:val="1"/>
    <w:qFormat/>
    <w:uiPriority w:val="0"/>
  </w:style>
  <w:style w:type="paragraph" w:customStyle="1" w:styleId="166">
    <w:name w:val="Char Char Char Char Char Char Char"/>
    <w:basedOn w:val="1"/>
    <w:qFormat/>
    <w:uiPriority w:val="0"/>
    <w:rPr>
      <w:szCs w:val="20"/>
    </w:rPr>
  </w:style>
  <w:style w:type="paragraph" w:customStyle="1" w:styleId="167">
    <w:name w:val="修订1"/>
    <w:qFormat/>
    <w:uiPriority w:val="0"/>
    <w:rPr>
      <w:rFonts w:ascii="Times New Roman" w:hAnsi="Times New Roman" w:eastAsia="宋体" w:cs="Times New Roman"/>
      <w:kern w:val="2"/>
      <w:sz w:val="21"/>
      <w:lang w:val="en-US" w:eastAsia="zh-CN" w:bidi="ar-SA"/>
    </w:rPr>
  </w:style>
  <w:style w:type="paragraph" w:customStyle="1" w:styleId="168">
    <w:name w:val="Char1 Char Char Char Char Char Char"/>
    <w:basedOn w:val="1"/>
    <w:qFormat/>
    <w:uiPriority w:val="0"/>
    <w:rPr>
      <w:rFonts w:ascii="Tahoma" w:hAnsi="Tahoma"/>
      <w:sz w:val="24"/>
      <w:szCs w:val="20"/>
    </w:rPr>
  </w:style>
  <w:style w:type="paragraph" w:customStyle="1" w:styleId="169">
    <w:name w:val="_Style 1"/>
    <w:basedOn w:val="1"/>
    <w:qFormat/>
    <w:uiPriority w:val="0"/>
    <w:pPr>
      <w:widowControl/>
      <w:spacing w:line="400" w:lineRule="exact"/>
      <w:ind w:firstLine="420" w:firstLineChars="200"/>
    </w:pPr>
    <w:rPr>
      <w:kern w:val="0"/>
      <w:sz w:val="24"/>
    </w:rPr>
  </w:style>
  <w:style w:type="paragraph" w:customStyle="1" w:styleId="170">
    <w:name w:val="题注4"/>
    <w:basedOn w:val="1"/>
    <w:next w:val="15"/>
    <w:qFormat/>
    <w:uiPriority w:val="0"/>
    <w:pPr>
      <w:ind w:left="-108" w:right="-108"/>
      <w:jc w:val="center"/>
    </w:pPr>
    <w:rPr>
      <w:b/>
      <w:bCs/>
      <w:color w:val="000000"/>
      <w:szCs w:val="21"/>
      <w:lang w:val="en-GB"/>
    </w:rPr>
  </w:style>
  <w:style w:type="paragraph" w:customStyle="1" w:styleId="171">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72">
    <w:name w:val="Table Paragraph"/>
    <w:basedOn w:val="1"/>
    <w:qFormat/>
    <w:uiPriority w:val="1"/>
  </w:style>
  <w:style w:type="paragraph" w:customStyle="1" w:styleId="17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4">
    <w:name w:val="列出段落1"/>
    <w:basedOn w:val="1"/>
    <w:qFormat/>
    <w:uiPriority w:val="1"/>
    <w:pPr>
      <w:ind w:firstLine="420" w:firstLineChars="200"/>
    </w:pPr>
    <w:rPr>
      <w:rFonts w:ascii="Calibri" w:hAnsi="Calibri"/>
      <w:szCs w:val="22"/>
    </w:rPr>
  </w:style>
  <w:style w:type="paragraph" w:customStyle="1" w:styleId="17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6">
    <w:name w:val="标题 91"/>
    <w:basedOn w:val="1"/>
    <w:next w:val="1"/>
    <w:unhideWhenUsed/>
    <w:qFormat/>
    <w:uiPriority w:val="9"/>
    <w:pPr>
      <w:keepNext/>
      <w:keepLines/>
      <w:widowControl/>
      <w:spacing w:before="200" w:line="400" w:lineRule="exact"/>
      <w:outlineLvl w:val="8"/>
    </w:pPr>
    <w:rPr>
      <w:rFonts w:ascii="Cambria" w:hAnsi="Cambria"/>
      <w:i/>
      <w:iCs/>
      <w:color w:val="404040"/>
      <w:kern w:val="0"/>
      <w:sz w:val="20"/>
      <w:szCs w:val="20"/>
    </w:rPr>
  </w:style>
  <w:style w:type="paragraph" w:customStyle="1" w:styleId="177">
    <w:name w:val="纯文本2"/>
    <w:basedOn w:val="1"/>
    <w:qFormat/>
    <w:uiPriority w:val="0"/>
    <w:pPr>
      <w:jc w:val="left"/>
    </w:pPr>
    <w:rPr>
      <w:rFonts w:ascii="宋体" w:hAnsi="Courier New" w:cs="Courier New"/>
      <w:color w:val="000000"/>
      <w:kern w:val="0"/>
      <w:sz w:val="24"/>
      <w:szCs w:val="21"/>
      <w:lang w:val="zh-CN"/>
    </w:rPr>
  </w:style>
  <w:style w:type="paragraph" w:customStyle="1" w:styleId="178">
    <w:name w:val="正文文本 (3)1"/>
    <w:basedOn w:val="1"/>
    <w:qFormat/>
    <w:uiPriority w:val="0"/>
    <w:pPr>
      <w:shd w:val="clear" w:color="auto" w:fill="FFFFFF"/>
      <w:spacing w:line="624" w:lineRule="exact"/>
      <w:jc w:val="distribute"/>
    </w:pPr>
    <w:rPr>
      <w:rFonts w:ascii="MingLiU" w:hAnsi="Calibri" w:eastAsia="MingLiU" w:cs="MingLiU"/>
      <w:sz w:val="31"/>
      <w:szCs w:val="31"/>
    </w:rPr>
  </w:style>
  <w:style w:type="paragraph" w:customStyle="1" w:styleId="179">
    <w:name w:val="正文2"/>
    <w:basedOn w:val="1"/>
    <w:qFormat/>
    <w:uiPriority w:val="0"/>
    <w:pPr>
      <w:adjustRightInd w:val="0"/>
      <w:spacing w:before="156" w:line="360" w:lineRule="auto"/>
      <w:ind w:firstLine="510" w:firstLineChars="200"/>
    </w:pPr>
    <w:rPr>
      <w:kern w:val="0"/>
      <w:sz w:val="24"/>
      <w:szCs w:val="20"/>
    </w:rPr>
  </w:style>
  <w:style w:type="paragraph" w:customStyle="1" w:styleId="180">
    <w:name w:val="！正文无缩进"/>
    <w:qFormat/>
    <w:uiPriority w:val="0"/>
    <w:rPr>
      <w:rFonts w:ascii="Times New Roman" w:hAnsi="Times New Roman" w:eastAsia="宋体" w:cs="Times New Roman"/>
      <w:kern w:val="2"/>
      <w:sz w:val="21"/>
      <w:szCs w:val="24"/>
      <w:lang w:val="en-US" w:eastAsia="zh-CN" w:bidi="ar-SA"/>
    </w:rPr>
  </w:style>
  <w:style w:type="paragraph" w:customStyle="1" w:styleId="181">
    <w:name w:val="正文文本1"/>
    <w:basedOn w:val="182"/>
    <w:next w:val="182"/>
    <w:qFormat/>
    <w:uiPriority w:val="0"/>
    <w:rPr>
      <w:rFonts w:ascii="金山简黑体" w:hAnsi="金山简黑体" w:eastAsia="金山简黑体"/>
      <w:b/>
      <w:spacing w:val="-8"/>
      <w:sz w:val="44"/>
      <w:szCs w:val="20"/>
    </w:rPr>
  </w:style>
  <w:style w:type="paragraph" w:customStyle="1" w:styleId="182">
    <w:name w:val="正文1"/>
    <w:next w:val="1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缩进1"/>
    <w:basedOn w:val="1"/>
    <w:next w:val="2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8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81</Pages>
  <Words>43959</Words>
  <Characters>46707</Characters>
  <Lines>367</Lines>
  <Paragraphs>103</Paragraphs>
  <TotalTime>3</TotalTime>
  <ScaleCrop>false</ScaleCrop>
  <LinksUpToDate>false</LinksUpToDate>
  <CharactersWithSpaces>53049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2024-05-29T03:58:00Z</dcterms:created>
  <dc:creator>唐冰</dc:creator>
  <cp:lastModifiedBy>何艳</cp:lastModifiedBy>
  <cp:lastPrinted>2021-07-19T03:59:00Z</cp:lastPrinted>
  <dcterms:modified xsi:type="dcterms:W3CDTF">2024-08-08T02:38:26Z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11863C772B0D47C0A215197C5EC1CB32_13</vt:lpwstr>
  </property>
  <property fmtid="{D5CDD505-2E9C-101B-9397-08002B2CF9AE}" pid="4" name="KSOSaveFontToCloudKey">
    <vt:lpwstr>454588089_cloud</vt:lpwstr>
  </property>
  <property fmtid="{D5CDD505-2E9C-101B-9397-08002B2CF9AE}" pid="5" name="commondata">
    <vt:lpwstr>eyJoZGlkIjoiMDMxMGZjOWUzMGUxMmI4NzRjODAzZDBkNzM1YzcyY2UifQ==</vt:lpwstr>
  </property>
</Properties>
</file>