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4748">
      <w:pPr>
        <w:pStyle w:val="14"/>
        <w:spacing w:line="360" w:lineRule="auto"/>
        <w:rPr>
          <w:rFonts w:hint="eastAsia" w:ascii="宋体" w:hAnsi="宋体" w:cs="宋体"/>
          <w:color w:val="auto"/>
          <w:sz w:val="66"/>
          <w:szCs w:val="66"/>
          <w:highlight w:val="none"/>
          <w:u w:val="double"/>
        </w:rPr>
      </w:pPr>
      <w:bookmarkStart w:id="219" w:name="_GoBack"/>
      <w:bookmarkEnd w:id="219"/>
      <w:r>
        <w:rPr>
          <w:rFonts w:hint="eastAsia"/>
          <w:color w:val="auto"/>
          <w:highlight w:val="none"/>
        </w:rPr>
        <w:drawing>
          <wp:inline distT="0" distB="0" distL="114300" distR="114300">
            <wp:extent cx="6132195" cy="1142365"/>
            <wp:effectExtent l="0" t="0" r="0" b="0"/>
            <wp:docPr id="8" name="图片 8" descr="dfb24ab37d87af0743d5d6df98edd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fb24ab37d87af0743d5d6df98edd53"/>
                    <pic:cNvPicPr>
                      <a:picLocks noChangeAspect="1"/>
                    </pic:cNvPicPr>
                  </pic:nvPicPr>
                  <pic:blipFill>
                    <a:blip r:embed="rId11"/>
                    <a:stretch>
                      <a:fillRect/>
                    </a:stretch>
                  </pic:blipFill>
                  <pic:spPr>
                    <a:xfrm>
                      <a:off x="0" y="0"/>
                      <a:ext cx="6132195" cy="1142365"/>
                    </a:xfrm>
                    <a:prstGeom prst="rect">
                      <a:avLst/>
                    </a:prstGeom>
                  </pic:spPr>
                </pic:pic>
              </a:graphicData>
            </a:graphic>
          </wp:inline>
        </w:drawing>
      </w:r>
    </w:p>
    <w:p w14:paraId="78E1CA03">
      <w:pPr>
        <w:spacing w:line="360" w:lineRule="auto"/>
        <w:rPr>
          <w:rFonts w:hint="eastAsia" w:ascii="宋体" w:hAnsi="宋体" w:cs="宋体"/>
          <w:color w:val="auto"/>
          <w:sz w:val="66"/>
          <w:szCs w:val="66"/>
          <w:highlight w:val="none"/>
          <w:u w:val="double"/>
        </w:rPr>
      </w:pPr>
    </w:p>
    <w:p w14:paraId="291A4694">
      <w:pPr>
        <w:spacing w:line="360" w:lineRule="auto"/>
        <w:rPr>
          <w:rFonts w:hint="eastAsia" w:ascii="宋体" w:hAnsi="宋体" w:cs="宋体"/>
          <w:color w:val="auto"/>
          <w:sz w:val="66"/>
          <w:szCs w:val="66"/>
          <w:highlight w:val="none"/>
          <w:u w:val="double"/>
        </w:rPr>
      </w:pPr>
    </w:p>
    <w:p w14:paraId="6AADBCD5">
      <w:pPr>
        <w:spacing w:line="360" w:lineRule="auto"/>
        <w:rPr>
          <w:rFonts w:hint="eastAsia" w:ascii="宋体" w:hAnsi="宋体" w:cs="宋体"/>
          <w:color w:val="auto"/>
          <w:sz w:val="66"/>
          <w:szCs w:val="66"/>
          <w:highlight w:val="none"/>
          <w:u w:val="double"/>
        </w:rPr>
      </w:pPr>
    </w:p>
    <w:p w14:paraId="5FB7E132">
      <w:pPr>
        <w:spacing w:line="360" w:lineRule="auto"/>
        <w:jc w:val="center"/>
        <w:rPr>
          <w:rFonts w:hint="eastAsia" w:ascii="宋体" w:hAnsi="宋体" w:cs="宋体"/>
          <w:b/>
          <w:bCs/>
          <w:color w:val="auto"/>
          <w:sz w:val="76"/>
          <w:szCs w:val="76"/>
          <w:highlight w:val="none"/>
        </w:rPr>
      </w:pPr>
      <w:r>
        <w:rPr>
          <w:rFonts w:hint="eastAsia" w:ascii="宋体" w:hAnsi="宋体" w:cs="宋体"/>
          <w:b/>
          <w:bCs/>
          <w:color w:val="auto"/>
          <w:sz w:val="76"/>
          <w:szCs w:val="76"/>
          <w:highlight w:val="none"/>
        </w:rPr>
        <w:t>竞争性磋商采购文件</w:t>
      </w:r>
    </w:p>
    <w:p w14:paraId="58CB262F">
      <w:pPr>
        <w:spacing w:line="360" w:lineRule="auto"/>
        <w:rPr>
          <w:rFonts w:hint="eastAsia" w:ascii="宋体" w:hAnsi="宋体" w:cs="宋体"/>
          <w:b/>
          <w:bCs/>
          <w:color w:val="auto"/>
          <w:sz w:val="32"/>
          <w:szCs w:val="32"/>
          <w:highlight w:val="none"/>
        </w:rPr>
      </w:pPr>
    </w:p>
    <w:p w14:paraId="0F4CA4AF">
      <w:pPr>
        <w:pStyle w:val="14"/>
        <w:spacing w:line="360" w:lineRule="auto"/>
        <w:ind w:firstLine="1687" w:firstLineChars="600"/>
        <w:rPr>
          <w:rFonts w:hint="eastAsia" w:hAnsi="宋体" w:cs="宋体"/>
          <w:b/>
          <w:bCs/>
          <w:color w:val="auto"/>
          <w:sz w:val="28"/>
          <w:szCs w:val="28"/>
          <w:highlight w:val="none"/>
          <w:lang w:eastAsia="zh-CN"/>
        </w:rPr>
      </w:pPr>
      <w:r>
        <w:rPr>
          <w:rFonts w:hint="eastAsia" w:hAnsi="宋体" w:cs="宋体"/>
          <w:b/>
          <w:bCs/>
          <w:color w:val="auto"/>
          <w:sz w:val="28"/>
          <w:szCs w:val="28"/>
          <w:highlight w:val="none"/>
        </w:rPr>
        <w:t>项目名称：</w:t>
      </w:r>
      <w:r>
        <w:rPr>
          <w:rFonts w:hint="eastAsia" w:hAnsi="宋体" w:cs="宋体"/>
          <w:b/>
          <w:bCs/>
          <w:color w:val="auto"/>
          <w:sz w:val="28"/>
          <w:szCs w:val="28"/>
          <w:highlight w:val="none"/>
          <w:lang w:val="en-US" w:eastAsia="zh-CN"/>
        </w:rPr>
        <w:t>宁明县2024年整县推进兽医社会化服务项目</w:t>
      </w:r>
    </w:p>
    <w:p w14:paraId="59CFD105">
      <w:pPr>
        <w:pStyle w:val="14"/>
        <w:spacing w:line="360" w:lineRule="auto"/>
        <w:ind w:firstLine="1687" w:firstLineChars="600"/>
        <w:rPr>
          <w:rFonts w:hint="eastAsia" w:hAnsi="宋体" w:eastAsia="宋体" w:cs="宋体"/>
          <w:b/>
          <w:bCs/>
          <w:color w:val="auto"/>
          <w:sz w:val="28"/>
          <w:szCs w:val="28"/>
          <w:highlight w:val="none"/>
          <w:lang w:eastAsia="zh-CN"/>
        </w:rPr>
      </w:pPr>
      <w:r>
        <w:rPr>
          <w:rFonts w:hint="eastAsia" w:hAnsi="宋体" w:cs="宋体"/>
          <w:b/>
          <w:bCs/>
          <w:color w:val="auto"/>
          <w:sz w:val="28"/>
          <w:szCs w:val="28"/>
          <w:highlight w:val="none"/>
          <w:lang w:eastAsia="zh-CN"/>
        </w:rPr>
        <w:t>项目编号：CZZC2024-C3-220275-GXYL</w:t>
      </w:r>
    </w:p>
    <w:p w14:paraId="5895B090">
      <w:pPr>
        <w:spacing w:line="360" w:lineRule="auto"/>
        <w:rPr>
          <w:rFonts w:hint="eastAsia" w:ascii="宋体" w:hAnsi="宋体" w:cs="宋体"/>
          <w:b/>
          <w:bCs/>
          <w:color w:val="auto"/>
          <w:sz w:val="36"/>
          <w:szCs w:val="36"/>
          <w:highlight w:val="none"/>
        </w:rPr>
      </w:pPr>
    </w:p>
    <w:p w14:paraId="73BFFB25">
      <w:pPr>
        <w:spacing w:line="360" w:lineRule="auto"/>
        <w:rPr>
          <w:rFonts w:hint="eastAsia" w:ascii="宋体" w:hAnsi="宋体" w:cs="宋体"/>
          <w:b/>
          <w:bCs/>
          <w:color w:val="auto"/>
          <w:sz w:val="36"/>
          <w:szCs w:val="36"/>
          <w:highlight w:val="none"/>
        </w:rPr>
      </w:pPr>
    </w:p>
    <w:p w14:paraId="536ECF03">
      <w:pPr>
        <w:pStyle w:val="5"/>
        <w:rPr>
          <w:rFonts w:hint="eastAsia"/>
          <w:color w:val="auto"/>
          <w:highlight w:val="none"/>
        </w:rPr>
      </w:pPr>
    </w:p>
    <w:p w14:paraId="6E3795EE">
      <w:pPr>
        <w:spacing w:line="360" w:lineRule="auto"/>
        <w:rPr>
          <w:rFonts w:hint="eastAsia" w:ascii="宋体" w:hAnsi="宋体" w:cs="宋体"/>
          <w:b/>
          <w:bCs/>
          <w:color w:val="auto"/>
          <w:sz w:val="36"/>
          <w:szCs w:val="36"/>
          <w:highlight w:val="none"/>
        </w:rPr>
      </w:pPr>
    </w:p>
    <w:p w14:paraId="67684238">
      <w:pPr>
        <w:spacing w:line="360" w:lineRule="auto"/>
        <w:jc w:val="center"/>
        <w:rPr>
          <w:rFonts w:hint="eastAsia" w:ascii="宋体" w:hAnsi="宋体" w:cs="宋体"/>
          <w:b/>
          <w:bCs/>
          <w:color w:val="auto"/>
          <w:sz w:val="32"/>
          <w:szCs w:val="32"/>
          <w:highlight w:val="none"/>
        </w:rPr>
      </w:pPr>
    </w:p>
    <w:p w14:paraId="222EE95D">
      <w:pPr>
        <w:pStyle w:val="11"/>
        <w:rPr>
          <w:rFonts w:hint="eastAsia"/>
          <w:color w:val="auto"/>
          <w:highlight w:val="none"/>
        </w:rPr>
      </w:pPr>
    </w:p>
    <w:p w14:paraId="30834735">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3C23CBA0">
      <w:pPr>
        <w:spacing w:line="360" w:lineRule="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6"/>
          <w:szCs w:val="36"/>
          <w:highlight w:val="none"/>
        </w:rPr>
        <w:t xml:space="preserve">     </w:t>
      </w:r>
      <w:r>
        <w:rPr>
          <w:rFonts w:hint="eastAsia" w:ascii="宋体" w:hAnsi="宋体" w:cs="宋体"/>
          <w:b/>
          <w:bCs/>
          <w:color w:val="auto"/>
          <w:sz w:val="32"/>
          <w:szCs w:val="32"/>
          <w:highlight w:val="none"/>
        </w:rPr>
        <w:t>采购单位：</w:t>
      </w:r>
      <w:r>
        <w:rPr>
          <w:rFonts w:hint="eastAsia" w:ascii="宋体" w:hAnsi="宋体" w:cs="宋体"/>
          <w:b/>
          <w:bCs/>
          <w:color w:val="auto"/>
          <w:sz w:val="32"/>
          <w:szCs w:val="32"/>
          <w:highlight w:val="none"/>
          <w:lang w:eastAsia="zh-CN"/>
        </w:rPr>
        <w:t>宁明县动物疫病预防控制中心</w:t>
      </w:r>
    </w:p>
    <w:p w14:paraId="0F662B5B">
      <w:pPr>
        <w:spacing w:line="360" w:lineRule="auto"/>
        <w:ind w:firstLine="964" w:firstLineChars="30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lang w:eastAsia="zh-CN"/>
        </w:rPr>
        <w:t>广西亿隆项目管理有限公司</w:t>
      </w:r>
    </w:p>
    <w:p w14:paraId="32D0527A">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eastAsia="zh-CN"/>
        </w:rPr>
        <w:t>202</w:t>
      </w:r>
      <w:r>
        <w:rPr>
          <w:rFonts w:hint="eastAsia" w:ascii="宋体" w:hAnsi="宋体" w:cs="宋体"/>
          <w:b/>
          <w:bCs/>
          <w:color w:val="auto"/>
          <w:sz w:val="32"/>
          <w:szCs w:val="32"/>
          <w:highlight w:val="none"/>
          <w:lang w:val="en-US" w:eastAsia="zh-CN"/>
        </w:rPr>
        <w:t>4</w:t>
      </w:r>
      <w:r>
        <w:rPr>
          <w:rFonts w:hint="eastAsia" w:ascii="宋体" w:hAnsi="宋体" w:cs="宋体"/>
          <w:b/>
          <w:bCs/>
          <w:color w:val="auto"/>
          <w:sz w:val="32"/>
          <w:szCs w:val="32"/>
          <w:highlight w:val="none"/>
          <w:lang w:eastAsia="zh-CN"/>
        </w:rPr>
        <w:t>年</w:t>
      </w:r>
      <w:r>
        <w:rPr>
          <w:rFonts w:hint="eastAsia" w:ascii="宋体" w:hAnsi="宋体" w:cs="宋体"/>
          <w:b/>
          <w:bCs/>
          <w:color w:val="auto"/>
          <w:sz w:val="32"/>
          <w:szCs w:val="32"/>
          <w:highlight w:val="none"/>
          <w:lang w:val="en-US" w:eastAsia="zh-CN"/>
        </w:rPr>
        <w:t>8</w:t>
      </w:r>
      <w:r>
        <w:rPr>
          <w:rFonts w:hint="eastAsia" w:ascii="宋体" w:hAnsi="宋体" w:cs="宋体"/>
          <w:b/>
          <w:bCs/>
          <w:color w:val="auto"/>
          <w:sz w:val="32"/>
          <w:szCs w:val="32"/>
          <w:highlight w:val="none"/>
        </w:rPr>
        <w:t>月</w:t>
      </w:r>
    </w:p>
    <w:p w14:paraId="3C554FA2">
      <w:pPr>
        <w:rPr>
          <w:rFonts w:hint="eastAsia"/>
          <w:color w:val="auto"/>
          <w:highlight w:val="none"/>
        </w:rPr>
      </w:pPr>
    </w:p>
    <w:p w14:paraId="67D5EC57">
      <w:pPr>
        <w:spacing w:line="360" w:lineRule="auto"/>
        <w:ind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   录</w:t>
      </w:r>
    </w:p>
    <w:p w14:paraId="3B70AC9B">
      <w:pPr>
        <w:spacing w:line="360" w:lineRule="auto"/>
        <w:jc w:val="center"/>
        <w:rPr>
          <w:rFonts w:hint="eastAsia" w:ascii="宋体" w:hAnsi="宋体" w:eastAsia="宋体" w:cs="宋体"/>
          <w:b/>
          <w:color w:val="auto"/>
          <w:sz w:val="44"/>
          <w:szCs w:val="44"/>
          <w:highlight w:val="none"/>
        </w:rPr>
      </w:pPr>
    </w:p>
    <w:p w14:paraId="6790AF11">
      <w:pPr>
        <w:pStyle w:val="19"/>
        <w:tabs>
          <w:tab w:val="right" w:leader="dot" w:pos="9660"/>
          <w:tab w:val="clear" w:pos="8296"/>
        </w:tabs>
        <w:spacing w:line="480" w:lineRule="auto"/>
        <w:rPr>
          <w:b/>
          <w:bCs/>
          <w:color w:val="auto"/>
          <w:sz w:val="24"/>
          <w:szCs w:val="32"/>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TOC \o "1-3" \h \z \u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b/>
          <w:bCs/>
          <w:color w:val="auto"/>
          <w:sz w:val="24"/>
          <w:szCs w:val="36"/>
          <w:highlight w:val="none"/>
        </w:rPr>
        <w:fldChar w:fldCharType="begin"/>
      </w:r>
      <w:r>
        <w:rPr>
          <w:rFonts w:hint="eastAsia" w:ascii="宋体" w:hAnsi="宋体" w:eastAsia="宋体" w:cs="宋体"/>
          <w:b/>
          <w:bCs/>
          <w:color w:val="auto"/>
          <w:sz w:val="24"/>
          <w:szCs w:val="36"/>
          <w:highlight w:val="none"/>
        </w:rPr>
        <w:instrText xml:space="preserve"> HYPERLINK \l _Toc25036 </w:instrText>
      </w:r>
      <w:r>
        <w:rPr>
          <w:rFonts w:hint="eastAsia" w:ascii="宋体" w:hAnsi="宋体" w:eastAsia="宋体" w:cs="宋体"/>
          <w:b/>
          <w:bCs/>
          <w:color w:val="auto"/>
          <w:sz w:val="24"/>
          <w:szCs w:val="36"/>
          <w:highlight w:val="none"/>
        </w:rPr>
        <w:fldChar w:fldCharType="separate"/>
      </w:r>
      <w:r>
        <w:rPr>
          <w:rFonts w:hint="eastAsia" w:ascii="宋体" w:hAnsi="宋体" w:eastAsia="宋体" w:cs="宋体"/>
          <w:b/>
          <w:bCs/>
          <w:color w:val="auto"/>
          <w:sz w:val="24"/>
          <w:szCs w:val="32"/>
          <w:highlight w:val="none"/>
        </w:rPr>
        <w:t>第一章 竞争性磋商公告</w:t>
      </w:r>
      <w:r>
        <w:rPr>
          <w:b/>
          <w:bCs/>
          <w:color w:val="auto"/>
          <w:sz w:val="24"/>
          <w:szCs w:val="32"/>
          <w:highlight w:val="none"/>
        </w:rPr>
        <w:tab/>
      </w:r>
      <w:r>
        <w:rPr>
          <w:b/>
          <w:bCs/>
          <w:color w:val="auto"/>
          <w:sz w:val="24"/>
          <w:szCs w:val="32"/>
          <w:highlight w:val="none"/>
        </w:rPr>
        <w:fldChar w:fldCharType="begin"/>
      </w:r>
      <w:r>
        <w:rPr>
          <w:b/>
          <w:bCs/>
          <w:color w:val="auto"/>
          <w:sz w:val="24"/>
          <w:szCs w:val="32"/>
          <w:highlight w:val="none"/>
        </w:rPr>
        <w:instrText xml:space="preserve"> PAGEREF _Toc25036 \h </w:instrText>
      </w:r>
      <w:r>
        <w:rPr>
          <w:b/>
          <w:bCs/>
          <w:color w:val="auto"/>
          <w:sz w:val="24"/>
          <w:szCs w:val="32"/>
          <w:highlight w:val="none"/>
        </w:rPr>
        <w:fldChar w:fldCharType="separate"/>
      </w:r>
      <w:r>
        <w:rPr>
          <w:b/>
          <w:bCs/>
          <w:color w:val="auto"/>
          <w:sz w:val="24"/>
          <w:szCs w:val="32"/>
          <w:highlight w:val="none"/>
        </w:rPr>
        <w:t>1</w:t>
      </w:r>
      <w:r>
        <w:rPr>
          <w:b/>
          <w:bCs/>
          <w:color w:val="auto"/>
          <w:sz w:val="24"/>
          <w:szCs w:val="32"/>
          <w:highlight w:val="none"/>
        </w:rPr>
        <w:fldChar w:fldCharType="end"/>
      </w:r>
      <w:r>
        <w:rPr>
          <w:rFonts w:hint="eastAsia" w:ascii="宋体" w:hAnsi="宋体" w:eastAsia="宋体" w:cs="宋体"/>
          <w:b/>
          <w:bCs/>
          <w:color w:val="auto"/>
          <w:sz w:val="24"/>
          <w:szCs w:val="36"/>
          <w:highlight w:val="none"/>
        </w:rPr>
        <w:fldChar w:fldCharType="end"/>
      </w:r>
    </w:p>
    <w:p w14:paraId="162D1A01">
      <w:pPr>
        <w:pStyle w:val="19"/>
        <w:tabs>
          <w:tab w:val="right" w:leader="dot" w:pos="9660"/>
          <w:tab w:val="clear" w:pos="8296"/>
        </w:tabs>
        <w:spacing w:line="480" w:lineRule="auto"/>
        <w:rPr>
          <w:b/>
          <w:bCs/>
          <w:color w:val="auto"/>
          <w:sz w:val="24"/>
          <w:szCs w:val="32"/>
          <w:highlight w:val="none"/>
        </w:rPr>
      </w:pPr>
      <w:r>
        <w:rPr>
          <w:rFonts w:hint="eastAsia" w:ascii="宋体" w:hAnsi="宋体" w:eastAsia="宋体" w:cs="宋体"/>
          <w:b/>
          <w:bCs/>
          <w:color w:val="auto"/>
          <w:sz w:val="24"/>
          <w:szCs w:val="36"/>
          <w:highlight w:val="none"/>
        </w:rPr>
        <w:fldChar w:fldCharType="begin"/>
      </w:r>
      <w:r>
        <w:rPr>
          <w:rFonts w:hint="eastAsia" w:ascii="宋体" w:hAnsi="宋体" w:eastAsia="宋体" w:cs="宋体"/>
          <w:b/>
          <w:bCs/>
          <w:color w:val="auto"/>
          <w:sz w:val="24"/>
          <w:szCs w:val="36"/>
          <w:highlight w:val="none"/>
        </w:rPr>
        <w:instrText xml:space="preserve"> HYPERLINK \l _Toc186 </w:instrText>
      </w:r>
      <w:r>
        <w:rPr>
          <w:rFonts w:hint="eastAsia" w:ascii="宋体" w:hAnsi="宋体" w:eastAsia="宋体" w:cs="宋体"/>
          <w:b/>
          <w:bCs/>
          <w:color w:val="auto"/>
          <w:sz w:val="24"/>
          <w:szCs w:val="36"/>
          <w:highlight w:val="none"/>
        </w:rPr>
        <w:fldChar w:fldCharType="separate"/>
      </w:r>
      <w:r>
        <w:rPr>
          <w:rFonts w:hint="eastAsia" w:ascii="宋体" w:hAnsi="宋体" w:eastAsia="宋体" w:cs="宋体"/>
          <w:b/>
          <w:bCs/>
          <w:color w:val="auto"/>
          <w:sz w:val="24"/>
          <w:szCs w:val="32"/>
          <w:highlight w:val="none"/>
        </w:rPr>
        <w:t>第二章 供应商须知</w:t>
      </w:r>
      <w:r>
        <w:rPr>
          <w:b/>
          <w:bCs/>
          <w:color w:val="auto"/>
          <w:sz w:val="24"/>
          <w:szCs w:val="32"/>
          <w:highlight w:val="none"/>
        </w:rPr>
        <w:tab/>
      </w:r>
      <w:r>
        <w:rPr>
          <w:b/>
          <w:bCs/>
          <w:color w:val="auto"/>
          <w:sz w:val="24"/>
          <w:szCs w:val="32"/>
          <w:highlight w:val="none"/>
        </w:rPr>
        <w:fldChar w:fldCharType="begin"/>
      </w:r>
      <w:r>
        <w:rPr>
          <w:b/>
          <w:bCs/>
          <w:color w:val="auto"/>
          <w:sz w:val="24"/>
          <w:szCs w:val="32"/>
          <w:highlight w:val="none"/>
        </w:rPr>
        <w:instrText xml:space="preserve"> PAGEREF _Toc186 \h </w:instrText>
      </w:r>
      <w:r>
        <w:rPr>
          <w:b/>
          <w:bCs/>
          <w:color w:val="auto"/>
          <w:sz w:val="24"/>
          <w:szCs w:val="32"/>
          <w:highlight w:val="none"/>
        </w:rPr>
        <w:fldChar w:fldCharType="separate"/>
      </w:r>
      <w:r>
        <w:rPr>
          <w:b/>
          <w:bCs/>
          <w:color w:val="auto"/>
          <w:sz w:val="24"/>
          <w:szCs w:val="32"/>
          <w:highlight w:val="none"/>
        </w:rPr>
        <w:t>4</w:t>
      </w:r>
      <w:r>
        <w:rPr>
          <w:b/>
          <w:bCs/>
          <w:color w:val="auto"/>
          <w:sz w:val="24"/>
          <w:szCs w:val="32"/>
          <w:highlight w:val="none"/>
        </w:rPr>
        <w:fldChar w:fldCharType="end"/>
      </w:r>
      <w:r>
        <w:rPr>
          <w:rFonts w:hint="eastAsia" w:ascii="宋体" w:hAnsi="宋体" w:eastAsia="宋体" w:cs="宋体"/>
          <w:b/>
          <w:bCs/>
          <w:color w:val="auto"/>
          <w:sz w:val="24"/>
          <w:szCs w:val="36"/>
          <w:highlight w:val="none"/>
        </w:rPr>
        <w:fldChar w:fldCharType="end"/>
      </w:r>
    </w:p>
    <w:p w14:paraId="25BF5986">
      <w:pPr>
        <w:pStyle w:val="19"/>
        <w:tabs>
          <w:tab w:val="right" w:leader="dot" w:pos="9660"/>
          <w:tab w:val="clear" w:pos="8296"/>
        </w:tabs>
        <w:spacing w:line="480" w:lineRule="auto"/>
        <w:rPr>
          <w:b/>
          <w:bCs/>
          <w:color w:val="auto"/>
          <w:sz w:val="24"/>
          <w:szCs w:val="32"/>
          <w:highlight w:val="none"/>
        </w:rPr>
      </w:pPr>
      <w:r>
        <w:rPr>
          <w:rFonts w:hint="eastAsia" w:ascii="宋体" w:hAnsi="宋体" w:eastAsia="宋体" w:cs="宋体"/>
          <w:b/>
          <w:bCs/>
          <w:color w:val="auto"/>
          <w:sz w:val="24"/>
          <w:szCs w:val="36"/>
          <w:highlight w:val="none"/>
        </w:rPr>
        <w:fldChar w:fldCharType="begin"/>
      </w:r>
      <w:r>
        <w:rPr>
          <w:rFonts w:hint="eastAsia" w:ascii="宋体" w:hAnsi="宋体" w:eastAsia="宋体" w:cs="宋体"/>
          <w:b/>
          <w:bCs/>
          <w:color w:val="auto"/>
          <w:sz w:val="24"/>
          <w:szCs w:val="36"/>
          <w:highlight w:val="none"/>
        </w:rPr>
        <w:instrText xml:space="preserve"> HYPERLINK \l _Toc29957 </w:instrText>
      </w:r>
      <w:r>
        <w:rPr>
          <w:rFonts w:hint="eastAsia" w:ascii="宋体" w:hAnsi="宋体" w:eastAsia="宋体" w:cs="宋体"/>
          <w:b/>
          <w:bCs/>
          <w:color w:val="auto"/>
          <w:sz w:val="24"/>
          <w:szCs w:val="36"/>
          <w:highlight w:val="none"/>
        </w:rPr>
        <w:fldChar w:fldCharType="separate"/>
      </w:r>
      <w:r>
        <w:rPr>
          <w:rFonts w:hint="eastAsia" w:ascii="宋体" w:hAnsi="宋体" w:eastAsia="宋体" w:cs="宋体"/>
          <w:b/>
          <w:bCs/>
          <w:color w:val="auto"/>
          <w:sz w:val="24"/>
          <w:szCs w:val="32"/>
          <w:highlight w:val="none"/>
        </w:rPr>
        <w:t>第三章 采购需求</w:t>
      </w:r>
      <w:r>
        <w:rPr>
          <w:b/>
          <w:bCs/>
          <w:color w:val="auto"/>
          <w:sz w:val="24"/>
          <w:szCs w:val="32"/>
          <w:highlight w:val="none"/>
        </w:rPr>
        <w:tab/>
      </w:r>
      <w:r>
        <w:rPr>
          <w:b/>
          <w:bCs/>
          <w:color w:val="auto"/>
          <w:sz w:val="24"/>
          <w:szCs w:val="32"/>
          <w:highlight w:val="none"/>
        </w:rPr>
        <w:fldChar w:fldCharType="begin"/>
      </w:r>
      <w:r>
        <w:rPr>
          <w:b/>
          <w:bCs/>
          <w:color w:val="auto"/>
          <w:sz w:val="24"/>
          <w:szCs w:val="32"/>
          <w:highlight w:val="none"/>
        </w:rPr>
        <w:instrText xml:space="preserve"> PAGEREF _Toc29957 \h </w:instrText>
      </w:r>
      <w:r>
        <w:rPr>
          <w:b/>
          <w:bCs/>
          <w:color w:val="auto"/>
          <w:sz w:val="24"/>
          <w:szCs w:val="32"/>
          <w:highlight w:val="none"/>
        </w:rPr>
        <w:fldChar w:fldCharType="separate"/>
      </w:r>
      <w:r>
        <w:rPr>
          <w:b/>
          <w:bCs/>
          <w:color w:val="auto"/>
          <w:sz w:val="24"/>
          <w:szCs w:val="32"/>
          <w:highlight w:val="none"/>
        </w:rPr>
        <w:t>29</w:t>
      </w:r>
      <w:r>
        <w:rPr>
          <w:b/>
          <w:bCs/>
          <w:color w:val="auto"/>
          <w:sz w:val="24"/>
          <w:szCs w:val="32"/>
          <w:highlight w:val="none"/>
        </w:rPr>
        <w:fldChar w:fldCharType="end"/>
      </w:r>
      <w:r>
        <w:rPr>
          <w:rFonts w:hint="eastAsia" w:ascii="宋体" w:hAnsi="宋体" w:eastAsia="宋体" w:cs="宋体"/>
          <w:b/>
          <w:bCs/>
          <w:color w:val="auto"/>
          <w:sz w:val="24"/>
          <w:szCs w:val="36"/>
          <w:highlight w:val="none"/>
        </w:rPr>
        <w:fldChar w:fldCharType="end"/>
      </w:r>
    </w:p>
    <w:p w14:paraId="4609BE8A">
      <w:pPr>
        <w:pStyle w:val="19"/>
        <w:tabs>
          <w:tab w:val="right" w:leader="dot" w:pos="9660"/>
          <w:tab w:val="clear" w:pos="8296"/>
        </w:tabs>
        <w:spacing w:line="480" w:lineRule="auto"/>
        <w:rPr>
          <w:b/>
          <w:bCs/>
          <w:color w:val="auto"/>
          <w:sz w:val="24"/>
          <w:szCs w:val="32"/>
          <w:highlight w:val="none"/>
        </w:rPr>
      </w:pPr>
      <w:r>
        <w:rPr>
          <w:rFonts w:hint="eastAsia" w:ascii="宋体" w:hAnsi="宋体" w:eastAsia="宋体" w:cs="宋体"/>
          <w:b/>
          <w:bCs/>
          <w:color w:val="auto"/>
          <w:sz w:val="24"/>
          <w:szCs w:val="36"/>
          <w:highlight w:val="none"/>
        </w:rPr>
        <w:fldChar w:fldCharType="begin"/>
      </w:r>
      <w:r>
        <w:rPr>
          <w:rFonts w:hint="eastAsia" w:ascii="宋体" w:hAnsi="宋体" w:eastAsia="宋体" w:cs="宋体"/>
          <w:b/>
          <w:bCs/>
          <w:color w:val="auto"/>
          <w:sz w:val="24"/>
          <w:szCs w:val="36"/>
          <w:highlight w:val="none"/>
        </w:rPr>
        <w:instrText xml:space="preserve"> HYPERLINK \l _Toc14020 </w:instrText>
      </w:r>
      <w:r>
        <w:rPr>
          <w:rFonts w:hint="eastAsia" w:ascii="宋体" w:hAnsi="宋体" w:eastAsia="宋体" w:cs="宋体"/>
          <w:b/>
          <w:bCs/>
          <w:color w:val="auto"/>
          <w:sz w:val="24"/>
          <w:szCs w:val="36"/>
          <w:highlight w:val="none"/>
        </w:rPr>
        <w:fldChar w:fldCharType="separate"/>
      </w:r>
      <w:r>
        <w:rPr>
          <w:rFonts w:hint="eastAsia" w:ascii="宋体" w:hAnsi="宋体" w:eastAsia="宋体" w:cs="宋体"/>
          <w:b/>
          <w:bCs/>
          <w:color w:val="auto"/>
          <w:sz w:val="24"/>
          <w:szCs w:val="32"/>
          <w:highlight w:val="none"/>
        </w:rPr>
        <w:t>第四章  评审程序、评审方法和评审标准</w:t>
      </w:r>
      <w:r>
        <w:rPr>
          <w:b/>
          <w:bCs/>
          <w:color w:val="auto"/>
          <w:sz w:val="24"/>
          <w:szCs w:val="32"/>
          <w:highlight w:val="none"/>
        </w:rPr>
        <w:tab/>
      </w:r>
      <w:r>
        <w:rPr>
          <w:b/>
          <w:bCs/>
          <w:color w:val="auto"/>
          <w:sz w:val="24"/>
          <w:szCs w:val="32"/>
          <w:highlight w:val="none"/>
        </w:rPr>
        <w:fldChar w:fldCharType="begin"/>
      </w:r>
      <w:r>
        <w:rPr>
          <w:b/>
          <w:bCs/>
          <w:color w:val="auto"/>
          <w:sz w:val="24"/>
          <w:szCs w:val="32"/>
          <w:highlight w:val="none"/>
        </w:rPr>
        <w:instrText xml:space="preserve"> PAGEREF _Toc14020 \h </w:instrText>
      </w:r>
      <w:r>
        <w:rPr>
          <w:b/>
          <w:bCs/>
          <w:color w:val="auto"/>
          <w:sz w:val="24"/>
          <w:szCs w:val="32"/>
          <w:highlight w:val="none"/>
        </w:rPr>
        <w:fldChar w:fldCharType="separate"/>
      </w:r>
      <w:r>
        <w:rPr>
          <w:b/>
          <w:bCs/>
          <w:color w:val="auto"/>
          <w:sz w:val="24"/>
          <w:szCs w:val="32"/>
          <w:highlight w:val="none"/>
        </w:rPr>
        <w:t>44</w:t>
      </w:r>
      <w:r>
        <w:rPr>
          <w:b/>
          <w:bCs/>
          <w:color w:val="auto"/>
          <w:sz w:val="24"/>
          <w:szCs w:val="32"/>
          <w:highlight w:val="none"/>
        </w:rPr>
        <w:fldChar w:fldCharType="end"/>
      </w:r>
      <w:r>
        <w:rPr>
          <w:rFonts w:hint="eastAsia" w:ascii="宋体" w:hAnsi="宋体" w:eastAsia="宋体" w:cs="宋体"/>
          <w:b/>
          <w:bCs/>
          <w:color w:val="auto"/>
          <w:sz w:val="24"/>
          <w:szCs w:val="36"/>
          <w:highlight w:val="none"/>
        </w:rPr>
        <w:fldChar w:fldCharType="end"/>
      </w:r>
    </w:p>
    <w:p w14:paraId="74C59307">
      <w:pPr>
        <w:pStyle w:val="19"/>
        <w:tabs>
          <w:tab w:val="right" w:leader="dot" w:pos="9660"/>
          <w:tab w:val="clear" w:pos="8296"/>
        </w:tabs>
        <w:spacing w:line="480" w:lineRule="auto"/>
        <w:rPr>
          <w:b/>
          <w:bCs/>
          <w:color w:val="auto"/>
          <w:sz w:val="24"/>
          <w:szCs w:val="32"/>
          <w:highlight w:val="none"/>
        </w:rPr>
      </w:pPr>
      <w:r>
        <w:rPr>
          <w:rFonts w:hint="eastAsia" w:ascii="宋体" w:hAnsi="宋体" w:eastAsia="宋体" w:cs="宋体"/>
          <w:b/>
          <w:bCs/>
          <w:color w:val="auto"/>
          <w:sz w:val="24"/>
          <w:szCs w:val="36"/>
          <w:highlight w:val="none"/>
        </w:rPr>
        <w:fldChar w:fldCharType="begin"/>
      </w:r>
      <w:r>
        <w:rPr>
          <w:rFonts w:hint="eastAsia" w:ascii="宋体" w:hAnsi="宋体" w:eastAsia="宋体" w:cs="宋体"/>
          <w:b/>
          <w:bCs/>
          <w:color w:val="auto"/>
          <w:sz w:val="24"/>
          <w:szCs w:val="36"/>
          <w:highlight w:val="none"/>
        </w:rPr>
        <w:instrText xml:space="preserve"> HYPERLINK \l _Toc9547 </w:instrText>
      </w:r>
      <w:r>
        <w:rPr>
          <w:rFonts w:hint="eastAsia" w:ascii="宋体" w:hAnsi="宋体" w:eastAsia="宋体" w:cs="宋体"/>
          <w:b/>
          <w:bCs/>
          <w:color w:val="auto"/>
          <w:sz w:val="24"/>
          <w:szCs w:val="36"/>
          <w:highlight w:val="none"/>
        </w:rPr>
        <w:fldChar w:fldCharType="separate"/>
      </w:r>
      <w:r>
        <w:rPr>
          <w:rFonts w:hint="eastAsia" w:ascii="宋体" w:hAnsi="宋体" w:eastAsia="宋体" w:cs="宋体"/>
          <w:b/>
          <w:bCs/>
          <w:color w:val="auto"/>
          <w:sz w:val="24"/>
          <w:szCs w:val="32"/>
          <w:highlight w:val="none"/>
        </w:rPr>
        <w:t>第五章 响应文件格式</w:t>
      </w:r>
      <w:r>
        <w:rPr>
          <w:b/>
          <w:bCs/>
          <w:color w:val="auto"/>
          <w:sz w:val="24"/>
          <w:szCs w:val="32"/>
          <w:highlight w:val="none"/>
        </w:rPr>
        <w:tab/>
      </w:r>
      <w:r>
        <w:rPr>
          <w:b/>
          <w:bCs/>
          <w:color w:val="auto"/>
          <w:sz w:val="24"/>
          <w:szCs w:val="32"/>
          <w:highlight w:val="none"/>
        </w:rPr>
        <w:fldChar w:fldCharType="begin"/>
      </w:r>
      <w:r>
        <w:rPr>
          <w:b/>
          <w:bCs/>
          <w:color w:val="auto"/>
          <w:sz w:val="24"/>
          <w:szCs w:val="32"/>
          <w:highlight w:val="none"/>
        </w:rPr>
        <w:instrText xml:space="preserve"> PAGEREF _Toc9547 \h </w:instrText>
      </w:r>
      <w:r>
        <w:rPr>
          <w:b/>
          <w:bCs/>
          <w:color w:val="auto"/>
          <w:sz w:val="24"/>
          <w:szCs w:val="32"/>
          <w:highlight w:val="none"/>
        </w:rPr>
        <w:fldChar w:fldCharType="separate"/>
      </w:r>
      <w:r>
        <w:rPr>
          <w:b/>
          <w:bCs/>
          <w:color w:val="auto"/>
          <w:sz w:val="24"/>
          <w:szCs w:val="32"/>
          <w:highlight w:val="none"/>
        </w:rPr>
        <w:t>54</w:t>
      </w:r>
      <w:r>
        <w:rPr>
          <w:b/>
          <w:bCs/>
          <w:color w:val="auto"/>
          <w:sz w:val="24"/>
          <w:szCs w:val="32"/>
          <w:highlight w:val="none"/>
        </w:rPr>
        <w:fldChar w:fldCharType="end"/>
      </w:r>
      <w:r>
        <w:rPr>
          <w:rFonts w:hint="eastAsia" w:ascii="宋体" w:hAnsi="宋体" w:eastAsia="宋体" w:cs="宋体"/>
          <w:b/>
          <w:bCs/>
          <w:color w:val="auto"/>
          <w:sz w:val="24"/>
          <w:szCs w:val="36"/>
          <w:highlight w:val="none"/>
        </w:rPr>
        <w:fldChar w:fldCharType="end"/>
      </w:r>
    </w:p>
    <w:p w14:paraId="0B87409B">
      <w:pPr>
        <w:pStyle w:val="19"/>
        <w:tabs>
          <w:tab w:val="right" w:leader="dot" w:pos="9660"/>
          <w:tab w:val="clear" w:pos="8296"/>
        </w:tabs>
        <w:spacing w:line="480" w:lineRule="auto"/>
        <w:rPr>
          <w:color w:val="auto"/>
          <w:highlight w:val="none"/>
        </w:rPr>
      </w:pPr>
      <w:r>
        <w:rPr>
          <w:rFonts w:hint="eastAsia" w:ascii="宋体" w:hAnsi="宋体" w:eastAsia="宋体" w:cs="宋体"/>
          <w:b/>
          <w:bCs/>
          <w:color w:val="auto"/>
          <w:sz w:val="24"/>
          <w:szCs w:val="36"/>
          <w:highlight w:val="none"/>
        </w:rPr>
        <w:fldChar w:fldCharType="begin"/>
      </w:r>
      <w:r>
        <w:rPr>
          <w:rFonts w:hint="eastAsia" w:ascii="宋体" w:hAnsi="宋体" w:eastAsia="宋体" w:cs="宋体"/>
          <w:b/>
          <w:bCs/>
          <w:color w:val="auto"/>
          <w:sz w:val="24"/>
          <w:szCs w:val="36"/>
          <w:highlight w:val="none"/>
        </w:rPr>
        <w:instrText xml:space="preserve"> HYPERLINK \l _Toc25377 </w:instrText>
      </w:r>
      <w:r>
        <w:rPr>
          <w:rFonts w:hint="eastAsia" w:ascii="宋体" w:hAnsi="宋体" w:eastAsia="宋体" w:cs="宋体"/>
          <w:b/>
          <w:bCs/>
          <w:color w:val="auto"/>
          <w:sz w:val="24"/>
          <w:szCs w:val="36"/>
          <w:highlight w:val="none"/>
        </w:rPr>
        <w:fldChar w:fldCharType="separate"/>
      </w:r>
      <w:r>
        <w:rPr>
          <w:rFonts w:hint="eastAsia" w:ascii="宋体" w:hAnsi="宋体" w:eastAsia="宋体" w:cs="宋体"/>
          <w:b/>
          <w:bCs/>
          <w:color w:val="auto"/>
          <w:sz w:val="24"/>
          <w:szCs w:val="32"/>
          <w:highlight w:val="none"/>
        </w:rPr>
        <w:t>第六章 合同文本</w:t>
      </w:r>
      <w:r>
        <w:rPr>
          <w:b/>
          <w:bCs/>
          <w:color w:val="auto"/>
          <w:sz w:val="24"/>
          <w:szCs w:val="32"/>
          <w:highlight w:val="none"/>
        </w:rPr>
        <w:tab/>
      </w:r>
      <w:r>
        <w:rPr>
          <w:b/>
          <w:bCs/>
          <w:color w:val="auto"/>
          <w:sz w:val="24"/>
          <w:szCs w:val="32"/>
          <w:highlight w:val="none"/>
        </w:rPr>
        <w:fldChar w:fldCharType="begin"/>
      </w:r>
      <w:r>
        <w:rPr>
          <w:b/>
          <w:bCs/>
          <w:color w:val="auto"/>
          <w:sz w:val="24"/>
          <w:szCs w:val="32"/>
          <w:highlight w:val="none"/>
        </w:rPr>
        <w:instrText xml:space="preserve"> PAGEREF _Toc25377 \h </w:instrText>
      </w:r>
      <w:r>
        <w:rPr>
          <w:b/>
          <w:bCs/>
          <w:color w:val="auto"/>
          <w:sz w:val="24"/>
          <w:szCs w:val="32"/>
          <w:highlight w:val="none"/>
        </w:rPr>
        <w:fldChar w:fldCharType="separate"/>
      </w:r>
      <w:r>
        <w:rPr>
          <w:b/>
          <w:bCs/>
          <w:color w:val="auto"/>
          <w:sz w:val="24"/>
          <w:szCs w:val="32"/>
          <w:highlight w:val="none"/>
        </w:rPr>
        <w:t>87</w:t>
      </w:r>
      <w:r>
        <w:rPr>
          <w:b/>
          <w:bCs/>
          <w:color w:val="auto"/>
          <w:sz w:val="24"/>
          <w:szCs w:val="32"/>
          <w:highlight w:val="none"/>
        </w:rPr>
        <w:fldChar w:fldCharType="end"/>
      </w:r>
      <w:r>
        <w:rPr>
          <w:rFonts w:hint="eastAsia" w:ascii="宋体" w:hAnsi="宋体" w:eastAsia="宋体" w:cs="宋体"/>
          <w:b/>
          <w:bCs/>
          <w:color w:val="auto"/>
          <w:sz w:val="24"/>
          <w:szCs w:val="36"/>
          <w:highlight w:val="none"/>
        </w:rPr>
        <w:fldChar w:fldCharType="end"/>
      </w:r>
    </w:p>
    <w:p w14:paraId="005F82B9">
      <w:pPr>
        <w:pStyle w:val="19"/>
        <w:tabs>
          <w:tab w:val="right" w:leader="dot" w:pos="9660"/>
          <w:tab w:val="clear" w:pos="8296"/>
        </w:tabs>
        <w:rPr>
          <w:color w:val="auto"/>
          <w:highlight w:val="none"/>
        </w:rPr>
      </w:pPr>
    </w:p>
    <w:p w14:paraId="67FD7659">
      <w:pPr>
        <w:pStyle w:val="19"/>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szCs w:val="28"/>
          <w:highlight w:val="none"/>
        </w:rPr>
        <w:fldChar w:fldCharType="end"/>
      </w:r>
    </w:p>
    <w:p w14:paraId="657C90AB">
      <w:pPr>
        <w:spacing w:line="360" w:lineRule="auto"/>
        <w:jc w:val="left"/>
        <w:rPr>
          <w:rFonts w:hint="eastAsia" w:ascii="宋体" w:hAnsi="宋体" w:eastAsia="宋体" w:cs="宋体"/>
          <w:b/>
          <w:color w:val="auto"/>
          <w:sz w:val="32"/>
          <w:szCs w:val="32"/>
          <w:highlight w:val="none"/>
        </w:rPr>
      </w:pPr>
    </w:p>
    <w:p w14:paraId="182203DB">
      <w:pPr>
        <w:spacing w:line="360" w:lineRule="auto"/>
        <w:jc w:val="center"/>
        <w:rPr>
          <w:rFonts w:hint="eastAsia" w:ascii="宋体" w:hAnsi="宋体" w:eastAsia="宋体" w:cs="宋体"/>
          <w:b/>
          <w:color w:val="auto"/>
          <w:sz w:val="32"/>
          <w:szCs w:val="32"/>
          <w:highlight w:val="none"/>
        </w:rPr>
      </w:pPr>
    </w:p>
    <w:p w14:paraId="472BDD90">
      <w:pPr>
        <w:spacing w:line="360" w:lineRule="auto"/>
        <w:jc w:val="center"/>
        <w:rPr>
          <w:rFonts w:hint="eastAsia" w:ascii="宋体" w:hAnsi="宋体" w:eastAsia="宋体" w:cs="宋体"/>
          <w:b/>
          <w:color w:val="auto"/>
          <w:sz w:val="32"/>
          <w:szCs w:val="32"/>
          <w:highlight w:val="none"/>
        </w:rPr>
      </w:pPr>
    </w:p>
    <w:p w14:paraId="67B01DE6">
      <w:pPr>
        <w:spacing w:line="360" w:lineRule="auto"/>
        <w:jc w:val="center"/>
        <w:rPr>
          <w:rFonts w:hint="eastAsia" w:ascii="宋体" w:hAnsi="宋体" w:eastAsia="宋体" w:cs="宋体"/>
          <w:b/>
          <w:color w:val="auto"/>
          <w:sz w:val="32"/>
          <w:szCs w:val="32"/>
          <w:highlight w:val="none"/>
        </w:rPr>
      </w:pPr>
    </w:p>
    <w:p w14:paraId="3AB8D2FB">
      <w:pPr>
        <w:spacing w:line="360" w:lineRule="auto"/>
        <w:jc w:val="center"/>
        <w:rPr>
          <w:rFonts w:hint="eastAsia" w:ascii="宋体" w:hAnsi="宋体" w:eastAsia="宋体" w:cs="宋体"/>
          <w:b/>
          <w:color w:val="auto"/>
          <w:sz w:val="32"/>
          <w:szCs w:val="32"/>
          <w:highlight w:val="none"/>
        </w:rPr>
      </w:pPr>
    </w:p>
    <w:p w14:paraId="365C5EAB">
      <w:pPr>
        <w:spacing w:line="360" w:lineRule="auto"/>
        <w:rPr>
          <w:rFonts w:hint="eastAsia" w:ascii="宋体" w:hAnsi="宋体" w:eastAsia="宋体" w:cs="宋体"/>
          <w:b/>
          <w:color w:val="auto"/>
          <w:sz w:val="32"/>
          <w:szCs w:val="32"/>
          <w:highlight w:val="none"/>
        </w:rPr>
        <w:sectPr>
          <w:headerReference r:id="rId3" w:type="default"/>
          <w:pgSz w:w="11906" w:h="16838"/>
          <w:pgMar w:top="1440" w:right="1079" w:bottom="1440" w:left="1167" w:header="851" w:footer="992" w:gutter="0"/>
          <w:cols w:space="720" w:num="1"/>
          <w:titlePg/>
          <w:docGrid w:type="lines" w:linePitch="312" w:charSpace="0"/>
        </w:sectPr>
      </w:pPr>
    </w:p>
    <w:p w14:paraId="4CD7841C">
      <w:pPr>
        <w:pStyle w:val="3"/>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bookmarkStart w:id="0" w:name="_Toc25036"/>
      <w:r>
        <w:rPr>
          <w:rFonts w:hint="eastAsia" w:ascii="宋体" w:hAnsi="宋体" w:eastAsia="宋体" w:cs="宋体"/>
          <w:color w:val="auto"/>
          <w:highlight w:val="none"/>
        </w:rPr>
        <w:t>第一章 竞争性磋商公告</w:t>
      </w:r>
      <w:bookmarkEnd w:id="0"/>
    </w:p>
    <w:p w14:paraId="2B4DB2E1">
      <w:pPr>
        <w:pStyle w:val="2"/>
        <w:keepNext w:val="0"/>
        <w:spacing w:line="360" w:lineRule="auto"/>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广西亿隆项目管理有限公司</w:t>
      </w:r>
    </w:p>
    <w:p w14:paraId="35755AEC">
      <w:pPr>
        <w:pStyle w:val="2"/>
        <w:keepNext w:val="0"/>
        <w:spacing w:line="360" w:lineRule="auto"/>
        <w:jc w:val="center"/>
        <w:rPr>
          <w:rFonts w:hint="eastAsia" w:ascii="宋体" w:hAnsi="宋体" w:cs="宋体"/>
          <w:color w:val="auto"/>
          <w:sz w:val="28"/>
          <w:szCs w:val="28"/>
          <w:highlight w:val="none"/>
          <w:lang w:eastAsia="zh-CN"/>
        </w:rPr>
      </w:pPr>
      <w:bookmarkStart w:id="1" w:name="_Toc5962"/>
      <w:bookmarkStart w:id="2" w:name="_Toc15854"/>
      <w:bookmarkStart w:id="3" w:name="_Toc32735"/>
      <w:r>
        <w:rPr>
          <w:rFonts w:hint="eastAsia" w:ascii="宋体" w:hAnsi="宋体" w:eastAsia="宋体" w:cs="宋体"/>
          <w:color w:val="auto"/>
          <w:sz w:val="28"/>
          <w:szCs w:val="28"/>
          <w:highlight w:val="none"/>
          <w:lang w:eastAsia="zh-CN"/>
        </w:rPr>
        <w:t>关于</w:t>
      </w:r>
      <w:r>
        <w:rPr>
          <w:rFonts w:hint="eastAsia" w:ascii="宋体" w:hAnsi="宋体" w:cs="宋体"/>
          <w:color w:val="auto"/>
          <w:sz w:val="28"/>
          <w:szCs w:val="28"/>
          <w:highlight w:val="none"/>
          <w:lang w:eastAsia="zh-CN"/>
        </w:rPr>
        <w:t>宁明县2024年整县推进兽医社会化服务项目</w:t>
      </w:r>
    </w:p>
    <w:p w14:paraId="41E0189D">
      <w:pPr>
        <w:pStyle w:val="2"/>
        <w:keepNext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lang w:eastAsia="zh-CN"/>
        </w:rPr>
        <w:t>CZZC2024-C3-220275-GXYL</w:t>
      </w:r>
      <w:r>
        <w:rPr>
          <w:rFonts w:hint="eastAsia" w:ascii="宋体" w:hAnsi="宋体" w:eastAsia="宋体" w:cs="宋体"/>
          <w:color w:val="auto"/>
          <w:sz w:val="28"/>
          <w:szCs w:val="28"/>
          <w:highlight w:val="none"/>
        </w:rPr>
        <w:t>）竞争性磋商公告</w:t>
      </w:r>
      <w:bookmarkEnd w:id="1"/>
      <w:bookmarkEnd w:id="2"/>
      <w:bookmarkEnd w:id="3"/>
    </w:p>
    <w:p w14:paraId="5487D3A7">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6D1611A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single"/>
          <w:lang w:eastAsia="zh-CN"/>
        </w:rPr>
        <w:t>宁明县2024年整县推进兽医社会化服务项目</w:t>
      </w:r>
      <w:r>
        <w:rPr>
          <w:rFonts w:hint="eastAsia" w:ascii="宋体" w:hAnsi="宋体"/>
          <w:color w:val="auto"/>
          <w:szCs w:val="21"/>
          <w:highlight w:val="none"/>
        </w:rPr>
        <w:t>的潜在供应商</w:t>
      </w:r>
      <w:r>
        <w:rPr>
          <w:rFonts w:hint="eastAsia" w:ascii="宋体" w:hAnsi="宋体" w:cs="宋体"/>
          <w:color w:val="auto"/>
          <w:szCs w:val="21"/>
          <w:highlight w:val="none"/>
          <w:u w:val="single"/>
        </w:rPr>
        <w:t>登录</w:t>
      </w:r>
      <w:r>
        <w:rPr>
          <w:rFonts w:hint="eastAsia" w:ascii="宋体" w:hAnsi="宋体" w:cs="宋体"/>
          <w:color w:val="auto"/>
          <w:szCs w:val="21"/>
          <w:highlight w:val="none"/>
          <w:u w:val="single"/>
          <w:lang w:eastAsia="zh-CN"/>
        </w:rPr>
        <w:t>广西政府采购云平台线上</w:t>
      </w:r>
      <w:r>
        <w:rPr>
          <w:rFonts w:hint="eastAsia" w:ascii="宋体" w:hAnsi="宋体" w:cs="宋体"/>
          <w:color w:val="auto"/>
          <w:szCs w:val="21"/>
          <w:highlight w:val="none"/>
        </w:rPr>
        <w:t>获取采购文件，并于</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日9时</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0分</w:t>
      </w:r>
      <w:r>
        <w:rPr>
          <w:rFonts w:hint="eastAsia" w:ascii="宋体" w:hAnsi="宋体" w:cs="宋体"/>
          <w:bCs/>
          <w:color w:val="auto"/>
          <w:szCs w:val="21"/>
          <w:highlight w:val="none"/>
        </w:rPr>
        <w:t>（北京时间）前提交响应文件</w:t>
      </w:r>
      <w:r>
        <w:rPr>
          <w:rFonts w:hint="eastAsia" w:ascii="宋体" w:hAnsi="宋体" w:eastAsia="宋体" w:cs="宋体"/>
          <w:color w:val="auto"/>
          <w:szCs w:val="21"/>
          <w:highlight w:val="none"/>
        </w:rPr>
        <w:t>。</w:t>
      </w:r>
    </w:p>
    <w:p w14:paraId="0535D12E">
      <w:pPr>
        <w:spacing w:line="360" w:lineRule="auto"/>
        <w:rPr>
          <w:rFonts w:hint="eastAsia" w:ascii="宋体" w:hAnsi="宋体" w:eastAsia="宋体" w:cs="宋体"/>
          <w:b/>
          <w:bCs/>
          <w:color w:val="auto"/>
          <w:szCs w:val="21"/>
          <w:highlight w:val="none"/>
        </w:rPr>
      </w:pPr>
      <w:bookmarkStart w:id="4" w:name="_Toc28359079"/>
      <w:bookmarkStart w:id="5" w:name="_Toc35393790"/>
      <w:bookmarkStart w:id="6" w:name="_Toc35393621"/>
      <w:bookmarkStart w:id="7" w:name="_Toc28359002"/>
      <w:bookmarkStart w:id="8" w:name="_Hlk24379207"/>
      <w:r>
        <w:rPr>
          <w:rFonts w:hint="eastAsia" w:ascii="宋体" w:hAnsi="宋体" w:eastAsia="宋体" w:cs="宋体"/>
          <w:b/>
          <w:bCs/>
          <w:color w:val="auto"/>
          <w:szCs w:val="21"/>
          <w:highlight w:val="none"/>
        </w:rPr>
        <w:t>一、项目基本情况</w:t>
      </w:r>
      <w:bookmarkEnd w:id="4"/>
      <w:bookmarkEnd w:id="5"/>
      <w:bookmarkEnd w:id="6"/>
      <w:bookmarkEnd w:id="7"/>
      <w:r>
        <w:rPr>
          <w:rFonts w:hint="eastAsia" w:ascii="宋体" w:hAnsi="宋体" w:eastAsia="宋体" w:cs="宋体"/>
          <w:b/>
          <w:bCs/>
          <w:color w:val="auto"/>
          <w:szCs w:val="21"/>
          <w:highlight w:val="none"/>
        </w:rPr>
        <w:t>：</w:t>
      </w:r>
    </w:p>
    <w:p w14:paraId="24BD7D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CZZC2024-C3-220275-GXYL</w:t>
      </w:r>
      <w:r>
        <w:rPr>
          <w:rFonts w:hint="eastAsia" w:ascii="宋体" w:hAnsi="宋体" w:cs="宋体"/>
          <w:color w:val="auto"/>
          <w:szCs w:val="21"/>
          <w:highlight w:val="none"/>
        </w:rPr>
        <w:t>。</w:t>
      </w:r>
    </w:p>
    <w:p w14:paraId="70A6503D">
      <w:pPr>
        <w:pStyle w:val="8"/>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宁明县2024年整县推进兽医社会化服务项目</w:t>
      </w:r>
      <w:r>
        <w:rPr>
          <w:rFonts w:hint="eastAsia" w:ascii="宋体" w:hAnsi="宋体" w:cs="宋体"/>
          <w:color w:val="auto"/>
          <w:szCs w:val="21"/>
          <w:highlight w:val="none"/>
        </w:rPr>
        <w:t>。</w:t>
      </w:r>
    </w:p>
    <w:p w14:paraId="5717CE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3.采购方式：竞争性</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w:t>
      </w:r>
    </w:p>
    <w:p w14:paraId="27D98577">
      <w:pPr>
        <w:spacing w:line="360" w:lineRule="auto"/>
        <w:ind w:firstLine="420" w:firstLineChars="200"/>
        <w:rPr>
          <w:rFonts w:hint="eastAsia" w:ascii="宋体" w:hAnsi="宋体" w:cs="宋体"/>
          <w:color w:val="auto"/>
          <w:highlight w:val="none"/>
          <w:lang w:eastAsia="zh-CN"/>
        </w:rPr>
      </w:pPr>
      <w:r>
        <w:rPr>
          <w:rFonts w:hint="eastAsia" w:ascii="宋体" w:hAnsi="宋体" w:cs="宋体"/>
          <w:color w:val="auto"/>
          <w:szCs w:val="21"/>
          <w:highlight w:val="none"/>
        </w:rPr>
        <w:t>4.采购预算金额</w:t>
      </w:r>
      <w:r>
        <w:rPr>
          <w:rFonts w:hint="eastAsia" w:ascii="宋体" w:hAnsi="宋体" w:cs="宋体"/>
          <w:color w:val="auto"/>
          <w:highlight w:val="none"/>
          <w:lang w:eastAsia="zh-CN"/>
        </w:rPr>
        <w:t>：人民币壹佰万元整（¥</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0</w:t>
      </w:r>
      <w:r>
        <w:rPr>
          <w:rFonts w:hint="eastAsia" w:ascii="宋体" w:hAnsi="宋体" w:cs="宋体"/>
          <w:color w:val="auto"/>
          <w:highlight w:val="none"/>
          <w:lang w:val="en-US" w:eastAsia="zh-CN"/>
        </w:rPr>
        <w:t>0</w:t>
      </w:r>
      <w:r>
        <w:rPr>
          <w:rFonts w:hint="eastAsia" w:ascii="宋体" w:hAnsi="宋体" w:cs="宋体"/>
          <w:color w:val="auto"/>
          <w:highlight w:val="none"/>
          <w:lang w:eastAsia="zh-CN"/>
        </w:rPr>
        <w:t>0000.00）</w:t>
      </w:r>
    </w:p>
    <w:p w14:paraId="66B84B3C">
      <w:pPr>
        <w:spacing w:line="360"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5.最高限价：人民币壹佰万元整（¥</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0</w:t>
      </w:r>
      <w:r>
        <w:rPr>
          <w:rFonts w:hint="eastAsia" w:ascii="宋体" w:hAnsi="宋体" w:cs="宋体"/>
          <w:color w:val="auto"/>
          <w:highlight w:val="none"/>
          <w:lang w:val="en-US" w:eastAsia="zh-CN"/>
        </w:rPr>
        <w:t>0</w:t>
      </w:r>
      <w:r>
        <w:rPr>
          <w:rFonts w:hint="eastAsia" w:ascii="宋体" w:hAnsi="宋体" w:cs="宋体"/>
          <w:color w:val="auto"/>
          <w:highlight w:val="none"/>
          <w:lang w:eastAsia="zh-CN"/>
        </w:rPr>
        <w:t>0000.00）。</w:t>
      </w:r>
    </w:p>
    <w:p w14:paraId="289F06D2">
      <w:pPr>
        <w:spacing w:line="360"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6.采购需求：全县动物防疫队伍能力提升、整县推进重大动物疫病强制免疫服务、养殖信息采集服务 、开展营利性服务等</w:t>
      </w:r>
      <w:r>
        <w:rPr>
          <w:rFonts w:hint="eastAsia" w:ascii="宋体" w:hAnsi="宋体" w:cs="宋体"/>
          <w:color w:val="auto"/>
          <w:highlight w:val="none"/>
          <w:lang w:val="en-US" w:eastAsia="zh-CN"/>
        </w:rPr>
        <w:t>；具体要求</w:t>
      </w:r>
      <w:r>
        <w:rPr>
          <w:rFonts w:hint="eastAsia" w:ascii="宋体" w:hAnsi="宋体" w:cs="宋体"/>
          <w:color w:val="auto"/>
          <w:highlight w:val="none"/>
          <w:lang w:eastAsia="zh-CN"/>
        </w:rPr>
        <w:t xml:space="preserve">详见采购文件。 </w:t>
      </w:r>
    </w:p>
    <w:p w14:paraId="4824FBC2">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szCs w:val="21"/>
          <w:highlight w:val="none"/>
        </w:rPr>
        <w:t>7.合同履行期限：自合同签订之日起12个月</w:t>
      </w:r>
      <w:r>
        <w:rPr>
          <w:rFonts w:hint="eastAsia" w:ascii="宋体" w:hAnsi="宋体" w:cs="宋体"/>
          <w:color w:val="auto"/>
          <w:highlight w:val="none"/>
          <w:lang w:val="en-US" w:eastAsia="zh-CN"/>
        </w:rPr>
        <w:t>完成本项目需求中明确的各项服务内容并通过验收。</w:t>
      </w:r>
    </w:p>
    <w:p w14:paraId="513A4E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8.本项目不接受联合体。</w:t>
      </w:r>
    </w:p>
    <w:bookmarkEnd w:id="8"/>
    <w:p w14:paraId="31CCD321">
      <w:pPr>
        <w:spacing w:line="360" w:lineRule="auto"/>
        <w:rPr>
          <w:rFonts w:hint="eastAsia" w:ascii="宋体" w:hAnsi="宋体" w:eastAsia="宋体" w:cs="宋体"/>
          <w:b/>
          <w:bCs/>
          <w:color w:val="auto"/>
          <w:szCs w:val="21"/>
          <w:highlight w:val="none"/>
        </w:rPr>
      </w:pPr>
      <w:bookmarkStart w:id="9" w:name="_Toc28359003"/>
      <w:bookmarkStart w:id="10" w:name="_Toc35393622"/>
      <w:bookmarkStart w:id="11" w:name="_Toc35393791"/>
      <w:bookmarkStart w:id="12" w:name="_Toc28359080"/>
      <w:r>
        <w:rPr>
          <w:rFonts w:hint="eastAsia" w:ascii="宋体" w:hAnsi="宋体" w:eastAsia="宋体" w:cs="宋体"/>
          <w:b/>
          <w:bCs/>
          <w:color w:val="auto"/>
          <w:szCs w:val="21"/>
          <w:highlight w:val="none"/>
        </w:rPr>
        <w:t>二、申请人的资格要求：</w:t>
      </w:r>
      <w:bookmarkEnd w:id="9"/>
      <w:bookmarkEnd w:id="10"/>
      <w:bookmarkEnd w:id="11"/>
      <w:bookmarkEnd w:id="12"/>
    </w:p>
    <w:p w14:paraId="0A041D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744F639D">
      <w:pPr>
        <w:spacing w:line="360" w:lineRule="auto"/>
        <w:ind w:firstLine="420" w:firstLineChars="200"/>
        <w:rPr>
          <w:rFonts w:hint="eastAsia" w:ascii="宋体" w:hAnsi="宋体" w:eastAsia="宋体" w:cs="宋体"/>
          <w:color w:val="auto"/>
          <w:szCs w:val="21"/>
          <w:highlight w:val="none"/>
        </w:rPr>
      </w:pPr>
      <w:bookmarkStart w:id="13" w:name="_Toc28359004"/>
      <w:bookmarkStart w:id="14" w:name="_Toc28359081"/>
      <w:r>
        <w:rPr>
          <w:rFonts w:hint="eastAsia" w:ascii="宋体" w:hAnsi="宋体" w:eastAsia="宋体" w:cs="宋体"/>
          <w:color w:val="auto"/>
          <w:szCs w:val="21"/>
          <w:highlight w:val="none"/>
        </w:rPr>
        <w:t>2.落实政府采购政策需满足的资格要求：</w:t>
      </w:r>
      <w:r>
        <w:rPr>
          <w:rFonts w:hint="eastAsia"/>
          <w:color w:val="auto"/>
          <w:sz w:val="21"/>
          <w:szCs w:val="21"/>
          <w:highlight w:val="none"/>
          <w:lang w:eastAsia="zh-CN"/>
        </w:rPr>
        <w:t>本项目专门面向中小企业采购，预留份额100%</w:t>
      </w:r>
      <w:r>
        <w:rPr>
          <w:rFonts w:hint="eastAsia"/>
          <w:color w:val="auto"/>
          <w:sz w:val="21"/>
          <w:szCs w:val="21"/>
          <w:highlight w:val="none"/>
        </w:rPr>
        <w:t>。</w:t>
      </w:r>
    </w:p>
    <w:p w14:paraId="4BA6ED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bookmarkStart w:id="15" w:name="_Toc35393623"/>
      <w:bookmarkStart w:id="16" w:name="_Toc35393792"/>
      <w:r>
        <w:rPr>
          <w:rFonts w:hint="eastAsia" w:ascii="宋体" w:hAnsi="宋体" w:cs="宋体"/>
          <w:color w:val="auto"/>
          <w:szCs w:val="21"/>
          <w:highlight w:val="none"/>
          <w:lang w:eastAsia="zh-CN"/>
        </w:rPr>
        <w:t>无</w:t>
      </w:r>
      <w:r>
        <w:rPr>
          <w:rFonts w:hint="eastAsia" w:ascii="宋体" w:hAnsi="宋体" w:eastAsia="宋体" w:cs="宋体"/>
          <w:color w:val="auto"/>
          <w:szCs w:val="21"/>
          <w:highlight w:val="none"/>
        </w:rPr>
        <w:t>。</w:t>
      </w:r>
    </w:p>
    <w:p w14:paraId="4177058E">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三、</w:t>
      </w:r>
      <w:bookmarkEnd w:id="13"/>
      <w:bookmarkEnd w:id="14"/>
      <w:bookmarkEnd w:id="15"/>
      <w:bookmarkEnd w:id="16"/>
      <w:r>
        <w:rPr>
          <w:rFonts w:hint="eastAsia" w:ascii="宋体" w:hAnsi="宋体" w:eastAsia="宋体" w:cs="宋体"/>
          <w:b/>
          <w:bCs/>
          <w:color w:val="auto"/>
          <w:highlight w:val="none"/>
        </w:rPr>
        <w:t>获取竞争性磋商文件：</w:t>
      </w:r>
    </w:p>
    <w:p w14:paraId="4ED95163">
      <w:pPr>
        <w:pageBreakBefore w:val="0"/>
        <w:kinsoku/>
        <w:wordWrap/>
        <w:overflowPunct/>
        <w:topLinePunct w:val="0"/>
        <w:autoSpaceDE/>
        <w:autoSpaceDN/>
        <w:bidi w:val="0"/>
        <w:adjustRightInd/>
        <w:snapToGrid/>
        <w:spacing w:line="336" w:lineRule="auto"/>
        <w:ind w:firstLine="420" w:firstLineChars="200"/>
        <w:textAlignment w:val="auto"/>
        <w:rPr>
          <w:rFonts w:hint="eastAsia" w:eastAsia="宋体"/>
          <w:color w:val="auto"/>
          <w:highlight w:val="none"/>
          <w:lang w:val="en-US" w:eastAsia="zh-CN"/>
        </w:rPr>
      </w:pPr>
      <w:bookmarkStart w:id="17" w:name="_Toc28359092"/>
      <w:bookmarkStart w:id="18" w:name="_Toc35393801"/>
      <w:bookmarkStart w:id="19" w:name="_Toc35393632"/>
      <w:bookmarkStart w:id="20" w:name="_Toc28359015"/>
      <w:bookmarkStart w:id="21" w:name="_Toc28359082"/>
      <w:bookmarkStart w:id="22" w:name="_Toc35393624"/>
      <w:bookmarkStart w:id="23" w:name="_Toc35393793"/>
      <w:bookmarkStart w:id="24" w:name="_Toc28359005"/>
      <w:r>
        <w:rPr>
          <w:rFonts w:hint="eastAsia" w:ascii="宋体" w:hAnsi="宋体" w:cs="宋体"/>
          <w:color w:val="auto"/>
          <w:szCs w:val="21"/>
          <w:highlight w:val="none"/>
        </w:rPr>
        <w:t>1.时间：</w:t>
      </w:r>
      <w:r>
        <w:rPr>
          <w:rFonts w:hint="eastAsia" w:eastAsia="宋体"/>
          <w:color w:val="auto"/>
          <w:highlight w:val="none"/>
          <w:lang w:val="en-US" w:eastAsia="zh-CN"/>
        </w:rPr>
        <w:t>202</w:t>
      </w:r>
      <w:r>
        <w:rPr>
          <w:rFonts w:hint="eastAsia"/>
          <w:color w:val="auto"/>
          <w:highlight w:val="none"/>
          <w:lang w:val="en-US" w:eastAsia="zh-CN"/>
        </w:rPr>
        <w:t>4</w:t>
      </w:r>
      <w:r>
        <w:rPr>
          <w:rFonts w:hint="eastAsia" w:eastAsia="宋体"/>
          <w:color w:val="auto"/>
          <w:highlight w:val="none"/>
          <w:lang w:val="en-US" w:eastAsia="zh-CN"/>
        </w:rPr>
        <w:t>年</w:t>
      </w:r>
      <w:r>
        <w:rPr>
          <w:rFonts w:hint="eastAsia"/>
          <w:color w:val="auto"/>
          <w:highlight w:val="none"/>
          <w:lang w:val="en-US" w:eastAsia="zh-CN"/>
        </w:rPr>
        <w:t>8</w:t>
      </w:r>
      <w:r>
        <w:rPr>
          <w:rFonts w:hint="eastAsia" w:eastAsia="宋体"/>
          <w:color w:val="auto"/>
          <w:highlight w:val="none"/>
          <w:lang w:val="en-US" w:eastAsia="zh-CN"/>
        </w:rPr>
        <w:t>月</w:t>
      </w:r>
      <w:r>
        <w:rPr>
          <w:rFonts w:hint="eastAsia"/>
          <w:color w:val="auto"/>
          <w:highlight w:val="none"/>
          <w:lang w:val="en-US" w:eastAsia="zh-CN"/>
        </w:rPr>
        <w:t>30</w:t>
      </w:r>
      <w:r>
        <w:rPr>
          <w:rFonts w:hint="eastAsia" w:eastAsia="宋体"/>
          <w:color w:val="auto"/>
          <w:highlight w:val="none"/>
          <w:lang w:val="en-US" w:eastAsia="zh-CN"/>
        </w:rPr>
        <w:t>日至202</w:t>
      </w:r>
      <w:r>
        <w:rPr>
          <w:rFonts w:hint="eastAsia"/>
          <w:color w:val="auto"/>
          <w:highlight w:val="none"/>
          <w:lang w:val="en-US" w:eastAsia="zh-CN"/>
        </w:rPr>
        <w:t>4</w:t>
      </w:r>
      <w:r>
        <w:rPr>
          <w:rFonts w:hint="eastAsia" w:eastAsia="宋体"/>
          <w:color w:val="auto"/>
          <w:highlight w:val="none"/>
          <w:lang w:val="en-US" w:eastAsia="zh-CN"/>
        </w:rPr>
        <w:t>年</w:t>
      </w:r>
      <w:r>
        <w:rPr>
          <w:rFonts w:hint="eastAsia"/>
          <w:color w:val="auto"/>
          <w:highlight w:val="none"/>
          <w:lang w:val="en-US" w:eastAsia="zh-CN"/>
        </w:rPr>
        <w:t>9</w:t>
      </w:r>
      <w:r>
        <w:rPr>
          <w:rFonts w:hint="eastAsia" w:eastAsia="宋体"/>
          <w:color w:val="auto"/>
          <w:highlight w:val="none"/>
          <w:lang w:val="en-US" w:eastAsia="zh-CN"/>
        </w:rPr>
        <w:t>月</w:t>
      </w:r>
      <w:r>
        <w:rPr>
          <w:rFonts w:hint="eastAsia"/>
          <w:color w:val="auto"/>
          <w:highlight w:val="none"/>
          <w:lang w:val="en-US" w:eastAsia="zh-CN"/>
        </w:rPr>
        <w:t>6</w:t>
      </w:r>
      <w:r>
        <w:rPr>
          <w:rFonts w:hint="eastAsia" w:eastAsia="宋体"/>
          <w:color w:val="auto"/>
          <w:highlight w:val="none"/>
          <w:lang w:val="en-US" w:eastAsia="zh-CN"/>
        </w:rPr>
        <w:t>日。</w:t>
      </w:r>
    </w:p>
    <w:p w14:paraId="2D041FEA">
      <w:pPr>
        <w:pageBreakBefore w:val="0"/>
        <w:widowControl w:val="0"/>
        <w:kinsoku/>
        <w:wordWrap/>
        <w:overflowPunct/>
        <w:topLinePunct w:val="0"/>
        <w:autoSpaceDE/>
        <w:autoSpaceDN/>
        <w:bidi w:val="0"/>
        <w:snapToGrid/>
        <w:spacing w:line="327" w:lineRule="auto"/>
        <w:ind w:firstLine="420" w:firstLineChars="200"/>
        <w:rPr>
          <w:rFonts w:hint="default" w:eastAsia="宋体"/>
          <w:color w:val="auto"/>
          <w:highlight w:val="none"/>
          <w:lang w:val="en-US" w:eastAsia="zh-CN"/>
        </w:rPr>
      </w:pPr>
      <w:r>
        <w:rPr>
          <w:rFonts w:hint="eastAsia"/>
          <w:color w:val="auto"/>
          <w:highlight w:val="none"/>
          <w:lang w:val="en-US" w:eastAsia="zh-CN"/>
        </w:rPr>
        <w:t>2.</w:t>
      </w:r>
      <w:r>
        <w:rPr>
          <w:rFonts w:hint="default" w:eastAsia="宋体"/>
          <w:color w:val="auto"/>
          <w:highlight w:val="none"/>
          <w:lang w:val="en-US" w:eastAsia="zh-CN"/>
        </w:rPr>
        <w:t>地点：</w:t>
      </w:r>
      <w:r>
        <w:rPr>
          <w:rFonts w:hint="eastAsia"/>
          <w:color w:val="auto"/>
          <w:sz w:val="21"/>
          <w:szCs w:val="21"/>
          <w:highlight w:val="none"/>
          <w:lang w:val="en-US" w:eastAsia="zh-CN"/>
        </w:rPr>
        <w:t>广西政府采购云平台线上</w:t>
      </w:r>
      <w:r>
        <w:rPr>
          <w:rFonts w:hint="default" w:eastAsia="宋体"/>
          <w:color w:val="auto"/>
          <w:sz w:val="21"/>
          <w:szCs w:val="21"/>
          <w:highlight w:val="none"/>
          <w:lang w:val="en-US" w:eastAsia="zh-CN"/>
        </w:rPr>
        <w:t>。</w:t>
      </w:r>
    </w:p>
    <w:p w14:paraId="09CB99F1">
      <w:pPr>
        <w:pageBreakBefore w:val="0"/>
        <w:widowControl w:val="0"/>
        <w:kinsoku/>
        <w:wordWrap/>
        <w:overflowPunct/>
        <w:topLinePunct w:val="0"/>
        <w:autoSpaceDE/>
        <w:autoSpaceDN/>
        <w:bidi w:val="0"/>
        <w:snapToGrid/>
        <w:spacing w:line="360" w:lineRule="auto"/>
        <w:ind w:firstLine="420" w:firstLineChars="200"/>
        <w:rPr>
          <w:rFonts w:hint="eastAsia"/>
          <w:color w:val="auto"/>
          <w:szCs w:val="21"/>
          <w:highlight w:val="none"/>
        </w:rPr>
      </w:pPr>
      <w:r>
        <w:rPr>
          <w:rFonts w:hint="eastAsia"/>
          <w:color w:val="auto"/>
          <w:highlight w:val="none"/>
          <w:lang w:val="en-US" w:eastAsia="zh-CN"/>
        </w:rPr>
        <w:t>3.</w:t>
      </w:r>
      <w:r>
        <w:rPr>
          <w:rFonts w:hint="default" w:eastAsia="宋体"/>
          <w:color w:val="auto"/>
          <w:highlight w:val="none"/>
          <w:lang w:val="en-US" w:eastAsia="zh-CN"/>
        </w:rPr>
        <w:t>方式：</w:t>
      </w:r>
      <w:r>
        <w:rPr>
          <w:rFonts w:hint="eastAsia" w:ascii="宋体" w:hAnsi="宋体" w:eastAsia="宋体" w:cs="宋体"/>
          <w:color w:val="auto"/>
          <w:sz w:val="21"/>
          <w:szCs w:val="21"/>
          <w:highlight w:val="none"/>
        </w:rPr>
        <w:t>供应商登录</w:t>
      </w:r>
      <w:r>
        <w:rPr>
          <w:rFonts w:hint="eastAsia"/>
          <w:color w:val="auto"/>
          <w:sz w:val="21"/>
          <w:szCs w:val="21"/>
          <w:highlight w:val="none"/>
          <w:lang w:val="en-US" w:eastAsia="zh-CN"/>
        </w:rPr>
        <w:t>广西政府采购云平台</w:t>
      </w:r>
      <w:r>
        <w:rPr>
          <w:rFonts w:hint="eastAsia" w:ascii="宋体" w:hAnsi="宋体" w:eastAsia="宋体" w:cs="宋体"/>
          <w:color w:val="auto"/>
          <w:sz w:val="21"/>
          <w:szCs w:val="21"/>
          <w:highlight w:val="none"/>
        </w:rPr>
        <w:t>在线申请获取采购文件（进入“项目采购”应用，在获取采购文件菜单中选择项目，申请获取采购文件</w:t>
      </w:r>
      <w:r>
        <w:rPr>
          <w:rFonts w:hint="eastAsia"/>
          <w:color w:val="auto"/>
          <w:szCs w:val="21"/>
          <w:highlight w:val="none"/>
        </w:rPr>
        <w:t>。</w:t>
      </w:r>
    </w:p>
    <w:p w14:paraId="5939A85F">
      <w:pPr>
        <w:pageBreakBefore w:val="0"/>
        <w:widowControl w:val="0"/>
        <w:kinsoku/>
        <w:wordWrap/>
        <w:overflowPunct/>
        <w:topLinePunct w:val="0"/>
        <w:autoSpaceDE/>
        <w:autoSpaceDN/>
        <w:bidi w:val="0"/>
        <w:snapToGrid/>
        <w:spacing w:line="360" w:lineRule="auto"/>
        <w:ind w:firstLine="420" w:firstLineChars="200"/>
        <w:rPr>
          <w:rFonts w:hint="eastAsia"/>
          <w:color w:val="auto"/>
          <w:szCs w:val="21"/>
          <w:highlight w:val="none"/>
        </w:rPr>
      </w:pPr>
    </w:p>
    <w:p w14:paraId="2190268A">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四、响应文件提交</w:t>
      </w:r>
      <w:bookmarkEnd w:id="17"/>
      <w:bookmarkEnd w:id="18"/>
      <w:bookmarkEnd w:id="19"/>
      <w:bookmarkEnd w:id="20"/>
    </w:p>
    <w:p w14:paraId="7F6F36EB">
      <w:pPr>
        <w:pStyle w:val="3"/>
        <w:pageBreakBefore w:val="0"/>
        <w:kinsoku/>
        <w:wordWrap/>
        <w:overflowPunct/>
        <w:topLinePunct w:val="0"/>
        <w:autoSpaceDE/>
        <w:autoSpaceDN/>
        <w:bidi w:val="0"/>
        <w:adjustRightInd/>
        <w:snapToGrid/>
        <w:spacing w:before="0" w:after="0" w:line="336"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截止时间：202</w:t>
      </w:r>
      <w:r>
        <w:rPr>
          <w:rFonts w:hint="eastAsia" w:ascii="宋体" w:hAnsi="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年</w:t>
      </w:r>
      <w:r>
        <w:rPr>
          <w:rFonts w:hint="eastAsia" w:ascii="宋体" w:hAnsi="宋体" w:cs="宋体"/>
          <w:b w:val="0"/>
          <w:bCs w:val="0"/>
          <w:color w:val="auto"/>
          <w:kern w:val="2"/>
          <w:sz w:val="21"/>
          <w:szCs w:val="21"/>
          <w:highlight w:val="none"/>
          <w:lang w:val="en-US" w:eastAsia="zh-CN" w:bidi="ar-SA"/>
        </w:rPr>
        <w:t>9</w:t>
      </w:r>
      <w:r>
        <w:rPr>
          <w:rFonts w:hint="eastAsia" w:ascii="宋体" w:hAnsi="宋体" w:eastAsia="宋体" w:cs="宋体"/>
          <w:b w:val="0"/>
          <w:bCs w:val="0"/>
          <w:color w:val="auto"/>
          <w:kern w:val="2"/>
          <w:sz w:val="21"/>
          <w:szCs w:val="21"/>
          <w:highlight w:val="none"/>
          <w:lang w:val="en-US" w:eastAsia="zh-CN" w:bidi="ar-SA"/>
        </w:rPr>
        <w:t>月</w:t>
      </w:r>
      <w:r>
        <w:rPr>
          <w:rFonts w:hint="eastAsia" w:ascii="宋体" w:hAnsi="宋体" w:cs="宋体"/>
          <w:b w:val="0"/>
          <w:bCs w:val="0"/>
          <w:color w:val="auto"/>
          <w:kern w:val="2"/>
          <w:sz w:val="21"/>
          <w:szCs w:val="21"/>
          <w:highlight w:val="none"/>
          <w:lang w:val="en-US" w:eastAsia="zh-CN" w:bidi="ar-SA"/>
        </w:rPr>
        <w:t>12</w:t>
      </w:r>
      <w:r>
        <w:rPr>
          <w:rFonts w:hint="eastAsia" w:ascii="宋体" w:hAnsi="宋体" w:eastAsia="宋体" w:cs="宋体"/>
          <w:b w:val="0"/>
          <w:bCs w:val="0"/>
          <w:color w:val="auto"/>
          <w:kern w:val="2"/>
          <w:sz w:val="21"/>
          <w:szCs w:val="21"/>
          <w:highlight w:val="none"/>
          <w:lang w:val="en-US" w:eastAsia="zh-CN" w:bidi="ar-SA"/>
        </w:rPr>
        <w:t>日9时</w:t>
      </w:r>
      <w:r>
        <w:rPr>
          <w:rFonts w:hint="eastAsia" w:ascii="宋体" w:hAnsi="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0分（北京时间）前</w:t>
      </w:r>
    </w:p>
    <w:p w14:paraId="1CA53193">
      <w:pPr>
        <w:pStyle w:val="3"/>
        <w:pageBreakBefore w:val="0"/>
        <w:kinsoku/>
        <w:wordWrap/>
        <w:overflowPunct/>
        <w:topLinePunct w:val="0"/>
        <w:autoSpaceDE/>
        <w:autoSpaceDN/>
        <w:bidi w:val="0"/>
        <w:adjustRightInd/>
        <w:snapToGrid/>
        <w:spacing w:before="0" w:after="0" w:line="336"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地址（网址）：通请登录</w:t>
      </w:r>
      <w:r>
        <w:rPr>
          <w:rFonts w:hint="eastAsia" w:ascii="宋体" w:hAnsi="宋体" w:cs="宋体"/>
          <w:b w:val="0"/>
          <w:bCs w:val="0"/>
          <w:color w:val="auto"/>
          <w:kern w:val="2"/>
          <w:sz w:val="21"/>
          <w:szCs w:val="21"/>
          <w:highlight w:val="none"/>
          <w:lang w:val="en-US" w:eastAsia="zh-CN" w:bidi="ar-SA"/>
        </w:rPr>
        <w:t>广西政府采购云平台</w:t>
      </w:r>
      <w:r>
        <w:rPr>
          <w:rFonts w:hint="eastAsia" w:ascii="宋体" w:hAnsi="宋体" w:eastAsia="宋体" w:cs="宋体"/>
          <w:b w:val="0"/>
          <w:bCs w:val="0"/>
          <w:color w:val="auto"/>
          <w:kern w:val="2"/>
          <w:sz w:val="21"/>
          <w:szCs w:val="21"/>
          <w:highlight w:val="none"/>
          <w:lang w:val="en-US" w:eastAsia="zh-CN" w:bidi="ar-SA"/>
        </w:rPr>
        <w:t xml:space="preserve">投标客户端投标。 </w:t>
      </w:r>
    </w:p>
    <w:p w14:paraId="269BEC15">
      <w:pPr>
        <w:spacing w:line="360" w:lineRule="auto"/>
        <w:rPr>
          <w:rFonts w:hint="eastAsia" w:ascii="宋体" w:hAnsi="宋体" w:eastAsia="宋体" w:cs="宋体"/>
          <w:b/>
          <w:bCs/>
          <w:color w:val="auto"/>
          <w:highlight w:val="none"/>
        </w:rPr>
      </w:pPr>
      <w:bookmarkStart w:id="25" w:name="_Toc28359016"/>
      <w:bookmarkStart w:id="26" w:name="_Toc28359093"/>
      <w:bookmarkStart w:id="27" w:name="_Toc35393802"/>
      <w:bookmarkStart w:id="28" w:name="_Toc35393633"/>
      <w:r>
        <w:rPr>
          <w:rFonts w:hint="eastAsia" w:ascii="宋体" w:hAnsi="宋体" w:eastAsia="宋体" w:cs="宋体"/>
          <w:b/>
          <w:bCs/>
          <w:color w:val="auto"/>
          <w:highlight w:val="none"/>
        </w:rPr>
        <w:t>五、开启</w:t>
      </w:r>
      <w:bookmarkEnd w:id="25"/>
      <w:bookmarkEnd w:id="26"/>
      <w:bookmarkEnd w:id="27"/>
      <w:bookmarkEnd w:id="28"/>
    </w:p>
    <w:p w14:paraId="352B3BBE">
      <w:pPr>
        <w:pStyle w:val="3"/>
        <w:pageBreakBefore w:val="0"/>
        <w:kinsoku/>
        <w:wordWrap/>
        <w:overflowPunct/>
        <w:topLinePunct w:val="0"/>
        <w:autoSpaceDE/>
        <w:autoSpaceDN/>
        <w:bidi w:val="0"/>
        <w:adjustRightInd/>
        <w:snapToGrid/>
        <w:spacing w:before="0" w:after="0" w:line="336"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bookmarkStart w:id="29" w:name="_Toc19461"/>
      <w:bookmarkStart w:id="30" w:name="_Toc8644"/>
      <w:bookmarkStart w:id="31" w:name="_Toc8424"/>
      <w:r>
        <w:rPr>
          <w:rFonts w:hint="eastAsia" w:ascii="宋体" w:hAnsi="宋体" w:cs="宋体"/>
          <w:b w:val="0"/>
          <w:bCs w:val="0"/>
          <w:color w:val="auto"/>
          <w:sz w:val="21"/>
          <w:szCs w:val="21"/>
          <w:highlight w:val="none"/>
        </w:rPr>
        <w:t>时间</w:t>
      </w:r>
      <w:r>
        <w:rPr>
          <w:rFonts w:hint="eastAsia" w:ascii="宋体" w:hAnsi="宋体" w:eastAsia="宋体" w:cs="宋体"/>
          <w:b w:val="0"/>
          <w:bCs w:val="0"/>
          <w:color w:val="auto"/>
          <w:kern w:val="2"/>
          <w:sz w:val="21"/>
          <w:szCs w:val="24"/>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202</w:t>
      </w:r>
      <w:r>
        <w:rPr>
          <w:rFonts w:hint="eastAsia" w:ascii="宋体" w:hAnsi="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年</w:t>
      </w:r>
      <w:r>
        <w:rPr>
          <w:rFonts w:hint="eastAsia" w:ascii="宋体" w:hAnsi="宋体" w:cs="宋体"/>
          <w:b w:val="0"/>
          <w:bCs w:val="0"/>
          <w:color w:val="auto"/>
          <w:kern w:val="2"/>
          <w:sz w:val="21"/>
          <w:szCs w:val="21"/>
          <w:highlight w:val="none"/>
          <w:lang w:val="en-US" w:eastAsia="zh-CN" w:bidi="ar-SA"/>
        </w:rPr>
        <w:t>9</w:t>
      </w:r>
      <w:r>
        <w:rPr>
          <w:rFonts w:hint="eastAsia" w:ascii="宋体" w:hAnsi="宋体" w:eastAsia="宋体" w:cs="宋体"/>
          <w:b w:val="0"/>
          <w:bCs w:val="0"/>
          <w:color w:val="auto"/>
          <w:kern w:val="2"/>
          <w:sz w:val="21"/>
          <w:szCs w:val="21"/>
          <w:highlight w:val="none"/>
          <w:lang w:val="en-US" w:eastAsia="zh-CN" w:bidi="ar-SA"/>
        </w:rPr>
        <w:t>月</w:t>
      </w:r>
      <w:r>
        <w:rPr>
          <w:rFonts w:hint="eastAsia" w:ascii="宋体" w:hAnsi="宋体" w:cs="宋体"/>
          <w:b w:val="0"/>
          <w:bCs w:val="0"/>
          <w:color w:val="auto"/>
          <w:kern w:val="2"/>
          <w:sz w:val="21"/>
          <w:szCs w:val="21"/>
          <w:highlight w:val="none"/>
          <w:lang w:val="en-US" w:eastAsia="zh-CN" w:bidi="ar-SA"/>
        </w:rPr>
        <w:t>12</w:t>
      </w:r>
      <w:r>
        <w:rPr>
          <w:rFonts w:hint="eastAsia" w:ascii="宋体" w:hAnsi="宋体" w:eastAsia="宋体" w:cs="宋体"/>
          <w:b w:val="0"/>
          <w:bCs w:val="0"/>
          <w:color w:val="auto"/>
          <w:kern w:val="2"/>
          <w:sz w:val="21"/>
          <w:szCs w:val="21"/>
          <w:highlight w:val="none"/>
          <w:lang w:val="en-US" w:eastAsia="zh-CN" w:bidi="ar-SA"/>
        </w:rPr>
        <w:t>日9时</w:t>
      </w:r>
      <w:r>
        <w:rPr>
          <w:rFonts w:hint="eastAsia" w:ascii="宋体" w:hAnsi="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0分（北京时间）后</w:t>
      </w:r>
      <w:bookmarkEnd w:id="29"/>
    </w:p>
    <w:p w14:paraId="4119BF0C">
      <w:pPr>
        <w:pStyle w:val="3"/>
        <w:pageBreakBefore w:val="0"/>
        <w:kinsoku/>
        <w:wordWrap/>
        <w:overflowPunct/>
        <w:topLinePunct w:val="0"/>
        <w:autoSpaceDE/>
        <w:autoSpaceDN/>
        <w:bidi w:val="0"/>
        <w:adjustRightInd/>
        <w:snapToGrid/>
        <w:spacing w:before="0" w:after="0" w:line="336" w:lineRule="auto"/>
        <w:ind w:firstLine="420" w:firstLineChars="200"/>
        <w:textAlignment w:val="auto"/>
        <w:rPr>
          <w:rFonts w:hint="eastAsia" w:ascii="宋体" w:hAnsi="宋体" w:eastAsia="宋体" w:cs="宋体"/>
          <w:b w:val="0"/>
          <w:bCs w:val="0"/>
          <w:color w:val="auto"/>
          <w:sz w:val="21"/>
          <w:szCs w:val="21"/>
          <w:highlight w:val="none"/>
        </w:rPr>
      </w:pPr>
      <w:bookmarkStart w:id="32" w:name="_Toc3355"/>
      <w:r>
        <w:rPr>
          <w:rFonts w:hint="eastAsia" w:ascii="宋体" w:hAnsi="宋体" w:eastAsia="宋体" w:cs="宋体"/>
          <w:b w:val="0"/>
          <w:bCs w:val="0"/>
          <w:color w:val="auto"/>
          <w:kern w:val="2"/>
          <w:sz w:val="21"/>
          <w:szCs w:val="21"/>
          <w:highlight w:val="none"/>
          <w:lang w:val="en-US" w:eastAsia="zh-CN" w:bidi="ar-SA"/>
        </w:rPr>
        <w:t>地址：</w:t>
      </w:r>
      <w:bookmarkEnd w:id="30"/>
      <w:bookmarkEnd w:id="31"/>
      <w:r>
        <w:rPr>
          <w:rFonts w:hint="eastAsia" w:ascii="宋体" w:hAnsi="宋体" w:eastAsia="宋体" w:cs="宋体"/>
          <w:b w:val="0"/>
          <w:bCs w:val="0"/>
          <w:color w:val="auto"/>
          <w:kern w:val="2"/>
          <w:sz w:val="21"/>
          <w:szCs w:val="21"/>
          <w:highlight w:val="none"/>
          <w:lang w:val="en-US" w:eastAsia="zh-CN" w:bidi="ar-SA"/>
        </w:rPr>
        <w:t>本项目采用远程异地评审，主会场在广西亿隆项目管理有限公司【崇左市友谊大道东源名城D区9栋三单元202号】通过广西政府采购云平台在线解密开启，副会场在南宁市西乡塘区科园大道27号湖南大厦6楼15号</w:t>
      </w:r>
      <w:r>
        <w:rPr>
          <w:rFonts w:hint="eastAsia" w:ascii="宋体" w:hAnsi="宋体" w:eastAsia="宋体" w:cs="宋体"/>
          <w:b w:val="0"/>
          <w:bCs w:val="0"/>
          <w:color w:val="auto"/>
          <w:kern w:val="2"/>
          <w:sz w:val="21"/>
          <w:szCs w:val="24"/>
          <w:highlight w:val="none"/>
          <w:lang w:val="en-US" w:eastAsia="zh-CN" w:bidi="ar-SA"/>
        </w:rPr>
        <w:t>。</w:t>
      </w:r>
      <w:bookmarkEnd w:id="32"/>
    </w:p>
    <w:bookmarkEnd w:id="21"/>
    <w:bookmarkEnd w:id="22"/>
    <w:bookmarkEnd w:id="23"/>
    <w:bookmarkEnd w:id="24"/>
    <w:p w14:paraId="13CEDB45">
      <w:pPr>
        <w:spacing w:line="360" w:lineRule="auto"/>
        <w:rPr>
          <w:rFonts w:hint="eastAsia" w:ascii="宋体" w:hAnsi="宋体" w:eastAsia="宋体" w:cs="宋体"/>
          <w:color w:val="auto"/>
          <w:szCs w:val="21"/>
          <w:highlight w:val="none"/>
        </w:rPr>
      </w:pPr>
      <w:bookmarkStart w:id="33" w:name="_Toc28359007"/>
      <w:bookmarkStart w:id="34" w:name="_Toc35393625"/>
      <w:bookmarkStart w:id="35" w:name="_Toc28359084"/>
      <w:bookmarkStart w:id="36" w:name="_Toc35393794"/>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、公告期限</w:t>
      </w:r>
      <w:bookmarkEnd w:id="33"/>
      <w:bookmarkEnd w:id="34"/>
      <w:bookmarkEnd w:id="35"/>
      <w:bookmarkEnd w:id="36"/>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自本公告发布之日起</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个工作日。</w:t>
      </w:r>
    </w:p>
    <w:p w14:paraId="198F2D71">
      <w:pPr>
        <w:spacing w:line="360" w:lineRule="auto"/>
        <w:rPr>
          <w:rFonts w:hint="eastAsia" w:ascii="宋体" w:hAnsi="宋体" w:eastAsia="宋体" w:cs="宋体"/>
          <w:b/>
          <w:bCs/>
          <w:color w:val="auto"/>
          <w:szCs w:val="21"/>
          <w:highlight w:val="none"/>
        </w:rPr>
      </w:pPr>
      <w:bookmarkStart w:id="37" w:name="_Toc35393795"/>
      <w:bookmarkStart w:id="38" w:name="_Toc35393626"/>
      <w:r>
        <w:rPr>
          <w:rFonts w:hint="eastAsia" w:ascii="宋体" w:hAnsi="宋体" w:eastAsia="宋体" w:cs="宋体"/>
          <w:b/>
          <w:bCs/>
          <w:color w:val="auto"/>
          <w:szCs w:val="21"/>
          <w:highlight w:val="none"/>
          <w:lang w:eastAsia="zh-CN"/>
        </w:rPr>
        <w:t>七</w:t>
      </w:r>
      <w:r>
        <w:rPr>
          <w:rFonts w:hint="eastAsia" w:ascii="宋体" w:hAnsi="宋体" w:eastAsia="宋体" w:cs="宋体"/>
          <w:b/>
          <w:bCs/>
          <w:color w:val="auto"/>
          <w:szCs w:val="21"/>
          <w:highlight w:val="none"/>
        </w:rPr>
        <w:t>、其他补充事宜</w:t>
      </w:r>
      <w:bookmarkEnd w:id="37"/>
      <w:bookmarkEnd w:id="38"/>
      <w:r>
        <w:rPr>
          <w:rFonts w:hint="eastAsia" w:ascii="宋体" w:hAnsi="宋体" w:eastAsia="宋体" w:cs="宋体"/>
          <w:b/>
          <w:bCs/>
          <w:color w:val="auto"/>
          <w:szCs w:val="21"/>
          <w:highlight w:val="none"/>
        </w:rPr>
        <w:t>：</w:t>
      </w:r>
    </w:p>
    <w:p w14:paraId="1AD44427">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bookmarkStart w:id="39" w:name="_Toc28359085"/>
      <w:bookmarkStart w:id="40" w:name="_Toc35393796"/>
      <w:bookmarkStart w:id="41" w:name="_Toc35393627"/>
      <w:bookmarkStart w:id="42" w:name="_Toc28359008"/>
      <w:r>
        <w:rPr>
          <w:rFonts w:hint="eastAsia"/>
          <w:color w:val="auto"/>
          <w:sz w:val="21"/>
          <w:szCs w:val="21"/>
          <w:highlight w:val="none"/>
          <w:lang w:val="en-US" w:eastAsia="zh-CN"/>
        </w:rPr>
        <w:t>1.</w:t>
      </w:r>
      <w:r>
        <w:rPr>
          <w:rFonts w:hint="eastAsia"/>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753A29BB">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lang w:val="en-US" w:eastAsia="zh-CN"/>
        </w:rPr>
        <w:t>2.</w:t>
      </w:r>
      <w:r>
        <w:rPr>
          <w:rFonts w:hint="eastAsia" w:ascii="宋体" w:hAnsi="宋体" w:cs="宋体"/>
          <w:color w:val="auto"/>
          <w:sz w:val="21"/>
          <w:szCs w:val="21"/>
          <w:highlight w:val="none"/>
        </w:rPr>
        <w:t>对在“信用中国”网站</w:t>
      </w:r>
      <w:r>
        <w:rPr>
          <w:rFonts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 w:val="21"/>
          <w:szCs w:val="21"/>
          <w:highlight w:val="none"/>
          <w:lang w:eastAsia="zh-CN"/>
        </w:rPr>
        <w:t>采购活动</w:t>
      </w:r>
      <w:r>
        <w:rPr>
          <w:rFonts w:hint="eastAsia"/>
          <w:color w:val="auto"/>
          <w:sz w:val="21"/>
          <w:szCs w:val="21"/>
          <w:highlight w:val="none"/>
        </w:rPr>
        <w:t>。</w:t>
      </w:r>
    </w:p>
    <w:p w14:paraId="229D07FF">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落实政</w:t>
      </w:r>
      <w:r>
        <w:rPr>
          <w:rFonts w:hint="eastAsia"/>
          <w:color w:val="auto"/>
          <w:sz w:val="21"/>
          <w:szCs w:val="21"/>
          <w:highlight w:val="none"/>
        </w:rPr>
        <w:t>府采购政策：</w:t>
      </w:r>
      <w:r>
        <w:rPr>
          <w:rFonts w:hint="eastAsia" w:ascii="宋体" w:hAnsi="宋体" w:cs="宋体"/>
          <w:color w:val="auto"/>
          <w:sz w:val="21"/>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 w:val="21"/>
          <w:szCs w:val="21"/>
          <w:highlight w:val="none"/>
          <w:lang w:eastAsia="zh-CN"/>
        </w:rPr>
        <w:t>。</w:t>
      </w:r>
    </w:p>
    <w:p w14:paraId="6B680534">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本次招标公告同时在中国政府采购网</w:t>
      </w:r>
      <w:r>
        <w:rPr>
          <w:rFonts w:hint="eastAsia" w:ascii="宋体" w:hAnsi="宋体" w:cs="宋体"/>
          <w:color w:val="auto"/>
          <w:sz w:val="21"/>
          <w:szCs w:val="21"/>
          <w:highlight w:val="none"/>
          <w:lang w:eastAsia="zh-CN"/>
        </w:rPr>
        <w:t>（http://pub.ccgp.gov.cn/）</w:t>
      </w:r>
      <w:r>
        <w:rPr>
          <w:rFonts w:hint="eastAsia" w:ascii="宋体" w:hAnsi="宋体" w:cs="宋体"/>
          <w:color w:val="auto"/>
          <w:sz w:val="21"/>
          <w:szCs w:val="21"/>
          <w:highlight w:val="none"/>
        </w:rPr>
        <w:t>、广西壮族自治区政府采购网</w:t>
      </w:r>
      <w:r>
        <w:rPr>
          <w:rFonts w:hint="eastAsia" w:ascii="宋体" w:hAnsi="宋体" w:cs="宋体"/>
          <w:color w:val="auto"/>
          <w:sz w:val="21"/>
          <w:szCs w:val="21"/>
          <w:highlight w:val="none"/>
          <w:lang w:eastAsia="zh-CN"/>
        </w:rPr>
        <w:t>（http://www.ccgp-guangxi.gov.cn/）</w:t>
      </w:r>
      <w:r>
        <w:rPr>
          <w:rFonts w:hint="eastAsia" w:ascii="宋体" w:hAnsi="宋体" w:cs="宋体"/>
          <w:color w:val="auto"/>
          <w:sz w:val="21"/>
          <w:szCs w:val="21"/>
          <w:highlight w:val="none"/>
        </w:rPr>
        <w:t xml:space="preserve">上发布。  </w:t>
      </w:r>
    </w:p>
    <w:p w14:paraId="59A91F20">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本项目为崇左市全流程电子化项目，通过“</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”实行在线电子响应，供应商应先安装“</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电子交易客户端”（请自行前往“</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”进行下载），并按照本项目采购文件和“</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”的要求编制、加密后在投标截止时间前通过网络上传至“</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”，供应商在“</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”提交电子版响应文件时，请填写参加远程采购活动经办人联系方式，电子响应文件具体操作流程详见《政府采购项目电子交易管理操作指南-供应商》</w:t>
      </w:r>
      <w:r>
        <w:rPr>
          <w:rFonts w:hint="eastAsia" w:ascii="宋体" w:hAnsi="宋体"/>
          <w:color w:val="auto"/>
          <w:sz w:val="21"/>
          <w:szCs w:val="21"/>
          <w:highlight w:val="none"/>
          <w:lang w:eastAsia="zh-CN"/>
        </w:rPr>
        <w:t>，供应商如有需要可联系</w:t>
      </w:r>
      <w:r>
        <w:rPr>
          <w:rFonts w:hint="eastAsia" w:ascii="宋体" w:hAnsi="宋体"/>
          <w:color w:val="auto"/>
          <w:sz w:val="21"/>
          <w:szCs w:val="21"/>
          <w:highlight w:val="none"/>
        </w:rPr>
        <w:t>“</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w:t>
      </w:r>
      <w:r>
        <w:rPr>
          <w:rFonts w:hint="eastAsia" w:ascii="宋体" w:hAnsi="宋体"/>
          <w:color w:val="auto"/>
          <w:sz w:val="21"/>
          <w:szCs w:val="21"/>
          <w:highlight w:val="none"/>
          <w:lang w:eastAsia="zh-CN"/>
        </w:rPr>
        <w:t>客服</w:t>
      </w:r>
      <w:r>
        <w:rPr>
          <w:rFonts w:hint="eastAsia" w:ascii="宋体" w:hAnsi="宋体" w:cs="宋体"/>
          <w:color w:val="auto"/>
          <w:kern w:val="0"/>
          <w:sz w:val="21"/>
          <w:szCs w:val="21"/>
          <w:highlight w:val="none"/>
        </w:rPr>
        <w:t>。</w:t>
      </w:r>
    </w:p>
    <w:p w14:paraId="43DFDCA1">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lang w:eastAsia="zh-CN"/>
        </w:rPr>
        <w:t>为加大政府采购支持中小企业力度，帮助政府采购成交供应商解决融资难、融资贵的问题，进一步做好线上“政采贷”融资业务工作，如供应商有需要的，详见采购文件中附件</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lang w:eastAsia="zh-CN"/>
        </w:rPr>
        <w:t>《崇左市线上“政采贷”政策告知函》、附件</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lang w:eastAsia="zh-CN"/>
        </w:rPr>
        <w:t>《崇左市线上“政采贷”业务流程图》、附件</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lang w:eastAsia="zh-CN"/>
        </w:rPr>
        <w:t>《崇左市金融机构线上“政采贷”业务办理联络</w:t>
      </w:r>
      <w:r>
        <w:rPr>
          <w:rFonts w:hint="eastAsia" w:ascii="宋体" w:hAnsi="宋体" w:eastAsia="宋体" w:cs="宋体"/>
          <w:color w:val="auto"/>
          <w:kern w:val="0"/>
          <w:sz w:val="21"/>
          <w:szCs w:val="21"/>
          <w:highlight w:val="none"/>
          <w:lang w:eastAsia="zh-CN"/>
        </w:rPr>
        <w:t>表》。</w:t>
      </w:r>
    </w:p>
    <w:p w14:paraId="46823ABC">
      <w:pPr>
        <w:pStyle w:val="32"/>
        <w:spacing w:line="420" w:lineRule="exact"/>
        <w:ind w:firstLine="460" w:firstLineChars="200"/>
        <w:rPr>
          <w:rFonts w:ascii="宋体" w:hAnsi="宋体" w:eastAsia="宋体" w:cs="宋体"/>
          <w:bCs w:val="0"/>
          <w:color w:val="auto"/>
          <w:spacing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bCs w:val="0"/>
          <w:color w:val="auto"/>
          <w:spacing w:val="0"/>
          <w:sz w:val="21"/>
          <w:szCs w:val="21"/>
          <w:highlight w:val="none"/>
        </w:rPr>
        <w:t>本项目需要缴纳磋商保证金，缴纳磋商保证金金额：人民币壹万元整（¥10000.00）。</w:t>
      </w:r>
    </w:p>
    <w:p w14:paraId="5D133EDC">
      <w:pPr>
        <w:pStyle w:val="32"/>
        <w:spacing w:line="420" w:lineRule="exact"/>
        <w:ind w:firstLine="420" w:firstLineChars="200"/>
        <w:rPr>
          <w:rFonts w:ascii="宋体" w:hAnsi="宋体" w:eastAsia="宋体" w:cs="宋体"/>
          <w:bCs w:val="0"/>
          <w:color w:val="auto"/>
          <w:spacing w:val="0"/>
          <w:sz w:val="21"/>
          <w:szCs w:val="21"/>
          <w:highlight w:val="none"/>
        </w:rPr>
      </w:pPr>
      <w:r>
        <w:rPr>
          <w:rFonts w:hint="eastAsia" w:ascii="宋体" w:hAnsi="宋体" w:eastAsia="宋体" w:cs="宋体"/>
          <w:bCs w:val="0"/>
          <w:color w:val="auto"/>
          <w:spacing w:val="0"/>
          <w:sz w:val="21"/>
          <w:szCs w:val="21"/>
          <w:highlight w:val="none"/>
        </w:rPr>
        <w:t>保证金的交纳方式：应当以银行转账、支票、汇票、本票或者金融机构、担保机构出具的保函等非现金形式提交。</w:t>
      </w:r>
    </w:p>
    <w:p w14:paraId="0ED3D309">
      <w:pPr>
        <w:pStyle w:val="32"/>
        <w:spacing w:line="420" w:lineRule="exact"/>
        <w:ind w:firstLine="420" w:firstLineChars="200"/>
        <w:rPr>
          <w:rFonts w:ascii="宋体" w:hAnsi="宋体" w:eastAsia="宋体" w:cs="宋体"/>
          <w:bCs w:val="0"/>
          <w:color w:val="auto"/>
          <w:spacing w:val="0"/>
          <w:sz w:val="21"/>
          <w:szCs w:val="21"/>
          <w:highlight w:val="none"/>
        </w:rPr>
      </w:pPr>
      <w:r>
        <w:rPr>
          <w:rFonts w:hint="eastAsia" w:ascii="宋体" w:hAnsi="宋体" w:eastAsia="宋体" w:cs="宋体"/>
          <w:bCs w:val="0"/>
          <w:color w:val="auto"/>
          <w:spacing w:val="0"/>
          <w:sz w:val="21"/>
          <w:szCs w:val="21"/>
          <w:highlight w:val="none"/>
        </w:rPr>
        <w:t>磋商保证金银行转账缴纳账户信息：</w:t>
      </w:r>
    </w:p>
    <w:p w14:paraId="5B5EAAAB">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账户名称：广西亿隆项目管理有限公司</w:t>
      </w:r>
    </w:p>
    <w:p w14:paraId="278ECB77">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账号：45050159805300000811</w:t>
      </w:r>
    </w:p>
    <w:p w14:paraId="1524BA2D">
      <w:pPr>
        <w:pStyle w:val="32"/>
        <w:spacing w:line="420" w:lineRule="exact"/>
        <w:ind w:firstLine="420" w:firstLineChars="200"/>
        <w:rPr>
          <w:rFonts w:ascii="宋体" w:hAnsi="宋体" w:eastAsia="宋体" w:cs="宋体"/>
          <w:bCs w:val="0"/>
          <w:color w:val="auto"/>
          <w:spacing w:val="0"/>
          <w:sz w:val="21"/>
          <w:szCs w:val="21"/>
          <w:highlight w:val="none"/>
        </w:rPr>
      </w:pPr>
      <w:r>
        <w:rPr>
          <w:rFonts w:hint="eastAsia" w:ascii="宋体" w:hAnsi="宋体" w:eastAsia="宋体" w:cs="宋体"/>
          <w:bCs w:val="0"/>
          <w:color w:val="auto"/>
          <w:spacing w:val="0"/>
          <w:sz w:val="21"/>
          <w:szCs w:val="21"/>
          <w:highlight w:val="none"/>
        </w:rPr>
        <w:t>开户行：中国建设银行股份有限公司崇左分行</w:t>
      </w:r>
    </w:p>
    <w:p w14:paraId="3A966C6F">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转账时请注明项目编号或项目名称，截标时我公司查询到账情况，竞标人自行将磋商保证金相关证明材料放到响应文件中，如无未按要求缴纳磋商保证金的，视为无效竞标。</w:t>
      </w:r>
    </w:p>
    <w:p w14:paraId="0FB0158B">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eastAsia="宋体" w:cs="Times New Roman"/>
          <w:color w:val="auto"/>
          <w:sz w:val="21"/>
          <w:szCs w:val="21"/>
          <w:highlight w:val="none"/>
          <w:lang w:val="en-US" w:eastAsia="zh-CN" w:bidi="hi-IN"/>
        </w:rPr>
      </w:pPr>
      <w:r>
        <w:rPr>
          <w:rFonts w:hint="eastAsia" w:ascii="宋体" w:hAnsi="宋体" w:eastAsia="宋体" w:cs="宋体"/>
          <w:color w:val="auto"/>
          <w:kern w:val="0"/>
          <w:sz w:val="21"/>
          <w:szCs w:val="21"/>
          <w:highlight w:val="none"/>
          <w:lang w:val="en-US" w:eastAsia="zh-CN"/>
        </w:rPr>
        <w:t>8.本项目按照崇左市财政局关于推行政府采购领域信用承诺制度的通知的要求，供应商在参与崇左市政府采购活动时，供应商只需以书面形式提供《崇左市政府采购供应商信用承诺函》，即可替代《中</w:t>
      </w:r>
      <w:r>
        <w:rPr>
          <w:rFonts w:hint="eastAsia" w:ascii="宋体" w:hAnsi="宋体" w:eastAsia="宋体" w:cs="Times New Roman"/>
          <w:color w:val="auto"/>
          <w:sz w:val="21"/>
          <w:szCs w:val="21"/>
          <w:highlight w:val="none"/>
          <w:lang w:val="en-US" w:eastAsia="zh-CN" w:bidi="hi-IN"/>
        </w:rPr>
        <w:t>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74EA4488">
      <w:pPr>
        <w:pageBreakBefore w:val="0"/>
        <w:kinsoku/>
        <w:overflowPunct/>
        <w:topLinePunct w:val="0"/>
        <w:autoSpaceDE/>
        <w:autoSpaceDN/>
        <w:bidi w:val="0"/>
        <w:adjustRightInd/>
        <w:spacing w:line="332"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r>
        <w:rPr>
          <w:rFonts w:hint="eastAsia" w:ascii="宋体" w:hAnsi="宋体" w:cs="宋体"/>
          <w:color w:val="auto"/>
          <w:highlight w:val="none"/>
        </w:rPr>
        <w:t>本项目采用远程异地评审，</w:t>
      </w:r>
      <w:r>
        <w:rPr>
          <w:rFonts w:hint="eastAsia" w:ascii="宋体" w:hAnsi="宋体" w:cs="宋体"/>
          <w:color w:val="auto"/>
          <w:highlight w:val="none"/>
          <w:lang w:eastAsia="zh-CN"/>
        </w:rPr>
        <w:t>主会场在广西亿隆项目管理有限公司【崇左市友谊大道东源名城D区9栋三单元202号】通过广西政府采购云平台在线解密开启，副会场在南宁市西乡塘区科园大道27号湖南大厦6楼15号</w:t>
      </w:r>
      <w:r>
        <w:rPr>
          <w:rFonts w:hint="eastAsia" w:ascii="宋体" w:hAnsi="宋体" w:cs="宋体"/>
          <w:color w:val="auto"/>
          <w:szCs w:val="21"/>
          <w:highlight w:val="none"/>
        </w:rPr>
        <w:t>。</w:t>
      </w:r>
    </w:p>
    <w:p w14:paraId="65F43921">
      <w:pPr>
        <w:keepNext w:val="0"/>
        <w:keepLines w:val="0"/>
        <w:pageBreakBefore w:val="0"/>
        <w:kinsoku/>
        <w:wordWrap w:val="0"/>
        <w:overflowPunct/>
        <w:topLinePunct w:val="0"/>
        <w:autoSpaceDE/>
        <w:autoSpaceDN/>
        <w:bidi w:val="0"/>
        <w:adjustRightIn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八</w:t>
      </w:r>
      <w:r>
        <w:rPr>
          <w:rFonts w:hint="eastAsia" w:ascii="宋体" w:hAnsi="宋体" w:eastAsia="宋体" w:cs="宋体"/>
          <w:b/>
          <w:bCs/>
          <w:color w:val="auto"/>
          <w:szCs w:val="21"/>
          <w:highlight w:val="none"/>
        </w:rPr>
        <w:t>、对本次招标提出询问，请按以下方式联系</w:t>
      </w:r>
      <w:bookmarkEnd w:id="39"/>
      <w:bookmarkEnd w:id="40"/>
      <w:bookmarkEnd w:id="41"/>
      <w:bookmarkEnd w:id="42"/>
      <w:r>
        <w:rPr>
          <w:rFonts w:hint="eastAsia" w:ascii="宋体" w:hAnsi="宋体" w:eastAsia="宋体" w:cs="宋体"/>
          <w:b/>
          <w:bCs/>
          <w:color w:val="auto"/>
          <w:szCs w:val="21"/>
          <w:highlight w:val="none"/>
        </w:rPr>
        <w:t>：</w:t>
      </w:r>
    </w:p>
    <w:p w14:paraId="132DE09D">
      <w:pPr>
        <w:spacing w:line="360" w:lineRule="auto"/>
        <w:rPr>
          <w:rFonts w:hint="eastAsia"/>
          <w:color w:val="auto"/>
          <w:highlight w:val="none"/>
        </w:rPr>
      </w:pPr>
      <w:r>
        <w:rPr>
          <w:bCs/>
          <w:color w:val="auto"/>
          <w:sz w:val="21"/>
          <w:szCs w:val="21"/>
          <w:highlight w:val="none"/>
        </w:rPr>
        <w:t xml:space="preserve"> </w:t>
      </w:r>
      <w:bookmarkStart w:id="43" w:name="_Toc35393637"/>
      <w:bookmarkStart w:id="44" w:name="_Toc35393806"/>
      <w:bookmarkStart w:id="45" w:name="_Toc28359096"/>
      <w:bookmarkStart w:id="46" w:name="_Toc28359019"/>
      <w:r>
        <w:rPr>
          <w:rFonts w:hint="eastAsia"/>
          <w:color w:val="auto"/>
          <w:highlight w:val="none"/>
        </w:rPr>
        <w:t>1.采购人信息</w:t>
      </w:r>
      <w:bookmarkEnd w:id="43"/>
      <w:bookmarkEnd w:id="44"/>
      <w:bookmarkEnd w:id="45"/>
      <w:bookmarkEnd w:id="46"/>
    </w:p>
    <w:p w14:paraId="2F399376">
      <w:pPr>
        <w:spacing w:line="360" w:lineRule="auto"/>
        <w:rPr>
          <w:rFonts w:hint="eastAsia"/>
          <w:color w:val="auto"/>
          <w:highlight w:val="none"/>
        </w:rPr>
      </w:pPr>
      <w:r>
        <w:rPr>
          <w:rFonts w:hint="eastAsia"/>
          <w:color w:val="auto"/>
          <w:highlight w:val="none"/>
        </w:rPr>
        <w:t>名称：</w:t>
      </w:r>
      <w:r>
        <w:rPr>
          <w:rFonts w:hint="eastAsia" w:ascii="宋体" w:hAnsi="宋体" w:cs="宋体"/>
          <w:color w:val="auto"/>
          <w:sz w:val="21"/>
          <w:szCs w:val="21"/>
          <w:highlight w:val="none"/>
          <w:lang w:eastAsia="zh-CN"/>
        </w:rPr>
        <w:t>宁明县动物疫病预防控制中心</w:t>
      </w:r>
      <w:r>
        <w:rPr>
          <w:rFonts w:hint="eastAsia"/>
          <w:color w:val="auto"/>
          <w:highlight w:val="none"/>
        </w:rPr>
        <w:t>　　　　　　　　　　　　</w:t>
      </w:r>
    </w:p>
    <w:p w14:paraId="5E893B38">
      <w:pPr>
        <w:spacing w:line="360" w:lineRule="auto"/>
        <w:rPr>
          <w:rFonts w:hint="eastAsia" w:ascii="Times New Roman" w:hAnsi="Times New Roman" w:eastAsia="宋体" w:cs="Times New Roman"/>
          <w:color w:val="auto"/>
          <w:szCs w:val="21"/>
          <w:highlight w:val="none"/>
          <w:lang w:val="en-US" w:eastAsia="zh-CN"/>
        </w:rPr>
      </w:pPr>
      <w:r>
        <w:rPr>
          <w:rFonts w:hint="eastAsia"/>
          <w:color w:val="auto"/>
          <w:highlight w:val="none"/>
        </w:rPr>
        <w:t>地址：宁明县城中镇明阳街208号</w:t>
      </w:r>
    </w:p>
    <w:p w14:paraId="057161CC">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项目联系人：韦盛章</w:t>
      </w:r>
    </w:p>
    <w:p w14:paraId="5DB4B28B">
      <w:pPr>
        <w:spacing w:line="360" w:lineRule="auto"/>
        <w:rPr>
          <w:rFonts w:hint="eastAsia"/>
          <w:color w:val="auto"/>
          <w:highlight w:val="none"/>
        </w:rPr>
      </w:pPr>
      <w:r>
        <w:rPr>
          <w:rFonts w:hint="eastAsia" w:ascii="Times New Roman" w:hAnsi="Times New Roman" w:eastAsia="宋体" w:cs="Times New Roman"/>
          <w:color w:val="auto"/>
          <w:szCs w:val="21"/>
          <w:highlight w:val="none"/>
          <w:lang w:val="en-US" w:eastAsia="zh-CN"/>
        </w:rPr>
        <w:t>项目联系方式：0771</w:t>
      </w:r>
      <w:r>
        <w:rPr>
          <w:rFonts w:hint="eastAsia"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8635577　</w:t>
      </w:r>
      <w:r>
        <w:rPr>
          <w:rFonts w:hint="eastAsia"/>
          <w:color w:val="auto"/>
          <w:highlight w:val="none"/>
        </w:rPr>
        <w:t xml:space="preserve">　　　　 　　　 </w:t>
      </w:r>
    </w:p>
    <w:p w14:paraId="7D3FB839">
      <w:pPr>
        <w:spacing w:line="360" w:lineRule="auto"/>
        <w:rPr>
          <w:rFonts w:hint="eastAsia"/>
          <w:color w:val="auto"/>
          <w:highlight w:val="none"/>
        </w:rPr>
      </w:pPr>
      <w:bookmarkStart w:id="47" w:name="_Toc35393638"/>
      <w:bookmarkStart w:id="48" w:name="_Toc28359097"/>
      <w:bookmarkStart w:id="49" w:name="_Toc35393807"/>
      <w:bookmarkStart w:id="50" w:name="_Toc28359020"/>
      <w:r>
        <w:rPr>
          <w:rFonts w:hint="eastAsia"/>
          <w:color w:val="auto"/>
          <w:highlight w:val="none"/>
        </w:rPr>
        <w:t>2.采购代理机构信息</w:t>
      </w:r>
      <w:bookmarkEnd w:id="47"/>
      <w:bookmarkEnd w:id="48"/>
      <w:bookmarkEnd w:id="49"/>
      <w:bookmarkEnd w:id="50"/>
    </w:p>
    <w:p w14:paraId="312333D5">
      <w:pPr>
        <w:spacing w:line="324"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bookmarkStart w:id="51" w:name="_Toc28359087"/>
      <w:bookmarkStart w:id="52" w:name="_Toc28359010"/>
      <w:r>
        <w:rPr>
          <w:rFonts w:hint="eastAsia" w:ascii="宋体" w:hAnsi="宋体" w:cs="宋体"/>
          <w:color w:val="auto"/>
          <w:sz w:val="21"/>
          <w:szCs w:val="21"/>
          <w:highlight w:val="none"/>
          <w:lang w:eastAsia="zh-CN"/>
        </w:rPr>
        <w:t>广西亿隆项目管理有限公司</w:t>
      </w:r>
    </w:p>
    <w:bookmarkEnd w:id="51"/>
    <w:bookmarkEnd w:id="52"/>
    <w:p w14:paraId="113B6CB7">
      <w:pPr>
        <w:spacing w:line="324"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r>
        <w:rPr>
          <w:rFonts w:hint="eastAsia" w:ascii="宋体" w:hAnsi="宋体" w:cs="宋体"/>
          <w:color w:val="auto"/>
          <w:sz w:val="21"/>
          <w:szCs w:val="21"/>
          <w:highlight w:val="none"/>
          <w:lang w:eastAsia="zh-CN"/>
        </w:rPr>
        <w:t>崇左市友谊大道东源名城D区9栋三单元202号</w:t>
      </w:r>
    </w:p>
    <w:p w14:paraId="35B500A8">
      <w:pPr>
        <w:spacing w:line="324"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联系人及电话:</w:t>
      </w:r>
      <w:r>
        <w:rPr>
          <w:rFonts w:hint="eastAsia" w:ascii="宋体" w:hAnsi="宋体" w:cs="宋体"/>
          <w:color w:val="auto"/>
          <w:sz w:val="21"/>
          <w:szCs w:val="21"/>
          <w:highlight w:val="none"/>
          <w:lang w:eastAsia="zh-CN"/>
        </w:rPr>
        <w:t>何丽</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0771-79</w:t>
      </w:r>
      <w:r>
        <w:rPr>
          <w:rFonts w:hint="eastAsia" w:ascii="宋体" w:hAnsi="宋体" w:cs="宋体"/>
          <w:color w:val="auto"/>
          <w:sz w:val="21"/>
          <w:szCs w:val="21"/>
          <w:highlight w:val="none"/>
          <w:lang w:val="en-US" w:eastAsia="zh-CN"/>
        </w:rPr>
        <w:t>11372</w:t>
      </w:r>
      <w:r>
        <w:rPr>
          <w:rFonts w:hint="eastAsia" w:ascii="宋体" w:hAnsi="宋体" w:eastAsia="宋体" w:cs="宋体"/>
          <w:color w:val="auto"/>
          <w:sz w:val="21"/>
          <w:szCs w:val="21"/>
          <w:highlight w:val="none"/>
          <w:lang w:eastAsia="zh-CN"/>
        </w:rPr>
        <w:t>　</w:t>
      </w:r>
    </w:p>
    <w:p w14:paraId="7E46858E">
      <w:pPr>
        <w:spacing w:line="324" w:lineRule="auto"/>
        <w:rPr>
          <w:rFonts w:hint="eastAsia" w:ascii="宋体" w:hAnsi="宋体" w:eastAsia="宋体" w:cs="宋体"/>
          <w:color w:val="auto"/>
          <w:sz w:val="21"/>
          <w:szCs w:val="21"/>
          <w:highlight w:val="none"/>
          <w:lang w:eastAsia="zh-CN"/>
        </w:rPr>
      </w:pPr>
    </w:p>
    <w:p w14:paraId="1486728B">
      <w:pPr>
        <w:spacing w:line="324" w:lineRule="auto"/>
        <w:rPr>
          <w:rFonts w:hint="eastAsia" w:ascii="宋体" w:hAnsi="宋体" w:eastAsia="宋体" w:cs="宋体"/>
          <w:color w:val="auto"/>
          <w:sz w:val="21"/>
          <w:szCs w:val="21"/>
          <w:highlight w:val="none"/>
          <w:lang w:eastAsia="zh-CN"/>
        </w:rPr>
      </w:pPr>
    </w:p>
    <w:p w14:paraId="5DC533FB">
      <w:pPr>
        <w:spacing w:line="324"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w:t>
      </w:r>
    </w:p>
    <w:p w14:paraId="40EC8CA9">
      <w:pPr>
        <w:spacing w:line="324" w:lineRule="auto"/>
        <w:rPr>
          <w:rFonts w:hint="eastAsia" w:ascii="宋体" w:hAnsi="宋体" w:eastAsia="宋体" w:cs="宋体"/>
          <w:color w:val="auto"/>
          <w:sz w:val="21"/>
          <w:szCs w:val="21"/>
          <w:highlight w:val="none"/>
          <w:lang w:eastAsia="zh-CN"/>
        </w:rPr>
      </w:pPr>
      <w:bookmarkStart w:id="53" w:name="_Toc17394"/>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项目联系方式：</w:t>
      </w:r>
      <w:bookmarkEnd w:id="53"/>
    </w:p>
    <w:p w14:paraId="24FF1CB1">
      <w:pPr>
        <w:spacing w:line="324"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ascii="宋体" w:hAnsi="宋体" w:cs="宋体"/>
          <w:color w:val="auto"/>
          <w:sz w:val="21"/>
          <w:szCs w:val="21"/>
          <w:highlight w:val="none"/>
          <w:lang w:eastAsia="zh-CN"/>
        </w:rPr>
        <w:t>何丽</w:t>
      </w:r>
      <w:r>
        <w:rPr>
          <w:rFonts w:hint="eastAsia" w:ascii="宋体" w:hAnsi="宋体" w:eastAsia="宋体" w:cs="宋体"/>
          <w:color w:val="auto"/>
          <w:sz w:val="21"/>
          <w:szCs w:val="21"/>
          <w:highlight w:val="none"/>
          <w:lang w:eastAsia="zh-CN"/>
        </w:rPr>
        <w:t>　</w:t>
      </w:r>
    </w:p>
    <w:p w14:paraId="4B7D587D">
      <w:pPr>
        <w:spacing w:line="324"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项目联系方式：</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0771-79</w:t>
      </w:r>
      <w:r>
        <w:rPr>
          <w:rFonts w:hint="eastAsia" w:ascii="宋体" w:hAnsi="宋体" w:cs="宋体"/>
          <w:color w:val="auto"/>
          <w:sz w:val="21"/>
          <w:szCs w:val="21"/>
          <w:highlight w:val="none"/>
          <w:lang w:val="en-US" w:eastAsia="zh-CN"/>
        </w:rPr>
        <w:t>11372</w:t>
      </w:r>
      <w:r>
        <w:rPr>
          <w:rFonts w:hint="eastAsia" w:ascii="宋体" w:hAnsi="宋体" w:eastAsia="宋体" w:cs="宋体"/>
          <w:color w:val="auto"/>
          <w:sz w:val="21"/>
          <w:szCs w:val="21"/>
          <w:highlight w:val="none"/>
          <w:lang w:eastAsia="zh-CN"/>
        </w:rPr>
        <w:t>　</w:t>
      </w:r>
    </w:p>
    <w:p w14:paraId="04C3845C">
      <w:pPr>
        <w:numPr>
          <w:ilvl w:val="0"/>
          <w:numId w:val="2"/>
        </w:numPr>
        <w:spacing w:line="324"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监督单位：宁明</w:t>
      </w:r>
      <w:r>
        <w:rPr>
          <w:rFonts w:hint="eastAsia" w:ascii="宋体" w:hAnsi="宋体" w:cs="宋体"/>
          <w:color w:val="auto"/>
          <w:sz w:val="21"/>
          <w:szCs w:val="21"/>
          <w:highlight w:val="none"/>
          <w:lang w:eastAsia="zh-CN"/>
        </w:rPr>
        <w:t>县财政局政府采购监督管理股</w:t>
      </w:r>
      <w:r>
        <w:rPr>
          <w:rFonts w:hint="eastAsia" w:ascii="宋体" w:hAnsi="宋体" w:cs="宋体"/>
          <w:color w:val="auto"/>
          <w:sz w:val="21"/>
          <w:szCs w:val="21"/>
          <w:highlight w:val="none"/>
          <w:lang w:val="en-US" w:eastAsia="zh-CN"/>
        </w:rPr>
        <w:t xml:space="preserve">     电话</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0771-</w:t>
      </w:r>
      <w:r>
        <w:rPr>
          <w:rFonts w:hint="eastAsia" w:ascii="宋体" w:hAnsi="宋体" w:cs="宋体"/>
          <w:color w:val="auto"/>
          <w:sz w:val="21"/>
          <w:szCs w:val="21"/>
          <w:highlight w:val="none"/>
          <w:lang w:val="en-US" w:eastAsia="zh-CN"/>
        </w:rPr>
        <w:t>8636488</w:t>
      </w:r>
    </w:p>
    <w:p w14:paraId="5BC0BFFF">
      <w:pPr>
        <w:numPr>
          <w:ilvl w:val="0"/>
          <w:numId w:val="0"/>
        </w:numPr>
        <w:spacing w:line="324" w:lineRule="auto"/>
        <w:rPr>
          <w:rFonts w:hint="default" w:ascii="宋体" w:hAnsi="宋体" w:cs="宋体"/>
          <w:color w:val="auto"/>
          <w:sz w:val="21"/>
          <w:szCs w:val="21"/>
          <w:highlight w:val="none"/>
          <w:lang w:val="en-US" w:eastAsia="zh-CN"/>
        </w:rPr>
      </w:pPr>
    </w:p>
    <w:p w14:paraId="781812B8">
      <w:pPr>
        <w:pStyle w:val="32"/>
        <w:rPr>
          <w:rFonts w:hint="eastAsia"/>
          <w:color w:val="auto"/>
          <w:highlight w:val="none"/>
          <w:lang w:val="en-US" w:eastAsia="zh-CN"/>
        </w:rPr>
      </w:pPr>
    </w:p>
    <w:p w14:paraId="34CB7B85">
      <w:pPr>
        <w:spacing w:line="360" w:lineRule="auto"/>
        <w:ind w:right="480"/>
        <w:jc w:val="center"/>
        <w:outlineLvl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w:t>
      </w:r>
      <w:bookmarkStart w:id="54" w:name="_Toc5167"/>
      <w:r>
        <w:rPr>
          <w:rFonts w:hint="eastAsia" w:ascii="宋体" w:hAnsi="宋体" w:cs="宋体"/>
          <w:color w:val="auto"/>
          <w:szCs w:val="21"/>
          <w:highlight w:val="none"/>
          <w:lang w:val="en-US" w:eastAsia="zh-CN"/>
        </w:rPr>
        <w:t xml:space="preserve">       </w:t>
      </w:r>
      <w:bookmarkStart w:id="55" w:name="_Toc14072"/>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采购人名称：</w:t>
      </w:r>
      <w:bookmarkEnd w:id="54"/>
      <w:bookmarkEnd w:id="55"/>
      <w:r>
        <w:rPr>
          <w:rFonts w:hint="eastAsia" w:ascii="宋体" w:hAnsi="宋体" w:cs="宋体"/>
          <w:color w:val="auto"/>
          <w:szCs w:val="21"/>
          <w:highlight w:val="none"/>
          <w:lang w:eastAsia="zh-CN"/>
        </w:rPr>
        <w:t>宁明县动物疫病预防控制中心</w:t>
      </w:r>
    </w:p>
    <w:p w14:paraId="57012C34">
      <w:pPr>
        <w:spacing w:line="360" w:lineRule="auto"/>
        <w:ind w:right="480"/>
        <w:jc w:val="center"/>
        <w:outlineLvl w:val="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 xml:space="preserve">                                      </w:t>
      </w:r>
      <w:bookmarkStart w:id="56" w:name="_Toc8385"/>
      <w:bookmarkStart w:id="57" w:name="_Toc4407"/>
      <w:r>
        <w:rPr>
          <w:rFonts w:hint="eastAsia" w:ascii="宋体" w:hAnsi="宋体" w:eastAsia="宋体" w:cs="宋体"/>
          <w:color w:val="auto"/>
          <w:szCs w:val="21"/>
          <w:highlight w:val="none"/>
        </w:rPr>
        <w:t>采购代理机构：</w:t>
      </w:r>
      <w:bookmarkEnd w:id="56"/>
      <w:bookmarkEnd w:id="57"/>
      <w:r>
        <w:rPr>
          <w:rFonts w:hint="eastAsia" w:ascii="宋体" w:hAnsi="宋体" w:cs="宋体"/>
          <w:color w:val="auto"/>
          <w:szCs w:val="21"/>
          <w:highlight w:val="none"/>
          <w:lang w:eastAsia="zh-CN"/>
        </w:rPr>
        <w:t>广西亿隆项目管理有限公司</w:t>
      </w:r>
    </w:p>
    <w:p w14:paraId="15FD9BA0">
      <w:pPr>
        <w:spacing w:line="360" w:lineRule="auto"/>
        <w:ind w:right="480"/>
        <w:jc w:val="center"/>
        <w:outlineLvl w:val="0"/>
        <w:rPr>
          <w:rFonts w:hint="eastAsia" w:ascii="宋体" w:hAnsi="宋体" w:eastAsia="宋体" w:cs="宋体"/>
          <w:b/>
          <w:bCs/>
          <w:color w:val="auto"/>
          <w:szCs w:val="21"/>
          <w:highlight w:val="none"/>
        </w:rPr>
      </w:pPr>
      <w:r>
        <w:rPr>
          <w:rFonts w:hint="eastAsia" w:ascii="宋体" w:hAnsi="宋体" w:cs="宋体"/>
          <w:color w:val="auto"/>
          <w:szCs w:val="21"/>
          <w:highlight w:val="none"/>
          <w:lang w:eastAsia="zh-CN"/>
        </w:rPr>
        <w:t xml:space="preserve">                           </w:t>
      </w:r>
      <w:bookmarkStart w:id="58" w:name="_Toc23912"/>
      <w:bookmarkStart w:id="59" w:name="_Toc31021"/>
      <w:r>
        <w:rPr>
          <w:rFonts w:hint="eastAsia" w:ascii="宋体" w:hAnsi="宋体" w:cs="宋体"/>
          <w:color w:val="auto"/>
          <w:szCs w:val="21"/>
          <w:highlight w:val="none"/>
          <w:lang w:eastAsia="zh-CN"/>
        </w:rPr>
        <w:t>日 期：202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eastAsia="zh-CN"/>
        </w:rPr>
        <w:t>日</w:t>
      </w:r>
      <w:bookmarkEnd w:id="58"/>
      <w:bookmarkEnd w:id="59"/>
    </w:p>
    <w:p w14:paraId="32548C5E">
      <w:pPr>
        <w:pStyle w:val="3"/>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bookmarkStart w:id="60" w:name="_Toc186"/>
    </w:p>
    <w:p w14:paraId="19CC23D0">
      <w:pPr>
        <w:rPr>
          <w:rFonts w:hint="eastAsia" w:ascii="宋体" w:hAnsi="宋体" w:eastAsia="宋体" w:cs="宋体"/>
          <w:color w:val="auto"/>
          <w:highlight w:val="none"/>
        </w:rPr>
      </w:pPr>
    </w:p>
    <w:p w14:paraId="55056DBE">
      <w:pPr>
        <w:rPr>
          <w:rFonts w:hint="eastAsia" w:ascii="宋体" w:hAnsi="宋体" w:eastAsia="宋体" w:cs="宋体"/>
          <w:color w:val="auto"/>
          <w:highlight w:val="none"/>
        </w:rPr>
      </w:pPr>
    </w:p>
    <w:p w14:paraId="369C0C53">
      <w:pPr>
        <w:rPr>
          <w:rFonts w:hint="eastAsia" w:ascii="宋体" w:hAnsi="宋体" w:eastAsia="宋体" w:cs="宋体"/>
          <w:color w:val="auto"/>
          <w:highlight w:val="none"/>
        </w:rPr>
      </w:pPr>
    </w:p>
    <w:p w14:paraId="15BB5BEC">
      <w:pPr>
        <w:rPr>
          <w:rFonts w:hint="eastAsia" w:ascii="宋体" w:hAnsi="宋体" w:eastAsia="宋体" w:cs="宋体"/>
          <w:color w:val="auto"/>
          <w:highlight w:val="none"/>
        </w:rPr>
      </w:pPr>
    </w:p>
    <w:p w14:paraId="70F3135F">
      <w:pPr>
        <w:rPr>
          <w:rFonts w:hint="eastAsia" w:ascii="宋体" w:hAnsi="宋体" w:eastAsia="宋体" w:cs="宋体"/>
          <w:color w:val="auto"/>
          <w:highlight w:val="none"/>
        </w:rPr>
      </w:pPr>
    </w:p>
    <w:p w14:paraId="2DAD4605">
      <w:pPr>
        <w:rPr>
          <w:rFonts w:hint="eastAsia" w:ascii="宋体" w:hAnsi="宋体" w:eastAsia="宋体" w:cs="宋体"/>
          <w:color w:val="auto"/>
          <w:highlight w:val="none"/>
        </w:rPr>
      </w:pPr>
    </w:p>
    <w:p w14:paraId="6B30882C">
      <w:pPr>
        <w:rPr>
          <w:rFonts w:hint="eastAsia" w:ascii="宋体" w:hAnsi="宋体" w:eastAsia="宋体" w:cs="宋体"/>
          <w:color w:val="auto"/>
          <w:highlight w:val="none"/>
        </w:rPr>
      </w:pPr>
    </w:p>
    <w:p w14:paraId="35CA8A65">
      <w:pPr>
        <w:rPr>
          <w:rFonts w:hint="eastAsia" w:ascii="宋体" w:hAnsi="宋体" w:eastAsia="宋体" w:cs="宋体"/>
          <w:color w:val="auto"/>
          <w:highlight w:val="none"/>
        </w:rPr>
      </w:pPr>
    </w:p>
    <w:p w14:paraId="2CBDF07C">
      <w:pPr>
        <w:rPr>
          <w:rFonts w:hint="eastAsia" w:ascii="宋体" w:hAnsi="宋体" w:eastAsia="宋体" w:cs="宋体"/>
          <w:color w:val="auto"/>
          <w:highlight w:val="none"/>
        </w:rPr>
      </w:pPr>
    </w:p>
    <w:p w14:paraId="4F92A11E">
      <w:pPr>
        <w:rPr>
          <w:rFonts w:hint="eastAsia" w:ascii="宋体" w:hAnsi="宋体" w:eastAsia="宋体" w:cs="宋体"/>
          <w:color w:val="auto"/>
          <w:highlight w:val="none"/>
        </w:rPr>
      </w:pPr>
    </w:p>
    <w:p w14:paraId="0D35AFB7">
      <w:pPr>
        <w:rPr>
          <w:rFonts w:hint="eastAsia" w:ascii="宋体" w:hAnsi="宋体" w:eastAsia="宋体" w:cs="宋体"/>
          <w:color w:val="auto"/>
          <w:highlight w:val="none"/>
        </w:rPr>
      </w:pPr>
    </w:p>
    <w:p w14:paraId="5A4005DF">
      <w:pPr>
        <w:rPr>
          <w:rFonts w:hint="eastAsia" w:ascii="宋体" w:hAnsi="宋体" w:eastAsia="宋体" w:cs="宋体"/>
          <w:color w:val="auto"/>
          <w:highlight w:val="none"/>
        </w:rPr>
      </w:pPr>
    </w:p>
    <w:p w14:paraId="1AEE9725">
      <w:pPr>
        <w:rPr>
          <w:rFonts w:hint="eastAsia" w:ascii="宋体" w:hAnsi="宋体" w:eastAsia="宋体" w:cs="宋体"/>
          <w:color w:val="auto"/>
          <w:highlight w:val="none"/>
        </w:rPr>
      </w:pPr>
    </w:p>
    <w:p w14:paraId="1AF5CD79">
      <w:pPr>
        <w:rPr>
          <w:rFonts w:hint="eastAsia" w:ascii="宋体" w:hAnsi="宋体" w:eastAsia="宋体" w:cs="宋体"/>
          <w:color w:val="auto"/>
          <w:highlight w:val="none"/>
        </w:rPr>
      </w:pPr>
    </w:p>
    <w:p w14:paraId="593256B2">
      <w:pPr>
        <w:rPr>
          <w:rFonts w:hint="eastAsia" w:ascii="宋体" w:hAnsi="宋体" w:cs="宋体"/>
          <w:color w:val="auto"/>
          <w:highlight w:val="none"/>
          <w:lang w:eastAsia="zh-CN"/>
        </w:rPr>
      </w:pPr>
    </w:p>
    <w:p w14:paraId="25639C88">
      <w:pPr>
        <w:rPr>
          <w:rFonts w:hint="eastAsia" w:ascii="宋体" w:hAnsi="宋体" w:cs="宋体"/>
          <w:color w:val="auto"/>
          <w:highlight w:val="none"/>
          <w:lang w:eastAsia="zh-CN"/>
        </w:rPr>
      </w:pPr>
    </w:p>
    <w:p w14:paraId="48809E87">
      <w:pPr>
        <w:rPr>
          <w:rFonts w:hint="eastAsia" w:ascii="宋体" w:hAnsi="宋体" w:cs="宋体"/>
          <w:color w:val="auto"/>
          <w:highlight w:val="none"/>
          <w:lang w:eastAsia="zh-CN"/>
        </w:rPr>
      </w:pPr>
    </w:p>
    <w:p w14:paraId="69DF9438">
      <w:pPr>
        <w:rPr>
          <w:rFonts w:hint="eastAsia" w:ascii="宋体" w:hAnsi="宋体" w:cs="宋体"/>
          <w:color w:val="auto"/>
          <w:highlight w:val="none"/>
          <w:lang w:eastAsia="zh-CN"/>
        </w:rPr>
      </w:pPr>
    </w:p>
    <w:p w14:paraId="5CC26F35">
      <w:pPr>
        <w:rPr>
          <w:rFonts w:hint="eastAsia" w:ascii="宋体" w:hAnsi="宋体" w:cs="宋体"/>
          <w:color w:val="auto"/>
          <w:highlight w:val="none"/>
          <w:lang w:eastAsia="zh-CN"/>
        </w:rPr>
      </w:pPr>
    </w:p>
    <w:p w14:paraId="13811F83">
      <w:pPr>
        <w:rPr>
          <w:rFonts w:hint="eastAsia" w:ascii="宋体" w:hAnsi="宋体" w:cs="宋体"/>
          <w:color w:val="auto"/>
          <w:highlight w:val="none"/>
          <w:lang w:eastAsia="zh-CN"/>
        </w:rPr>
      </w:pPr>
    </w:p>
    <w:p w14:paraId="001F929A">
      <w:pPr>
        <w:rPr>
          <w:rFonts w:hint="eastAsia" w:ascii="宋体" w:hAnsi="宋体" w:cs="宋体"/>
          <w:color w:val="auto"/>
          <w:highlight w:val="none"/>
          <w:lang w:eastAsia="zh-CN"/>
        </w:rPr>
      </w:pPr>
    </w:p>
    <w:p w14:paraId="768C303B">
      <w:pPr>
        <w:rPr>
          <w:rFonts w:hint="eastAsia" w:ascii="宋体" w:hAnsi="宋体" w:cs="宋体"/>
          <w:color w:val="auto"/>
          <w:highlight w:val="none"/>
          <w:lang w:eastAsia="zh-CN"/>
        </w:rPr>
      </w:pPr>
    </w:p>
    <w:p w14:paraId="55558912">
      <w:pPr>
        <w:rPr>
          <w:rFonts w:hint="eastAsia" w:ascii="宋体" w:hAnsi="宋体" w:cs="宋体"/>
          <w:color w:val="auto"/>
          <w:highlight w:val="none"/>
          <w:lang w:eastAsia="zh-CN"/>
        </w:rPr>
      </w:pPr>
    </w:p>
    <w:p w14:paraId="1ECC8846">
      <w:pPr>
        <w:rPr>
          <w:rFonts w:hint="eastAsia" w:ascii="宋体" w:hAnsi="宋体" w:cs="宋体"/>
          <w:color w:val="auto"/>
          <w:highlight w:val="none"/>
          <w:lang w:eastAsia="zh-CN"/>
        </w:rPr>
      </w:pPr>
    </w:p>
    <w:p w14:paraId="1F124ECC">
      <w:pPr>
        <w:rPr>
          <w:rFonts w:hint="eastAsia" w:ascii="宋体" w:hAnsi="宋体" w:cs="宋体"/>
          <w:color w:val="auto"/>
          <w:highlight w:val="none"/>
          <w:lang w:eastAsia="zh-CN"/>
        </w:rPr>
      </w:pPr>
    </w:p>
    <w:p w14:paraId="5B2138F4">
      <w:pPr>
        <w:rPr>
          <w:rFonts w:hint="eastAsia" w:ascii="宋体" w:hAnsi="宋体" w:cs="宋体"/>
          <w:color w:val="auto"/>
          <w:highlight w:val="none"/>
          <w:lang w:eastAsia="zh-CN"/>
        </w:rPr>
      </w:pPr>
    </w:p>
    <w:p w14:paraId="44836D43">
      <w:pPr>
        <w:rPr>
          <w:rFonts w:hint="eastAsia" w:ascii="宋体" w:hAnsi="宋体" w:cs="宋体"/>
          <w:color w:val="auto"/>
          <w:highlight w:val="none"/>
          <w:lang w:eastAsia="zh-CN"/>
        </w:rPr>
      </w:pPr>
    </w:p>
    <w:p w14:paraId="6ECE21F4">
      <w:pPr>
        <w:rPr>
          <w:rFonts w:hint="eastAsia" w:ascii="宋体" w:hAnsi="宋体" w:cs="宋体"/>
          <w:color w:val="auto"/>
          <w:highlight w:val="none"/>
          <w:lang w:eastAsia="zh-CN"/>
        </w:rPr>
      </w:pPr>
    </w:p>
    <w:p w14:paraId="062234CC">
      <w:pPr>
        <w:pStyle w:val="3"/>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第二章 供应商须知</w:t>
      </w:r>
      <w:bookmarkEnd w:id="60"/>
    </w:p>
    <w:p w14:paraId="2DC537E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供应商须知前附表</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7ABD8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top"/>
          </w:tcPr>
          <w:p w14:paraId="1CC674C4">
            <w:pPr>
              <w:keepNext w:val="0"/>
              <w:keepLines w:val="0"/>
              <w:pageBreakBefore w:val="0"/>
              <w:kinsoku/>
              <w:wordWrap/>
              <w:overflowPunct/>
              <w:topLinePunct w:val="0"/>
              <w:bidi w:val="0"/>
              <w:adjustRightInd/>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7912" w:type="dxa"/>
            <w:vAlign w:val="top"/>
          </w:tcPr>
          <w:p w14:paraId="17B02BAE">
            <w:pPr>
              <w:keepNext w:val="0"/>
              <w:keepLines w:val="0"/>
              <w:pageBreakBefore w:val="0"/>
              <w:kinsoku/>
              <w:wordWrap/>
              <w:overflowPunct/>
              <w:topLinePunct w:val="0"/>
              <w:bidi w:val="0"/>
              <w:adjustRightInd/>
              <w:spacing w:line="360" w:lineRule="auto"/>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14:paraId="59261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6731748">
            <w:pPr>
              <w:keepNext w:val="0"/>
              <w:keepLines w:val="0"/>
              <w:pageBreakBefore w:val="0"/>
              <w:kinsoku/>
              <w:wordWrap/>
              <w:overflowPunct/>
              <w:topLinePunct w:val="0"/>
              <w:bidi w:val="0"/>
              <w:adjustRightInd/>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12" w:type="dxa"/>
            <w:vAlign w:val="center"/>
          </w:tcPr>
          <w:p w14:paraId="0F5047C5">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供应商的资格条件</w:t>
            </w:r>
            <w:r>
              <w:rPr>
                <w:rFonts w:hint="eastAsia" w:ascii="宋体" w:hAnsi="宋体" w:eastAsia="宋体" w:cs="宋体"/>
                <w:color w:val="auto"/>
                <w:sz w:val="21"/>
                <w:szCs w:val="21"/>
                <w:highlight w:val="none"/>
              </w:rPr>
              <w:t>：详见竞争性磋商公告</w:t>
            </w:r>
          </w:p>
        </w:tc>
      </w:tr>
      <w:tr w14:paraId="4316F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1EB8823">
            <w:pPr>
              <w:keepNext w:val="0"/>
              <w:keepLines w:val="0"/>
              <w:pageBreakBefore w:val="0"/>
              <w:kinsoku/>
              <w:wordWrap/>
              <w:overflowPunct/>
              <w:topLinePunct w:val="0"/>
              <w:bidi w:val="0"/>
              <w:adjustRightInd/>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7912" w:type="dxa"/>
            <w:vAlign w:val="center"/>
          </w:tcPr>
          <w:p w14:paraId="5C655EE6">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是否接受联合体竞标: 详见竞争性磋商公告</w:t>
            </w:r>
          </w:p>
        </w:tc>
      </w:tr>
      <w:tr w14:paraId="6F5A0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58F547E">
            <w:pPr>
              <w:keepNext w:val="0"/>
              <w:keepLines w:val="0"/>
              <w:pageBreakBefore w:val="0"/>
              <w:kinsoku/>
              <w:wordWrap/>
              <w:overflowPunct/>
              <w:topLinePunct w:val="0"/>
              <w:bidi w:val="0"/>
              <w:adjustRightInd/>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7912" w:type="dxa"/>
            <w:vAlign w:val="center"/>
          </w:tcPr>
          <w:p w14:paraId="4E48C74F">
            <w:pPr>
              <w:pStyle w:val="8"/>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lang w:val="en-US" w:eastAsia="zh-CN"/>
              </w:rPr>
              <w:t>允许分包</w:t>
            </w:r>
            <w:r>
              <w:rPr>
                <w:rFonts w:hint="eastAsia" w:ascii="宋体" w:hAnsi="宋体" w:cs="宋体"/>
                <w:color w:val="auto"/>
                <w:sz w:val="21"/>
                <w:szCs w:val="21"/>
                <w:highlight w:val="none"/>
                <w:lang w:val="en-US" w:eastAsia="zh-CN"/>
              </w:rPr>
              <w:t>。</w:t>
            </w:r>
          </w:p>
        </w:tc>
      </w:tr>
      <w:tr w14:paraId="4652D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7E09DC4">
            <w:pPr>
              <w:keepNext w:val="0"/>
              <w:keepLines w:val="0"/>
              <w:pageBreakBefore w:val="0"/>
              <w:kinsoku/>
              <w:wordWrap/>
              <w:overflowPunct/>
              <w:topLinePunct w:val="0"/>
              <w:bidi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12.1.1</w:t>
            </w:r>
          </w:p>
        </w:tc>
        <w:tc>
          <w:tcPr>
            <w:tcW w:w="7912" w:type="dxa"/>
            <w:vAlign w:val="center"/>
          </w:tcPr>
          <w:p w14:paraId="1A51E996">
            <w:pPr>
              <w:keepNext w:val="0"/>
              <w:keepLines w:val="0"/>
              <w:pageBreakBefore w:val="0"/>
              <w:kinsoku/>
              <w:wordWrap/>
              <w:overflowPunct/>
              <w:topLinePunct w:val="0"/>
              <w:bidi w:val="0"/>
              <w:adjustRightInd/>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资格证明文件</w:t>
            </w:r>
          </w:p>
          <w:p w14:paraId="3C6106D1">
            <w:pPr>
              <w:pStyle w:val="8"/>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Times New Roman"/>
                <w:color w:val="auto"/>
                <w:sz w:val="21"/>
                <w:szCs w:val="21"/>
                <w:highlight w:val="none"/>
                <w:lang w:val="en-US" w:eastAsia="zh-CN" w:bidi="hi-IN"/>
              </w:rPr>
              <w:t>崇左市政府采购供应商信用承诺函</w:t>
            </w:r>
            <w:r>
              <w:rPr>
                <w:rFonts w:hint="eastAsia" w:ascii="宋体" w:hAnsi="宋体" w:eastAsia="宋体" w:cs="宋体"/>
                <w:color w:val="auto"/>
                <w:sz w:val="21"/>
                <w:szCs w:val="21"/>
                <w:highlight w:val="none"/>
                <w:lang w:val="en-US" w:eastAsia="zh-CN"/>
              </w:rPr>
              <w:t>；（</w:t>
            </w:r>
            <w:r>
              <w:rPr>
                <w:rFonts w:hint="eastAsia" w:ascii="宋体" w:hAnsi="宋体" w:eastAsia="宋体" w:cs="宋体"/>
                <w:b/>
                <w:color w:val="auto"/>
                <w:sz w:val="21"/>
                <w:szCs w:val="21"/>
                <w:highlight w:val="none"/>
                <w:lang w:val="en-US" w:eastAsia="zh-CN"/>
              </w:rPr>
              <w:t>必须提供，否则响应文件按无效响应处理</w:t>
            </w:r>
            <w:r>
              <w:rPr>
                <w:rFonts w:hint="eastAsia" w:ascii="宋体" w:hAnsi="宋体" w:eastAsia="宋体" w:cs="宋体"/>
                <w:color w:val="auto"/>
                <w:sz w:val="21"/>
                <w:szCs w:val="21"/>
                <w:highlight w:val="none"/>
                <w:lang w:val="en-US" w:eastAsia="zh-CN"/>
              </w:rPr>
              <w:t>）</w:t>
            </w:r>
          </w:p>
          <w:p w14:paraId="01F46994">
            <w:pPr>
              <w:keepNext w:val="0"/>
              <w:keepLines w:val="0"/>
              <w:pageBreakBefore w:val="0"/>
              <w:kinsoku/>
              <w:wordWrap/>
              <w:overflowPunct/>
              <w:topLinePunct w:val="0"/>
              <w:bidi w:val="0"/>
              <w:adjustRightInd/>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2.供应商直接控股、管理关系信息表（格式后附）；（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58262E6B">
            <w:pPr>
              <w:keepNext w:val="0"/>
              <w:keepLines w:val="0"/>
              <w:pageBreakBefore w:val="0"/>
              <w:kinsoku/>
              <w:wordWrap/>
              <w:overflowPunct/>
              <w:topLinePunct w:val="0"/>
              <w:bidi w:val="0"/>
              <w:adjustRightInd/>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.竞标声明（格式后附）；（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364173E3">
            <w:pPr>
              <w:pStyle w:val="3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color w:val="auto"/>
                <w:sz w:val="21"/>
                <w:szCs w:val="21"/>
                <w:highlight w:val="none"/>
                <w:lang w:eastAsia="zh-CN"/>
              </w:rPr>
              <w:t>中小企业声明函</w:t>
            </w:r>
            <w:r>
              <w:rPr>
                <w:rFonts w:ascii="宋体" w:hAnsi="宋体"/>
                <w:b/>
                <w:bCs/>
                <w:color w:val="auto"/>
                <w:szCs w:val="21"/>
                <w:highlight w:val="none"/>
              </w:rPr>
              <w:t>（</w:t>
            </w:r>
            <w:r>
              <w:rPr>
                <w:rFonts w:hint="eastAsia" w:ascii="宋体" w:hAnsi="宋体"/>
                <w:b/>
                <w:bCs/>
                <w:color w:val="auto"/>
                <w:szCs w:val="21"/>
                <w:highlight w:val="none"/>
                <w:lang w:eastAsia="zh-CN"/>
              </w:rPr>
              <w:t>必须提供中小企业声明函或</w:t>
            </w:r>
            <w:r>
              <w:rPr>
                <w:rFonts w:hint="eastAsia" w:ascii="宋体" w:hAnsi="宋体" w:cs="宋体"/>
                <w:b/>
                <w:bCs/>
                <w:color w:val="auto"/>
                <w:szCs w:val="21"/>
                <w:highlight w:val="none"/>
              </w:rPr>
              <w:t>《政府采购促进中小企业发展管理办法 财库〔2020〕46号》</w:t>
            </w:r>
            <w:r>
              <w:rPr>
                <w:rFonts w:hint="eastAsia" w:ascii="宋体" w:hAnsi="宋体"/>
                <w:b/>
                <w:bCs/>
                <w:color w:val="auto"/>
                <w:szCs w:val="21"/>
                <w:highlight w:val="none"/>
                <w:lang w:val="en-US" w:eastAsia="zh-CN"/>
              </w:rPr>
              <w:t>要求提供</w:t>
            </w:r>
            <w:r>
              <w:rPr>
                <w:rFonts w:hint="eastAsia" w:ascii="宋体" w:hAnsi="宋体"/>
                <w:b/>
                <w:bCs/>
                <w:color w:val="auto"/>
                <w:szCs w:val="21"/>
                <w:highlight w:val="none"/>
                <w:lang w:eastAsia="zh-CN"/>
              </w:rPr>
              <w:t>的证明文件，否则竞标无效</w:t>
            </w:r>
            <w:r>
              <w:rPr>
                <w:rFonts w:ascii="宋体" w:hAnsi="宋体"/>
                <w:b/>
                <w:bCs/>
                <w:color w:val="auto"/>
                <w:szCs w:val="21"/>
                <w:highlight w:val="none"/>
              </w:rPr>
              <w:t>）</w:t>
            </w:r>
          </w:p>
          <w:p w14:paraId="636C99FD">
            <w:pPr>
              <w:keepNext w:val="0"/>
              <w:keepLines w:val="0"/>
              <w:pageBreakBefore w:val="0"/>
              <w:kinsoku/>
              <w:wordWrap/>
              <w:overflowPunct/>
              <w:topLinePunct w:val="0"/>
              <w:bidi w:val="0"/>
              <w:adjustRightInd/>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除磋商文件规定必须提供以外，供应商认为需要提供的其他证明材料；</w:t>
            </w:r>
          </w:p>
          <w:p w14:paraId="431F1766">
            <w:pPr>
              <w:keepNext w:val="0"/>
              <w:keepLines w:val="0"/>
              <w:pageBreakBefore w:val="0"/>
              <w:kinsoku/>
              <w:wordWrap/>
              <w:overflowPunct/>
              <w:topLinePunct w:val="0"/>
              <w:bidi w:val="0"/>
              <w:adjustRightInd/>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14:paraId="7F326FF7">
            <w:pPr>
              <w:keepNext w:val="0"/>
              <w:keepLines w:val="0"/>
              <w:pageBreakBefore w:val="0"/>
              <w:kinsoku/>
              <w:wordWrap/>
              <w:overflowPunct/>
              <w:topLinePunct w:val="0"/>
              <w:bidi w:val="0"/>
              <w:adjustRightInd/>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1.以上标明“必须提供”的材料属于复印件的，必须加盖供应商公章，否则响应文件按无效响应处理。</w:t>
            </w:r>
          </w:p>
          <w:p w14:paraId="43B045AA">
            <w:pPr>
              <w:keepNext w:val="0"/>
              <w:keepLines w:val="0"/>
              <w:pageBreakBefore w:val="0"/>
              <w:kinsoku/>
              <w:wordWrap/>
              <w:overflowPunct/>
              <w:topLinePunct w:val="0"/>
              <w:bidi w:val="0"/>
              <w:adjustRightInd/>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2.竞标声明必须由法定代表人在规定签章处签字</w:t>
            </w:r>
            <w:r>
              <w:rPr>
                <w:rFonts w:hint="eastAsia" w:ascii="宋体" w:hAnsi="宋体" w:eastAsia="宋体" w:cs="宋体"/>
                <w:b/>
                <w:color w:val="auto"/>
                <w:sz w:val="21"/>
                <w:szCs w:val="21"/>
                <w:highlight w:val="none"/>
                <w:lang w:eastAsia="zh-CN"/>
              </w:rPr>
              <w:t>或盖章</w:t>
            </w:r>
            <w:r>
              <w:rPr>
                <w:rFonts w:hint="eastAsia" w:ascii="宋体" w:hAnsi="宋体" w:eastAsia="宋体" w:cs="宋体"/>
                <w:b/>
                <w:color w:val="auto"/>
                <w:sz w:val="21"/>
                <w:szCs w:val="21"/>
                <w:highlight w:val="none"/>
              </w:rPr>
              <w:t>并加盖供应商公章，否则响应文件按无效响应处理。</w:t>
            </w:r>
          </w:p>
          <w:p w14:paraId="61277BC7">
            <w:pPr>
              <w:keepNext w:val="0"/>
              <w:keepLines w:val="0"/>
              <w:pageBreakBefore w:val="0"/>
              <w:kinsoku/>
              <w:wordWrap/>
              <w:overflowPunct/>
              <w:topLinePunct w:val="0"/>
              <w:bidi w:val="0"/>
              <w:adjustRightInd/>
              <w:snapToGrid w:val="0"/>
              <w:spacing w:line="360" w:lineRule="auto"/>
              <w:ind w:firstLine="422" w:firstLineChars="2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3.供应商直接控股、管理关系信息表必须由法定代表人或者委托代理人在规定签章处签字并加盖供应商公章，否则响应文件按无效响应处理。</w:t>
            </w:r>
          </w:p>
        </w:tc>
      </w:tr>
      <w:tr w14:paraId="30D26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67DC00">
            <w:pPr>
              <w:keepNext w:val="0"/>
              <w:keepLines w:val="0"/>
              <w:pageBreakBefore w:val="0"/>
              <w:kinsoku/>
              <w:wordWrap/>
              <w:overflowPunct/>
              <w:topLinePunct w:val="0"/>
              <w:bidi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12.1.2</w:t>
            </w:r>
          </w:p>
        </w:tc>
        <w:tc>
          <w:tcPr>
            <w:tcW w:w="7912" w:type="dxa"/>
            <w:vAlign w:val="center"/>
          </w:tcPr>
          <w:p w14:paraId="5CF21B82">
            <w:pPr>
              <w:keepNext w:val="0"/>
              <w:keepLines w:val="0"/>
              <w:pageBreakBefore w:val="0"/>
              <w:kinsoku/>
              <w:wordWrap/>
              <w:overflowPunct/>
              <w:topLinePunct w:val="0"/>
              <w:bidi w:val="0"/>
              <w:adjustRightInd/>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商务报价文件</w:t>
            </w:r>
          </w:p>
          <w:p w14:paraId="04687486">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1.无串通竞标行为的承诺函（格式后附）；（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23D941A0">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2.竞标报价表（格式后附）；（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5E3759FD">
            <w:pPr>
              <w:keepNext w:val="0"/>
              <w:keepLines w:val="0"/>
              <w:pageBreakBefore w:val="0"/>
              <w:kinsoku/>
              <w:wordWrap/>
              <w:overflowPunct/>
              <w:topLinePunct w:val="0"/>
              <w:bidi w:val="0"/>
              <w:adjustRightInd/>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3.法定代表人身份证明书及法定代表人有效身份证正反面复印件（格式后附）；（</w:t>
            </w:r>
            <w:r>
              <w:rPr>
                <w:rFonts w:hint="eastAsia" w:ascii="宋体" w:hAnsi="宋体" w:eastAsia="宋体" w:cs="宋体"/>
                <w:b/>
                <w:bCs/>
                <w:color w:val="auto"/>
                <w:sz w:val="21"/>
                <w:szCs w:val="21"/>
                <w:highlight w:val="none"/>
              </w:rPr>
              <w:t>除自然人竞标外</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60835089">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4.法定代表人授权委托书及委托代理人有效身份证正反面复印件（格式后附）；（</w:t>
            </w:r>
            <w:r>
              <w:rPr>
                <w:rFonts w:hint="eastAsia" w:ascii="宋体" w:hAnsi="宋体" w:eastAsia="宋体" w:cs="宋体"/>
                <w:b/>
                <w:color w:val="auto"/>
                <w:sz w:val="21"/>
                <w:szCs w:val="21"/>
                <w:highlight w:val="none"/>
              </w:rPr>
              <w:t>委托时必须提供，否则响应文件按无效响应处理</w:t>
            </w:r>
            <w:r>
              <w:rPr>
                <w:rFonts w:hint="eastAsia" w:ascii="宋体" w:hAnsi="宋体" w:eastAsia="宋体" w:cs="宋体"/>
                <w:color w:val="auto"/>
                <w:sz w:val="21"/>
                <w:szCs w:val="21"/>
                <w:highlight w:val="none"/>
              </w:rPr>
              <w:t>）</w:t>
            </w:r>
          </w:p>
          <w:p w14:paraId="690853A1">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5.商务条款偏离表（格式后附）；（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47FA3209">
            <w:pPr>
              <w:keepNext w:val="0"/>
              <w:keepLines w:val="0"/>
              <w:pageBreakBefore w:val="0"/>
              <w:kinsoku/>
              <w:wordWrap/>
              <w:overflowPunct/>
              <w:topLinePunct w:val="0"/>
              <w:bidi w:val="0"/>
              <w:adjustRightInd/>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磋商保证金缴纳证明材料复印件</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349F6039">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供应商认为需要提供的其他有关资料。</w:t>
            </w:r>
            <w:r>
              <w:rPr>
                <w:rFonts w:hint="eastAsia" w:ascii="宋体" w:hAnsi="宋体" w:cs="宋体"/>
                <w:color w:val="auto"/>
                <w:sz w:val="21"/>
                <w:szCs w:val="21"/>
                <w:highlight w:val="none"/>
                <w:lang w:eastAsia="zh-CN"/>
              </w:rPr>
              <w:t>（如有，请提供）</w:t>
            </w:r>
          </w:p>
          <w:p w14:paraId="509B7904">
            <w:pPr>
              <w:keepNext w:val="0"/>
              <w:keepLines w:val="0"/>
              <w:pageBreakBefore w:val="0"/>
              <w:kinsoku/>
              <w:wordWrap/>
              <w:overflowPunct/>
              <w:topLinePunct w:val="0"/>
              <w:bidi w:val="0"/>
              <w:adjustRightInd/>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注： </w:t>
            </w:r>
          </w:p>
          <w:p w14:paraId="55BF0BD3">
            <w:pPr>
              <w:keepNext w:val="0"/>
              <w:keepLines w:val="0"/>
              <w:pageBreakBefore w:val="0"/>
              <w:kinsoku/>
              <w:wordWrap/>
              <w:overflowPunct/>
              <w:topLinePunct w:val="0"/>
              <w:bidi w:val="0"/>
              <w:adjustRightInd/>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1.法定代表人授权委托书必须由法定代表人及委托代理人签字，并加盖供应商公章，否则响应文件按无效响应处理。</w:t>
            </w:r>
          </w:p>
          <w:p w14:paraId="1D1AF0AD">
            <w:pPr>
              <w:keepNext w:val="0"/>
              <w:keepLines w:val="0"/>
              <w:pageBreakBefore w:val="0"/>
              <w:kinsoku/>
              <w:wordWrap/>
              <w:overflowPunct/>
              <w:topLinePunct w:val="0"/>
              <w:bidi w:val="0"/>
              <w:adjustRightIn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2.以上标明“必须提供”的材料属于复印件的，必须加盖供应商公章，否则响应文件按无效响应处理。</w:t>
            </w:r>
          </w:p>
          <w:p w14:paraId="057158F1">
            <w:pPr>
              <w:keepNext w:val="0"/>
              <w:keepLines w:val="0"/>
              <w:pageBreakBefore w:val="0"/>
              <w:kinsoku/>
              <w:wordWrap/>
              <w:overflowPunct/>
              <w:topLinePunct w:val="0"/>
              <w:bidi w:val="0"/>
              <w:adjustRightIn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3.以上材料未附格式的，由供应商自行拟定。</w:t>
            </w:r>
          </w:p>
        </w:tc>
      </w:tr>
      <w:tr w14:paraId="601DA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DC9FD21">
            <w:pPr>
              <w:keepNext w:val="0"/>
              <w:keepLines w:val="0"/>
              <w:pageBreakBefore w:val="0"/>
              <w:kinsoku/>
              <w:wordWrap/>
              <w:overflowPunct/>
              <w:topLinePunct w:val="0"/>
              <w:bidi w:val="0"/>
              <w:adjustRightInd/>
              <w:spacing w:line="360" w:lineRule="auto"/>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12.1.3</w:t>
            </w:r>
          </w:p>
        </w:tc>
        <w:tc>
          <w:tcPr>
            <w:tcW w:w="7912" w:type="dxa"/>
            <w:vAlign w:val="center"/>
          </w:tcPr>
          <w:p w14:paraId="03572A8E">
            <w:pPr>
              <w:keepNext w:val="0"/>
              <w:keepLines w:val="0"/>
              <w:pageBreakBefore w:val="0"/>
              <w:kinsoku/>
              <w:wordWrap/>
              <w:overflowPunct/>
              <w:topLinePunct w:val="0"/>
              <w:bidi w:val="0"/>
              <w:adjustRightInd/>
              <w:spacing w:line="360" w:lineRule="auto"/>
              <w:ind w:firstLine="422" w:firstLineChars="200"/>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技术文件</w:t>
            </w:r>
          </w:p>
          <w:p w14:paraId="17194C6F">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.服务方案；（</w:t>
            </w:r>
            <w:r>
              <w:rPr>
                <w:rFonts w:hint="eastAsia" w:ascii="宋体" w:hAnsi="宋体" w:cs="宋体"/>
                <w:b/>
                <w:color w:val="auto"/>
                <w:sz w:val="21"/>
                <w:szCs w:val="21"/>
                <w:highlight w:val="none"/>
                <w:lang w:eastAsia="zh-CN"/>
              </w:rPr>
              <w:t>格式自拟</w:t>
            </w:r>
            <w:r>
              <w:rPr>
                <w:rFonts w:hint="eastAsia" w:ascii="宋体" w:hAnsi="宋体" w:eastAsia="宋体" w:cs="宋体"/>
                <w:color w:val="auto"/>
                <w:sz w:val="21"/>
                <w:szCs w:val="21"/>
                <w:highlight w:val="none"/>
              </w:rPr>
              <w:t>）</w:t>
            </w:r>
          </w:p>
          <w:p w14:paraId="06F2D9E4">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.技术需求偏离表（格式后附）；（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4E298F53">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.项目实施人员一览表</w:t>
            </w:r>
            <w:r>
              <w:rPr>
                <w:rFonts w:hint="eastAsia" w:ascii="宋体" w:hAnsi="宋体" w:eastAsia="宋体" w:cs="宋体"/>
                <w:b/>
                <w:bCs/>
                <w:color w:val="auto"/>
                <w:sz w:val="21"/>
                <w:szCs w:val="21"/>
                <w:highlight w:val="none"/>
              </w:rPr>
              <w:t>（格式自拟）</w:t>
            </w:r>
            <w:r>
              <w:rPr>
                <w:rFonts w:hint="eastAsia" w:ascii="宋体" w:hAnsi="宋体" w:eastAsia="宋体" w:cs="宋体"/>
                <w:color w:val="auto"/>
                <w:sz w:val="21"/>
                <w:szCs w:val="21"/>
                <w:highlight w:val="none"/>
              </w:rPr>
              <w:t xml:space="preserve">； </w:t>
            </w:r>
          </w:p>
          <w:p w14:paraId="07870051">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.供应商认为需要提供的其他有关资料。</w:t>
            </w:r>
            <w:r>
              <w:rPr>
                <w:rFonts w:hint="eastAsia" w:ascii="宋体" w:hAnsi="宋体" w:cs="宋体"/>
                <w:b/>
                <w:bCs/>
                <w:color w:val="auto"/>
                <w:sz w:val="21"/>
                <w:szCs w:val="21"/>
                <w:highlight w:val="none"/>
                <w:lang w:eastAsia="zh-CN"/>
              </w:rPr>
              <w:t>（如有，请提供）</w:t>
            </w:r>
          </w:p>
        </w:tc>
      </w:tr>
      <w:tr w14:paraId="427B1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04345CA">
            <w:pPr>
              <w:keepNext w:val="0"/>
              <w:keepLines w:val="0"/>
              <w:pageBreakBefore w:val="0"/>
              <w:kinsoku/>
              <w:wordWrap/>
              <w:overflowPunct/>
              <w:topLinePunct w:val="0"/>
              <w:bidi w:val="0"/>
              <w:adjustRightInd/>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rPr>
              <w:t>12.2</w:t>
            </w:r>
          </w:p>
        </w:tc>
        <w:tc>
          <w:tcPr>
            <w:tcW w:w="7912" w:type="dxa"/>
            <w:vAlign w:val="center"/>
          </w:tcPr>
          <w:p w14:paraId="3FEA2543">
            <w:pPr>
              <w:keepNext w:val="0"/>
              <w:keepLines w:val="0"/>
              <w:pageBreakBefore w:val="0"/>
              <w:kinsoku/>
              <w:wordWrap/>
              <w:overflowPunct/>
              <w:topLinePunct w:val="0"/>
              <w:bidi w:val="0"/>
              <w:adjustRightInd/>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由竞标人视自身情况自愿提交电子版备份响应文件。</w:t>
            </w:r>
          </w:p>
        </w:tc>
      </w:tr>
      <w:tr w14:paraId="0D498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B6922EF">
            <w:pPr>
              <w:keepNext w:val="0"/>
              <w:keepLines w:val="0"/>
              <w:pageBreakBefore w:val="0"/>
              <w:kinsoku/>
              <w:wordWrap/>
              <w:overflowPunct/>
              <w:topLinePunct w:val="0"/>
              <w:bidi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p>
        </w:tc>
        <w:tc>
          <w:tcPr>
            <w:tcW w:w="7912" w:type="dxa"/>
            <w:vAlign w:val="center"/>
          </w:tcPr>
          <w:p w14:paraId="17A163DB">
            <w:pPr>
              <w:keepNext w:val="0"/>
              <w:keepLines w:val="0"/>
              <w:pageBreakBefore w:val="0"/>
              <w:kinsoku/>
              <w:wordWrap/>
              <w:overflowPunct/>
              <w:topLinePunct w:val="0"/>
              <w:bidi w:val="0"/>
              <w:adjustRightInd/>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竞标报价必须</w:t>
            </w:r>
            <w:r>
              <w:rPr>
                <w:rFonts w:hint="eastAsia" w:ascii="宋体" w:hAnsi="宋体" w:eastAsia="宋体" w:cs="宋体"/>
                <w:color w:val="auto"/>
                <w:sz w:val="21"/>
                <w:szCs w:val="21"/>
                <w:highlight w:val="none"/>
                <w:lang w:eastAsia="zh-CN"/>
              </w:rPr>
              <w:t>包含</w:t>
            </w:r>
            <w:r>
              <w:rPr>
                <w:rFonts w:hint="eastAsia" w:ascii="宋体" w:hAnsi="宋体" w:eastAsia="宋体" w:cs="宋体"/>
                <w:color w:val="auto"/>
                <w:sz w:val="21"/>
                <w:szCs w:val="21"/>
                <w:highlight w:val="none"/>
              </w:rPr>
              <w:t>培训需求调研、宣传发动、教育培训、跟踪服务、典型宣传等相关支出，包括差旅费、食宿费、购买保险、购买各类教材和印制资料费、教学耗材费、培训工具（操作样本）费、教师课酬、劳务费及信息化手段等相关支出。包含税金及其他所有成本费用的总和及采购文件所要求的相关服务以及合同所示全部责任、义务和一般风险等全过程产生的所有成本和费用以及一切税费，对采购的服务进行完整唯一报价。</w:t>
            </w:r>
          </w:p>
        </w:tc>
      </w:tr>
      <w:tr w14:paraId="304A9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5A7F64E">
            <w:pPr>
              <w:keepNext w:val="0"/>
              <w:keepLines w:val="0"/>
              <w:pageBreakBefore w:val="0"/>
              <w:kinsoku/>
              <w:wordWrap/>
              <w:overflowPunct/>
              <w:topLinePunct w:val="0"/>
              <w:bidi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7912" w:type="dxa"/>
            <w:vAlign w:val="center"/>
          </w:tcPr>
          <w:p w14:paraId="482F4BD7">
            <w:pPr>
              <w:pStyle w:val="6"/>
              <w:keepNext w:val="0"/>
              <w:keepLines w:val="0"/>
              <w:pageBreakBefore w:val="0"/>
              <w:widowControl w:val="0"/>
              <w:numPr>
                <w:ilvl w:val="0"/>
                <w:numId w:val="0"/>
              </w:numPr>
              <w:tabs>
                <w:tab w:val="left" w:pos="720"/>
                <w:tab w:val="left" w:pos="840"/>
              </w:tabs>
              <w:kinsoku/>
              <w:wordWrap/>
              <w:overflowPunct/>
              <w:topLinePunct w:val="0"/>
              <w:bidi w:val="0"/>
              <w:adjustRightInd/>
              <w:snapToGrid w:val="0"/>
              <w:spacing w:afterLines="0" w:line="360" w:lineRule="auto"/>
              <w:ind w:leftChars="-135"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竞标有效期：自首次响应文件提交截止之日起</w:t>
            </w:r>
            <w:r>
              <w:rPr>
                <w:rFonts w:hint="eastAsia" w:ascii="宋体" w:hAnsi="宋体" w:eastAsia="宋体" w:cs="宋体"/>
                <w:color w:val="auto"/>
                <w:kern w:val="2"/>
                <w:sz w:val="21"/>
                <w:szCs w:val="21"/>
                <w:highlight w:val="none"/>
                <w:u w:val="single"/>
                <w:lang w:val="en-US" w:eastAsia="zh-CN"/>
              </w:rPr>
              <w:t>45</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tc>
      </w:tr>
      <w:tr w14:paraId="45D8C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6B1A59">
            <w:pPr>
              <w:keepNext w:val="0"/>
              <w:keepLines w:val="0"/>
              <w:pageBreakBefore w:val="0"/>
              <w:kinsoku/>
              <w:wordWrap/>
              <w:overflowPunct/>
              <w:topLinePunct w:val="0"/>
              <w:bidi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7912" w:type="dxa"/>
            <w:shd w:val="clear" w:color="auto" w:fill="auto"/>
            <w:vAlign w:val="center"/>
          </w:tcPr>
          <w:p w14:paraId="6BAABDE0">
            <w:pPr>
              <w:pStyle w:val="32"/>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宋体" w:hAnsi="宋体" w:eastAsia="宋体" w:cs="宋体"/>
                <w:bCs w:val="0"/>
                <w:color w:val="auto"/>
                <w:spacing w:val="0"/>
                <w:kern w:val="0"/>
                <w:sz w:val="21"/>
                <w:szCs w:val="21"/>
                <w:highlight w:val="none"/>
                <w:lang w:val="en-US" w:eastAsia="zh-CN" w:bidi="ar-SA"/>
              </w:rPr>
            </w:pPr>
            <w:r>
              <w:rPr>
                <w:rFonts w:hint="eastAsia" w:ascii="宋体" w:hAnsi="宋体"/>
                <w:color w:val="auto"/>
                <w:sz w:val="21"/>
                <w:szCs w:val="21"/>
                <w:highlight w:val="none"/>
              </w:rPr>
              <w:sym w:font="Wingdings" w:char="00FE"/>
            </w:r>
            <w:r>
              <w:rPr>
                <w:rFonts w:hint="eastAsia" w:ascii="宋体" w:hAnsi="宋体" w:eastAsia="宋体" w:cs="宋体"/>
                <w:bCs w:val="0"/>
                <w:color w:val="auto"/>
                <w:spacing w:val="0"/>
                <w:kern w:val="0"/>
                <w:sz w:val="21"/>
                <w:szCs w:val="21"/>
                <w:highlight w:val="none"/>
                <w:lang w:val="en-US" w:eastAsia="zh-CN" w:bidi="ar-SA"/>
              </w:rPr>
              <w:t>本项目需要缴纳磋商保证金，缴纳磋商保证金金额：人民币壹万元整（¥10000.00）。</w:t>
            </w:r>
          </w:p>
          <w:p w14:paraId="624CE1AE">
            <w:pPr>
              <w:pStyle w:val="32"/>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s="宋体"/>
                <w:bCs w:val="0"/>
                <w:color w:val="auto"/>
                <w:spacing w:val="0"/>
                <w:kern w:val="0"/>
                <w:sz w:val="21"/>
                <w:szCs w:val="21"/>
                <w:highlight w:val="none"/>
                <w:lang w:val="en-US" w:eastAsia="zh-CN" w:bidi="ar-SA"/>
              </w:rPr>
            </w:pPr>
            <w:r>
              <w:rPr>
                <w:rFonts w:hint="eastAsia" w:ascii="宋体" w:hAnsi="宋体" w:eastAsia="宋体" w:cs="宋体"/>
                <w:bCs w:val="0"/>
                <w:color w:val="auto"/>
                <w:spacing w:val="0"/>
                <w:kern w:val="0"/>
                <w:sz w:val="21"/>
                <w:szCs w:val="21"/>
                <w:highlight w:val="none"/>
                <w:lang w:val="en-US" w:eastAsia="zh-CN" w:bidi="ar-SA"/>
              </w:rPr>
              <w:t>保证金的交纳方式：</w:t>
            </w:r>
            <w:r>
              <w:rPr>
                <w:rFonts w:hint="default" w:ascii="宋体" w:hAnsi="宋体" w:eastAsia="宋体" w:cs="宋体"/>
                <w:bCs w:val="0"/>
                <w:color w:val="auto"/>
                <w:spacing w:val="0"/>
                <w:kern w:val="0"/>
                <w:sz w:val="21"/>
                <w:szCs w:val="21"/>
                <w:highlight w:val="none"/>
                <w:lang w:val="en-US" w:eastAsia="zh-CN" w:bidi="ar-SA"/>
              </w:rPr>
              <w:t>应当以银行转账、支票、汇票、本票或者金融机构、担保机构出具的保函等非现金形式提交。</w:t>
            </w:r>
          </w:p>
          <w:p w14:paraId="2A4F90B7">
            <w:pPr>
              <w:pStyle w:val="32"/>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val="0"/>
                <w:color w:val="auto"/>
                <w:spacing w:val="0"/>
                <w:kern w:val="0"/>
                <w:sz w:val="21"/>
                <w:szCs w:val="21"/>
                <w:highlight w:val="none"/>
                <w:lang w:val="en-US" w:eastAsia="zh-CN" w:bidi="ar-SA"/>
              </w:rPr>
            </w:pPr>
            <w:r>
              <w:rPr>
                <w:rFonts w:hint="eastAsia" w:ascii="宋体" w:hAnsi="宋体" w:eastAsia="宋体" w:cs="宋体"/>
                <w:bCs w:val="0"/>
                <w:color w:val="auto"/>
                <w:spacing w:val="0"/>
                <w:kern w:val="0"/>
                <w:sz w:val="21"/>
                <w:szCs w:val="21"/>
                <w:highlight w:val="none"/>
                <w:lang w:val="en-US" w:eastAsia="zh-CN" w:bidi="ar-SA"/>
              </w:rPr>
              <w:t>磋商保证金银行转账缴纳账户信息：</w:t>
            </w:r>
          </w:p>
          <w:p w14:paraId="6580FD0F">
            <w:pPr>
              <w:spacing w:line="360" w:lineRule="auto"/>
              <w:ind w:firstLine="420" w:firstLineChars="200"/>
              <w:jc w:val="both"/>
              <w:rPr>
                <w:rFonts w:hint="eastAsia" w:ascii="宋体" w:hAnsi="宋体" w:eastAsia="宋体" w:cs="宋体"/>
                <w:bCs w:val="0"/>
                <w:color w:val="auto"/>
                <w:spacing w:val="0"/>
                <w:kern w:val="0"/>
                <w:sz w:val="21"/>
                <w:szCs w:val="21"/>
                <w:highlight w:val="none"/>
                <w:lang w:val="en-US" w:eastAsia="zh-CN" w:bidi="ar-SA"/>
              </w:rPr>
            </w:pPr>
            <w:r>
              <w:rPr>
                <w:rFonts w:hint="eastAsia" w:ascii="宋体" w:hAnsi="宋体" w:eastAsia="宋体" w:cs="宋体"/>
                <w:bCs w:val="0"/>
                <w:color w:val="auto"/>
                <w:spacing w:val="0"/>
                <w:kern w:val="0"/>
                <w:sz w:val="21"/>
                <w:szCs w:val="21"/>
                <w:highlight w:val="none"/>
                <w:lang w:val="en-US" w:eastAsia="zh-CN" w:bidi="ar-SA"/>
              </w:rPr>
              <w:t>账户名称：广西亿隆项目管理有限公司</w:t>
            </w:r>
          </w:p>
          <w:p w14:paraId="2E8F8E2C">
            <w:pPr>
              <w:spacing w:line="360" w:lineRule="auto"/>
              <w:ind w:firstLine="420" w:firstLineChars="200"/>
              <w:jc w:val="both"/>
              <w:rPr>
                <w:rFonts w:hint="eastAsia" w:ascii="宋体" w:hAnsi="宋体" w:eastAsia="宋体" w:cs="宋体"/>
                <w:bCs w:val="0"/>
                <w:color w:val="auto"/>
                <w:spacing w:val="0"/>
                <w:kern w:val="0"/>
                <w:sz w:val="21"/>
                <w:szCs w:val="21"/>
                <w:highlight w:val="none"/>
                <w:lang w:val="en-US" w:eastAsia="zh-CN" w:bidi="ar-SA"/>
              </w:rPr>
            </w:pPr>
            <w:r>
              <w:rPr>
                <w:rFonts w:hint="eastAsia" w:ascii="宋体" w:hAnsi="宋体" w:eastAsia="宋体" w:cs="宋体"/>
                <w:bCs w:val="0"/>
                <w:color w:val="auto"/>
                <w:spacing w:val="0"/>
                <w:kern w:val="0"/>
                <w:sz w:val="21"/>
                <w:szCs w:val="21"/>
                <w:highlight w:val="none"/>
                <w:lang w:val="en-US" w:eastAsia="zh-CN" w:bidi="ar-SA"/>
              </w:rPr>
              <w:t>账号：45050159805300000811</w:t>
            </w:r>
          </w:p>
          <w:p w14:paraId="2ED8A08F">
            <w:pPr>
              <w:pStyle w:val="32"/>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val="0"/>
                <w:color w:val="auto"/>
                <w:spacing w:val="0"/>
                <w:kern w:val="0"/>
                <w:sz w:val="21"/>
                <w:szCs w:val="21"/>
                <w:highlight w:val="none"/>
                <w:lang w:val="en-US" w:eastAsia="zh-CN" w:bidi="ar-SA"/>
              </w:rPr>
            </w:pPr>
            <w:r>
              <w:rPr>
                <w:rFonts w:hint="eastAsia" w:ascii="宋体" w:hAnsi="宋体" w:eastAsia="宋体" w:cs="宋体"/>
                <w:bCs w:val="0"/>
                <w:color w:val="auto"/>
                <w:spacing w:val="0"/>
                <w:kern w:val="0"/>
                <w:sz w:val="21"/>
                <w:szCs w:val="21"/>
                <w:highlight w:val="none"/>
                <w:lang w:val="en-US" w:eastAsia="zh-CN" w:bidi="ar-SA"/>
              </w:rPr>
              <w:t>开户行：中国建设银行股份有限公司崇左分行</w:t>
            </w:r>
          </w:p>
          <w:p w14:paraId="52440F15">
            <w:pPr>
              <w:autoSpaceDE w:val="0"/>
              <w:autoSpaceDN w:val="0"/>
              <w:snapToGrid w:val="0"/>
              <w:spacing w:line="360" w:lineRule="auto"/>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val="0"/>
                <w:color w:val="auto"/>
                <w:spacing w:val="0"/>
                <w:kern w:val="0"/>
                <w:sz w:val="21"/>
                <w:szCs w:val="21"/>
                <w:highlight w:val="none"/>
                <w:lang w:val="en-US" w:eastAsia="zh-CN" w:bidi="ar-SA"/>
              </w:rPr>
              <w:t>转账时请注明项目编号或项目名称，截标时我公司查询到账情况，竞标人自行将磋商保证金相关证明材料放到响应文件中，如无未按要求缴纳磋商保证金的，视为无效竞标。</w:t>
            </w:r>
          </w:p>
        </w:tc>
      </w:tr>
      <w:tr w14:paraId="25ACF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00CA8B4">
            <w:pPr>
              <w:keepNext w:val="0"/>
              <w:keepLines w:val="0"/>
              <w:pageBreakBefore w:val="0"/>
              <w:kinsoku/>
              <w:wordWrap/>
              <w:overflowPunct/>
              <w:topLinePunct w:val="0"/>
              <w:bidi w:val="0"/>
              <w:adjustRightInd/>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Cs w:val="21"/>
                <w:highlight w:val="none"/>
              </w:rPr>
              <w:t>18.2</w:t>
            </w:r>
          </w:p>
        </w:tc>
        <w:tc>
          <w:tcPr>
            <w:tcW w:w="7912" w:type="dxa"/>
            <w:vAlign w:val="center"/>
          </w:tcPr>
          <w:p w14:paraId="56F9B6B8">
            <w:pPr>
              <w:keepNext w:val="0"/>
              <w:keepLines w:val="0"/>
              <w:pageBreakBefore w:val="0"/>
              <w:widowControl/>
              <w:suppressLineNumbers w:val="0"/>
              <w:kinsoku/>
              <w:wordWrap/>
              <w:overflowPunct/>
              <w:topLinePunct w:val="0"/>
              <w:bidi w:val="0"/>
              <w:adjustRightIn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响应文件份数：</w:t>
            </w:r>
          </w:p>
          <w:p w14:paraId="5479FEA6">
            <w:pPr>
              <w:keepNext w:val="0"/>
              <w:keepLines w:val="0"/>
              <w:pageBreakBefore w:val="0"/>
              <w:widowControl/>
              <w:suppressLineNumbers w:val="0"/>
              <w:kinsoku/>
              <w:wordWrap/>
              <w:overflowPunct/>
              <w:topLinePunct w:val="0"/>
              <w:bidi w:val="0"/>
              <w:adjustRightInd/>
              <w:spacing w:line="360" w:lineRule="auto"/>
              <w:ind w:firstLine="420" w:firstLineChars="200"/>
              <w:jc w:val="left"/>
              <w:rPr>
                <w:color w:val="auto"/>
                <w:highlight w:val="none"/>
              </w:rPr>
            </w:pPr>
            <w:r>
              <w:rPr>
                <w:rFonts w:hint="eastAsia" w:ascii="宋体" w:hAnsi="宋体" w:eastAsia="宋体" w:cs="宋体"/>
                <w:color w:val="auto"/>
                <w:kern w:val="0"/>
                <w:sz w:val="21"/>
                <w:szCs w:val="21"/>
                <w:highlight w:val="none"/>
                <w:lang w:val="en-US" w:eastAsia="zh-CN" w:bidi="ar"/>
              </w:rPr>
              <w:t>1.电子响应文件，电子响应文件按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要求及本</w:t>
            </w:r>
            <w:r>
              <w:rPr>
                <w:rFonts w:hint="eastAsia" w:ascii="宋体" w:hAnsi="宋体" w:cs="宋体"/>
                <w:color w:val="auto"/>
                <w:kern w:val="0"/>
                <w:sz w:val="21"/>
                <w:szCs w:val="21"/>
                <w:highlight w:val="none"/>
                <w:lang w:val="en-US" w:eastAsia="zh-CN" w:bidi="ar"/>
              </w:rPr>
              <w:t>采购</w:t>
            </w:r>
            <w:r>
              <w:rPr>
                <w:rFonts w:hint="eastAsia" w:ascii="宋体" w:hAnsi="宋体" w:eastAsia="宋体" w:cs="宋体"/>
                <w:color w:val="auto"/>
                <w:kern w:val="0"/>
                <w:sz w:val="21"/>
                <w:szCs w:val="21"/>
                <w:highlight w:val="none"/>
                <w:lang w:val="en-US" w:eastAsia="zh-CN" w:bidi="ar"/>
              </w:rPr>
              <w:t xml:space="preserve">文件要求制作、加密并递交。 </w:t>
            </w:r>
          </w:p>
          <w:p w14:paraId="6B918353">
            <w:pPr>
              <w:keepNext w:val="0"/>
              <w:keepLines w:val="0"/>
              <w:pageBreakBefore w:val="0"/>
              <w:widowControl/>
              <w:suppressLineNumbers w:val="0"/>
              <w:kinsoku/>
              <w:wordWrap/>
              <w:overflowPunct/>
              <w:topLinePunct w:val="0"/>
              <w:bidi w:val="0"/>
              <w:adjustRightInd/>
              <w:spacing w:line="360" w:lineRule="auto"/>
              <w:ind w:firstLine="420" w:firstLineChars="200"/>
              <w:jc w:val="left"/>
              <w:rPr>
                <w:color w:val="auto"/>
                <w:highlight w:val="none"/>
              </w:rPr>
            </w:pPr>
            <w:r>
              <w:rPr>
                <w:rFonts w:hint="eastAsia" w:ascii="宋体" w:hAnsi="宋体" w:eastAsia="宋体" w:cs="宋体"/>
                <w:color w:val="auto"/>
                <w:kern w:val="0"/>
                <w:sz w:val="21"/>
                <w:szCs w:val="21"/>
                <w:highlight w:val="none"/>
                <w:lang w:val="en-US" w:eastAsia="zh-CN" w:bidi="ar"/>
              </w:rPr>
              <w:t>2.以介质存储的数据电文形式的电子备份响应文件，按</w:t>
            </w:r>
            <w:r>
              <w:rPr>
                <w:rFonts w:hint="eastAsia" w:ascii="宋体" w:hAnsi="宋体" w:cs="宋体"/>
                <w:color w:val="auto"/>
                <w:kern w:val="0"/>
                <w:sz w:val="21"/>
                <w:szCs w:val="21"/>
                <w:highlight w:val="none"/>
                <w:lang w:val="en-US" w:eastAsia="zh-CN" w:bidi="ar"/>
              </w:rPr>
              <w:t>广西政府采购云</w:t>
            </w:r>
            <w:r>
              <w:rPr>
                <w:rFonts w:hint="eastAsia" w:ascii="宋体" w:hAnsi="宋体" w:eastAsia="宋体" w:cs="宋体"/>
                <w:color w:val="auto"/>
                <w:kern w:val="0"/>
                <w:sz w:val="21"/>
                <w:szCs w:val="21"/>
                <w:highlight w:val="none"/>
                <w:lang w:val="en-US" w:eastAsia="zh-CN" w:bidi="ar"/>
              </w:rPr>
              <w:t xml:space="preserve">平台项目采购-电子招投标操作指南中上传的电子响应文件格式，以DVD光盘或者U盘等形式提供。数量为1 份。 </w:t>
            </w:r>
          </w:p>
          <w:p w14:paraId="75C2A562">
            <w:pPr>
              <w:keepNext w:val="0"/>
              <w:keepLines w:val="0"/>
              <w:pageBreakBefore w:val="0"/>
              <w:widowControl/>
              <w:suppressLineNumbers w:val="0"/>
              <w:kinsoku/>
              <w:wordWrap/>
              <w:overflowPunct/>
              <w:topLinePunct w:val="0"/>
              <w:bidi w:val="0"/>
              <w:adjustRightInd/>
              <w:spacing w:line="360" w:lineRule="auto"/>
              <w:ind w:firstLine="420" w:firstLineChars="20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3.响应文件启用顺序和效力：响应文件的启用，按先后顺位分别为电子响应文件、以介质存储的数据电文形式的电子备份响应文件。顺位在先的响应文件已按时解密的， 下一顺位响应文件自动失效。在下一顺位的响应文件启用时，前一顺位的响应文件自动失效。 </w:t>
            </w:r>
          </w:p>
          <w:p w14:paraId="5179527B">
            <w:pPr>
              <w:keepNext w:val="0"/>
              <w:keepLines w:val="0"/>
              <w:pageBreakBefore w:val="0"/>
              <w:widowControl/>
              <w:suppressLineNumbers w:val="0"/>
              <w:kinsoku/>
              <w:wordWrap/>
              <w:overflowPunct/>
              <w:topLinePunct w:val="0"/>
              <w:bidi w:val="0"/>
              <w:adjustRightInd/>
              <w:spacing w:line="360" w:lineRule="auto"/>
              <w:ind w:firstLine="420" w:firstLineChars="20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▲未传输递交电子响应文件的，竞标无效。 </w:t>
            </w:r>
          </w:p>
          <w:p w14:paraId="70A7D947">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▲未按规定提供相应的备份响应文件，造成项目开评标活动无法进行下去的，竞标无效。 </w:t>
            </w:r>
          </w:p>
        </w:tc>
      </w:tr>
      <w:tr w14:paraId="33077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3AF041">
            <w:pPr>
              <w:keepNext w:val="0"/>
              <w:keepLines w:val="0"/>
              <w:pageBreakBefore w:val="0"/>
              <w:kinsoku/>
              <w:wordWrap/>
              <w:overflowPunct/>
              <w:topLinePunct w:val="0"/>
              <w:bidi w:val="0"/>
              <w:adjustRightInd/>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Cs w:val="21"/>
                <w:highlight w:val="none"/>
              </w:rPr>
              <w:t>20.1</w:t>
            </w:r>
          </w:p>
        </w:tc>
        <w:tc>
          <w:tcPr>
            <w:tcW w:w="7912" w:type="dxa"/>
            <w:vAlign w:val="center"/>
          </w:tcPr>
          <w:p w14:paraId="5DA4CA97">
            <w:pPr>
              <w:keepNext w:val="0"/>
              <w:keepLines w:val="0"/>
              <w:pageBreakBefore w:val="0"/>
              <w:kinsoku/>
              <w:wordWrap/>
              <w:overflowPunct/>
              <w:topLinePunct w:val="0"/>
              <w:bidi w:val="0"/>
              <w:adjustRightIn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首次响应文件提交起止时间：</w:t>
            </w:r>
            <w:r>
              <w:rPr>
                <w:rFonts w:hint="eastAsia" w:ascii="宋体" w:hAnsi="宋体" w:cs="宋体"/>
                <w:color w:val="auto"/>
                <w:szCs w:val="21"/>
                <w:highlight w:val="none"/>
                <w:lang w:eastAsia="zh-CN"/>
              </w:rPr>
              <w:t>自公告发布之日起至投标截止时间前止</w:t>
            </w:r>
            <w:r>
              <w:rPr>
                <w:rFonts w:hint="eastAsia" w:ascii="宋体" w:hAnsi="宋体" w:cs="宋体"/>
                <w:color w:val="auto"/>
                <w:szCs w:val="21"/>
                <w:highlight w:val="none"/>
              </w:rPr>
              <w:t>。</w:t>
            </w:r>
          </w:p>
          <w:p w14:paraId="709FDB11">
            <w:pPr>
              <w:keepNext w:val="0"/>
              <w:keepLines w:val="0"/>
              <w:pageBreakBefore w:val="0"/>
              <w:kinsoku/>
              <w:wordWrap/>
              <w:overflowPunct/>
              <w:topLinePunct w:val="0"/>
              <w:bidi w:val="0"/>
              <w:adjustRightIn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首次响应文件提交截止时间：详见竞争性磋商公告。</w:t>
            </w:r>
          </w:p>
          <w:p w14:paraId="5172FB66">
            <w:pPr>
              <w:keepNext w:val="0"/>
              <w:keepLines w:val="0"/>
              <w:pageBreakBefore w:val="0"/>
              <w:kinsoku/>
              <w:wordWrap/>
              <w:overflowPunct/>
              <w:topLinePunct w:val="0"/>
              <w:bidi w:val="0"/>
              <w:adjustRightIn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p w14:paraId="3CEA0F11">
            <w:pPr>
              <w:keepNext w:val="0"/>
              <w:keepLines w:val="0"/>
              <w:pageBreakBefore w:val="0"/>
              <w:kinsoku/>
              <w:wordWrap/>
              <w:overflowPunct/>
              <w:topLinePunct w:val="0"/>
              <w:bidi w:val="0"/>
              <w:adjustRightIn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响应文件解密时间：截标时间后30分钟内，供应商必须在此时间段内登录</w:t>
            </w:r>
            <w:r>
              <w:rPr>
                <w:rFonts w:hint="eastAsia" w:ascii="宋体" w:hAnsi="宋体" w:cs="宋体"/>
                <w:color w:val="auto"/>
                <w:szCs w:val="21"/>
                <w:highlight w:val="none"/>
                <w:lang w:eastAsia="zh-CN"/>
              </w:rPr>
              <w:t>广西政府采购云平台进行</w:t>
            </w:r>
            <w:r>
              <w:rPr>
                <w:rFonts w:hint="eastAsia" w:ascii="宋体" w:hAnsi="宋体" w:cs="宋体"/>
                <w:color w:val="auto"/>
                <w:szCs w:val="21"/>
                <w:highlight w:val="none"/>
              </w:rPr>
              <w:t>解密。若供应商在规定时间内未</w:t>
            </w:r>
            <w:r>
              <w:rPr>
                <w:rFonts w:hint="eastAsia" w:ascii="宋体" w:hAnsi="宋体" w:cs="宋体"/>
                <w:color w:val="auto"/>
                <w:szCs w:val="21"/>
                <w:highlight w:val="none"/>
                <w:lang w:eastAsia="zh-CN"/>
              </w:rPr>
              <w:t>能</w:t>
            </w:r>
            <w:r>
              <w:rPr>
                <w:rFonts w:hint="eastAsia" w:ascii="宋体" w:hAnsi="宋体" w:cs="宋体"/>
                <w:color w:val="auto"/>
                <w:szCs w:val="21"/>
                <w:highlight w:val="none"/>
              </w:rPr>
              <w:t>解密</w:t>
            </w:r>
            <w:r>
              <w:rPr>
                <w:rFonts w:hint="eastAsia" w:ascii="宋体" w:hAnsi="宋体" w:cs="宋体"/>
                <w:color w:val="auto"/>
                <w:szCs w:val="21"/>
                <w:highlight w:val="none"/>
                <w:lang w:eastAsia="zh-CN"/>
              </w:rPr>
              <w:t>成功</w:t>
            </w:r>
            <w:r>
              <w:rPr>
                <w:rFonts w:hint="eastAsia" w:ascii="宋体" w:hAnsi="宋体" w:cs="宋体"/>
                <w:color w:val="auto"/>
                <w:szCs w:val="21"/>
                <w:highlight w:val="none"/>
              </w:rPr>
              <w:t>的，视为</w:t>
            </w:r>
            <w:r>
              <w:rPr>
                <w:rFonts w:hint="eastAsia" w:ascii="宋体" w:hAnsi="宋体" w:cs="宋体"/>
                <w:color w:val="auto"/>
                <w:szCs w:val="21"/>
                <w:highlight w:val="none"/>
                <w:lang w:eastAsia="zh-CN"/>
              </w:rPr>
              <w:t>竞标无效，一切后果由供应商自行负责</w:t>
            </w:r>
            <w:r>
              <w:rPr>
                <w:rFonts w:hint="eastAsia" w:ascii="宋体" w:hAnsi="宋体" w:cs="宋体"/>
                <w:color w:val="auto"/>
                <w:szCs w:val="21"/>
                <w:highlight w:val="none"/>
              </w:rPr>
              <w:t>。</w:t>
            </w:r>
          </w:p>
          <w:p w14:paraId="01CCCD84">
            <w:pPr>
              <w:keepNext w:val="0"/>
              <w:keepLines w:val="0"/>
              <w:pageBreakBefore w:val="0"/>
              <w:widowControl/>
              <w:kinsoku/>
              <w:wordWrap/>
              <w:overflowPunct/>
              <w:topLinePunct w:val="0"/>
              <w:bidi w:val="0"/>
              <w:adjustRightInd/>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备注：</w:t>
            </w:r>
          </w:p>
          <w:p w14:paraId="34353951">
            <w:pPr>
              <w:keepNext w:val="0"/>
              <w:keepLines w:val="0"/>
              <w:pageBreakBefore w:val="0"/>
              <w:widowControl/>
              <w:kinsoku/>
              <w:wordWrap/>
              <w:overflowPunct/>
              <w:topLinePunct w:val="0"/>
              <w:bidi w:val="0"/>
              <w:adjustRightInd/>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1、本项目通过</w:t>
            </w:r>
            <w:r>
              <w:rPr>
                <w:rFonts w:hint="eastAsia" w:ascii="宋体" w:hAnsi="宋体" w:cs="宋体"/>
                <w:color w:val="auto"/>
                <w:highlight w:val="none"/>
                <w:lang w:eastAsia="zh-CN"/>
              </w:rPr>
              <w:t>广西政府采购云平台</w:t>
            </w:r>
            <w:r>
              <w:rPr>
                <w:rFonts w:hint="eastAsia" w:ascii="宋体" w:hAnsi="宋体" w:cs="宋体"/>
                <w:color w:val="auto"/>
                <w:highlight w:val="none"/>
              </w:rPr>
              <w:t>实行在线投标响应（电子投标），供应商需要先安装“</w:t>
            </w:r>
            <w:r>
              <w:rPr>
                <w:rFonts w:hint="eastAsia" w:ascii="宋体" w:hAnsi="宋体" w:cs="宋体"/>
                <w:color w:val="auto"/>
                <w:highlight w:val="none"/>
                <w:lang w:eastAsia="zh-CN"/>
              </w:rPr>
              <w:t>广西政府采购云平台</w:t>
            </w:r>
            <w:r>
              <w:rPr>
                <w:rFonts w:hint="eastAsia" w:ascii="宋体" w:hAnsi="宋体" w:cs="宋体"/>
                <w:color w:val="auto"/>
                <w:highlight w:val="none"/>
              </w:rPr>
              <w:t>电子交易客户端”，并按照本采购文件和</w:t>
            </w:r>
            <w:r>
              <w:rPr>
                <w:rFonts w:hint="eastAsia" w:ascii="宋体" w:hAnsi="宋体" w:cs="宋体"/>
                <w:color w:val="auto"/>
                <w:highlight w:val="none"/>
                <w:lang w:eastAsia="zh-CN"/>
              </w:rPr>
              <w:t>广西政府采购云平台</w:t>
            </w:r>
            <w:r>
              <w:rPr>
                <w:rFonts w:hint="eastAsia" w:ascii="宋体" w:hAnsi="宋体" w:cs="宋体"/>
                <w:color w:val="auto"/>
                <w:highlight w:val="none"/>
              </w:rPr>
              <w:t>的要求，通过“</w:t>
            </w:r>
            <w:r>
              <w:rPr>
                <w:rFonts w:hint="eastAsia" w:ascii="宋体" w:hAnsi="宋体" w:cs="宋体"/>
                <w:color w:val="auto"/>
                <w:highlight w:val="none"/>
                <w:lang w:eastAsia="zh-CN"/>
              </w:rPr>
              <w:t>广西政府采购云平台</w:t>
            </w:r>
            <w:r>
              <w:rPr>
                <w:rFonts w:hint="eastAsia" w:ascii="宋体" w:hAnsi="宋体" w:cs="宋体"/>
                <w:color w:val="auto"/>
                <w:highlight w:val="none"/>
              </w:rPr>
              <w:t>电子交易客户端”编制并加密响应文件。供应商未按规定编制并加密的响应文件，</w:t>
            </w:r>
            <w:r>
              <w:rPr>
                <w:rFonts w:hint="eastAsia" w:ascii="宋体" w:hAnsi="宋体" w:cs="宋体"/>
                <w:color w:val="auto"/>
                <w:highlight w:val="none"/>
                <w:lang w:eastAsia="zh-CN"/>
              </w:rPr>
              <w:t>广西政府采购云平台</w:t>
            </w:r>
            <w:r>
              <w:rPr>
                <w:rFonts w:hint="eastAsia" w:ascii="宋体" w:hAnsi="宋体" w:cs="宋体"/>
                <w:color w:val="auto"/>
                <w:highlight w:val="none"/>
              </w:rPr>
              <w:t>将予以拒收。</w:t>
            </w:r>
          </w:p>
          <w:p w14:paraId="35536572">
            <w:pPr>
              <w:keepNext w:val="0"/>
              <w:keepLines w:val="0"/>
              <w:pageBreakBefore w:val="0"/>
              <w:kinsoku/>
              <w:wordWrap/>
              <w:overflowPunct/>
              <w:topLinePunct w:val="0"/>
              <w:bidi w:val="0"/>
              <w:adjustRightInd/>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广西政府采购云平台</w:t>
            </w:r>
            <w:r>
              <w:rPr>
                <w:rFonts w:hint="eastAsia" w:ascii="宋体" w:hAnsi="宋体" w:cs="宋体"/>
                <w:color w:val="auto"/>
                <w:highlight w:val="none"/>
              </w:rPr>
              <w:t>电子交易客户端”请自行前往广西政府采购网下载并安装；电子投标具体操作流程参考《政府采购项目电子交易管理操作指南-供应商》；通过</w:t>
            </w:r>
            <w:r>
              <w:rPr>
                <w:rFonts w:hint="eastAsia" w:ascii="宋体" w:hAnsi="宋体" w:cs="宋体"/>
                <w:color w:val="auto"/>
                <w:highlight w:val="none"/>
                <w:lang w:eastAsia="zh-CN"/>
              </w:rPr>
              <w:t>广西政府采购云平台</w:t>
            </w:r>
            <w:r>
              <w:rPr>
                <w:rFonts w:hint="eastAsia" w:ascii="宋体" w:hAnsi="宋体" w:cs="宋体"/>
                <w:color w:val="auto"/>
                <w:highlight w:val="none"/>
              </w:rPr>
              <w:t>参与在线投标时如遇平台技术问题详询400-881-7190。</w:t>
            </w:r>
          </w:p>
          <w:p w14:paraId="7A7AE9C5">
            <w:pPr>
              <w:keepNext w:val="0"/>
              <w:keepLines w:val="0"/>
              <w:pageBreakBefore w:val="0"/>
              <w:kinsoku/>
              <w:wordWrap/>
              <w:overflowPunct/>
              <w:topLinePunct w:val="0"/>
              <w:bidi w:val="0"/>
              <w:adjustRightInd/>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3、为确保网上操作合法、有效和安全，</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应当在投标截止时间前完成在“</w:t>
            </w:r>
            <w:r>
              <w:rPr>
                <w:rFonts w:hint="eastAsia" w:ascii="宋体" w:hAnsi="宋体" w:cs="宋体"/>
                <w:color w:val="auto"/>
                <w:highlight w:val="none"/>
                <w:lang w:eastAsia="zh-CN"/>
              </w:rPr>
              <w:t>广西</w:t>
            </w:r>
            <w:r>
              <w:rPr>
                <w:rFonts w:hint="eastAsia" w:ascii="宋体" w:hAnsi="宋体" w:cs="宋体"/>
                <w:color w:val="auto"/>
                <w:highlight w:val="none"/>
              </w:rPr>
              <w:t>政府采购云平台”的身份认证，确保在电子投标过程中能够对相关数据电文进行加密和使用电子签章。使用“</w:t>
            </w:r>
            <w:r>
              <w:rPr>
                <w:rFonts w:hint="eastAsia" w:ascii="宋体" w:hAnsi="宋体" w:cs="宋体"/>
                <w:color w:val="auto"/>
                <w:highlight w:val="none"/>
                <w:lang w:eastAsia="zh-CN"/>
              </w:rPr>
              <w:t>广西政府采购云平台</w:t>
            </w:r>
            <w:r>
              <w:rPr>
                <w:rFonts w:hint="eastAsia" w:ascii="宋体" w:hAnsi="宋体" w:cs="宋体"/>
                <w:color w:val="auto"/>
                <w:highlight w:val="none"/>
              </w:rPr>
              <w:t>电子交易客户端”需要提前申领CA数字证书，申领流程请自行前往</w:t>
            </w:r>
            <w:r>
              <w:rPr>
                <w:rFonts w:hint="eastAsia" w:ascii="宋体" w:hAnsi="宋体" w:cs="宋体"/>
                <w:color w:val="auto"/>
                <w:highlight w:val="none"/>
                <w:lang w:eastAsia="zh-CN"/>
              </w:rPr>
              <w:t>广西政府采购云平台下载查阅</w:t>
            </w:r>
            <w:r>
              <w:rPr>
                <w:rFonts w:hint="eastAsia" w:ascii="宋体" w:hAnsi="宋体" w:cs="宋体"/>
                <w:color w:val="auto"/>
                <w:highlight w:val="none"/>
              </w:rPr>
              <w:t>；</w:t>
            </w:r>
          </w:p>
          <w:p w14:paraId="1FECC1DF">
            <w:pPr>
              <w:keepNext w:val="0"/>
              <w:keepLines w:val="0"/>
              <w:pageBreakBefore w:val="0"/>
              <w:kinsoku/>
              <w:wordWrap/>
              <w:overflowPunct/>
              <w:topLinePunct w:val="0"/>
              <w:bidi w:val="0"/>
              <w:adjustRightInd/>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4、</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应当在投标截止时间前，将生成的“电子加密响应文件”上传递交至</w:t>
            </w:r>
            <w:r>
              <w:rPr>
                <w:rFonts w:hint="eastAsia" w:ascii="宋体" w:hAnsi="宋体" w:cs="宋体"/>
                <w:color w:val="auto"/>
                <w:highlight w:val="none"/>
                <w:lang w:eastAsia="zh-CN"/>
              </w:rPr>
              <w:t>广西政府采购云平台</w:t>
            </w:r>
            <w:r>
              <w:rPr>
                <w:rFonts w:hint="eastAsia" w:ascii="宋体" w:hAnsi="宋体" w:cs="宋体"/>
                <w:color w:val="auto"/>
                <w:highlight w:val="none"/>
              </w:rPr>
              <w:t>。投标截止时间前可以补充、修改或者撤回电子响应文件。补充或者修改电子响应文件的，应当先行撤回原文件，补充、修改后重新传输递交，投标截止时间前未完成传输的，视为撤回响应文件。</w:t>
            </w:r>
          </w:p>
          <w:p w14:paraId="3D61872F">
            <w:pPr>
              <w:keepNext w:val="0"/>
              <w:keepLines w:val="0"/>
              <w:pageBreakBefore w:val="0"/>
              <w:kinsoku/>
              <w:wordWrap/>
              <w:overflowPunct/>
              <w:topLinePunct w:val="0"/>
              <w:bidi w:val="0"/>
              <w:adjustRightInd/>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5、供应商可以视情况提供以介质（U盘或光盘等）存储的数据电文形成的电子备份响应文件，电子备份响应文件应当在投标截止时间前按要求密封并送达</w:t>
            </w:r>
            <w:r>
              <w:rPr>
                <w:rFonts w:hint="eastAsia" w:ascii="宋体" w:hAnsi="宋体" w:cs="宋体"/>
                <w:color w:val="auto"/>
                <w:highlight w:val="none"/>
                <w:lang w:eastAsia="zh-CN"/>
              </w:rPr>
              <w:t>开标地址</w:t>
            </w:r>
            <w:r>
              <w:rPr>
                <w:rFonts w:hint="eastAsia" w:ascii="宋体" w:hAnsi="宋体" w:cs="宋体"/>
                <w:color w:val="auto"/>
                <w:highlight w:val="none"/>
              </w:rPr>
              <w:t>，逾期送达或未按要求密封将被拒收。电子备份响应文件应当密封包装并在包装上标注投标项目名称、投标单位名称并加盖公章。</w:t>
            </w:r>
          </w:p>
          <w:p w14:paraId="48B16DCE">
            <w:pPr>
              <w:keepNext w:val="0"/>
              <w:keepLines w:val="0"/>
              <w:pageBreakBefore w:val="0"/>
              <w:kinsoku/>
              <w:wordWrap/>
              <w:overflowPunct/>
              <w:topLinePunct w:val="0"/>
              <w:bidi w:val="0"/>
              <w:adjustRightInd/>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邮寄地址：（详见公告）。拒收到付邮件，通过邮寄方式送达的，请合理安排邮寄时间，因邮寄原因未能在规定时间内送达的后果由</w:t>
            </w:r>
            <w:r>
              <w:rPr>
                <w:rFonts w:hint="eastAsia" w:ascii="宋体" w:hAnsi="宋体" w:cs="宋体"/>
                <w:color w:val="auto"/>
                <w:highlight w:val="none"/>
                <w:lang w:eastAsia="zh-CN"/>
              </w:rPr>
              <w:t>供应商</w:t>
            </w:r>
            <w:r>
              <w:rPr>
                <w:rFonts w:hint="eastAsia" w:ascii="宋体" w:hAnsi="宋体" w:cs="宋体"/>
                <w:color w:val="auto"/>
                <w:highlight w:val="none"/>
              </w:rPr>
              <w:t>自行承担。</w:t>
            </w:r>
          </w:p>
          <w:p w14:paraId="718D6787">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highlight w:val="none"/>
              </w:rPr>
              <w:t>6、通过“</w:t>
            </w:r>
            <w:r>
              <w:rPr>
                <w:rFonts w:hint="eastAsia" w:ascii="宋体" w:hAnsi="宋体" w:cs="宋体"/>
                <w:color w:val="auto"/>
                <w:highlight w:val="none"/>
                <w:lang w:eastAsia="zh-CN"/>
              </w:rPr>
              <w:t>广西</w:t>
            </w:r>
            <w:r>
              <w:rPr>
                <w:rFonts w:hint="eastAsia" w:ascii="宋体" w:hAnsi="宋体" w:cs="宋体"/>
                <w:color w:val="auto"/>
                <w:highlight w:val="none"/>
              </w:rPr>
              <w:t>政府采购云平台”上传递交的“电子加密响应文件”无法按时解密，</w:t>
            </w:r>
            <w:r>
              <w:rPr>
                <w:rFonts w:hint="eastAsia" w:ascii="宋体" w:hAnsi="宋体" w:cs="宋体"/>
                <w:color w:val="auto"/>
                <w:highlight w:val="none"/>
                <w:lang w:eastAsia="zh-CN"/>
              </w:rPr>
              <w:t>供应商</w:t>
            </w:r>
            <w:r>
              <w:rPr>
                <w:rFonts w:hint="eastAsia" w:ascii="宋体" w:hAnsi="宋体" w:cs="宋体"/>
                <w:color w:val="auto"/>
                <w:highlight w:val="none"/>
              </w:rPr>
              <w:t>递交了电子备份响应文件的，以电子备份响应文件为依据，否则视为响应文件撤回。通过</w:t>
            </w:r>
            <w:r>
              <w:rPr>
                <w:rFonts w:hint="eastAsia" w:ascii="宋体" w:hAnsi="宋体" w:cs="宋体"/>
                <w:color w:val="auto"/>
                <w:highlight w:val="none"/>
                <w:lang w:eastAsia="zh-CN"/>
              </w:rPr>
              <w:t>广西政府采购云平台</w:t>
            </w:r>
            <w:r>
              <w:rPr>
                <w:rFonts w:hint="eastAsia" w:ascii="宋体" w:hAnsi="宋体" w:cs="宋体"/>
                <w:color w:val="auto"/>
                <w:highlight w:val="none"/>
              </w:rPr>
              <w:t>上传递交的电子加密响应文件已按时解密的，电子备份响应文件自动失效。</w:t>
            </w:r>
            <w:r>
              <w:rPr>
                <w:rFonts w:hint="eastAsia" w:ascii="宋体" w:hAnsi="宋体" w:cs="宋体"/>
                <w:color w:val="auto"/>
                <w:highlight w:val="none"/>
                <w:lang w:eastAsia="zh-CN"/>
              </w:rPr>
              <w:t>供应商</w:t>
            </w:r>
            <w:r>
              <w:rPr>
                <w:rFonts w:hint="eastAsia" w:ascii="宋体" w:hAnsi="宋体" w:cs="宋体"/>
                <w:color w:val="auto"/>
                <w:highlight w:val="none"/>
              </w:rPr>
              <w:t>仅递交电子备份响应文件的，投标无效。</w:t>
            </w:r>
          </w:p>
        </w:tc>
      </w:tr>
      <w:tr w14:paraId="2D562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CD47E4E">
            <w:pPr>
              <w:keepNext w:val="0"/>
              <w:keepLines w:val="0"/>
              <w:pageBreakBefore w:val="0"/>
              <w:kinsoku/>
              <w:wordWrap/>
              <w:overflowPunct/>
              <w:topLinePunct w:val="0"/>
              <w:bidi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7912" w:type="dxa"/>
            <w:vAlign w:val="center"/>
          </w:tcPr>
          <w:p w14:paraId="03A017D4">
            <w:pPr>
              <w:keepNext w:val="0"/>
              <w:keepLines w:val="0"/>
              <w:pageBreakBefore w:val="0"/>
              <w:kinsoku/>
              <w:wordWrap/>
              <w:overflowPunct/>
              <w:topLinePunct w:val="0"/>
              <w:bidi w:val="0"/>
              <w:adjustRightInd/>
              <w:snapToGrid w:val="0"/>
              <w:spacing w:line="360" w:lineRule="auto"/>
              <w:ind w:firstLine="420" w:firstLineChars="200"/>
              <w:jc w:val="left"/>
              <w:rPr>
                <w:rFonts w:hint="eastAsia"/>
                <w:color w:val="auto"/>
                <w:highlight w:val="none"/>
                <w:lang w:eastAsia="zh-CN"/>
              </w:rPr>
            </w:pPr>
            <w:r>
              <w:rPr>
                <w:rFonts w:hint="eastAsia" w:ascii="宋体" w:hAnsi="宋体" w:eastAsia="宋体" w:cs="宋体"/>
                <w:color w:val="auto"/>
                <w:sz w:val="21"/>
                <w:szCs w:val="21"/>
                <w:highlight w:val="none"/>
              </w:rPr>
              <w:t>磋商小组的人数：</w:t>
            </w:r>
            <w:r>
              <w:rPr>
                <w:rFonts w:hint="default" w:ascii="宋体" w:hAnsi="宋体" w:eastAsia="宋体" w:cs="宋体"/>
                <w:color w:val="auto"/>
                <w:sz w:val="21"/>
                <w:szCs w:val="21"/>
                <w:highlight w:val="none"/>
              </w:rPr>
              <w:t>采购人代表</w:t>
            </w:r>
            <w:r>
              <w:rPr>
                <w:rFonts w:hint="eastAsia" w:ascii="宋体" w:hAnsi="宋体" w:cs="宋体"/>
                <w:color w:val="auto"/>
                <w:sz w:val="21"/>
                <w:szCs w:val="21"/>
                <w:highlight w:val="none"/>
                <w:lang w:val="en-US" w:eastAsia="zh-CN"/>
              </w:rPr>
              <w:t>1人</w:t>
            </w:r>
            <w:r>
              <w:rPr>
                <w:rFonts w:hint="default" w:ascii="宋体" w:hAnsi="宋体" w:eastAsia="宋体" w:cs="宋体"/>
                <w:color w:val="auto"/>
                <w:sz w:val="21"/>
                <w:szCs w:val="21"/>
                <w:highlight w:val="none"/>
              </w:rPr>
              <w:t>和评审专家</w:t>
            </w:r>
            <w:r>
              <w:rPr>
                <w:rFonts w:hint="eastAsia" w:ascii="宋体" w:hAnsi="宋体" w:cs="宋体"/>
                <w:color w:val="auto"/>
                <w:sz w:val="21"/>
                <w:szCs w:val="21"/>
                <w:highlight w:val="none"/>
                <w:lang w:val="en-US" w:eastAsia="zh-CN"/>
              </w:rPr>
              <w:t>2人一</w:t>
            </w:r>
            <w:r>
              <w:rPr>
                <w:rFonts w:hint="default" w:ascii="宋体" w:hAnsi="宋体" w:eastAsia="宋体" w:cs="宋体"/>
                <w:color w:val="auto"/>
                <w:sz w:val="21"/>
                <w:szCs w:val="21"/>
                <w:highlight w:val="none"/>
              </w:rPr>
              <w:t>共3人单数组成，其中评审专家人数不得少于磋商小组成员总数的2/3。采购人代表不得以评审专家身份参加本部门或本单位采购项目的评审。采购代理机构人员不得参加本机构代理的采购项目的评审</w:t>
            </w:r>
            <w:r>
              <w:rPr>
                <w:rFonts w:hint="eastAsia" w:ascii="宋体" w:hAnsi="宋体" w:eastAsia="宋体" w:cs="宋体"/>
                <w:color w:val="auto"/>
                <w:sz w:val="21"/>
                <w:szCs w:val="21"/>
                <w:highlight w:val="none"/>
                <w:lang w:eastAsia="zh-CN"/>
              </w:rPr>
              <w:t>。</w:t>
            </w:r>
          </w:p>
        </w:tc>
      </w:tr>
      <w:tr w14:paraId="1CA7F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3E1921CE">
            <w:pPr>
              <w:keepNext w:val="0"/>
              <w:keepLines w:val="0"/>
              <w:pageBreakBefore w:val="0"/>
              <w:kinsoku/>
              <w:wordWrap/>
              <w:overflowPunct/>
              <w:topLinePunct w:val="0"/>
              <w:bidi w:val="0"/>
              <w:adjustRightInd/>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6.2</w:t>
            </w:r>
          </w:p>
        </w:tc>
        <w:tc>
          <w:tcPr>
            <w:tcW w:w="7912" w:type="dxa"/>
            <w:vAlign w:val="center"/>
          </w:tcPr>
          <w:p w14:paraId="138DB201">
            <w:pPr>
              <w:keepNext w:val="0"/>
              <w:keepLines w:val="0"/>
              <w:pageBreakBefore w:val="0"/>
              <w:kinsoku/>
              <w:wordWrap/>
              <w:overflowPunct/>
              <w:topLinePunct w:val="0"/>
              <w:bidi w:val="0"/>
              <w:adjustRightInd/>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p w14:paraId="32B4847A">
            <w:pPr>
              <w:keepNext w:val="0"/>
              <w:keepLines w:val="0"/>
              <w:pageBreakBefore w:val="0"/>
              <w:kinsoku/>
              <w:wordWrap/>
              <w:overflowPunct/>
              <w:topLinePunct w:val="0"/>
              <w:bidi w:val="0"/>
              <w:adjustRightInd/>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tc>
      </w:tr>
      <w:tr w14:paraId="21137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1B0A1071">
            <w:pPr>
              <w:keepNext w:val="0"/>
              <w:keepLines w:val="0"/>
              <w:pageBreakBefore w:val="0"/>
              <w:kinsoku/>
              <w:wordWrap/>
              <w:overflowPunct/>
              <w:topLinePunct w:val="0"/>
              <w:bidi w:val="0"/>
              <w:adjustRightInd/>
              <w:spacing w:line="360" w:lineRule="auto"/>
              <w:ind w:firstLine="420" w:firstLineChars="200"/>
              <w:jc w:val="center"/>
              <w:rPr>
                <w:rFonts w:hint="eastAsia" w:ascii="宋体" w:hAnsi="宋体" w:eastAsia="宋体" w:cs="宋体"/>
                <w:color w:val="auto"/>
                <w:sz w:val="21"/>
                <w:szCs w:val="21"/>
                <w:highlight w:val="none"/>
              </w:rPr>
            </w:pPr>
          </w:p>
        </w:tc>
        <w:tc>
          <w:tcPr>
            <w:tcW w:w="7912" w:type="dxa"/>
            <w:vAlign w:val="center"/>
          </w:tcPr>
          <w:p w14:paraId="6AD41770">
            <w:pPr>
              <w:keepNext w:val="0"/>
              <w:keepLines w:val="0"/>
              <w:pageBreakBefore w:val="0"/>
              <w:kinsoku/>
              <w:wordWrap/>
              <w:overflowPunct/>
              <w:topLinePunct w:val="0"/>
              <w:bidi w:val="0"/>
              <w:adjustRightInd/>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磋商的顺序：</w:t>
            </w:r>
          </w:p>
          <w:p w14:paraId="7D1D58C2">
            <w:pPr>
              <w:pStyle w:val="8"/>
              <w:keepNext w:val="0"/>
              <w:keepLines w:val="0"/>
              <w:pageBreakBefore w:val="0"/>
              <w:kinsoku/>
              <w:wordWrap/>
              <w:overflowPunct/>
              <w:topLinePunct w:val="0"/>
              <w:bidi w:val="0"/>
              <w:adjustRightInd/>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按照</w:t>
            </w:r>
            <w:r>
              <w:rPr>
                <w:rFonts w:hint="eastAsia" w:ascii="宋体" w:hAnsi="宋体" w:cs="宋体"/>
                <w:color w:val="auto"/>
                <w:szCs w:val="21"/>
                <w:highlight w:val="none"/>
              </w:rPr>
              <w:t>提交首次响应文件的顺序，通知磋商时，若某供应商不在通知现场时（该供应商排序到最后磋商），按照签到的顺序由其下一位供应商先参与磋商。</w:t>
            </w:r>
          </w:p>
          <w:p w14:paraId="1A6CC5C7">
            <w:pPr>
              <w:pStyle w:val="8"/>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b/>
                <w:color w:val="auto"/>
                <w:sz w:val="21"/>
                <w:szCs w:val="21"/>
                <w:highlight w:val="none"/>
                <w:lang w:val="en-US" w:eastAsia="zh-CN"/>
              </w:rPr>
            </w:pPr>
            <w:r>
              <w:rPr>
                <w:rFonts w:hint="eastAsia" w:ascii="宋体" w:hAnsi="宋体" w:cs="宋体"/>
                <w:color w:val="auto"/>
                <w:szCs w:val="21"/>
                <w:highlight w:val="none"/>
              </w:rPr>
              <w:t>☑随机排序。</w:t>
            </w:r>
            <w:r>
              <w:rPr>
                <w:rFonts w:hint="eastAsia" w:ascii="宋体" w:hAnsi="宋体" w:cs="宋体"/>
                <w:color w:val="auto"/>
                <w:szCs w:val="21"/>
                <w:highlight w:val="none"/>
                <w:lang w:eastAsia="zh-CN"/>
              </w:rPr>
              <w:t>【由磋商小组在广西政府采购云平台上对竞标人发起询标函，在</w:t>
            </w:r>
            <w:r>
              <w:rPr>
                <w:rFonts w:hint="eastAsia" w:ascii="宋体" w:hAnsi="宋体" w:cs="宋体"/>
                <w:color w:val="auto"/>
                <w:szCs w:val="21"/>
                <w:highlight w:val="none"/>
                <w:lang w:val="en-US" w:eastAsia="zh-CN"/>
              </w:rPr>
              <w:t>30分钟内竞标人在广西政府采购云平台上进行回复确认，如竞标人在规定时间内没有回复的，视为无效。</w:t>
            </w:r>
            <w:r>
              <w:rPr>
                <w:rFonts w:hint="eastAsia" w:ascii="宋体" w:hAnsi="宋体" w:cs="宋体"/>
                <w:color w:val="auto"/>
                <w:szCs w:val="21"/>
                <w:highlight w:val="none"/>
                <w:lang w:eastAsia="zh-CN"/>
              </w:rPr>
              <w:t>】</w:t>
            </w:r>
          </w:p>
        </w:tc>
      </w:tr>
      <w:tr w14:paraId="3C630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F1F83CE">
            <w:pPr>
              <w:keepNext w:val="0"/>
              <w:keepLines w:val="0"/>
              <w:pageBreakBefore w:val="0"/>
              <w:kinsoku/>
              <w:wordWrap/>
              <w:overflowPunct/>
              <w:topLinePunct w:val="0"/>
              <w:bidi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w:t>
            </w:r>
          </w:p>
        </w:tc>
        <w:tc>
          <w:tcPr>
            <w:tcW w:w="7912" w:type="dxa"/>
            <w:vAlign w:val="center"/>
          </w:tcPr>
          <w:p w14:paraId="6F4CCB51">
            <w:pPr>
              <w:keepNext w:val="0"/>
              <w:keepLines w:val="0"/>
              <w:pageBreakBefore w:val="0"/>
              <w:kinsoku/>
              <w:wordWrap/>
              <w:overflowPunct/>
              <w:topLinePunct w:val="0"/>
              <w:bidi w:val="0"/>
              <w:adjustRightInd/>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☑不需要缴纳履约保证金。</w:t>
            </w:r>
          </w:p>
        </w:tc>
      </w:tr>
      <w:tr w14:paraId="351A4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7" w:hRule="atLeast"/>
          <w:jc w:val="center"/>
        </w:trPr>
        <w:tc>
          <w:tcPr>
            <w:tcW w:w="992" w:type="dxa"/>
            <w:vAlign w:val="center"/>
          </w:tcPr>
          <w:p w14:paraId="2A2234BB">
            <w:pPr>
              <w:keepNext w:val="0"/>
              <w:keepLines w:val="0"/>
              <w:pageBreakBefore w:val="0"/>
              <w:kinsoku/>
              <w:wordWrap/>
              <w:overflowPunct/>
              <w:topLinePunct w:val="0"/>
              <w:bidi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7912" w:type="dxa"/>
            <w:vAlign w:val="center"/>
          </w:tcPr>
          <w:p w14:paraId="30D8757D">
            <w:pPr>
              <w:keepNext w:val="0"/>
              <w:keepLines w:val="0"/>
              <w:pageBreakBefore w:val="0"/>
              <w:kinsoku/>
              <w:wordWrap/>
              <w:overflowPunct/>
              <w:topLinePunct w:val="0"/>
              <w:autoSpaceDE w:val="0"/>
              <w:autoSpaceDN w:val="0"/>
              <w:bidi w:val="0"/>
              <w:adjustRightInd/>
              <w:snapToGrid w:val="0"/>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w:t>
            </w:r>
            <w:r>
              <w:rPr>
                <w:rFonts w:hint="eastAsia" w:ascii="宋体" w:hAnsi="宋体" w:cs="宋体"/>
                <w:color w:val="auto"/>
                <w:sz w:val="21"/>
                <w:szCs w:val="21"/>
                <w:highlight w:val="none"/>
                <w:lang w:eastAsia="zh-CN"/>
              </w:rPr>
              <w:t>的要求</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本项目采用电子合同，由采购代理机构登录广西政府采购云平台平台起草采购合同，然后推送到供应商，供应商登录广西政府采购云平台</w:t>
            </w:r>
            <w:r>
              <w:rPr>
                <w:rFonts w:hint="eastAsia" w:ascii="宋体" w:hAnsi="宋体" w:cs="宋体"/>
                <w:color w:val="auto"/>
                <w:sz w:val="21"/>
                <w:szCs w:val="21"/>
                <w:highlight w:val="none"/>
                <w:lang w:val="en-US" w:eastAsia="zh-CN"/>
              </w:rPr>
              <w:t>-合同管理-采</w:t>
            </w:r>
            <w:r>
              <w:rPr>
                <w:rFonts w:hint="eastAsia" w:ascii="宋体" w:hAnsi="宋体" w:cs="宋体"/>
                <w:color w:val="auto"/>
                <w:sz w:val="21"/>
                <w:szCs w:val="21"/>
                <w:highlight w:val="none"/>
                <w:lang w:eastAsia="zh-CN"/>
              </w:rPr>
              <w:t>用</w:t>
            </w:r>
            <w:r>
              <w:rPr>
                <w:rFonts w:hint="eastAsia" w:ascii="宋体" w:hAnsi="宋体" w:cs="宋体"/>
                <w:color w:val="auto"/>
                <w:sz w:val="21"/>
                <w:szCs w:val="21"/>
                <w:highlight w:val="none"/>
                <w:lang w:val="en-US" w:eastAsia="zh-CN"/>
              </w:rPr>
              <w:t>CA锁进行签章（电子公章、法定代表人电子印章或签字章）完成后提交至采购人，</w:t>
            </w:r>
            <w:r>
              <w:rPr>
                <w:rFonts w:hint="eastAsia" w:ascii="宋体" w:hAnsi="宋体" w:cs="宋体"/>
                <w:color w:val="auto"/>
                <w:sz w:val="21"/>
                <w:szCs w:val="21"/>
                <w:highlight w:val="none"/>
                <w:lang w:eastAsia="zh-CN"/>
              </w:rPr>
              <w:t>登录广西政府采购云平台</w:t>
            </w:r>
            <w:r>
              <w:rPr>
                <w:rFonts w:hint="eastAsia" w:ascii="宋体" w:hAnsi="宋体" w:cs="宋体"/>
                <w:color w:val="auto"/>
                <w:sz w:val="21"/>
                <w:szCs w:val="21"/>
                <w:highlight w:val="none"/>
                <w:lang w:val="en-US" w:eastAsia="zh-CN"/>
              </w:rPr>
              <w:t>-合同管理-采</w:t>
            </w:r>
            <w:r>
              <w:rPr>
                <w:rFonts w:hint="eastAsia" w:ascii="宋体" w:hAnsi="宋体" w:cs="宋体"/>
                <w:color w:val="auto"/>
                <w:sz w:val="21"/>
                <w:szCs w:val="21"/>
                <w:highlight w:val="none"/>
                <w:lang w:eastAsia="zh-CN"/>
              </w:rPr>
              <w:t>用</w:t>
            </w:r>
            <w:r>
              <w:rPr>
                <w:rFonts w:hint="eastAsia" w:ascii="宋体" w:hAnsi="宋体" w:cs="宋体"/>
                <w:color w:val="auto"/>
                <w:sz w:val="21"/>
                <w:szCs w:val="21"/>
                <w:highlight w:val="none"/>
                <w:lang w:val="en-US" w:eastAsia="zh-CN"/>
              </w:rPr>
              <w:t>CA锁进行签章（电子公章、法定代表人电子印章或签字章），状态显示“已完成”即可</w:t>
            </w:r>
            <w:r>
              <w:rPr>
                <w:rFonts w:hint="eastAsia" w:ascii="宋体" w:hAnsi="宋体" w:eastAsia="宋体" w:cs="宋体"/>
                <w:color w:val="auto"/>
                <w:sz w:val="21"/>
                <w:szCs w:val="21"/>
                <w:highlight w:val="none"/>
              </w:rPr>
              <w:t>。</w:t>
            </w:r>
          </w:p>
        </w:tc>
      </w:tr>
      <w:tr w14:paraId="18B38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9337220">
            <w:pPr>
              <w:keepNext w:val="0"/>
              <w:keepLines w:val="0"/>
              <w:pageBreakBefore w:val="0"/>
              <w:kinsoku/>
              <w:wordWrap/>
              <w:overflowPunct/>
              <w:topLinePunct w:val="0"/>
              <w:bidi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w:t>
            </w:r>
          </w:p>
        </w:tc>
        <w:tc>
          <w:tcPr>
            <w:tcW w:w="7912" w:type="dxa"/>
            <w:vAlign w:val="center"/>
          </w:tcPr>
          <w:p w14:paraId="5F0226D9">
            <w:pPr>
              <w:keepNext w:val="0"/>
              <w:keepLines w:val="0"/>
              <w:pageBreakBefore w:val="0"/>
              <w:kinsoku/>
              <w:wordWrap/>
              <w:overflowPunct/>
              <w:topLinePunct w:val="0"/>
              <w:bidi w:val="0"/>
              <w:adjustRightInd/>
              <w:snapToGrid w:val="0"/>
              <w:spacing w:line="36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接收质疑函方式：以书面形式。</w:t>
            </w:r>
            <w:r>
              <w:rPr>
                <w:rFonts w:hint="eastAsia" w:ascii="宋体" w:hAnsi="宋体" w:eastAsia="宋体" w:cs="宋体"/>
                <w:color w:val="auto"/>
                <w:sz w:val="21"/>
                <w:szCs w:val="21"/>
                <w:highlight w:val="none"/>
                <w:lang w:val="en-US" w:eastAsia="zh-CN"/>
              </w:rPr>
              <w:t>质疑联系部门及联系方式：</w:t>
            </w:r>
            <w:r>
              <w:rPr>
                <w:rFonts w:hint="eastAsia" w:ascii="宋体" w:hAnsi="宋体" w:eastAsia="宋体" w:cs="宋体"/>
                <w:color w:val="auto"/>
                <w:sz w:val="21"/>
                <w:szCs w:val="21"/>
                <w:highlight w:val="none"/>
              </w:rPr>
              <w:t>详见竞争性磋商公告</w:t>
            </w:r>
          </w:p>
          <w:p w14:paraId="0B7CD282">
            <w:pPr>
              <w:keepNext w:val="0"/>
              <w:keepLines w:val="0"/>
              <w:pageBreakBefore w:val="0"/>
              <w:kinsoku/>
              <w:wordWrap/>
              <w:overflowPunct/>
              <w:topLinePunct w:val="0"/>
              <w:autoSpaceDE w:val="0"/>
              <w:autoSpaceDN w:val="0"/>
              <w:bidi w:val="0"/>
              <w:adjustRightInd/>
              <w:snapToGrid w:val="0"/>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业务时间：上午8时00分到12时00分，下午3时00分到6时00分，业务时间以外、双休日和法定节假日不办理业务。</w:t>
            </w:r>
          </w:p>
        </w:tc>
      </w:tr>
      <w:tr w14:paraId="1A3D4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F9A5DC5">
            <w:pPr>
              <w:keepNext w:val="0"/>
              <w:keepLines w:val="0"/>
              <w:pageBreakBefore w:val="0"/>
              <w:kinsoku/>
              <w:wordWrap/>
              <w:overflowPunct/>
              <w:topLinePunct w:val="0"/>
              <w:bidi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p>
        </w:tc>
        <w:tc>
          <w:tcPr>
            <w:tcW w:w="7912" w:type="dxa"/>
            <w:vAlign w:val="center"/>
          </w:tcPr>
          <w:p w14:paraId="750CC17E">
            <w:pPr>
              <w:pStyle w:val="14"/>
              <w:keepNext w:val="0"/>
              <w:keepLines w:val="0"/>
              <w:pageBreakBefore w:val="0"/>
              <w:kinsoku/>
              <w:wordWrap/>
              <w:overflowPunct/>
              <w:topLinePunct w:val="0"/>
              <w:bidi w:val="0"/>
              <w:adjustRightInd/>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1.采购代理费支付方式：</w:t>
            </w:r>
          </w:p>
          <w:p w14:paraId="1A11211D">
            <w:pPr>
              <w:pStyle w:val="14"/>
              <w:keepNext w:val="0"/>
              <w:keepLines w:val="0"/>
              <w:pageBreakBefore w:val="0"/>
              <w:kinsoku/>
              <w:wordWrap/>
              <w:overflowPunct/>
              <w:topLinePunct w:val="0"/>
              <w:bidi w:val="0"/>
              <w:adjustRightInd/>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☑本项目代理服务费由成交供应商领取成交通知书前，一次性向采购代理机构支付。</w:t>
            </w:r>
          </w:p>
          <w:p w14:paraId="4D4A92E8">
            <w:pPr>
              <w:pStyle w:val="14"/>
              <w:keepNext w:val="0"/>
              <w:keepLines w:val="0"/>
              <w:pageBreakBefore w:val="0"/>
              <w:kinsoku/>
              <w:wordWrap/>
              <w:overflowPunct/>
              <w:topLinePunct w:val="0"/>
              <w:bidi w:val="0"/>
              <w:adjustRightInd/>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2.采购代理费收取标准：</w:t>
            </w:r>
            <w:r>
              <w:rPr>
                <w:rFonts w:hint="eastAsia" w:ascii="宋体" w:hAnsi="宋体" w:eastAsia="宋体" w:cs="宋体"/>
                <w:color w:val="auto"/>
                <w:kern w:val="0"/>
                <w:sz w:val="21"/>
                <w:szCs w:val="21"/>
                <w:highlight w:val="none"/>
              </w:rPr>
              <w:t>参照原国家发展计划委员会计价格[2002]1980号《招标代理服务费管理暂行办法》、原发改办价格[2003]857号、原发改价格[2011]534号规定按差额定率累进法计取标准计取</w:t>
            </w:r>
            <w:r>
              <w:rPr>
                <w:rFonts w:hint="eastAsia" w:ascii="宋体" w:hAnsi="宋体" w:eastAsia="宋体" w:cs="宋体"/>
                <w:color w:val="auto"/>
                <w:sz w:val="21"/>
                <w:szCs w:val="21"/>
                <w:highlight w:val="none"/>
                <w:lang w:val="en-US" w:eastAsia="zh-CN"/>
              </w:rPr>
              <w:t>。</w:t>
            </w:r>
          </w:p>
        </w:tc>
      </w:tr>
      <w:tr w14:paraId="7C378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66B407">
            <w:pPr>
              <w:keepNext w:val="0"/>
              <w:keepLines w:val="0"/>
              <w:pageBreakBefore w:val="0"/>
              <w:kinsoku/>
              <w:wordWrap/>
              <w:overflowPunct/>
              <w:topLinePunct w:val="0"/>
              <w:bidi w:val="0"/>
              <w:adjustRightInd/>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Cs w:val="21"/>
                <w:highlight w:val="none"/>
              </w:rPr>
              <w:t>33.1</w:t>
            </w:r>
          </w:p>
        </w:tc>
        <w:tc>
          <w:tcPr>
            <w:tcW w:w="7912" w:type="dxa"/>
            <w:vAlign w:val="center"/>
          </w:tcPr>
          <w:p w14:paraId="16665D47">
            <w:pPr>
              <w:pStyle w:val="14"/>
              <w:keepNext w:val="0"/>
              <w:keepLines w:val="0"/>
              <w:pageBreakBefore w:val="0"/>
              <w:kinsoku/>
              <w:wordWrap/>
              <w:overflowPunct/>
              <w:topLinePunct w:val="0"/>
              <w:bidi w:val="0"/>
              <w:adjustRightInd/>
              <w:snapToGrid w:val="0"/>
              <w:spacing w:line="360" w:lineRule="auto"/>
              <w:ind w:firstLine="420" w:firstLineChars="200"/>
              <w:rPr>
                <w:rFonts w:hint="eastAsia" w:ascii="宋体" w:hAnsi="宋体" w:eastAsia="宋体" w:cs="宋体"/>
                <w:color w:val="auto"/>
                <w:kern w:val="2"/>
                <w:sz w:val="21"/>
                <w:szCs w:val="21"/>
                <w:highlight w:val="none"/>
                <w:lang w:val="en-US" w:eastAsia="zh-CN"/>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04A45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396CE3D">
            <w:pPr>
              <w:keepNext w:val="0"/>
              <w:keepLines w:val="0"/>
              <w:pageBreakBefore w:val="0"/>
              <w:kinsoku/>
              <w:wordWrap/>
              <w:overflowPunct/>
              <w:topLinePunct w:val="0"/>
              <w:bidi w:val="0"/>
              <w:adjustRightInd/>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Cs w:val="21"/>
                <w:highlight w:val="none"/>
              </w:rPr>
              <w:t>33.2</w:t>
            </w:r>
          </w:p>
        </w:tc>
        <w:tc>
          <w:tcPr>
            <w:tcW w:w="7912" w:type="dxa"/>
            <w:vAlign w:val="center"/>
          </w:tcPr>
          <w:p w14:paraId="4045EFBD">
            <w:pPr>
              <w:keepNext w:val="0"/>
              <w:keepLines w:val="0"/>
              <w:pageBreakBefore w:val="0"/>
              <w:kinsoku/>
              <w:wordWrap/>
              <w:overflowPunct/>
              <w:topLinePunct w:val="0"/>
              <w:bidi w:val="0"/>
              <w:adjustRightInd/>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14:paraId="32CFE315">
            <w:pPr>
              <w:keepNext w:val="0"/>
              <w:keepLines w:val="0"/>
              <w:pageBreakBefore w:val="0"/>
              <w:kinsoku/>
              <w:wordWrap/>
              <w:overflowPunct/>
              <w:topLinePunct w:val="0"/>
              <w:bidi w:val="0"/>
              <w:adjustRightInd/>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2.本招标文件中描述投标人的“签字”是指投标人的法定代表人或被授权人亲自在招标文件规定签署处亲笔写上个人的名字的行为，私章、签字章、印鉴、影印等其它形式均不能代替亲笔签字。</w:t>
            </w:r>
          </w:p>
          <w:p w14:paraId="50CD964C">
            <w:pPr>
              <w:keepNext w:val="0"/>
              <w:keepLines w:val="0"/>
              <w:pageBreakBefore w:val="0"/>
              <w:kinsoku/>
              <w:wordWrap/>
              <w:overflowPunct/>
              <w:topLinePunct w:val="0"/>
              <w:bidi w:val="0"/>
              <w:adjustRightInd/>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电子投标文件中须加盖供应商公章部分均采用CA签章，并根据“政府采购项目电子交易管理操作指南-供应商”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 漏读，或者在按采购文件规定的部位查找不到相关内容的，由供应商自行承担。</w:t>
            </w:r>
          </w:p>
          <w:p w14:paraId="3DAAA16A">
            <w:pPr>
              <w:keepNext w:val="0"/>
              <w:keepLines w:val="0"/>
              <w:pageBreakBefore w:val="0"/>
              <w:kinsoku/>
              <w:wordWrap/>
              <w:overflowPunct/>
              <w:topLinePunct w:val="0"/>
              <w:bidi w:val="0"/>
              <w:adjustRightInd/>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CA签章上目前没有法人（负责人）或授权代表签字信息，供应商在投标文件中涉及到签字的位置线下签好字然后扫描或者拍照做成PDF的格式亦可。投标文件中涉及到签字的位置未按要求签字的，提供的材料视为无效。</w:t>
            </w:r>
          </w:p>
          <w:p w14:paraId="10E9D235">
            <w:pPr>
              <w:keepNext w:val="0"/>
              <w:keepLines w:val="0"/>
              <w:pageBreakBefore w:val="0"/>
              <w:kinsoku/>
              <w:wordWrap/>
              <w:overflowPunct/>
              <w:topLinePunct w:val="0"/>
              <w:bidi w:val="0"/>
              <w:adjustRightInd/>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5.本招标文件所称的“以上”“以下”“以内”“届满”，包括本数；所称的“不满”“超过”“以外”，不包括本数。</w:t>
            </w:r>
          </w:p>
        </w:tc>
      </w:tr>
      <w:tr w14:paraId="1716F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0113502">
            <w:pPr>
              <w:keepNext w:val="0"/>
              <w:keepLines w:val="0"/>
              <w:pageBreakBefore w:val="0"/>
              <w:kinsoku/>
              <w:wordWrap/>
              <w:overflowPunct/>
              <w:topLinePunct w:val="0"/>
              <w:bidi w:val="0"/>
              <w:adjustRightInd/>
              <w:spacing w:line="360" w:lineRule="auto"/>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预留份额</w:t>
            </w:r>
          </w:p>
        </w:tc>
        <w:tc>
          <w:tcPr>
            <w:tcW w:w="7912" w:type="dxa"/>
            <w:vAlign w:val="center"/>
          </w:tcPr>
          <w:p w14:paraId="7B03EFE8">
            <w:pPr>
              <w:keepNext w:val="0"/>
              <w:keepLines w:val="0"/>
              <w:pageBreakBefore w:val="0"/>
              <w:kinsoku/>
              <w:wordWrap/>
              <w:overflowPunct/>
              <w:topLinePunct w:val="0"/>
              <w:bidi w:val="0"/>
              <w:adjustRightInd/>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本项目专门面向中小企业采购，预留份额100%，本项目属于</w:t>
            </w:r>
            <w:r>
              <w:rPr>
                <w:rFonts w:hint="eastAsia" w:ascii="宋体" w:hAnsi="宋体" w:eastAsia="宋体" w:cs="宋体"/>
                <w:color w:val="auto"/>
                <w:sz w:val="21"/>
                <w:szCs w:val="21"/>
                <w:highlight w:val="none"/>
                <w:lang w:eastAsia="zh-CN"/>
              </w:rPr>
              <w:t>农、林、牧、渔业</w:t>
            </w:r>
            <w:r>
              <w:rPr>
                <w:rFonts w:hint="eastAsia" w:ascii="宋体" w:hAnsi="宋体" w:cs="宋体"/>
                <w:color w:val="auto"/>
                <w:szCs w:val="21"/>
                <w:highlight w:val="none"/>
                <w:lang w:val="en-US" w:eastAsia="zh-CN"/>
              </w:rPr>
              <w:t>。</w:t>
            </w:r>
          </w:p>
        </w:tc>
      </w:tr>
    </w:tbl>
    <w:p w14:paraId="5A5949D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供应商须知正文</w:t>
      </w:r>
    </w:p>
    <w:p w14:paraId="6293DFB3">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一、总则</w:t>
      </w:r>
    </w:p>
    <w:p w14:paraId="0386D3A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7E46BC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D08BA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4A8A3D8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02D9FC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73A9FD28">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2.2“采购代理机构”是指政府采购代理机构（以下简称采购代理机构）是指集中采购机构以外、受采购人委托从事政府采购代理业务的社会中介机构。</w:t>
      </w:r>
    </w:p>
    <w:p w14:paraId="332A45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12FCB2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2881F3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47E490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是指：供应商根据本磋商文件要求，编制包含资格证明、商务</w:t>
      </w:r>
      <w:r>
        <w:rPr>
          <w:rFonts w:hint="eastAsia" w:ascii="宋体" w:hAnsi="宋体" w:cs="宋体"/>
          <w:color w:val="auto"/>
          <w:spacing w:val="-6"/>
          <w:szCs w:val="21"/>
          <w:highlight w:val="none"/>
          <w:lang w:eastAsia="zh-CN"/>
        </w:rPr>
        <w:t>报价、</w:t>
      </w:r>
      <w:r>
        <w:rPr>
          <w:rFonts w:hint="eastAsia" w:ascii="宋体" w:hAnsi="宋体" w:eastAsia="宋体" w:cs="宋体"/>
          <w:color w:val="auto"/>
          <w:spacing w:val="-6"/>
          <w:szCs w:val="21"/>
          <w:highlight w:val="none"/>
        </w:rPr>
        <w:t>技术</w:t>
      </w:r>
      <w:r>
        <w:rPr>
          <w:rFonts w:hint="eastAsia" w:ascii="宋体" w:hAnsi="宋体" w:cs="宋体"/>
          <w:color w:val="auto"/>
          <w:spacing w:val="-6"/>
          <w:szCs w:val="21"/>
          <w:highlight w:val="none"/>
          <w:lang w:eastAsia="zh-CN"/>
        </w:rPr>
        <w:t>文件</w:t>
      </w:r>
      <w:r>
        <w:rPr>
          <w:rFonts w:hint="eastAsia" w:ascii="宋体" w:hAnsi="宋体" w:eastAsia="宋体" w:cs="宋体"/>
          <w:color w:val="auto"/>
          <w:spacing w:val="-6"/>
          <w:szCs w:val="21"/>
          <w:highlight w:val="none"/>
        </w:rPr>
        <w:t>等所有内容的文件。</w:t>
      </w:r>
    </w:p>
    <w:p w14:paraId="3D26B9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4A6300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521282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560FB8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02AD3D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1C4897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7D2582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2.13“评审价”是指供应商提交的最后报价并经修正（如有）和政策功能价格扣除（如有）后的价格。</w:t>
      </w:r>
    </w:p>
    <w:p w14:paraId="62EF3F4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4E2919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0C14F30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4.竞标费用</w:t>
      </w:r>
    </w:p>
    <w:p w14:paraId="378641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151B712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5E0CA4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5B9F19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0821CB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14:paraId="64A97F8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499AE4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6.1本项目不允许转包。</w:t>
      </w:r>
    </w:p>
    <w:p w14:paraId="11595F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14:paraId="43198F23">
      <w:pPr>
        <w:spacing w:line="360" w:lineRule="auto"/>
        <w:ind w:firstLine="482" w:firstLineChars="200"/>
        <w:rPr>
          <w:rFonts w:hint="eastAsia" w:ascii="宋体" w:hAnsi="宋体" w:eastAsia="宋体" w:cs="宋体"/>
          <w:b/>
          <w:bCs/>
          <w:color w:val="auto"/>
          <w:sz w:val="24"/>
          <w:highlight w:val="none"/>
        </w:rPr>
      </w:pPr>
      <w:bookmarkStart w:id="61" w:name="_Toc254970673"/>
      <w:bookmarkStart w:id="62" w:name="_Toc254970532"/>
      <w:r>
        <w:rPr>
          <w:rFonts w:hint="eastAsia" w:ascii="宋体" w:hAnsi="宋体" w:eastAsia="宋体" w:cs="宋体"/>
          <w:b/>
          <w:bCs/>
          <w:color w:val="auto"/>
          <w:sz w:val="24"/>
          <w:highlight w:val="none"/>
        </w:rPr>
        <w:t>7.特别说明</w:t>
      </w:r>
      <w:bookmarkEnd w:id="61"/>
      <w:bookmarkEnd w:id="62"/>
    </w:p>
    <w:p w14:paraId="16E882EF">
      <w:pPr>
        <w:spacing w:line="360" w:lineRule="auto"/>
        <w:ind w:firstLine="420" w:firstLineChars="200"/>
        <w:rPr>
          <w:rFonts w:hint="eastAsia" w:ascii="宋体" w:hAnsi="宋体" w:eastAsia="宋体" w:cs="宋体"/>
          <w:color w:val="auto"/>
          <w:szCs w:val="21"/>
          <w:highlight w:val="none"/>
        </w:rPr>
      </w:pPr>
      <w:bookmarkStart w:id="63" w:name="_8.1提供相同品牌产品且通过资格审查、符合性审查的不同投标人参加同一合"/>
      <w:bookmarkEnd w:id="63"/>
      <w:r>
        <w:rPr>
          <w:rFonts w:hint="eastAsia" w:ascii="宋体" w:hAnsi="宋体" w:eastAsia="宋体" w:cs="宋体"/>
          <w:color w:val="auto"/>
          <w:szCs w:val="21"/>
          <w:highlight w:val="none"/>
        </w:rPr>
        <w:t>7.1如果本磋商文件要求供应商提供资格、信誉、荣誉、业绩与企业认证等材料的，则供应商所提供的以上材料必须为供应商所拥有。</w:t>
      </w:r>
    </w:p>
    <w:p w14:paraId="692185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2003E2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6BA67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4A921E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55768E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3DB42D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073F30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0934AB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38A74F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BA472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78AD1F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（1）不同供应商的响应文件由同一单位或者个人编制；或者不同供应商报名的IP地址一致的；</w:t>
      </w:r>
    </w:p>
    <w:p w14:paraId="2B7950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1B4733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7B7E15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34DC1A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7DEEE275">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7B0AD0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449272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49A3BA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59F14E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0209D4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6925EC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103CC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6D9AC8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3DE8F93E">
      <w:pPr>
        <w:spacing w:line="360" w:lineRule="auto"/>
        <w:jc w:val="center"/>
        <w:rPr>
          <w:rFonts w:hint="eastAsia" w:ascii="宋体" w:hAnsi="宋体" w:eastAsia="宋体" w:cs="宋体"/>
          <w:color w:val="auto"/>
          <w:sz w:val="20"/>
          <w:szCs w:val="20"/>
          <w:highlight w:val="none"/>
        </w:rPr>
      </w:pPr>
      <w:bookmarkStart w:id="64" w:name="_Toc254970675"/>
      <w:bookmarkStart w:id="65" w:name="_Toc254970534"/>
      <w:r>
        <w:rPr>
          <w:rFonts w:hint="eastAsia" w:ascii="宋体" w:hAnsi="宋体" w:eastAsia="宋体" w:cs="宋体"/>
          <w:b/>
          <w:bCs/>
          <w:color w:val="auto"/>
          <w:sz w:val="28"/>
          <w:szCs w:val="28"/>
          <w:highlight w:val="none"/>
        </w:rPr>
        <w:t>二、磋商文件</w:t>
      </w:r>
      <w:bookmarkEnd w:id="64"/>
      <w:bookmarkEnd w:id="65"/>
    </w:p>
    <w:p w14:paraId="1336B9F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21D4ABF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（1）竞争性磋商公告或者邀请函；</w:t>
      </w:r>
    </w:p>
    <w:p w14:paraId="0B28529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（2）供应商须知； </w:t>
      </w:r>
    </w:p>
    <w:p w14:paraId="4899A06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w:t>
      </w:r>
    </w:p>
    <w:p w14:paraId="5E87FB0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（4）评审程序、评审方法和评审标准；</w:t>
      </w:r>
    </w:p>
    <w:p w14:paraId="3A3E898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（5）响应文件格式；</w:t>
      </w:r>
    </w:p>
    <w:p w14:paraId="59B9A62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（6）合同文本。</w:t>
      </w:r>
    </w:p>
    <w:p w14:paraId="052E9CB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741555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4F8D74C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203FE1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52CA042A">
      <w:pPr>
        <w:spacing w:line="360"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8"/>
          <w:szCs w:val="28"/>
          <w:highlight w:val="none"/>
        </w:rPr>
        <w:t>三、响应文件的编制</w:t>
      </w:r>
    </w:p>
    <w:p w14:paraId="53273FD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3FB831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2377415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513779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w:t>
      </w:r>
      <w:r>
        <w:rPr>
          <w:rFonts w:hint="eastAsia" w:ascii="宋体" w:hAnsi="宋体" w:cs="宋体"/>
          <w:color w:val="auto"/>
          <w:szCs w:val="21"/>
          <w:highlight w:val="none"/>
        </w:rPr>
        <w:t>商务</w:t>
      </w:r>
      <w:r>
        <w:rPr>
          <w:rFonts w:hint="eastAsia" w:ascii="宋体" w:hAnsi="宋体" w:eastAsia="宋体" w:cs="宋体"/>
          <w:color w:val="auto"/>
          <w:szCs w:val="21"/>
          <w:highlight w:val="none"/>
        </w:rPr>
        <w:t>报价</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技术文件组成。</w:t>
      </w:r>
    </w:p>
    <w:p w14:paraId="79F2D629">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6F085E59">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r>
        <w:rPr>
          <w:rFonts w:hint="eastAsia" w:ascii="宋体" w:hAnsi="宋体" w:cs="宋体"/>
          <w:color w:val="auto"/>
          <w:szCs w:val="21"/>
          <w:highlight w:val="none"/>
          <w:lang w:eastAsia="zh-CN"/>
        </w:rPr>
        <w:t>商务报价文件</w:t>
      </w:r>
      <w:r>
        <w:rPr>
          <w:rFonts w:hint="eastAsia" w:ascii="宋体" w:hAnsi="宋体" w:eastAsia="宋体" w:cs="宋体"/>
          <w:color w:val="auto"/>
          <w:szCs w:val="21"/>
          <w:highlight w:val="none"/>
        </w:rPr>
        <w:t>：详见须知前附表</w:t>
      </w:r>
    </w:p>
    <w:p w14:paraId="386A94E4">
      <w:pPr>
        <w:spacing w:line="360" w:lineRule="auto"/>
        <w:ind w:left="840" w:leftChars="200" w:hanging="420" w:hanging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12.1.3</w:t>
      </w:r>
      <w:r>
        <w:rPr>
          <w:rFonts w:hint="eastAsia" w:ascii="宋体" w:hAnsi="宋体" w:cs="宋体"/>
          <w:color w:val="auto"/>
          <w:szCs w:val="21"/>
          <w:highlight w:val="none"/>
          <w:lang w:eastAsia="zh-CN"/>
        </w:rPr>
        <w:t>技术文件</w:t>
      </w:r>
      <w:r>
        <w:rPr>
          <w:rFonts w:hint="eastAsia" w:ascii="宋体" w:hAnsi="宋体" w:eastAsia="宋体" w:cs="宋体"/>
          <w:color w:val="auto"/>
          <w:szCs w:val="21"/>
          <w:highlight w:val="none"/>
        </w:rPr>
        <w:t>：详见须知前附表</w:t>
      </w:r>
    </w:p>
    <w:p w14:paraId="6CDB150B">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70390FB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0AABDC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F0BDE9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736B4D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58F8D9C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15.竞标报价要求和构成</w:t>
      </w:r>
    </w:p>
    <w:p w14:paraId="1FBBB011">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15.1竞标报价应按磋商文件中“竞标报价表”格式填写。</w:t>
      </w:r>
    </w:p>
    <w:p w14:paraId="5BF271A8">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15.2竞标报价的价格构成见“供应商须知前附表”。</w:t>
      </w:r>
    </w:p>
    <w:p w14:paraId="2FC6F588">
      <w:pPr>
        <w:spacing w:line="360" w:lineRule="auto"/>
        <w:ind w:left="426" w:leftChars="203"/>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15.3竞标报价要求</w:t>
      </w:r>
    </w:p>
    <w:p w14:paraId="4B24BB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15.3.1供应商的竞标报价应符合以下要求，否则响应文件按无效响应处理：</w:t>
      </w:r>
    </w:p>
    <w:p w14:paraId="1D3A7183">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w:t>
      </w:r>
    </w:p>
    <w:p w14:paraId="7F29DE9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不得存在漏项报价；</w:t>
      </w:r>
    </w:p>
    <w:p w14:paraId="178F6D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478626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15.3.2竞标报价（包含首次报价、最后报价）超过所竞标分标规定的采购预算金额或者最高限价的，其响应文件将作无效处理。</w:t>
      </w:r>
    </w:p>
    <w:p w14:paraId="016604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66" w:name="_Hlk42592874"/>
      <w:r>
        <w:rPr>
          <w:rFonts w:hint="eastAsia" w:ascii="宋体" w:hAnsi="宋体" w:eastAsia="宋体" w:cs="宋体"/>
          <w:color w:val="auto"/>
          <w:szCs w:val="21"/>
          <w:highlight w:val="none"/>
        </w:rPr>
        <w:t>竞标报价（包含首次报价、最后报价）超过分项采购预算金额或者最高限价的，其响应文件将作无效处理。</w:t>
      </w:r>
    </w:p>
    <w:bookmarkEnd w:id="66"/>
    <w:p w14:paraId="5C174E2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3EF052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765D7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0B2825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5F741F8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1734F80B">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14:paraId="178EE28E">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17.2磋商保证金的退还</w:t>
      </w:r>
    </w:p>
    <w:p w14:paraId="02E845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成交供应商的磋商保证金自成交通知书发出之日起5个工作日内退还，退还方式如下：</w:t>
      </w:r>
    </w:p>
    <w:p w14:paraId="75687F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（1）采用银行转账方式的，以转账方式退回到供应商银行账户。</w:t>
      </w:r>
    </w:p>
    <w:p w14:paraId="25D9AE15">
      <w:pPr>
        <w:pStyle w:val="7"/>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（2）采用支票、汇票、本票或者金融、担保机构出具的保函方式的，由供应商代表持相关授权证明材料至采购人或者采购代理机构办理支票、汇票、本票或者金融、担保机构出具的保函原件退还手续。</w:t>
      </w:r>
    </w:p>
    <w:p w14:paraId="53C4D7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17.2.2成交供应商的磋商保证金自签订合同之日起5个工作日内退还，退还方式同未成交供应商的磋商保证金的退还方式。 </w:t>
      </w:r>
    </w:p>
    <w:p w14:paraId="1BF2E5EF">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17.3磋商保证金不计息。</w:t>
      </w:r>
    </w:p>
    <w:p w14:paraId="5992BA10">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17.4供应商有下列情形之一的，磋商保证金将不予退还： </w:t>
      </w:r>
    </w:p>
    <w:p w14:paraId="707B66F3">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14:paraId="3B4E09CF">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14:paraId="08CD0D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（3）除因不可抗力或者磋商文件认可的情形以外，成交供应商不与采购人签订合同的；</w:t>
      </w:r>
    </w:p>
    <w:p w14:paraId="3CE97C41">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（4）供应商与采购人、其他供应商或者采购代理机构恶意串通的；</w:t>
      </w:r>
    </w:p>
    <w:p w14:paraId="193F9961">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（5）磋商文件规定的其他情形。</w:t>
      </w:r>
    </w:p>
    <w:p w14:paraId="133A9A9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3F02995F">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18.1本项目实行电子投标响应：</w:t>
      </w:r>
    </w:p>
    <w:p w14:paraId="6E418ECD">
      <w:pPr>
        <w:numPr>
          <w:ilvl w:val="0"/>
          <w:numId w:val="3"/>
        </w:num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电子响应文件按</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平台要求及本竞争性磋商文件要求制作、加密并递交。具体操作流程</w:t>
      </w:r>
    </w:p>
    <w:p w14:paraId="42F88AD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可参考《政府采购项目电子交易管理操作指南-供应商》。</w:t>
      </w:r>
    </w:p>
    <w:p w14:paraId="11B95239">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（2）电子备份响应文件系上传</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平台的响应文件电子版，按照本竞争性磋商文件要求制作。</w:t>
      </w:r>
    </w:p>
    <w:p w14:paraId="214C2D2F">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（3）响应文件启用顺序和效力：响应文件的启用，按先后顺位分别为电子响应文件、以介质存储</w:t>
      </w:r>
    </w:p>
    <w:p w14:paraId="2F0A308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的数据电文形式的电子备份响应文件。全部供应商的电子响应文件均已按时解密的，以介质存储的数据电文形式的电子备份响应文件自动失效。如果某位供应商的电子响应文件无法按时解密的，其电子响应文件为无效，启用以介质存储的数据电文形式的电子备份响应文件。供应商仅递交电子备份响应文件的，磋商无效。</w:t>
      </w:r>
    </w:p>
    <w:p w14:paraId="4BC5C9B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18.2供应商提交的竞争性磋商响应文件以及供应商与采购代理机构和采购人就有关磋商的所有</w:t>
      </w:r>
    </w:p>
    <w:p w14:paraId="23D4795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来往函电均应使用中文。供应商提交的支持文件和印刷的文献可以使用别的语言，但其相应内容必须附有中文翻译文本，在解释竞争性磋商响应文件时以翻译文本为主。</w:t>
      </w:r>
    </w:p>
    <w:p w14:paraId="118E39D6">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18.3供应商应认真阅读、并充分理解本文件的全部内容（包括所有的澄清、更改、补充、答疑等</w:t>
      </w:r>
    </w:p>
    <w:p w14:paraId="761D78B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内容），承诺并履行本文件中各项条款规定及要求。</w:t>
      </w:r>
    </w:p>
    <w:p w14:paraId="5AE6F5FA">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18.4竞争性磋商响应文件必须按本文件的全部内容，包括所有的澄清、更改、补充、答疑等内容</w:t>
      </w:r>
    </w:p>
    <w:p w14:paraId="1D03050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及附件进行编制。</w:t>
      </w:r>
    </w:p>
    <w:p w14:paraId="20164914">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18.5如因供应商只填写和提供了本文件要求的部分内容和附件，而给磋商小组评审造成困难，其</w:t>
      </w:r>
    </w:p>
    <w:p w14:paraId="40F4779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可能导致的结果和责任由供应商自行承担。</w:t>
      </w:r>
    </w:p>
    <w:p w14:paraId="7405DDD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314114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7BB85A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 CA签章上目前没有法人（负责人）或授权代表签字信息，供应商在磋商响应文件中涉及到签字的位置线下签好字然后扫描或者拍照做成PDF的格式即可。</w:t>
      </w:r>
    </w:p>
    <w:p w14:paraId="6AF081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19.3磋商响应文件不得涂改，若有修改错漏处，须法定代表人（负责人）或授权委托人签字。磋商响应文件因字迹潦草或表达不清所引起的后果由供应商负责。</w:t>
      </w:r>
    </w:p>
    <w:p w14:paraId="372A67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19.4供应商应将电子备份响应文件装入到一个响应文件袋内加以密封（要求文件袋无明显缝隙露出袋内文件）；电子备份响应文件袋在每一封贴处密封签章【公章、密封章、法定代表人（负责人）、委托代理人签字等均可】。</w:t>
      </w:r>
    </w:p>
    <w:p w14:paraId="13D554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电子备份响应文件袋的包装封面上应注明供应商名称、供应商地址、响应文件名称（电子备份响应文件）、竞标项目名称、项目编号、并加盖供应商公章，并注明“截标时才能启封”。</w:t>
      </w:r>
    </w:p>
    <w:p w14:paraId="7F9941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19.5逾期送达或者未按照竞争性磋商文件要求密封的电子备份响应文件将被拒绝，由此造成电子备份响应文件被误投或提前拆封的风险由供应商承担。</w:t>
      </w:r>
    </w:p>
    <w:p w14:paraId="05824F9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54D6CA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20.1供应商必须在“供应商须知前附表”规定的时间和地点提交响应文件，本项目采用电子标进行竞标，有关事项详见“供应商须知前附表”。</w:t>
      </w:r>
    </w:p>
    <w:p w14:paraId="3416B2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20.2采购代理机构工作人员收到响应文件后，应当如实记载响应文件的密封情况。</w:t>
      </w:r>
    </w:p>
    <w:p w14:paraId="3DAD8C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20.3在首次响应文件提交截止时间后送达的或者不符合本须知正文第19.3条的响应文件为无效文件，采购人或者采购代理机构应当拒收。</w:t>
      </w:r>
    </w:p>
    <w:p w14:paraId="4408D2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20.4电子投标文件的相关说明</w:t>
      </w:r>
    </w:p>
    <w:p w14:paraId="6A2D26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15D0C6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（2）供应商在电子交易平台传输递交响应文件后，还可以在响应文件递交截止时间前提交电子备份响应文件，若供应商未提交电子备份响应文件，其后果由供应商自行承担。</w:t>
      </w:r>
    </w:p>
    <w:p w14:paraId="511E7F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（3）如有特殊情况，采购代理机构延长截止时间和开标时间，采购代理机构和供应商的权利和义务将受到新的截止时间和开标时间的约束。</w:t>
      </w:r>
    </w:p>
    <w:p w14:paraId="67AE0DB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3EA05F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3FD6C3EA">
      <w:pPr>
        <w:spacing w:line="360" w:lineRule="auto"/>
        <w:ind w:firstLine="482" w:firstLineChars="200"/>
        <w:rPr>
          <w:rFonts w:ascii="黑体" w:hAnsi="黑体" w:eastAsia="黑体" w:cs="宋体"/>
          <w:b/>
          <w:bCs/>
          <w:color w:val="auto"/>
          <w:sz w:val="24"/>
          <w:highlight w:val="none"/>
        </w:rPr>
      </w:pPr>
      <w:bookmarkStart w:id="67" w:name="_Hlk45702405"/>
      <w:r>
        <w:rPr>
          <w:rFonts w:hint="eastAsia" w:ascii="黑体" w:hAnsi="黑体" w:eastAsia="黑体" w:cs="宋体"/>
          <w:b/>
          <w:bCs/>
          <w:color w:val="auto"/>
          <w:sz w:val="24"/>
          <w:highlight w:val="none"/>
        </w:rPr>
        <w:t>22. 首次响应文件的退回</w:t>
      </w:r>
    </w:p>
    <w:p w14:paraId="46A7E8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在首次响应文件提交截止时间止提交响应文件的供应商不足3家时，应当由供应商法定代表人或者委托代理人签字领回响应文件（响应文件</w:t>
      </w:r>
      <w:r>
        <w:rPr>
          <w:rFonts w:hint="eastAsia" w:ascii="宋体" w:hAnsi="宋体"/>
          <w:color w:val="auto"/>
          <w:szCs w:val="21"/>
          <w:highlight w:val="none"/>
        </w:rPr>
        <w:t>采用邮寄方式提交的</w:t>
      </w:r>
      <w:r>
        <w:rPr>
          <w:rFonts w:hint="eastAsia" w:ascii="宋体" w:hAnsi="宋体" w:cs="宋体"/>
          <w:color w:val="auto"/>
          <w:szCs w:val="21"/>
          <w:highlight w:val="none"/>
        </w:rPr>
        <w:t>，以到付的方式寄回至原地址），除此之外采购人和采购代理机构对已提交的响应文件概不退回。</w:t>
      </w:r>
    </w:p>
    <w:p w14:paraId="5F63901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p w14:paraId="3F2C3E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供应商在首次响应文件提交截止时间后向采购人、采购代理机构书面申请撤回响应文件的，将根据本须知正文17.4的规定不予退还其磋商保证金。</w:t>
      </w:r>
    </w:p>
    <w:bookmarkEnd w:id="67"/>
    <w:p w14:paraId="51A47BE4">
      <w:pPr>
        <w:spacing w:line="360" w:lineRule="auto"/>
        <w:ind w:left="420" w:firstLine="42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四、评审及磋商</w:t>
      </w:r>
    </w:p>
    <w:p w14:paraId="1230CE1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47E7E2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01C47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235EDE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65FEA9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首次响应文件由磋商小组或者采购代理机构在“供应商须知前附表”规定的时间开启。</w:t>
      </w:r>
    </w:p>
    <w:p w14:paraId="03DD364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7ACB95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26.1本项目的评审方法为综合评分法。</w:t>
      </w:r>
    </w:p>
    <w:p w14:paraId="5DE5D8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26.2磋商小组按照“第四章 评审程序、评审方法和评审标准”规定的方法、评审因素、标准和程序对响应文件进行评审。</w:t>
      </w:r>
    </w:p>
    <w:p w14:paraId="5CF4E40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2BA9103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27.1</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szCs w:val="21"/>
          <w:highlight w:val="none"/>
        </w:rPr>
        <w:t>采购代理机构应当在评审结束后2个工作日内将评审报告送采购人确认。采购人应当在收到评审报告后</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D2FD3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1307AA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2FD8E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7B85202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0CDD9931">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 履约保证金的金额、提交方式、退付的时间和条件详见 “供应商须知前附表”。成交供应商未按规定提交履约保证金的，视为拒绝</w:t>
      </w:r>
      <w:r>
        <w:rPr>
          <w:rFonts w:hint="eastAsia" w:ascii="宋体" w:hAnsi="宋体" w:eastAsia="宋体" w:cs="宋体"/>
          <w:color w:val="auto"/>
          <w:highlight w:val="none"/>
        </w:rPr>
        <w:t>与采购人</w:t>
      </w:r>
      <w:r>
        <w:rPr>
          <w:rFonts w:hint="eastAsia" w:ascii="宋体" w:hAnsi="宋体" w:eastAsia="宋体" w:cs="宋体"/>
          <w:color w:val="auto"/>
          <w:szCs w:val="21"/>
          <w:highlight w:val="none"/>
        </w:rPr>
        <w:t>签订合同，采购人可以按照评审报告推荐的成交候选人名单排序，确定下一候选人为成交供应商，也可以重新开展政府采购活动。</w:t>
      </w:r>
    </w:p>
    <w:p w14:paraId="16A650C5">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28.2签订合同后，如成交供应商不按双方签订的合同规定履约，则没收其全部履约保证金，履约保证金不足以赔偿损失的，按实际损失赔偿。</w:t>
      </w:r>
    </w:p>
    <w:p w14:paraId="25119B5D">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28.3在履约保证金退还日期前，若成交供应商的开户名称、开户银行、帐号有变动的，请以书面形式通知履约保证金收取单位，否则由此产生的后果由成交供应商自行承担。</w:t>
      </w:r>
    </w:p>
    <w:p w14:paraId="6D22346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3FFE0ECF">
      <w:pPr>
        <w:spacing w:line="360" w:lineRule="auto"/>
        <w:ind w:firstLine="424" w:firstLineChars="202"/>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29.1成交供应商</w:t>
      </w:r>
      <w:r>
        <w:rPr>
          <w:rFonts w:hint="eastAsia" w:ascii="宋体" w:hAnsi="宋体" w:eastAsia="宋体" w:cs="宋体"/>
          <w:b w:val="0"/>
          <w:bCs w:val="0"/>
          <w:color w:val="auto"/>
          <w:szCs w:val="21"/>
          <w:highlight w:val="none"/>
          <w:lang w:eastAsia="zh-CN"/>
        </w:rPr>
        <w:t>必须在成交通知书发布之</w:t>
      </w:r>
      <w:r>
        <w:rPr>
          <w:rFonts w:hint="eastAsia" w:ascii="宋体" w:hAnsi="宋体" w:eastAsia="宋体" w:cs="宋体"/>
          <w:b w:val="0"/>
          <w:bCs w:val="0"/>
          <w:color w:val="auto"/>
          <w:szCs w:val="21"/>
          <w:highlight w:val="none"/>
          <w:lang w:val="en-US" w:eastAsia="zh-CN"/>
        </w:rPr>
        <w:t>日起15日内和采购人签订合同，签</w:t>
      </w:r>
      <w:r>
        <w:rPr>
          <w:rFonts w:hint="eastAsia" w:ascii="宋体" w:hAnsi="宋体" w:eastAsia="宋体" w:cs="宋体"/>
          <w:b w:val="0"/>
          <w:bCs w:val="0"/>
          <w:color w:val="auto"/>
          <w:szCs w:val="21"/>
          <w:highlight w:val="none"/>
        </w:rPr>
        <w:t>订合同时向采购人出示相关证明材料，具体内容详见 “供应商须知前附表”，经采购人核验合格后方可签订合同。</w:t>
      </w:r>
    </w:p>
    <w:p w14:paraId="5D5AFC6A">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签订合同时间：按成交通知书规定的时间与采购人签订</w:t>
      </w:r>
      <w:r>
        <w:rPr>
          <w:rFonts w:hint="eastAsia" w:ascii="宋体" w:hAnsi="宋体" w:cs="宋体"/>
          <w:color w:val="auto"/>
          <w:szCs w:val="21"/>
          <w:highlight w:val="none"/>
          <w:lang w:eastAsia="zh-CN"/>
        </w:rPr>
        <w:t>采购合同</w:t>
      </w:r>
      <w:r>
        <w:rPr>
          <w:rFonts w:hint="eastAsia" w:ascii="宋体" w:hAnsi="宋体" w:eastAsia="宋体" w:cs="宋体"/>
          <w:color w:val="auto"/>
          <w:szCs w:val="21"/>
          <w:highlight w:val="none"/>
        </w:rPr>
        <w:t>。</w:t>
      </w:r>
    </w:p>
    <w:p w14:paraId="12B3F096">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29.3成交供应商拒绝与采购人签订合同的，采购人可以按照评审报告推荐的成交候选人名单排序，确定下一候选人为成交供应商，也可以重新开展政府采购活动。拒绝签订</w:t>
      </w:r>
      <w:r>
        <w:rPr>
          <w:rFonts w:hint="eastAsia" w:ascii="宋体" w:hAnsi="宋体" w:cs="宋体"/>
          <w:color w:val="auto"/>
          <w:szCs w:val="21"/>
          <w:highlight w:val="none"/>
          <w:lang w:eastAsia="zh-CN"/>
        </w:rPr>
        <w:t>采购合同</w:t>
      </w:r>
      <w:r>
        <w:rPr>
          <w:rFonts w:hint="eastAsia" w:ascii="宋体" w:hAnsi="宋体" w:eastAsia="宋体" w:cs="宋体"/>
          <w:color w:val="auto"/>
          <w:szCs w:val="21"/>
          <w:highlight w:val="none"/>
        </w:rPr>
        <w:t>的成交供应商不得参加对该合同项重新开展的采购活动。</w:t>
      </w:r>
    </w:p>
    <w:p w14:paraId="4BA010E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w:t>
      </w:r>
      <w:r>
        <w:rPr>
          <w:rFonts w:hint="eastAsia" w:ascii="宋体" w:hAnsi="宋体" w:cs="宋体"/>
          <w:b/>
          <w:bCs/>
          <w:color w:val="auto"/>
          <w:sz w:val="24"/>
          <w:highlight w:val="none"/>
          <w:lang w:eastAsia="zh-CN"/>
        </w:rPr>
        <w:t>采购合同</w:t>
      </w:r>
      <w:r>
        <w:rPr>
          <w:rFonts w:hint="eastAsia" w:ascii="宋体" w:hAnsi="宋体" w:eastAsia="宋体" w:cs="宋体"/>
          <w:b/>
          <w:bCs/>
          <w:color w:val="auto"/>
          <w:sz w:val="24"/>
          <w:highlight w:val="none"/>
        </w:rPr>
        <w:t>公告</w:t>
      </w:r>
    </w:p>
    <w:p w14:paraId="754179D9">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ascii="宋体" w:hAnsi="宋体" w:cs="宋体"/>
          <w:color w:val="auto"/>
          <w:szCs w:val="21"/>
          <w:highlight w:val="none"/>
        </w:rPr>
        <w:t>.1</w:t>
      </w:r>
      <w:r>
        <w:rPr>
          <w:rFonts w:hint="eastAsia" w:ascii="宋体" w:hAnsi="宋体" w:cs="宋体"/>
          <w:color w:val="auto"/>
          <w:szCs w:val="21"/>
          <w:highlight w:val="none"/>
        </w:rPr>
        <w:t>成交供应商在自成交通知书发出之日起15日内和采购人签订合同，应当在签订合同时向采购人出示相关证明材料，具体内容详见 “供应商须知前附表”，经采购人核验合格后方可签订合同。</w:t>
      </w:r>
    </w:p>
    <w:p w14:paraId="127A0951">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.2 签订合同时间：按成交通知书规定的时间与采购人签订政府采购合同。</w:t>
      </w:r>
    </w:p>
    <w:p w14:paraId="6BC80EF7">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6671509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2F9FFED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2A9FE8B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6B2062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34DF228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087277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62DCDF0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3724A5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39B4327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6031420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52C21C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14F7EF6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72AB96A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31F15F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2AF0B94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7645542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2F7FC9D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466629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2CFC3C9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1A9169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3540F4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32.其他内容</w:t>
      </w:r>
    </w:p>
    <w:p w14:paraId="44E0A28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32.1代理服务收费标准及缴费账户详见“供应商须知前附表”，供应商为联合体的，可以由联合体中的一方或者多方共同交纳代理服务费。</w:t>
      </w:r>
    </w:p>
    <w:p w14:paraId="43D9E2F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32.2代理服务费收费计算标准：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3DCC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vAlign w:val="top"/>
          </w:tcPr>
          <w:p w14:paraId="0305139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743889A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vAlign w:val="center"/>
          </w:tcPr>
          <w:p w14:paraId="5C215E7D">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vAlign w:val="center"/>
          </w:tcPr>
          <w:p w14:paraId="4D0985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vAlign w:val="center"/>
          </w:tcPr>
          <w:p w14:paraId="756EC0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62A3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top"/>
          </w:tcPr>
          <w:p w14:paraId="10C51D4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vAlign w:val="top"/>
          </w:tcPr>
          <w:p w14:paraId="05EE9BE1">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vAlign w:val="top"/>
          </w:tcPr>
          <w:p w14:paraId="261DFEA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vAlign w:val="top"/>
          </w:tcPr>
          <w:p w14:paraId="4E49AC9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6634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top"/>
          </w:tcPr>
          <w:p w14:paraId="35D498D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vAlign w:val="top"/>
          </w:tcPr>
          <w:p w14:paraId="60DA451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vAlign w:val="top"/>
          </w:tcPr>
          <w:p w14:paraId="7DC45E3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vAlign w:val="top"/>
          </w:tcPr>
          <w:p w14:paraId="27E2825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3252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top"/>
          </w:tcPr>
          <w:p w14:paraId="66C1ED5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vAlign w:val="top"/>
          </w:tcPr>
          <w:p w14:paraId="5CB930FD">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vAlign w:val="top"/>
          </w:tcPr>
          <w:p w14:paraId="722D521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vAlign w:val="top"/>
          </w:tcPr>
          <w:p w14:paraId="51359A6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3C11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top"/>
          </w:tcPr>
          <w:p w14:paraId="0F38004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vAlign w:val="top"/>
          </w:tcPr>
          <w:p w14:paraId="1C8333C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vAlign w:val="top"/>
          </w:tcPr>
          <w:p w14:paraId="4064E88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vAlign w:val="top"/>
          </w:tcPr>
          <w:p w14:paraId="333B8AA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5B08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top"/>
          </w:tcPr>
          <w:p w14:paraId="4538258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vAlign w:val="top"/>
          </w:tcPr>
          <w:p w14:paraId="6E14E35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vAlign w:val="top"/>
          </w:tcPr>
          <w:p w14:paraId="3E3385B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vAlign w:val="top"/>
          </w:tcPr>
          <w:p w14:paraId="5D22347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7ABE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top"/>
          </w:tcPr>
          <w:p w14:paraId="4064CE0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vAlign w:val="top"/>
          </w:tcPr>
          <w:p w14:paraId="2A6DBA9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vAlign w:val="top"/>
          </w:tcPr>
          <w:p w14:paraId="3999F82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vAlign w:val="top"/>
          </w:tcPr>
          <w:p w14:paraId="1EB0B78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5575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top"/>
          </w:tcPr>
          <w:p w14:paraId="6050A34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vAlign w:val="top"/>
          </w:tcPr>
          <w:p w14:paraId="6B114B5E">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vAlign w:val="top"/>
          </w:tcPr>
          <w:p w14:paraId="5CACB31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vAlign w:val="top"/>
          </w:tcPr>
          <w:p w14:paraId="02007BF5">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7942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top"/>
          </w:tcPr>
          <w:p w14:paraId="0FB3DEE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vAlign w:val="top"/>
          </w:tcPr>
          <w:p w14:paraId="5AD5A307">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vAlign w:val="top"/>
          </w:tcPr>
          <w:p w14:paraId="0F6AAF75">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vAlign w:val="top"/>
          </w:tcPr>
          <w:p w14:paraId="021EF898">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45EC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top"/>
          </w:tcPr>
          <w:p w14:paraId="024BBCF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vAlign w:val="top"/>
          </w:tcPr>
          <w:p w14:paraId="27AA078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vAlign w:val="top"/>
          </w:tcPr>
          <w:p w14:paraId="5CAD2FB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vAlign w:val="top"/>
          </w:tcPr>
          <w:p w14:paraId="44B904C0">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788A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top"/>
          </w:tcPr>
          <w:p w14:paraId="7CA5AA1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vAlign w:val="top"/>
          </w:tcPr>
          <w:p w14:paraId="51E646C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vAlign w:val="top"/>
          </w:tcPr>
          <w:p w14:paraId="51F311E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vAlign w:val="top"/>
          </w:tcPr>
          <w:p w14:paraId="43C98A5D">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283AAF5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w:t>
      </w:r>
    </w:p>
    <w:p w14:paraId="09F90BA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2E0110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5E1442B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例如：某服务采购代理业务成交金额或者暂定价为150万元，计算采购代理收费额如下：</w:t>
      </w:r>
    </w:p>
    <w:p w14:paraId="21508B0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14:paraId="2193861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150 － 100 ）万元 ×0.8％＝ 0.4万元</w:t>
      </w:r>
    </w:p>
    <w:p w14:paraId="2365EF6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合计收费＝ 1.5 ＋ 0.4＝ 1.9 万元</w:t>
      </w:r>
    </w:p>
    <w:p w14:paraId="1F3C2AF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33.需要补充的其他内容</w:t>
      </w:r>
    </w:p>
    <w:p w14:paraId="1B5E559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33.1本磋商文件解释规则详见“供应商须知前附表”。</w:t>
      </w:r>
    </w:p>
    <w:p w14:paraId="3B233164">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33.2 其他事项详见“供应商须知前附表”。</w:t>
      </w:r>
      <w:r>
        <w:rPr>
          <w:rFonts w:hint="eastAsia" w:ascii="宋体" w:hAnsi="宋体" w:eastAsia="宋体" w:cs="宋体"/>
          <w:b/>
          <w:color w:val="auto"/>
          <w:highlight w:val="none"/>
        </w:rPr>
        <w:br w:type="page"/>
      </w:r>
      <w:r>
        <w:rPr>
          <w:rFonts w:hint="eastAsia" w:ascii="宋体" w:hAnsi="宋体" w:eastAsia="宋体" w:cs="宋体"/>
          <w:bCs/>
          <w:color w:val="auto"/>
          <w:sz w:val="32"/>
          <w:szCs w:val="32"/>
          <w:highlight w:val="none"/>
        </w:rPr>
        <w:t>附件1：</w:t>
      </w:r>
      <w:r>
        <w:rPr>
          <w:rFonts w:hint="eastAsia" w:ascii="宋体" w:hAnsi="宋体" w:eastAsia="宋体" w:cs="宋体"/>
          <w:bCs/>
          <w:color w:val="auto"/>
          <w:sz w:val="32"/>
          <w:szCs w:val="32"/>
          <w:highlight w:val="none"/>
          <w:lang w:val="en-US" w:eastAsia="zh-CN"/>
        </w:rPr>
        <w:t xml:space="preserve">  </w:t>
      </w:r>
    </w:p>
    <w:p w14:paraId="6DF6DFD3">
      <w:pPr>
        <w:widowControl/>
        <w:shd w:val="clear" w:color="auto" w:fill="FFFFFF"/>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广西壮族自治区政府采购项目合同验收书（格式）</w:t>
      </w:r>
    </w:p>
    <w:p w14:paraId="3373F9F9">
      <w:pPr>
        <w:widowControl/>
        <w:shd w:val="clear" w:color="auto" w:fill="FFFFFF"/>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3"/>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6FC5B901">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15D9BBBF">
            <w:pPr>
              <w:widowControl/>
              <w:snapToGrid w:val="0"/>
              <w:spacing w:before="100" w:beforeAutospacing="1" w:after="100" w:afterAutospacing="1" w:line="360" w:lineRule="auto"/>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4139164F">
            <w:pPr>
              <w:widowControl/>
              <w:snapToGrid w:val="0"/>
              <w:spacing w:before="100" w:beforeAutospacing="1" w:after="100" w:afterAutospacing="1"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 xml:space="preserve">自行验收 </w:t>
            </w: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委托验收</w:t>
            </w:r>
          </w:p>
        </w:tc>
      </w:tr>
      <w:tr w14:paraId="094F71BE">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6F98FD6D">
            <w:pPr>
              <w:widowControl/>
              <w:snapToGrid w:val="0"/>
              <w:spacing w:before="100" w:beforeAutospacing="1" w:after="100" w:afterAutospacing="1" w:line="36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33BE6B91">
            <w:pPr>
              <w:widowControl/>
              <w:snapToGrid w:val="0"/>
              <w:spacing w:before="100" w:beforeAutospacing="1" w:after="100" w:afterAutospacing="1" w:line="36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75AC3E9D">
            <w:pPr>
              <w:widowControl/>
              <w:snapToGrid w:val="0"/>
              <w:spacing w:before="100" w:beforeAutospacing="1" w:after="100" w:afterAutospacing="1" w:line="36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25313786">
            <w:pPr>
              <w:widowControl/>
              <w:snapToGrid w:val="0"/>
              <w:spacing w:before="100" w:beforeAutospacing="1" w:after="100" w:afterAutospacing="1"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1EA26564">
            <w:pPr>
              <w:widowControl/>
              <w:snapToGrid w:val="0"/>
              <w:spacing w:before="100" w:beforeAutospacing="1" w:after="100" w:afterAutospacing="1" w:line="36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p>
        </w:tc>
      </w:tr>
      <w:tr w14:paraId="353C193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AD4C2DD">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1A9760A7">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5C179E6A">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6BFD59B">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2580618B">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r>
      <w:tr w14:paraId="5130D9CC">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59BE89CD">
            <w:pPr>
              <w:widowControl/>
              <w:snapToGrid w:val="0"/>
              <w:spacing w:before="100" w:beforeAutospacing="1" w:after="100" w:afterAutospacing="1" w:line="360" w:lineRule="auto"/>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4765CB43">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5EF14047">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r>
      <w:tr w14:paraId="3A25233F">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784B3011">
            <w:pPr>
              <w:widowControl/>
              <w:snapToGrid w:val="0"/>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仟  佰  拾  万  仟  佰  拾  元</w:t>
            </w:r>
          </w:p>
        </w:tc>
      </w:tr>
      <w:tr w14:paraId="4404A8D5">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6C26DF8F">
            <w:pPr>
              <w:widowControl/>
              <w:snapToGrid w:val="0"/>
              <w:spacing w:before="100" w:beforeAutospacing="1" w:after="100" w:afterAutospacing="1" w:line="36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57ECB2EC">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6BE49180">
            <w:pPr>
              <w:widowControl/>
              <w:snapToGrid w:val="0"/>
              <w:spacing w:before="100" w:beforeAutospacing="1" w:after="100" w:afterAutospacing="1" w:line="360" w:lineRule="auto"/>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0AA39922">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r>
      <w:tr w14:paraId="1B3F1EE2">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E7E980">
            <w:pPr>
              <w:widowControl/>
              <w:snapToGri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071B7496">
            <w:pPr>
              <w:widowControl/>
              <w:snapToGri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63EE2068">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C2B6D0">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1122F9D7">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739BD91F">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5C5FB2A2">
            <w:pPr>
              <w:widowControl/>
              <w:spacing w:line="360" w:lineRule="auto"/>
              <w:jc w:val="left"/>
              <w:rPr>
                <w:rFonts w:hint="eastAsia" w:ascii="宋体" w:hAnsi="宋体" w:eastAsia="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6EC9A667">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6B2EAF99">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1D31DDDE">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C272D1">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37EE8EC8">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4FABA8F3">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监督人员或者其他相关人员签字：</w:t>
            </w:r>
          </w:p>
          <w:p w14:paraId="371F48C1">
            <w:pPr>
              <w:widowControl/>
              <w:spacing w:before="100" w:beforeAutospacing="1" w:after="100" w:afterAutospacing="1" w:line="360" w:lineRule="auto"/>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3ED326B1">
        <w:tblPrEx>
          <w:tblCellMar>
            <w:top w:w="0" w:type="dxa"/>
            <w:left w:w="0" w:type="dxa"/>
            <w:bottom w:w="0" w:type="dxa"/>
            <w:right w:w="0" w:type="dxa"/>
          </w:tblCellMar>
        </w:tblPrEx>
        <w:trPr>
          <w:trHeight w:val="758" w:hRule="atLeast"/>
          <w:jc w:val="center"/>
        </w:trPr>
        <w:tc>
          <w:tcPr>
            <w:tcW w:w="415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778F6F">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成交供应商负责人签字或者盖章：</w:t>
            </w:r>
          </w:p>
          <w:p w14:paraId="37D59AF1">
            <w:pPr>
              <w:widowControl/>
              <w:spacing w:before="100" w:beforeAutospacing="1" w:after="100" w:afterAutospacing="1" w:line="360" w:lineRule="auto"/>
              <w:jc w:val="left"/>
              <w:rPr>
                <w:rFonts w:hint="eastAsia" w:ascii="宋体" w:hAnsi="宋体" w:eastAsia="宋体" w:cs="宋体"/>
                <w:color w:val="auto"/>
                <w:kern w:val="0"/>
                <w:szCs w:val="21"/>
                <w:highlight w:val="none"/>
              </w:rPr>
            </w:pPr>
          </w:p>
          <w:p w14:paraId="3B3B3F9E">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c>
          <w:tcPr>
            <w:tcW w:w="4293" w:type="dxa"/>
            <w:gridSpan w:val="4"/>
            <w:tcBorders>
              <w:top w:val="single" w:color="auto" w:sz="4" w:space="0"/>
              <w:left w:val="single" w:color="auto" w:sz="4" w:space="0"/>
              <w:bottom w:val="single" w:color="auto" w:sz="4" w:space="0"/>
              <w:right w:val="single" w:color="auto" w:sz="4" w:space="0"/>
            </w:tcBorders>
            <w:vAlign w:val="center"/>
          </w:tcPr>
          <w:p w14:paraId="6CE4A1D4">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7414E059">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p>
          <w:p w14:paraId="67055F14">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r>
    </w:tbl>
    <w:p w14:paraId="660B8A5F">
      <w:pPr>
        <w:pStyle w:val="14"/>
        <w:snapToGrid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附件2：</w:t>
      </w:r>
    </w:p>
    <w:p w14:paraId="767607B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政府采购项目履约保证金退付意见书</w:t>
      </w:r>
    </w:p>
    <w:p w14:paraId="27756223">
      <w:pPr>
        <w:spacing w:line="360" w:lineRule="auto"/>
        <w:jc w:val="center"/>
        <w:rPr>
          <w:rFonts w:hint="eastAsia" w:ascii="宋体" w:hAnsi="宋体" w:eastAsia="宋体" w:cs="宋体"/>
          <w:color w:val="auto"/>
          <w:sz w:val="36"/>
          <w:szCs w:val="36"/>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18DD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212E030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w:t>
            </w:r>
          </w:p>
          <w:p w14:paraId="70E5AF4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w:t>
            </w:r>
          </w:p>
          <w:p w14:paraId="0633A52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w:t>
            </w:r>
          </w:p>
          <w:p w14:paraId="431B879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w:t>
            </w:r>
          </w:p>
          <w:p w14:paraId="4422716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w:t>
            </w:r>
          </w:p>
        </w:tc>
        <w:tc>
          <w:tcPr>
            <w:tcW w:w="8009" w:type="dxa"/>
            <w:vAlign w:val="center"/>
          </w:tcPr>
          <w:p w14:paraId="1B116C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r>
      <w:tr w14:paraId="0B4F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35112426">
            <w:pPr>
              <w:spacing w:line="360" w:lineRule="auto"/>
              <w:rPr>
                <w:rFonts w:hint="eastAsia" w:ascii="宋体" w:hAnsi="宋体" w:eastAsia="宋体" w:cs="宋体"/>
                <w:color w:val="auto"/>
                <w:sz w:val="21"/>
                <w:szCs w:val="21"/>
                <w:highlight w:val="none"/>
              </w:rPr>
            </w:pPr>
          </w:p>
        </w:tc>
        <w:tc>
          <w:tcPr>
            <w:tcW w:w="8009" w:type="dxa"/>
            <w:vAlign w:val="center"/>
          </w:tcPr>
          <w:p w14:paraId="4AC010F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r>
      <w:tr w14:paraId="2CF1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vAlign w:val="top"/>
          </w:tcPr>
          <w:p w14:paraId="39CCAA00">
            <w:pPr>
              <w:spacing w:line="360" w:lineRule="auto"/>
              <w:rPr>
                <w:rFonts w:hint="eastAsia" w:ascii="宋体" w:hAnsi="宋体" w:eastAsia="宋体" w:cs="宋体"/>
                <w:color w:val="auto"/>
                <w:sz w:val="21"/>
                <w:szCs w:val="21"/>
                <w:highlight w:val="none"/>
              </w:rPr>
            </w:pPr>
          </w:p>
        </w:tc>
        <w:tc>
          <w:tcPr>
            <w:tcW w:w="8009" w:type="dxa"/>
            <w:vAlign w:val="top"/>
          </w:tcPr>
          <w:p w14:paraId="58884C4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871A1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该项目已于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日验收并交付使用。根据合同规定，该项目的履约保证金期限于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日已满，请将履约保证金</w:t>
            </w:r>
          </w:p>
          <w:p w14:paraId="189E8B8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（小写）退付到达以下帐户。</w:t>
            </w:r>
          </w:p>
          <w:p w14:paraId="6D130F7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p w14:paraId="376BF2D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63A87F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    号：</w:t>
            </w:r>
          </w:p>
          <w:p w14:paraId="4D4E18B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联系人及电话：</w:t>
            </w:r>
          </w:p>
          <w:p w14:paraId="0CA04B3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供应商签章：</w:t>
            </w:r>
          </w:p>
          <w:p w14:paraId="731C76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6788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194738D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w:t>
            </w:r>
          </w:p>
          <w:p w14:paraId="35E45E2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w:t>
            </w:r>
          </w:p>
          <w:p w14:paraId="5AE1BC4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w:t>
            </w:r>
          </w:p>
          <w:p w14:paraId="496FED3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w:t>
            </w:r>
          </w:p>
          <w:p w14:paraId="26C866A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w:t>
            </w:r>
          </w:p>
          <w:p w14:paraId="2FF5E22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p>
        </w:tc>
        <w:tc>
          <w:tcPr>
            <w:tcW w:w="8009" w:type="dxa"/>
            <w:vAlign w:val="top"/>
          </w:tcPr>
          <w:p w14:paraId="6E234C86">
            <w:pPr>
              <w:spacing w:line="360" w:lineRule="auto"/>
              <w:rPr>
                <w:rFonts w:hint="eastAsia" w:ascii="宋体" w:hAnsi="宋体" w:eastAsia="宋体" w:cs="宋体"/>
                <w:color w:val="auto"/>
                <w:sz w:val="21"/>
                <w:szCs w:val="21"/>
                <w:highlight w:val="none"/>
              </w:rPr>
            </w:pPr>
          </w:p>
          <w:p w14:paraId="252736B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退付意见：是否同意退付履约保证金及退付金额：</w:t>
            </w:r>
          </w:p>
          <w:p w14:paraId="15D3F1A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联系人及电话：                                </w:t>
            </w:r>
          </w:p>
          <w:p w14:paraId="32DB8A84">
            <w:pPr>
              <w:spacing w:line="360" w:lineRule="auto"/>
              <w:rPr>
                <w:rFonts w:hint="eastAsia" w:ascii="宋体" w:hAnsi="宋体" w:eastAsia="宋体" w:cs="宋体"/>
                <w:color w:val="auto"/>
                <w:sz w:val="21"/>
                <w:szCs w:val="21"/>
                <w:highlight w:val="none"/>
              </w:rPr>
            </w:pPr>
          </w:p>
          <w:p w14:paraId="1845A41D">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采购人签章：</w:t>
            </w:r>
          </w:p>
          <w:p w14:paraId="691525D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7471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817" w:type="dxa"/>
            <w:vAlign w:val="center"/>
          </w:tcPr>
          <w:p w14:paraId="32E932E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8009" w:type="dxa"/>
            <w:vAlign w:val="top"/>
          </w:tcPr>
          <w:p w14:paraId="095B65E8">
            <w:pPr>
              <w:spacing w:line="360" w:lineRule="auto"/>
              <w:rPr>
                <w:rFonts w:hint="eastAsia" w:ascii="宋体" w:hAnsi="宋体" w:eastAsia="宋体" w:cs="宋体"/>
                <w:color w:val="auto"/>
                <w:sz w:val="21"/>
                <w:szCs w:val="21"/>
                <w:highlight w:val="none"/>
              </w:rPr>
            </w:pPr>
          </w:p>
        </w:tc>
      </w:tr>
    </w:tbl>
    <w:p w14:paraId="38702171">
      <w:pPr>
        <w:pStyle w:val="11"/>
        <w:spacing w:line="360" w:lineRule="auto"/>
        <w:ind w:left="1" w:firstLine="2" w:firstLineChars="1"/>
        <w:rPr>
          <w:rFonts w:hint="eastAsia" w:ascii="宋体" w:hAnsi="宋体" w:eastAsia="宋体" w:cs="宋体"/>
          <w:b/>
          <w:bCs/>
          <w:color w:val="auto"/>
          <w:sz w:val="18"/>
          <w:szCs w:val="18"/>
          <w:highlight w:val="none"/>
        </w:rPr>
        <w:sectPr>
          <w:footerReference r:id="rId6" w:type="first"/>
          <w:headerReference r:id="rId4" w:type="default"/>
          <w:footerReference r:id="rId5" w:type="default"/>
          <w:pgSz w:w="11906" w:h="16838"/>
          <w:pgMar w:top="1440" w:right="1279" w:bottom="1440" w:left="1387" w:header="851" w:footer="992" w:gutter="0"/>
          <w:pgNumType w:fmt="decimal" w:start="1"/>
          <w:cols w:space="720" w:num="1"/>
          <w:titlePg/>
          <w:docGrid w:type="lines" w:linePitch="312" w:charSpace="0"/>
        </w:sectPr>
      </w:pPr>
      <w:r>
        <w:rPr>
          <w:rFonts w:hint="eastAsia" w:ascii="宋体" w:hAnsi="宋体" w:eastAsia="宋体" w:cs="宋体"/>
          <w:b/>
          <w:bCs/>
          <w:color w:val="auto"/>
          <w:sz w:val="18"/>
          <w:szCs w:val="18"/>
          <w:highlight w:val="none"/>
        </w:rPr>
        <w:t>注：供应商凭经采购人审批的退付意见书到履约保证金收取单位财务部门办理履约保证金退付事宜。</w:t>
      </w:r>
    </w:p>
    <w:p w14:paraId="4C7D9565">
      <w:pPr>
        <w:spacing w:line="360" w:lineRule="auto"/>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3</w:t>
      </w:r>
    </w:p>
    <w:p w14:paraId="657DA1AA">
      <w:pPr>
        <w:pStyle w:val="39"/>
        <w:ind w:firstLine="480"/>
        <w:rPr>
          <w:rFonts w:hint="eastAsia"/>
          <w:color w:val="auto"/>
          <w:highlight w:val="none"/>
        </w:rPr>
      </w:pPr>
    </w:p>
    <w:p w14:paraId="6450D6D0">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崇左市线上“政采贷”政策告知函</w:t>
      </w:r>
    </w:p>
    <w:p w14:paraId="3490033A">
      <w:pPr>
        <w:spacing w:line="360" w:lineRule="auto"/>
        <w:ind w:firstLine="420" w:firstLineChars="200"/>
        <w:rPr>
          <w:rFonts w:hint="eastAsia" w:ascii="宋体" w:hAnsi="宋体" w:cs="宋体"/>
          <w:color w:val="auto"/>
          <w:szCs w:val="21"/>
          <w:highlight w:val="none"/>
        </w:rPr>
      </w:pPr>
    </w:p>
    <w:p w14:paraId="08AB29E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各供应商：</w:t>
      </w:r>
    </w:p>
    <w:p w14:paraId="62916F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欢迎贵公司参与崇左市政府采购活动！</w:t>
      </w:r>
    </w:p>
    <w:p w14:paraId="647C65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62A13E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"https://www.crcrfsp.com/" </w:instrText>
      </w:r>
      <w:r>
        <w:rPr>
          <w:rFonts w:hint="eastAsia" w:ascii="宋体" w:hAnsi="宋体" w:cs="宋体"/>
          <w:color w:val="auto"/>
          <w:szCs w:val="21"/>
          <w:highlight w:val="none"/>
        </w:rPr>
        <w:fldChar w:fldCharType="separate"/>
      </w:r>
      <w:r>
        <w:rPr>
          <w:rStyle w:val="26"/>
          <w:rFonts w:hint="eastAsia" w:ascii="宋体" w:hAnsi="宋体" w:cs="宋体"/>
          <w:color w:val="auto"/>
          <w:szCs w:val="21"/>
          <w:highlight w:val="none"/>
        </w:rPr>
        <w:t>https://www.crcrfsp.com/</w:t>
      </w:r>
      <w:r>
        <w:rPr>
          <w:rFonts w:hint="eastAsia" w:ascii="宋体" w:hAnsi="宋体" w:cs="宋体"/>
          <w:color w:val="auto"/>
          <w:szCs w:val="21"/>
          <w:highlight w:val="none"/>
        </w:rPr>
        <w:fldChar w:fldCharType="end"/>
      </w:r>
      <w:r>
        <w:rPr>
          <w:rFonts w:hint="eastAsia" w:ascii="宋体" w:hAnsi="宋体" w:cs="宋体"/>
          <w:color w:val="auto"/>
          <w:szCs w:val="21"/>
          <w:highlight w:val="none"/>
        </w:rPr>
        <w:t>，客服电话：400-009-0001）。</w:t>
      </w:r>
    </w:p>
    <w:p w14:paraId="72CD797B">
      <w:pPr>
        <w:pStyle w:val="39"/>
        <w:ind w:firstLine="420"/>
        <w:rPr>
          <w:rFonts w:hint="eastAsia" w:ascii="宋体" w:hAnsi="宋体" w:cs="宋体"/>
          <w:color w:val="auto"/>
          <w:sz w:val="21"/>
          <w:szCs w:val="21"/>
          <w:highlight w:val="none"/>
        </w:rPr>
      </w:pPr>
    </w:p>
    <w:p w14:paraId="4F63E521">
      <w:pPr>
        <w:spacing w:line="360" w:lineRule="auto"/>
        <w:rPr>
          <w:rFonts w:hint="eastAsia" w:ascii="宋体" w:hAnsi="宋体" w:cs="宋体"/>
          <w:color w:val="auto"/>
          <w:szCs w:val="21"/>
          <w:highlight w:val="none"/>
        </w:rPr>
      </w:pPr>
    </w:p>
    <w:p w14:paraId="636D50E6">
      <w:pPr>
        <w:pStyle w:val="39"/>
        <w:ind w:firstLine="420"/>
        <w:rPr>
          <w:rFonts w:hint="eastAsia" w:ascii="宋体" w:hAnsi="宋体" w:cs="宋体"/>
          <w:color w:val="auto"/>
          <w:sz w:val="21"/>
          <w:szCs w:val="21"/>
          <w:highlight w:val="none"/>
        </w:rPr>
      </w:pPr>
    </w:p>
    <w:p w14:paraId="302A0F92">
      <w:pPr>
        <w:spacing w:line="360" w:lineRule="auto"/>
        <w:rPr>
          <w:rFonts w:hint="eastAsia" w:ascii="宋体" w:hAnsi="宋体" w:cs="宋体"/>
          <w:color w:val="auto"/>
          <w:szCs w:val="21"/>
          <w:highlight w:val="none"/>
        </w:rPr>
      </w:pPr>
    </w:p>
    <w:p w14:paraId="7DD654C0">
      <w:pPr>
        <w:spacing w:line="360" w:lineRule="auto"/>
        <w:rPr>
          <w:rFonts w:hint="eastAsia" w:ascii="宋体" w:hAnsi="宋体" w:cs="宋体"/>
          <w:color w:val="auto"/>
          <w:szCs w:val="21"/>
          <w:highlight w:val="none"/>
        </w:rPr>
      </w:pPr>
    </w:p>
    <w:p w14:paraId="5D62212A">
      <w:pPr>
        <w:pStyle w:val="39"/>
        <w:ind w:firstLine="420"/>
        <w:rPr>
          <w:rFonts w:hint="eastAsia" w:ascii="宋体" w:hAnsi="宋体" w:cs="宋体"/>
          <w:color w:val="auto"/>
          <w:sz w:val="21"/>
          <w:szCs w:val="21"/>
          <w:highlight w:val="none"/>
        </w:rPr>
      </w:pPr>
    </w:p>
    <w:p w14:paraId="27A411BA">
      <w:pPr>
        <w:spacing w:line="360" w:lineRule="auto"/>
        <w:rPr>
          <w:rFonts w:hint="eastAsia" w:ascii="宋体" w:hAnsi="宋体" w:cs="宋体"/>
          <w:color w:val="auto"/>
          <w:szCs w:val="21"/>
          <w:highlight w:val="none"/>
        </w:rPr>
      </w:pPr>
    </w:p>
    <w:p w14:paraId="2C898DF0">
      <w:pPr>
        <w:spacing w:line="360" w:lineRule="auto"/>
        <w:rPr>
          <w:rFonts w:hint="eastAsia" w:ascii="宋体" w:hAnsi="宋体" w:cs="宋体"/>
          <w:color w:val="auto"/>
          <w:szCs w:val="21"/>
          <w:highlight w:val="none"/>
        </w:rPr>
      </w:pPr>
    </w:p>
    <w:p w14:paraId="188B58CA">
      <w:pPr>
        <w:pStyle w:val="39"/>
        <w:ind w:firstLine="420"/>
        <w:rPr>
          <w:rFonts w:hint="eastAsia" w:ascii="宋体" w:hAnsi="宋体" w:cs="宋体"/>
          <w:color w:val="auto"/>
          <w:sz w:val="21"/>
          <w:szCs w:val="21"/>
          <w:highlight w:val="none"/>
        </w:rPr>
      </w:pPr>
    </w:p>
    <w:p w14:paraId="01E1A179">
      <w:pPr>
        <w:spacing w:line="360" w:lineRule="auto"/>
        <w:rPr>
          <w:rFonts w:hint="eastAsia" w:ascii="宋体" w:hAnsi="宋体" w:cs="宋体"/>
          <w:color w:val="auto"/>
          <w:szCs w:val="21"/>
          <w:highlight w:val="none"/>
        </w:rPr>
      </w:pPr>
    </w:p>
    <w:p w14:paraId="37EF6D20">
      <w:pPr>
        <w:pStyle w:val="39"/>
        <w:ind w:firstLine="420"/>
        <w:rPr>
          <w:rFonts w:hint="eastAsia" w:ascii="宋体" w:hAnsi="宋体" w:cs="宋体"/>
          <w:color w:val="auto"/>
          <w:sz w:val="21"/>
          <w:szCs w:val="21"/>
          <w:highlight w:val="none"/>
        </w:rPr>
      </w:pPr>
    </w:p>
    <w:p w14:paraId="6418EFAA">
      <w:pPr>
        <w:rPr>
          <w:rFonts w:hint="eastAsia" w:ascii="黑体" w:hAnsi="黑体" w:eastAsia="黑体" w:cs="黑体"/>
          <w:color w:val="auto"/>
          <w:szCs w:val="32"/>
          <w:highlight w:val="none"/>
        </w:rPr>
      </w:pPr>
    </w:p>
    <w:p w14:paraId="5BD0BA1A">
      <w:pPr>
        <w:pStyle w:val="39"/>
        <w:ind w:firstLine="480"/>
        <w:rPr>
          <w:rFonts w:hint="eastAsia" w:ascii="黑体" w:hAnsi="黑体" w:eastAsia="黑体" w:cs="黑体"/>
          <w:color w:val="auto"/>
          <w:szCs w:val="32"/>
          <w:highlight w:val="none"/>
        </w:rPr>
      </w:pPr>
    </w:p>
    <w:p w14:paraId="7858C6CC">
      <w:pPr>
        <w:rPr>
          <w:rFonts w:hint="eastAsia" w:ascii="黑体" w:hAnsi="黑体" w:eastAsia="黑体" w:cs="黑体"/>
          <w:color w:val="auto"/>
          <w:szCs w:val="32"/>
          <w:highlight w:val="none"/>
        </w:rPr>
      </w:pPr>
    </w:p>
    <w:p w14:paraId="62E0AA3D">
      <w:pPr>
        <w:pStyle w:val="11"/>
        <w:rPr>
          <w:rFonts w:hint="eastAsia"/>
          <w:color w:val="auto"/>
          <w:highlight w:val="none"/>
        </w:rPr>
      </w:pPr>
    </w:p>
    <w:p w14:paraId="1A97F081">
      <w:pPr>
        <w:rPr>
          <w:rFonts w:hint="eastAsia" w:ascii="黑体" w:hAnsi="黑体" w:eastAsia="黑体" w:cs="黑体"/>
          <w:color w:val="auto"/>
          <w:szCs w:val="32"/>
          <w:highlight w:val="none"/>
        </w:rPr>
      </w:pPr>
    </w:p>
    <w:p w14:paraId="5640BCB7">
      <w:pPr>
        <w:rPr>
          <w:rFonts w:hint="eastAsia"/>
          <w:color w:val="auto"/>
          <w:highlight w:val="none"/>
        </w:rPr>
      </w:pPr>
    </w:p>
    <w:p w14:paraId="4489FD1D">
      <w:pPr>
        <w:spacing w:line="540" w:lineRule="exact"/>
        <w:rPr>
          <w:rFonts w:hint="eastAsia" w:ascii="黑体" w:hAnsi="黑体" w:eastAsia="黑体" w:cs="黑体"/>
          <w:b/>
          <w:bCs/>
          <w:color w:val="auto"/>
          <w:sz w:val="28"/>
          <w:szCs w:val="44"/>
          <w:highlight w:val="none"/>
        </w:rPr>
      </w:pPr>
      <w:r>
        <w:rPr>
          <w:rFonts w:hint="eastAsia" w:ascii="黑体" w:hAnsi="黑体" w:eastAsia="黑体" w:cs="黑体"/>
          <w:b/>
          <w:bCs/>
          <w:color w:val="auto"/>
          <w:sz w:val="28"/>
          <w:szCs w:val="44"/>
          <w:highlight w:val="none"/>
        </w:rPr>
        <w:t>附件4</w:t>
      </w:r>
    </w:p>
    <w:p w14:paraId="3FD6AACB">
      <w:pPr>
        <w:pStyle w:val="39"/>
        <w:ind w:firstLine="480"/>
        <w:rPr>
          <w:color w:val="auto"/>
          <w:highlight w:val="none"/>
        </w:rPr>
      </w:pPr>
    </w:p>
    <w:p w14:paraId="7286E201">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崇左市线上“政采贷”业务流程图</w:t>
      </w:r>
    </w:p>
    <w:p w14:paraId="0DD2B378">
      <w:pPr>
        <w:rPr>
          <w:rFonts w:hint="eastAsia"/>
          <w:color w:val="auto"/>
          <w:highlight w:val="none"/>
        </w:rPr>
      </w:pPr>
      <w:r>
        <w:rPr>
          <w:rFonts w:hint="eastAsia" w:eastAsia="仿宋_GB2312"/>
          <w:color w:val="auto"/>
          <w:highlight w:val="none"/>
        </w:rPr>
        <w:drawing>
          <wp:inline distT="0" distB="0" distL="114300" distR="114300">
            <wp:extent cx="4926965" cy="7002780"/>
            <wp:effectExtent l="0" t="0" r="6985" b="7620"/>
            <wp:docPr id="5"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流程图1011"/>
                    <pic:cNvPicPr>
                      <a:picLocks noChangeAspect="1"/>
                    </pic:cNvPicPr>
                  </pic:nvPicPr>
                  <pic:blipFill>
                    <a:blip r:embed="rId12"/>
                    <a:stretch>
                      <a:fillRect/>
                    </a:stretch>
                  </pic:blipFill>
                  <pic:spPr>
                    <a:xfrm>
                      <a:off x="0" y="0"/>
                      <a:ext cx="4926965" cy="7002780"/>
                    </a:xfrm>
                    <a:prstGeom prst="rect">
                      <a:avLst/>
                    </a:prstGeom>
                    <a:noFill/>
                    <a:ln>
                      <a:noFill/>
                    </a:ln>
                  </pic:spPr>
                </pic:pic>
              </a:graphicData>
            </a:graphic>
          </wp:inline>
        </w:drawing>
      </w:r>
    </w:p>
    <w:p w14:paraId="4D076325">
      <w:pPr>
        <w:widowControl/>
        <w:ind w:firstLine="420" w:firstLineChars="200"/>
        <w:rPr>
          <w:rFonts w:hint="eastAsia"/>
          <w:color w:val="auto"/>
          <w:highlight w:val="none"/>
        </w:rPr>
      </w:pPr>
    </w:p>
    <w:p w14:paraId="7B356245">
      <w:pPr>
        <w:pStyle w:val="39"/>
        <w:ind w:firstLine="480"/>
        <w:rPr>
          <w:rFonts w:hint="eastAsia"/>
          <w:color w:val="auto"/>
          <w:highlight w:val="none"/>
        </w:rPr>
      </w:pPr>
    </w:p>
    <w:p w14:paraId="79EF2F32">
      <w:pPr>
        <w:rPr>
          <w:rFonts w:hint="eastAsia"/>
          <w:color w:val="auto"/>
          <w:highlight w:val="none"/>
        </w:rPr>
      </w:pPr>
    </w:p>
    <w:p w14:paraId="0E80DEE3">
      <w:pPr>
        <w:pStyle w:val="39"/>
        <w:ind w:firstLine="480"/>
        <w:rPr>
          <w:rFonts w:hint="eastAsia"/>
          <w:color w:val="auto"/>
          <w:highlight w:val="none"/>
        </w:rPr>
      </w:pPr>
    </w:p>
    <w:p w14:paraId="1EAD7DB6">
      <w:pPr>
        <w:widowControl/>
        <w:spacing w:line="720" w:lineRule="exact"/>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5</w:t>
      </w:r>
    </w:p>
    <w:p w14:paraId="1A286CD4">
      <w:pPr>
        <w:pStyle w:val="39"/>
        <w:ind w:firstLine="480"/>
        <w:rPr>
          <w:color w:val="auto"/>
          <w:highlight w:val="none"/>
        </w:rPr>
      </w:pPr>
    </w:p>
    <w:p w14:paraId="1C8BB268">
      <w:pPr>
        <w:pStyle w:val="39"/>
        <w:ind w:firstLine="562"/>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崇左市金融机构线上“政采贷”业务办理联络表</w:t>
      </w:r>
    </w:p>
    <w:tbl>
      <w:tblPr>
        <w:tblStyle w:val="23"/>
        <w:tblW w:w="8314" w:type="dxa"/>
        <w:tblInd w:w="96" w:type="dxa"/>
        <w:tblLayout w:type="fixed"/>
        <w:tblCellMar>
          <w:top w:w="0" w:type="dxa"/>
          <w:left w:w="108" w:type="dxa"/>
          <w:bottom w:w="0" w:type="dxa"/>
          <w:right w:w="108" w:type="dxa"/>
        </w:tblCellMar>
      </w:tblPr>
      <w:tblGrid>
        <w:gridCol w:w="2674"/>
        <w:gridCol w:w="3515"/>
        <w:gridCol w:w="2125"/>
      </w:tblGrid>
      <w:tr w14:paraId="2079B5BB">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51964C71">
            <w:pPr>
              <w:widowControl/>
              <w:spacing w:line="360" w:lineRule="auto"/>
              <w:jc w:val="center"/>
              <w:textAlignment w:val="center"/>
              <w:rPr>
                <w:rFonts w:hint="eastAsia"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1B86229E">
            <w:pPr>
              <w:widowControl/>
              <w:spacing w:line="360" w:lineRule="auto"/>
              <w:jc w:val="center"/>
              <w:textAlignment w:val="center"/>
              <w:rPr>
                <w:rFonts w:hint="eastAsia"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14:paraId="36FEC1CF">
            <w:pPr>
              <w:widowControl/>
              <w:spacing w:line="360" w:lineRule="auto"/>
              <w:jc w:val="center"/>
              <w:textAlignment w:val="center"/>
              <w:rPr>
                <w:rFonts w:hint="eastAsia" w:ascii="宋体" w:hAnsi="宋体" w:cs="宋体"/>
                <w:b/>
                <w:bCs/>
                <w:color w:val="auto"/>
                <w:sz w:val="21"/>
                <w:szCs w:val="21"/>
                <w:highlight w:val="none"/>
              </w:rPr>
            </w:pPr>
            <w:r>
              <w:rPr>
                <w:rFonts w:hint="eastAsia" w:cs="宋体"/>
                <w:b/>
                <w:bCs/>
                <w:color w:val="auto"/>
                <w:kern w:val="0"/>
                <w:sz w:val="21"/>
                <w:szCs w:val="21"/>
                <w:highlight w:val="none"/>
                <w:lang w:bidi="ar"/>
              </w:rPr>
              <w:t>业务</w:t>
            </w:r>
            <w:r>
              <w:rPr>
                <w:rFonts w:hint="eastAsia" w:ascii="宋体" w:hAnsi="宋体" w:cs="宋体"/>
                <w:b/>
                <w:bCs/>
                <w:color w:val="auto"/>
                <w:kern w:val="0"/>
                <w:sz w:val="21"/>
                <w:szCs w:val="21"/>
                <w:highlight w:val="none"/>
                <w:lang w:bidi="ar"/>
              </w:rPr>
              <w:t>咨询电话</w:t>
            </w:r>
          </w:p>
        </w:tc>
      </w:tr>
      <w:tr w14:paraId="11A16000">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vAlign w:val="center"/>
          </w:tcPr>
          <w:p w14:paraId="0CA76B24">
            <w:pPr>
              <w:widowControl/>
              <w:spacing w:line="360" w:lineRule="auto"/>
              <w:jc w:val="left"/>
              <w:textAlignment w:val="center"/>
              <w:rPr>
                <w:rFonts w:hint="eastAsia" w:cs="宋体"/>
                <w:color w:val="auto"/>
                <w:sz w:val="21"/>
                <w:szCs w:val="21"/>
                <w:highlight w:val="none"/>
              </w:rPr>
            </w:pPr>
            <w:r>
              <w:rPr>
                <w:rFonts w:hint="eastAsia" w:cs="宋体"/>
                <w:b/>
                <w:bCs/>
                <w:color w:val="auto"/>
                <w:sz w:val="21"/>
                <w:szCs w:val="21"/>
                <w:highlight w:val="none"/>
              </w:rPr>
              <w:t>崇左市本级及江州区</w:t>
            </w:r>
          </w:p>
        </w:tc>
      </w:tr>
      <w:tr w14:paraId="5FB124E1">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690DFC82">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FAEFC43">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3A61D90C">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0771-7820436 0771-7820439</w:t>
            </w:r>
          </w:p>
        </w:tc>
      </w:tr>
      <w:tr w14:paraId="27209ADC">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5AA4EB51">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198B2FA">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8CD28EF">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0771-7917212</w:t>
            </w:r>
          </w:p>
        </w:tc>
      </w:tr>
      <w:tr w14:paraId="61504DA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2650864">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F3062E5">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195BB96">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0771-7917054</w:t>
            </w:r>
          </w:p>
        </w:tc>
      </w:tr>
      <w:tr w14:paraId="71F165D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2631F83D">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FA00EBA">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14:paraId="25E1476A">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0771-7831103</w:t>
            </w:r>
          </w:p>
        </w:tc>
      </w:tr>
      <w:tr w14:paraId="390C6D9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B490B6F">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034A0E8">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2FCBBF76">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0771-7928650 0771-7920613</w:t>
            </w:r>
          </w:p>
        </w:tc>
      </w:tr>
      <w:tr w14:paraId="2370C7F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AA50A92">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018195E">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2431F1F">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0771-7925660</w:t>
            </w:r>
          </w:p>
        </w:tc>
      </w:tr>
      <w:tr w14:paraId="2BAE884C">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5886A0D">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BE818B6">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38E1BFC4">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0771-7968699</w:t>
            </w:r>
          </w:p>
        </w:tc>
      </w:tr>
      <w:tr w14:paraId="2F3196E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2FB24AB">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9436FD7">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14:paraId="3273C8D9">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0771-7916636</w:t>
            </w:r>
          </w:p>
        </w:tc>
      </w:tr>
      <w:tr w14:paraId="43D8338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65F5993D">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FF78EE6">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42C26F15">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0771-7988895</w:t>
            </w:r>
          </w:p>
        </w:tc>
      </w:tr>
      <w:tr w14:paraId="12A0587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23351A6">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A89375C">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38F1169C">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0771-7960855</w:t>
            </w:r>
          </w:p>
        </w:tc>
      </w:tr>
      <w:tr w14:paraId="0021C64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26008D3">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11A4A9A">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598416D5">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0771-7821126</w:t>
            </w:r>
          </w:p>
        </w:tc>
      </w:tr>
      <w:tr w14:paraId="5F436AA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3E39A35">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24B0BC9">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41F208AC">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0771-7831866</w:t>
            </w:r>
          </w:p>
        </w:tc>
      </w:tr>
      <w:tr w14:paraId="2787394D">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vAlign w:val="center"/>
          </w:tcPr>
          <w:p w14:paraId="0220953D">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b/>
                <w:bCs/>
                <w:color w:val="auto"/>
                <w:sz w:val="21"/>
                <w:szCs w:val="21"/>
                <w:highlight w:val="none"/>
              </w:rPr>
              <w:t>扶绥县</w:t>
            </w:r>
          </w:p>
        </w:tc>
      </w:tr>
      <w:tr w14:paraId="5D45EFD2">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4F2BFC0E">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DCF9CA2">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01DBF61">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0771-7535612</w:t>
            </w:r>
          </w:p>
        </w:tc>
      </w:tr>
      <w:tr w14:paraId="26DC4CE2">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44613941">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27728E5">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FC06A45">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0771-7917330</w:t>
            </w:r>
          </w:p>
        </w:tc>
      </w:tr>
      <w:tr w14:paraId="72ED22E8">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5EE41C5B">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D9AA36">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4E0A851">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0771-7516511 0771-7531157</w:t>
            </w:r>
          </w:p>
        </w:tc>
      </w:tr>
      <w:tr w14:paraId="48D6701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0C3B075">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E6A6BEC">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14:paraId="5AE9D4D6">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0771-7525822</w:t>
            </w:r>
          </w:p>
        </w:tc>
      </w:tr>
      <w:tr w14:paraId="5DD35AAC">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24144E60">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6E1D6B9">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5E3AFB47">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0771-5025887</w:t>
            </w:r>
          </w:p>
        </w:tc>
      </w:tr>
      <w:tr w14:paraId="5FB1ABF1">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C54AE43">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79B83B6">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F44D377">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0771-7533041</w:t>
            </w:r>
          </w:p>
        </w:tc>
      </w:tr>
      <w:tr w14:paraId="51EA817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5D8A7369">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27505FC">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7E405F3E">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0771-7536178 0771-7536177</w:t>
            </w:r>
          </w:p>
        </w:tc>
      </w:tr>
      <w:tr w14:paraId="3C4CF9E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8F9B1D3">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F1E515E">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5C15F553">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0771-7661101</w:t>
            </w:r>
          </w:p>
        </w:tc>
      </w:tr>
      <w:tr w14:paraId="493EBD8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D4BE4FF">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3C02CDE">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28BA1F9F">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0771-7500768</w:t>
            </w:r>
          </w:p>
        </w:tc>
      </w:tr>
      <w:tr w14:paraId="63B4E55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37FE629">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B4B97BB">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14:paraId="7A566C4A">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0771-7525678</w:t>
            </w:r>
          </w:p>
        </w:tc>
      </w:tr>
      <w:tr w14:paraId="030DCC78">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4E915BC0">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b/>
                <w:bCs/>
                <w:color w:val="auto"/>
                <w:sz w:val="21"/>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5BBD54F6">
            <w:pPr>
              <w:widowControl/>
              <w:spacing w:line="360" w:lineRule="auto"/>
              <w:jc w:val="left"/>
              <w:textAlignment w:val="center"/>
              <w:rPr>
                <w:rFonts w:hint="eastAsia" w:ascii="宋体" w:hAnsi="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2D6D2071">
            <w:pPr>
              <w:widowControl/>
              <w:spacing w:line="360" w:lineRule="auto"/>
              <w:jc w:val="center"/>
              <w:textAlignment w:val="center"/>
              <w:rPr>
                <w:rFonts w:hint="eastAsia" w:ascii="宋体" w:hAnsi="宋体" w:cs="宋体"/>
                <w:color w:val="auto"/>
                <w:sz w:val="21"/>
                <w:szCs w:val="21"/>
                <w:highlight w:val="none"/>
              </w:rPr>
            </w:pPr>
          </w:p>
        </w:tc>
      </w:tr>
      <w:tr w14:paraId="3F221C1C">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690AC3E1">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0862F16">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AAA8E94">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0771-8620729</w:t>
            </w:r>
          </w:p>
        </w:tc>
      </w:tr>
      <w:tr w14:paraId="56D14286">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9D45E18">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F80C4B8">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9788E12">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0771-7917093</w:t>
            </w:r>
          </w:p>
        </w:tc>
      </w:tr>
      <w:tr w14:paraId="425E7BE3">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4FA91EA3">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A701AF2">
            <w:pPr>
              <w:widowControl/>
              <w:spacing w:after="90" w:line="360" w:lineRule="auto"/>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9588AAE">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0771-8629006</w:t>
            </w:r>
          </w:p>
        </w:tc>
      </w:tr>
      <w:tr w14:paraId="45EA5B66">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2B91E40">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F9B0019">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A879628">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0771-8628166</w:t>
            </w:r>
          </w:p>
        </w:tc>
      </w:tr>
      <w:tr w14:paraId="7980D6B4">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D8A2086">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81597B9">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12380CE">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0771-8630787</w:t>
            </w:r>
          </w:p>
        </w:tc>
      </w:tr>
      <w:tr w14:paraId="2B91CD00">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90FA52A">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52E66DE">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185585D3">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0771-8622237</w:t>
            </w:r>
          </w:p>
        </w:tc>
      </w:tr>
      <w:tr w14:paraId="39D8179C">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vAlign w:val="center"/>
          </w:tcPr>
          <w:p w14:paraId="69A4A567">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b/>
                <w:bCs/>
                <w:color w:val="auto"/>
                <w:sz w:val="21"/>
                <w:szCs w:val="21"/>
                <w:highlight w:val="none"/>
              </w:rPr>
              <w:t>大新县</w:t>
            </w:r>
          </w:p>
        </w:tc>
      </w:tr>
      <w:tr w14:paraId="133C9590">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4994C7E6">
            <w:pPr>
              <w:widowControl/>
              <w:spacing w:line="360" w:lineRule="auto"/>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sz w:val="21"/>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657268E">
            <w:pPr>
              <w:widowControl/>
              <w:spacing w:line="360" w:lineRule="auto"/>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5F71E89">
            <w:pPr>
              <w:widowControl/>
              <w:spacing w:line="36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0771-3628078</w:t>
            </w:r>
          </w:p>
        </w:tc>
      </w:tr>
      <w:tr w14:paraId="7BC0B39B">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E794FCD">
            <w:pPr>
              <w:widowControl/>
              <w:spacing w:line="360" w:lineRule="auto"/>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sz w:val="21"/>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2F04829">
            <w:pPr>
              <w:widowControl/>
              <w:spacing w:line="360" w:lineRule="auto"/>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AF3F05D">
            <w:pPr>
              <w:widowControl/>
              <w:spacing w:line="36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0771-</w:t>
            </w:r>
            <w:r>
              <w:rPr>
                <w:rFonts w:hint="eastAsia" w:ascii="宋体" w:hAnsi="宋体" w:cs="宋体"/>
                <w:color w:val="auto"/>
                <w:sz w:val="21"/>
                <w:szCs w:val="21"/>
                <w:highlight w:val="none"/>
              </w:rPr>
              <w:t>7917015</w:t>
            </w:r>
          </w:p>
        </w:tc>
      </w:tr>
      <w:tr w14:paraId="2942616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61DF72E">
            <w:pPr>
              <w:widowControl/>
              <w:spacing w:line="360" w:lineRule="auto"/>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415C45A">
            <w:pPr>
              <w:widowControl/>
              <w:spacing w:line="360" w:lineRule="auto"/>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7BB8EB4">
            <w:pPr>
              <w:widowControl/>
              <w:spacing w:line="36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0771-3689766</w:t>
            </w:r>
          </w:p>
        </w:tc>
      </w:tr>
      <w:tr w14:paraId="3313032B">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8BAFF7F">
            <w:pPr>
              <w:widowControl/>
              <w:spacing w:line="360" w:lineRule="auto"/>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E9ACE6F">
            <w:pPr>
              <w:widowControl/>
              <w:spacing w:line="360" w:lineRule="auto"/>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CB6F7C6">
            <w:pPr>
              <w:widowControl/>
              <w:spacing w:line="36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0771-3623887</w:t>
            </w:r>
          </w:p>
        </w:tc>
      </w:tr>
      <w:tr w14:paraId="0F0D51C7">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2B524AF2">
            <w:pPr>
              <w:widowControl/>
              <w:spacing w:line="360" w:lineRule="auto"/>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sz w:val="21"/>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8EEF5B2">
            <w:pPr>
              <w:widowControl/>
              <w:spacing w:line="360" w:lineRule="auto"/>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30D9B5C4">
            <w:pPr>
              <w:widowControl/>
              <w:spacing w:line="36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0771-3621996</w:t>
            </w:r>
          </w:p>
        </w:tc>
      </w:tr>
      <w:tr w14:paraId="1D606820">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B40B250">
            <w:pPr>
              <w:widowControl/>
              <w:spacing w:line="360" w:lineRule="auto"/>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sz w:val="21"/>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3AA04B4">
            <w:pPr>
              <w:widowControl/>
              <w:spacing w:line="360" w:lineRule="auto"/>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6A32767A">
            <w:pPr>
              <w:widowControl/>
              <w:spacing w:line="36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sz w:val="21"/>
                <w:szCs w:val="21"/>
                <w:highlight w:val="none"/>
              </w:rPr>
              <w:t>0771-3628366</w:t>
            </w:r>
          </w:p>
        </w:tc>
      </w:tr>
      <w:tr w14:paraId="03F04781">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7017221">
            <w:pPr>
              <w:widowControl/>
              <w:spacing w:line="360" w:lineRule="auto"/>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73E98D4">
            <w:pPr>
              <w:widowControl/>
              <w:spacing w:line="360" w:lineRule="auto"/>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E1F29A3">
            <w:pPr>
              <w:widowControl/>
              <w:spacing w:line="36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0771-3698002</w:t>
            </w:r>
          </w:p>
        </w:tc>
      </w:tr>
      <w:tr w14:paraId="0BB28E0B">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65941994">
            <w:pPr>
              <w:widowControl/>
              <w:spacing w:line="360" w:lineRule="auto"/>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B452A8D">
            <w:pPr>
              <w:widowControl/>
              <w:spacing w:line="360" w:lineRule="auto"/>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D375CAE">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0771-3626199</w:t>
            </w:r>
          </w:p>
        </w:tc>
      </w:tr>
      <w:tr w14:paraId="0AE56F25">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614A8B13">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b/>
                <w:bCs/>
                <w:color w:val="auto"/>
                <w:sz w:val="21"/>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44570FE3">
            <w:pPr>
              <w:widowControl/>
              <w:spacing w:line="360" w:lineRule="auto"/>
              <w:jc w:val="left"/>
              <w:textAlignment w:val="center"/>
              <w:rPr>
                <w:rFonts w:hint="eastAsia" w:ascii="宋体" w:hAnsi="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09A6C4DA">
            <w:pPr>
              <w:widowControl/>
              <w:spacing w:line="360" w:lineRule="auto"/>
              <w:jc w:val="center"/>
              <w:textAlignment w:val="center"/>
              <w:rPr>
                <w:rFonts w:hint="eastAsia" w:ascii="宋体" w:hAnsi="宋体" w:cs="宋体"/>
                <w:color w:val="auto"/>
                <w:sz w:val="21"/>
                <w:szCs w:val="21"/>
                <w:highlight w:val="none"/>
              </w:rPr>
            </w:pPr>
          </w:p>
        </w:tc>
      </w:tr>
      <w:tr w14:paraId="79CF5116">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2B357677">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8A984C7">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E2C8177">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0771-8868619</w:t>
            </w:r>
          </w:p>
        </w:tc>
      </w:tr>
      <w:tr w14:paraId="52E118B1">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5975C205">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776E0D9">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0FA7759">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0771-8812504</w:t>
            </w:r>
          </w:p>
        </w:tc>
      </w:tr>
      <w:tr w14:paraId="1842AAB1">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C9A3218">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A2CAF77">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A58AF60">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0771-8820525</w:t>
            </w:r>
          </w:p>
        </w:tc>
      </w:tr>
      <w:tr w14:paraId="6036E1CD">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C308811">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龙州农商行公司机构金融</w:t>
            </w:r>
            <w:r>
              <w:rPr>
                <w:rFonts w:hint="eastAsia" w:cs="宋体"/>
                <w:color w:val="auto"/>
                <w:sz w:val="21"/>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E64B155">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B966DBB">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0771-8813013</w:t>
            </w:r>
          </w:p>
        </w:tc>
      </w:tr>
      <w:tr w14:paraId="616ECB9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25B3C56B">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CF90854">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14:paraId="37156EC2">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0771-8871021</w:t>
            </w:r>
          </w:p>
        </w:tc>
      </w:tr>
      <w:tr w14:paraId="4117BEB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4540FDC1">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6A42F46">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5786C3FE">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0771-8811533</w:t>
            </w:r>
          </w:p>
        </w:tc>
      </w:tr>
      <w:tr w14:paraId="526B6A03">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38F84FC">
            <w:pPr>
              <w:widowControl/>
              <w:spacing w:line="360" w:lineRule="auto"/>
              <w:textAlignment w:val="center"/>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eastAsia="zh-CN"/>
              </w:rPr>
              <w:t>大新县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7272125E">
            <w:pPr>
              <w:widowControl/>
              <w:spacing w:line="360" w:lineRule="auto"/>
              <w:jc w:val="left"/>
              <w:textAlignment w:val="center"/>
              <w:rPr>
                <w:rFonts w:hint="eastAsia" w:ascii="宋体" w:hAnsi="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35726B5A">
            <w:pPr>
              <w:widowControl/>
              <w:spacing w:line="360" w:lineRule="auto"/>
              <w:jc w:val="center"/>
              <w:textAlignment w:val="center"/>
              <w:rPr>
                <w:rFonts w:hint="eastAsia" w:ascii="宋体" w:hAnsi="宋体" w:cs="宋体"/>
                <w:color w:val="auto"/>
                <w:sz w:val="21"/>
                <w:szCs w:val="21"/>
                <w:highlight w:val="none"/>
              </w:rPr>
            </w:pPr>
          </w:p>
        </w:tc>
      </w:tr>
      <w:tr w14:paraId="31BEA53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D5504B0">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工商银行</w:t>
            </w:r>
            <w:r>
              <w:rPr>
                <w:rFonts w:hint="eastAsia" w:ascii="宋体" w:hAnsi="宋体" w:cs="宋体"/>
                <w:color w:val="auto"/>
                <w:sz w:val="21"/>
                <w:szCs w:val="21"/>
                <w:highlight w:val="none"/>
                <w:lang w:eastAsia="zh-CN"/>
              </w:rPr>
              <w:t>大新县</w:t>
            </w:r>
            <w:r>
              <w:rPr>
                <w:rFonts w:hint="eastAsia" w:ascii="宋体" w:hAnsi="宋体" w:cs="宋体"/>
                <w:color w:val="auto"/>
                <w:sz w:val="21"/>
                <w:szCs w:val="21"/>
                <w:highlight w:val="none"/>
              </w:rPr>
              <w:t>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5AE2E6B">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大新县</w:t>
            </w:r>
            <w:r>
              <w:rPr>
                <w:rFonts w:hint="eastAsia" w:ascii="宋体" w:hAnsi="宋体" w:cs="宋体"/>
                <w:color w:val="auto"/>
                <w:sz w:val="21"/>
                <w:szCs w:val="21"/>
                <w:highlight w:val="none"/>
              </w:rPr>
              <w:t>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D1E4999">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0771-3532211</w:t>
            </w:r>
          </w:p>
        </w:tc>
      </w:tr>
      <w:tr w14:paraId="3733F657">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26A211C">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农业银行</w:t>
            </w:r>
            <w:r>
              <w:rPr>
                <w:rFonts w:hint="eastAsia" w:ascii="宋体" w:hAnsi="宋体" w:cs="宋体"/>
                <w:color w:val="auto"/>
                <w:sz w:val="21"/>
                <w:szCs w:val="21"/>
                <w:highlight w:val="none"/>
                <w:lang w:eastAsia="zh-CN"/>
              </w:rPr>
              <w:t>大新县</w:t>
            </w:r>
            <w:r>
              <w:rPr>
                <w:rFonts w:hint="eastAsia" w:ascii="宋体" w:hAnsi="宋体" w:cs="宋体"/>
                <w:color w:val="auto"/>
                <w:sz w:val="21"/>
                <w:szCs w:val="21"/>
                <w:highlight w:val="none"/>
              </w:rPr>
              <w:t>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0A00611">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大新县</w:t>
            </w:r>
            <w:r>
              <w:rPr>
                <w:rFonts w:hint="eastAsia" w:ascii="宋体" w:hAnsi="宋体" w:cs="宋体"/>
                <w:color w:val="auto"/>
                <w:sz w:val="21"/>
                <w:szCs w:val="21"/>
                <w:highlight w:val="none"/>
              </w:rPr>
              <w:t>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E80891A">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0771-7917046</w:t>
            </w:r>
          </w:p>
        </w:tc>
      </w:tr>
      <w:tr w14:paraId="4B9FC90D">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0EB5400">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C3D71CE">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大新县</w:t>
            </w:r>
            <w:r>
              <w:rPr>
                <w:rFonts w:hint="eastAsia" w:ascii="宋体" w:hAnsi="宋体" w:cs="宋体"/>
                <w:color w:val="auto"/>
                <w:sz w:val="21"/>
                <w:szCs w:val="21"/>
                <w:highlight w:val="none"/>
              </w:rPr>
              <w:t>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C4E827C">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0771-3521361</w:t>
            </w:r>
          </w:p>
        </w:tc>
      </w:tr>
      <w:tr w14:paraId="4710248C">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2AE678BA">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23FFEA4">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广西崇左市</w:t>
            </w:r>
            <w:r>
              <w:rPr>
                <w:rFonts w:hint="eastAsia" w:ascii="宋体" w:hAnsi="宋体" w:cs="宋体"/>
                <w:color w:val="auto"/>
                <w:sz w:val="21"/>
                <w:szCs w:val="21"/>
                <w:highlight w:val="none"/>
                <w:lang w:eastAsia="zh-CN"/>
              </w:rPr>
              <w:t>大新县</w:t>
            </w:r>
            <w:r>
              <w:rPr>
                <w:rFonts w:hint="eastAsia" w:ascii="宋体" w:hAnsi="宋体" w:cs="宋体"/>
                <w:color w:val="auto"/>
                <w:sz w:val="21"/>
                <w:szCs w:val="21"/>
                <w:highlight w:val="none"/>
              </w:rPr>
              <w:t>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863EE10">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0771-3522157</w:t>
            </w:r>
          </w:p>
        </w:tc>
      </w:tr>
      <w:tr w14:paraId="0CC737E0">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23613D7A">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0E8B164">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崇左市</w:t>
            </w:r>
            <w:r>
              <w:rPr>
                <w:rFonts w:hint="eastAsia" w:ascii="宋体" w:hAnsi="宋体" w:cs="宋体"/>
                <w:color w:val="auto"/>
                <w:sz w:val="21"/>
                <w:szCs w:val="21"/>
                <w:highlight w:val="none"/>
                <w:lang w:eastAsia="zh-CN"/>
              </w:rPr>
              <w:t>大新县</w:t>
            </w:r>
            <w:r>
              <w:rPr>
                <w:rFonts w:hint="eastAsia" w:ascii="宋体" w:hAnsi="宋体" w:cs="宋体"/>
                <w:color w:val="auto"/>
                <w:sz w:val="21"/>
                <w:szCs w:val="21"/>
                <w:highlight w:val="none"/>
              </w:rPr>
              <w:t>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1B9DACA">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0771-3528688</w:t>
            </w:r>
          </w:p>
        </w:tc>
      </w:tr>
      <w:tr w14:paraId="45861408">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vAlign w:val="center"/>
          </w:tcPr>
          <w:p w14:paraId="149A65C9">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b/>
                <w:bCs/>
                <w:color w:val="auto"/>
                <w:sz w:val="21"/>
                <w:szCs w:val="21"/>
                <w:highlight w:val="none"/>
              </w:rPr>
              <w:t>凭祥市</w:t>
            </w:r>
          </w:p>
        </w:tc>
      </w:tr>
      <w:tr w14:paraId="15DB0480">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C1737FA">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1D46A17">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E7A6C8C">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0771-8529259</w:t>
            </w:r>
          </w:p>
        </w:tc>
      </w:tr>
      <w:tr w14:paraId="4E471194">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3D2B8FD">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345975B">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FB564FB">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0771-7917258</w:t>
            </w:r>
          </w:p>
        </w:tc>
      </w:tr>
      <w:tr w14:paraId="54EB71AA">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13EE530">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DD72CB9">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E620AD7">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0771-8525068</w:t>
            </w:r>
            <w:r>
              <w:rPr>
                <w:rFonts w:hint="eastAsia" w:cs="宋体"/>
                <w:color w:val="auto"/>
                <w:sz w:val="21"/>
                <w:szCs w:val="21"/>
                <w:highlight w:val="none"/>
              </w:rPr>
              <w:t xml:space="preserve"> </w:t>
            </w:r>
            <w:r>
              <w:rPr>
                <w:rFonts w:hint="eastAsia" w:ascii="宋体" w:hAnsi="宋体" w:cs="宋体"/>
                <w:color w:val="auto"/>
                <w:sz w:val="21"/>
                <w:szCs w:val="21"/>
                <w:highlight w:val="none"/>
              </w:rPr>
              <w:t>0771-8536852</w:t>
            </w:r>
          </w:p>
        </w:tc>
      </w:tr>
      <w:tr w14:paraId="7C6721E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B2E8D3A">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BCE33B3">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21866F9D">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0771-8551161</w:t>
            </w:r>
          </w:p>
        </w:tc>
      </w:tr>
      <w:tr w14:paraId="66D99D75">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F9729A9">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67E794E">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A53FD3A">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0771-8561665</w:t>
            </w:r>
          </w:p>
        </w:tc>
      </w:tr>
      <w:tr w14:paraId="4CA13681">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4A4750D9">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5F34F0D">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FFFEA19">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0771-8520356</w:t>
            </w:r>
          </w:p>
        </w:tc>
      </w:tr>
      <w:tr w14:paraId="7305D475">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52828B97">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D481D42">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BB663AA">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0771-8535667</w:t>
            </w:r>
          </w:p>
        </w:tc>
      </w:tr>
      <w:tr w14:paraId="514B034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635A9FF7">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8E0ED86">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9698A20">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0771-8520550</w:t>
            </w:r>
          </w:p>
        </w:tc>
      </w:tr>
      <w:tr w14:paraId="41261BE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36BCB58">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749A16F">
            <w:pPr>
              <w:widowControl/>
              <w:spacing w:line="360" w:lineRule="auto"/>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8A88173">
            <w:pPr>
              <w:widowControl/>
              <w:spacing w:line="36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0771-8556667</w:t>
            </w:r>
          </w:p>
        </w:tc>
      </w:tr>
    </w:tbl>
    <w:p w14:paraId="73F84901">
      <w:pPr>
        <w:jc w:val="left"/>
        <w:rPr>
          <w:rFonts w:hint="eastAsia" w:ascii="宋体" w:hAnsi="宋体" w:cs="宋体"/>
          <w:color w:val="auto"/>
          <w:szCs w:val="21"/>
          <w:highlight w:val="none"/>
        </w:rPr>
      </w:pPr>
    </w:p>
    <w:p w14:paraId="2B5C7B9E">
      <w:pPr>
        <w:jc w:val="left"/>
        <w:rPr>
          <w:rFonts w:hint="eastAsia" w:ascii="宋体" w:hAnsi="宋体" w:cs="宋体"/>
          <w:color w:val="auto"/>
          <w:szCs w:val="21"/>
          <w:highlight w:val="none"/>
        </w:rPr>
      </w:pPr>
    </w:p>
    <w:p w14:paraId="1AC09B29">
      <w:pPr>
        <w:pStyle w:val="32"/>
        <w:rPr>
          <w:rFonts w:hint="eastAsia" w:hAnsi="宋体"/>
          <w:color w:val="auto"/>
          <w:highlight w:val="none"/>
        </w:rPr>
        <w:sectPr>
          <w:pgSz w:w="11910" w:h="16840"/>
          <w:pgMar w:top="1760" w:right="1410" w:bottom="1640" w:left="1680" w:header="720" w:footer="720" w:gutter="0"/>
          <w:pgNumType w:fmt="decimal"/>
          <w:cols w:space="720" w:num="1"/>
        </w:sectPr>
      </w:pPr>
    </w:p>
    <w:p w14:paraId="0996FC82">
      <w:pPr>
        <w:pStyle w:val="3"/>
        <w:numPr>
          <w:ilvl w:val="0"/>
          <w:numId w:val="4"/>
        </w:numPr>
        <w:spacing w:line="360" w:lineRule="auto"/>
        <w:jc w:val="center"/>
        <w:rPr>
          <w:rFonts w:hint="eastAsia" w:ascii="宋体" w:hAnsi="宋体" w:eastAsia="宋体" w:cs="宋体"/>
          <w:color w:val="auto"/>
          <w:highlight w:val="none"/>
        </w:rPr>
      </w:pPr>
      <w:bookmarkStart w:id="68" w:name="_Toc29957"/>
      <w:r>
        <w:rPr>
          <w:rFonts w:hint="eastAsia" w:ascii="宋体" w:hAnsi="宋体" w:eastAsia="宋体" w:cs="宋体"/>
          <w:color w:val="auto"/>
          <w:highlight w:val="none"/>
        </w:rPr>
        <w:t>采购需求</w:t>
      </w:r>
      <w:bookmarkEnd w:id="68"/>
    </w:p>
    <w:p w14:paraId="0202AC9D">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采购项目技术规格、参数及要求</w:t>
      </w:r>
    </w:p>
    <w:p w14:paraId="6C691A78">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0E9ECA57">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竞标货物必须使用政府强制采购的节能产品，供应商必须在响应文件中提供所竞标产品的节能产品认证证书复印件（加盖供应商公章），否则响应文件按无效响应处理。如本项目包含的配套货物属于品目清单内非标注“★”的产品时，应优先采购，具体详见“第四章 评审程序、评审方法和评审标准”。</w:t>
      </w:r>
    </w:p>
    <w:p w14:paraId="7984B058">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2.“实质性要求”是指磋商文件中已经指明不满足则响应文件按无效响应处理的条款，或者不能负偏离的条款，或者采购需求中带“▲”的条款。</w:t>
      </w:r>
    </w:p>
    <w:p w14:paraId="2E6A6068">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服务项目中伴随货物的，采购需求中出现的品牌、型号或者生产供应商仅起参考作用，不属于指定品牌、型号或者生产供应商的情形。供应商可参照或者选用其他相当的品牌、型号或者生产供应商替代。</w:t>
      </w:r>
    </w:p>
    <w:p w14:paraId="58AB33E5">
      <w:pPr>
        <w:spacing w:line="360" w:lineRule="auto"/>
        <w:ind w:firstLine="424" w:firstLineChars="202"/>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highlight w:val="none"/>
        </w:rPr>
        <w:t>供应商必须自行为其磋商产品侵犯他人的知识产权或者专利成果的行为承担相应法律责任。</w:t>
      </w:r>
    </w:p>
    <w:p w14:paraId="72923B8D">
      <w:pPr>
        <w:tabs>
          <w:tab w:val="left" w:pos="180"/>
          <w:tab w:val="left" w:pos="1620"/>
        </w:tabs>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一、采购项目需求一览表</w:t>
      </w:r>
    </w:p>
    <w:tbl>
      <w:tblPr>
        <w:tblStyle w:val="23"/>
        <w:tblW w:w="99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5"/>
        <w:gridCol w:w="1374"/>
        <w:gridCol w:w="913"/>
        <w:gridCol w:w="7136"/>
      </w:tblGrid>
      <w:tr w14:paraId="2D689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D5131D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1374" w:type="dxa"/>
            <w:tcBorders>
              <w:top w:val="single" w:color="auto" w:sz="4" w:space="0"/>
              <w:left w:val="single" w:color="auto" w:sz="4" w:space="0"/>
              <w:bottom w:val="single" w:color="auto" w:sz="4" w:space="0"/>
              <w:right w:val="single" w:color="auto" w:sz="4" w:space="0"/>
            </w:tcBorders>
            <w:vAlign w:val="center"/>
          </w:tcPr>
          <w:p w14:paraId="6DD61CA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913" w:type="dxa"/>
            <w:tcBorders>
              <w:top w:val="single" w:color="auto" w:sz="4" w:space="0"/>
              <w:left w:val="single" w:color="auto" w:sz="4" w:space="0"/>
              <w:bottom w:val="single" w:color="auto" w:sz="4" w:space="0"/>
              <w:right w:val="single" w:color="auto" w:sz="4" w:space="0"/>
            </w:tcBorders>
            <w:vAlign w:val="center"/>
          </w:tcPr>
          <w:p w14:paraId="14DFCCD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137" w:type="dxa"/>
            <w:tcBorders>
              <w:top w:val="single" w:color="auto" w:sz="4" w:space="0"/>
              <w:left w:val="single" w:color="auto" w:sz="4" w:space="0"/>
              <w:bottom w:val="single" w:color="auto" w:sz="4" w:space="0"/>
              <w:right w:val="single" w:color="auto" w:sz="4" w:space="0"/>
            </w:tcBorders>
            <w:vAlign w:val="center"/>
          </w:tcPr>
          <w:p w14:paraId="27E5839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技术</w:t>
            </w:r>
            <w:r>
              <w:rPr>
                <w:rFonts w:hint="eastAsia" w:ascii="宋体" w:hAnsi="宋体" w:eastAsia="宋体" w:cs="宋体"/>
                <w:color w:val="auto"/>
                <w:sz w:val="21"/>
                <w:szCs w:val="21"/>
                <w:highlight w:val="none"/>
              </w:rPr>
              <w:t>服务内容及要求</w:t>
            </w:r>
          </w:p>
        </w:tc>
      </w:tr>
      <w:tr w14:paraId="6D413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14:paraId="36464B6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74" w:type="dxa"/>
            <w:tcBorders>
              <w:top w:val="single" w:color="auto" w:sz="4" w:space="0"/>
              <w:left w:val="single" w:color="auto" w:sz="4" w:space="0"/>
              <w:bottom w:val="single" w:color="auto" w:sz="4" w:space="0"/>
              <w:right w:val="single" w:color="auto" w:sz="4" w:space="0"/>
            </w:tcBorders>
            <w:vAlign w:val="center"/>
          </w:tcPr>
          <w:p w14:paraId="1AC674CE">
            <w:pPr>
              <w:pStyle w:val="14"/>
              <w:spacing w:line="360" w:lineRule="auto"/>
              <w:ind w:firstLine="1687" w:firstLineChars="600"/>
              <w:jc w:val="center"/>
              <w:rPr>
                <w:rFonts w:hint="eastAsia" w:ascii="宋体" w:hAnsi="宋体" w:eastAsia="宋体" w:cs="宋体"/>
                <w:color w:val="auto"/>
                <w:kern w:val="2"/>
                <w:sz w:val="21"/>
                <w:szCs w:val="21"/>
                <w:highlight w:val="none"/>
                <w:lang w:val="en-US" w:eastAsia="zh-CN" w:bidi="ar-SA"/>
              </w:rPr>
            </w:pPr>
            <w:r>
              <w:rPr>
                <w:rFonts w:hint="eastAsia" w:hAnsi="宋体" w:cs="宋体"/>
                <w:b/>
                <w:bCs/>
                <w:color w:val="auto"/>
                <w:sz w:val="28"/>
                <w:szCs w:val="28"/>
                <w:highlight w:val="none"/>
                <w:lang w:val="en-US" w:eastAsia="zh-CN"/>
              </w:rPr>
              <w:t>宁</w:t>
            </w:r>
            <w:r>
              <w:rPr>
                <w:rFonts w:hint="eastAsia" w:hAnsi="宋体" w:cs="宋体"/>
                <w:color w:val="auto"/>
                <w:kern w:val="2"/>
                <w:sz w:val="21"/>
                <w:szCs w:val="21"/>
                <w:highlight w:val="none"/>
                <w:lang w:val="en-US" w:eastAsia="zh-CN" w:bidi="ar-SA"/>
              </w:rPr>
              <w:t>宁明县2024年整县推进兽医社会化服务项目</w:t>
            </w:r>
          </w:p>
          <w:p w14:paraId="7FA5E46B">
            <w:pPr>
              <w:spacing w:line="360" w:lineRule="auto"/>
              <w:jc w:val="center"/>
              <w:rPr>
                <w:rFonts w:hint="eastAsia" w:ascii="宋体" w:hAnsi="宋体" w:eastAsia="宋体" w:cs="宋体"/>
                <w:color w:val="auto"/>
                <w:sz w:val="21"/>
                <w:szCs w:val="21"/>
                <w:highlight w:val="none"/>
                <w:lang w:eastAsia="zh-CN"/>
              </w:rPr>
            </w:pPr>
          </w:p>
        </w:tc>
        <w:tc>
          <w:tcPr>
            <w:tcW w:w="913" w:type="dxa"/>
            <w:tcBorders>
              <w:top w:val="single" w:color="auto" w:sz="4" w:space="0"/>
              <w:left w:val="single" w:color="auto" w:sz="4" w:space="0"/>
              <w:bottom w:val="single" w:color="auto" w:sz="4" w:space="0"/>
              <w:right w:val="single" w:color="auto" w:sz="4" w:space="0"/>
            </w:tcBorders>
            <w:vAlign w:val="center"/>
          </w:tcPr>
          <w:p w14:paraId="3319403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7137" w:type="dxa"/>
            <w:tcBorders>
              <w:top w:val="single" w:color="auto" w:sz="4" w:space="0"/>
              <w:left w:val="single" w:color="auto" w:sz="4" w:space="0"/>
              <w:bottom w:val="single" w:color="auto" w:sz="4" w:space="0"/>
              <w:right w:val="single" w:color="auto" w:sz="4" w:space="0"/>
            </w:tcBorders>
            <w:vAlign w:val="center"/>
          </w:tcPr>
          <w:p w14:paraId="10D1722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（一）动物防疫队伍能力提升</w:t>
            </w:r>
          </w:p>
          <w:p w14:paraId="6E20C7F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1.服务内容：</w:t>
            </w:r>
          </w:p>
          <w:p w14:paraId="7CA889D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重组防疫队伍。兽医社会化服务承接主体根据县农业农村局、乡镇人民政府的推荐意见，结合自身发展需求，在原有村级动物防疫员队伍的基础上择优重新组成动物防疫队伍。兽医社会化服务承接主体负责动物防疫队伍的工资福利、监督管理等事项，通过合作社等形式开展畜禽强制免疫等服务。</w:t>
            </w:r>
          </w:p>
          <w:p w14:paraId="1C275FB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（2）提升防疫队伍形象。兽医社会化服务承接主体为动物防疫队伍购买工作服、免疫器具等物资，开展技术培训，提升动物防疫队伍的形象和服务能力。</w:t>
            </w:r>
          </w:p>
          <w:p w14:paraId="03E1406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2.目标效果：</w:t>
            </w:r>
          </w:p>
          <w:p w14:paraId="1B24E53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动物防疫队伍完成重组，重组后动物防疫队伍每人配有工作服和必需的免疫器具，一年接受两期以上的技术培训，具备开展畜禽强制免疫服务的能力和水平。</w:t>
            </w:r>
          </w:p>
          <w:p w14:paraId="5C4AA7F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3.考核指标：</w:t>
            </w:r>
          </w:p>
          <w:p w14:paraId="458907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（1）重组后的动物防疫员队伍由原来的180人精简为80人，各种管理制度齐全。</w:t>
            </w:r>
          </w:p>
          <w:p w14:paraId="2CEA206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（2）兽医社会化服务承接主体为动物防疫员购买工作服、防疫器具1批，举办2期160人次以上的技术培训。</w:t>
            </w:r>
          </w:p>
          <w:p w14:paraId="6265FA8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（二）整县推进重大动物疫病强制免疫服务</w:t>
            </w:r>
          </w:p>
          <w:p w14:paraId="107C7E1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1.服务内容：</w:t>
            </w:r>
          </w:p>
          <w:p w14:paraId="18EF27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（1）畜禽强制免疫病种免疫注射。根据</w:t>
            </w:r>
            <w:r>
              <w:rPr>
                <w:rFonts w:hint="eastAsia" w:ascii="宋体" w:hAnsi="宋体" w:cs="宋体"/>
                <w:b w:val="0"/>
                <w:bCs w:val="0"/>
                <w:color w:val="auto"/>
                <w:sz w:val="21"/>
                <w:szCs w:val="21"/>
                <w:highlight w:val="none"/>
                <w:lang w:val="en-US" w:eastAsia="zh-CN" w:bidi="ar-SA"/>
              </w:rPr>
              <w:t>宁明县动物疫病预防控制中心</w:t>
            </w:r>
            <w:r>
              <w:rPr>
                <w:rFonts w:hint="eastAsia" w:ascii="宋体" w:hAnsi="宋体" w:eastAsia="宋体" w:cs="宋体"/>
                <w:b w:val="0"/>
                <w:bCs w:val="0"/>
                <w:color w:val="auto"/>
                <w:sz w:val="21"/>
                <w:szCs w:val="21"/>
                <w:highlight w:val="none"/>
                <w:lang w:val="en-US" w:eastAsia="zh-CN" w:bidi="ar-SA"/>
              </w:rPr>
              <w:t>印发的动物疫病强制免疫计划，兽医社会化服务主体组织动物防疫员以“公司+农户”等模式为中小散养场户免费提供强制免疫注射服务，对实施强制免疫的畜禽施加标识和建立免疫档案。</w:t>
            </w:r>
          </w:p>
          <w:p w14:paraId="604233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（2）免疫效果评估。按照县农业农村局的要求，兽医社会化服务主体定期采集实施强制免疫注射后的畜禽血样送县兽医实验室等机构进行检测、评估，未达到免疫效果的要实施补充免疫。</w:t>
            </w:r>
          </w:p>
          <w:p w14:paraId="76FC451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2.目标效果：</w:t>
            </w:r>
          </w:p>
          <w:p w14:paraId="721D804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兽医社会化服务主体组织动物防疫队伍为中小散养场户免费提供强制免疫注射等服务并建立防疫档案，解决中小散养户免疫难、畜禽养殖防疫底数不清等问题，整体推进全县重大动物疫病强制免疫服务工作。</w:t>
            </w:r>
          </w:p>
          <w:p w14:paraId="17A1C6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3.考核指标：</w:t>
            </w:r>
          </w:p>
          <w:p w14:paraId="17405AF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（1）验收评估方法。县农业农村局对重大动物疫病强制免疫工作进行检查、评估，在春秋防时期分两次每个乡镇随机抽取1—2个行政村进行检查、评估，内容包括免疫密度、防疫档案和免疫效果等。</w:t>
            </w:r>
          </w:p>
          <w:p w14:paraId="479C39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（2）强制免疫病种免疫密度。查验免疫档案或者免疫信息表，按照要求建立真实完整的防疫档案，应免疫畜禽免疫密度达100%。</w:t>
            </w:r>
          </w:p>
          <w:p w14:paraId="0724E24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3）免疫效果。每次评估每个乡镇抽取1—2个行政村，采集鸡、鸭、牛、羊等畜禽血样，由县兽医实验室等机构进行检测，根据检测结果对高致病性禽流感、口蹄疫和小反刍兽疫疫苗的免疫效果进行总体评估，要求免疫抗体合格率平均在70%以上。</w:t>
            </w:r>
          </w:p>
          <w:p w14:paraId="0AFCFB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（三）养殖信息采集服务</w:t>
            </w:r>
          </w:p>
          <w:p w14:paraId="41F9AD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1.服务内容：</w:t>
            </w:r>
          </w:p>
          <w:p w14:paraId="2E5F7D9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（1）数据采集、录入。兽医社会化服务承接主体参照“公司+农户”的管理模式，集中采集、录入全县中小散户养殖基础数据。</w:t>
            </w:r>
          </w:p>
          <w:p w14:paraId="4375897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（2）数据更新。兽医社会化服务承接主体收集、更新养殖基础数据，在每季度末各更新数据一次。</w:t>
            </w:r>
          </w:p>
          <w:p w14:paraId="6E01AFC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2.目标效果：</w:t>
            </w:r>
          </w:p>
          <w:p w14:paraId="6FB2EC8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开展中小散户的养殖信息化数据采集和录入工作，将养殖数据链接到自治区农业农村厅指定的监管平台，逐步实现“先打后补”经费申报、检疫申报等养殖生产闭环管理，整体提高全县动物疫病防控能力。</w:t>
            </w:r>
          </w:p>
          <w:p w14:paraId="2296E03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3.考核指标</w:t>
            </w:r>
          </w:p>
          <w:p w14:paraId="44100A2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（1）数据集中采集、录入。提供中小散养户数据集中采集的表格材料，提供数据录入信息化系统和数据更新的佐证材料。</w:t>
            </w:r>
          </w:p>
          <w:p w14:paraId="6EA7060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（2）数据抽查。在春秋季开展强制免疫效果评估的同时，实地抽查养殖户畜禽存栏数量与信息系统录入数据库是否一致。</w:t>
            </w:r>
          </w:p>
          <w:p w14:paraId="3BE2314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（四）开展营利性服务</w:t>
            </w:r>
          </w:p>
          <w:p w14:paraId="39823D4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1.服务内容：</w:t>
            </w:r>
          </w:p>
          <w:p w14:paraId="0CC21BE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除了完成县农业农村局下达的强制免疫等非营利性服务之外，兽医社会化服务承接主体带领动物防疫队伍以动物防疫合作社等形式开展动物疫病诊疗、畜禽品种改良、人工配种、兽药饲料、供求信息、保险理赔等营利性服务，不断扩展营收渠道和提升“造血”能力。</w:t>
            </w:r>
          </w:p>
          <w:p w14:paraId="155744E0">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目标效果;</w:t>
            </w:r>
          </w:p>
          <w:p w14:paraId="054E4C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通过开展营利性服务增加经济收入，利于队伍稳定和发展。在项目实施结束（1年）后，动物防疫队伍依然可以按照原有模式继续开展动物防疫等服务工作。</w:t>
            </w:r>
          </w:p>
          <w:p w14:paraId="0058B6B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考核指标:</w:t>
            </w:r>
          </w:p>
          <w:p w14:paraId="7D7F55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bidi="ar-SA"/>
              </w:rPr>
              <w:t>兽医社会化服务承接主体按照市场经济自主开展营利性服务活动，县农业农村局不设考核指标。</w:t>
            </w:r>
          </w:p>
        </w:tc>
      </w:tr>
      <w:tr w14:paraId="180E3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14:paraId="03B0D69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9424" w:type="dxa"/>
            <w:gridSpan w:val="3"/>
            <w:tcBorders>
              <w:top w:val="single" w:color="auto" w:sz="4" w:space="0"/>
              <w:left w:val="single" w:color="auto" w:sz="4" w:space="0"/>
              <w:bottom w:val="single" w:color="auto" w:sz="4" w:space="0"/>
              <w:right w:val="single" w:color="auto" w:sz="4" w:space="0"/>
            </w:tcBorders>
            <w:vAlign w:val="top"/>
          </w:tcPr>
          <w:p w14:paraId="7B0A44B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▲一、合同签订期：成交通知书发出之日起</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日内。</w:t>
            </w:r>
          </w:p>
          <w:p w14:paraId="3C1FA9A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cs="宋体"/>
                <w:color w:val="auto"/>
                <w:sz w:val="21"/>
                <w:szCs w:val="21"/>
                <w:highlight w:val="none"/>
                <w:lang w:val="en-US" w:eastAsia="zh-CN"/>
              </w:rPr>
              <w:t>合同履行期限</w:t>
            </w:r>
            <w:r>
              <w:rPr>
                <w:rFonts w:hint="eastAsia" w:ascii="宋体" w:hAnsi="宋体" w:eastAsia="宋体" w:cs="宋体"/>
                <w:color w:val="auto"/>
                <w:sz w:val="21"/>
                <w:szCs w:val="21"/>
                <w:highlight w:val="none"/>
              </w:rPr>
              <w:t>：</w:t>
            </w:r>
            <w:r>
              <w:rPr>
                <w:rFonts w:hint="eastAsia" w:ascii="宋体" w:hAnsi="宋体" w:cs="宋体"/>
                <w:color w:val="auto"/>
                <w:szCs w:val="21"/>
                <w:highlight w:val="none"/>
              </w:rPr>
              <w:t>自合同签订之日起12个月</w:t>
            </w:r>
            <w:r>
              <w:rPr>
                <w:rFonts w:hint="eastAsia" w:ascii="宋体" w:hAnsi="宋体" w:cs="宋体"/>
                <w:color w:val="auto"/>
                <w:highlight w:val="none"/>
                <w:lang w:val="en-US" w:eastAsia="zh-CN"/>
              </w:rPr>
              <w:t>完成本项目需求中明确的各项服务内容并通过验收</w:t>
            </w:r>
            <w:r>
              <w:rPr>
                <w:rFonts w:hint="eastAsia" w:ascii="宋体" w:hAnsi="宋体" w:eastAsia="宋体" w:cs="宋体"/>
                <w:color w:val="auto"/>
                <w:sz w:val="21"/>
                <w:szCs w:val="21"/>
                <w:highlight w:val="none"/>
              </w:rPr>
              <w:t>。</w:t>
            </w:r>
          </w:p>
          <w:p w14:paraId="5C0EE4C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▲三、培训地点：由</w:t>
            </w:r>
            <w:r>
              <w:rPr>
                <w:rFonts w:hint="eastAsia" w:ascii="宋体" w:hAnsi="宋体" w:eastAsia="宋体" w:cs="宋体"/>
                <w:color w:val="auto"/>
                <w:sz w:val="21"/>
                <w:szCs w:val="21"/>
                <w:highlight w:val="none"/>
                <w:lang w:eastAsia="zh-CN"/>
              </w:rPr>
              <w:t>采购人指定地点，并与</w:t>
            </w:r>
            <w:r>
              <w:rPr>
                <w:rFonts w:hint="eastAsia" w:ascii="宋体" w:hAnsi="宋体" w:eastAsia="宋体" w:cs="宋体"/>
                <w:color w:val="auto"/>
                <w:sz w:val="21"/>
                <w:szCs w:val="21"/>
                <w:highlight w:val="none"/>
              </w:rPr>
              <w:t>成交供应商</w:t>
            </w:r>
            <w:r>
              <w:rPr>
                <w:rFonts w:hint="eastAsia" w:ascii="宋体" w:hAnsi="宋体" w:eastAsia="宋体" w:cs="宋体"/>
                <w:color w:val="auto"/>
                <w:sz w:val="21"/>
                <w:szCs w:val="21"/>
                <w:highlight w:val="none"/>
                <w:lang w:eastAsia="zh-CN"/>
              </w:rPr>
              <w:t>落实确定</w:t>
            </w:r>
            <w:r>
              <w:rPr>
                <w:rFonts w:hint="eastAsia" w:ascii="宋体" w:hAnsi="宋体" w:eastAsia="宋体" w:cs="宋体"/>
                <w:color w:val="auto"/>
                <w:sz w:val="21"/>
                <w:szCs w:val="21"/>
                <w:highlight w:val="none"/>
              </w:rPr>
              <w:t>。</w:t>
            </w:r>
          </w:p>
          <w:p w14:paraId="5C2D945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提交服务成果地点：</w:t>
            </w:r>
            <w:r>
              <w:rPr>
                <w:rFonts w:hint="eastAsia" w:ascii="宋体" w:hAnsi="宋体" w:cs="宋体"/>
                <w:color w:val="auto"/>
                <w:sz w:val="21"/>
                <w:szCs w:val="21"/>
                <w:highlight w:val="none"/>
                <w:lang w:eastAsia="zh-CN"/>
              </w:rPr>
              <w:t>宁明县动物疫病预防控制中心</w:t>
            </w:r>
            <w:r>
              <w:rPr>
                <w:rFonts w:hint="eastAsia" w:ascii="宋体" w:hAnsi="宋体" w:eastAsia="宋体" w:cs="宋体"/>
                <w:color w:val="auto"/>
                <w:sz w:val="21"/>
                <w:szCs w:val="21"/>
                <w:highlight w:val="none"/>
                <w:lang w:eastAsia="zh-CN"/>
              </w:rPr>
              <w:t>。</w:t>
            </w:r>
          </w:p>
          <w:p w14:paraId="676B31F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验收要求</w:t>
            </w:r>
            <w:r>
              <w:rPr>
                <w:rFonts w:hint="eastAsia" w:ascii="宋体" w:hAnsi="宋体" w:eastAsia="宋体" w:cs="宋体"/>
                <w:color w:val="auto"/>
                <w:sz w:val="21"/>
                <w:szCs w:val="21"/>
                <w:highlight w:val="none"/>
              </w:rPr>
              <w:t>：</w:t>
            </w:r>
            <w:r>
              <w:rPr>
                <w:rFonts w:hint="eastAsia" w:ascii="宋体" w:hAnsi="宋体"/>
                <w:color w:val="auto"/>
                <w:sz w:val="21"/>
                <w:szCs w:val="21"/>
                <w:highlight w:val="none"/>
              </w:rPr>
              <w:t>服务完结后，成交供应商应向采购人提供服务档案并配合相关监督检查或绩效评价，采购人根据采购需求、成交供应商响应文件承诺及合同条款进行逐条核验及综合评价，经核验综合评价不合格的，采购人不予验收，成交供应商应承担由此造成的一切不利后果</w:t>
            </w:r>
            <w:r>
              <w:rPr>
                <w:rFonts w:hint="eastAsia" w:ascii="宋体" w:hAnsi="宋体" w:eastAsia="宋体" w:cs="宋体"/>
                <w:color w:val="auto"/>
                <w:sz w:val="21"/>
                <w:szCs w:val="21"/>
                <w:highlight w:val="none"/>
              </w:rPr>
              <w:t>。</w:t>
            </w:r>
          </w:p>
          <w:p w14:paraId="41A0341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、其他要求：</w:t>
            </w:r>
          </w:p>
          <w:p w14:paraId="33242A5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必须含以下部分，包括：培训需求调研、宣传发动、教育培训、跟踪服务、典型宣传等相关支出，包括差旅费、食宿费、购买保险、购买各类教材和印制资料费、教学耗材费、培训工具（操作样本）费、教师课酬、劳务费及信息化手段等相关支出。包含税金及其他所有成本费用的总和及采购文件所要求的相关服务以及合同所示全部责任、义务和一般风险等全过程产生的所有成本和费用以及一切税费，对采购的服务进行完整唯一报价。</w:t>
            </w:r>
          </w:p>
          <w:p w14:paraId="0F46760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w:t>
            </w:r>
            <w:r>
              <w:rPr>
                <w:rFonts w:hint="eastAsia" w:ascii="宋体" w:hAnsi="宋体" w:cs="宋体"/>
                <w:color w:val="auto"/>
                <w:sz w:val="21"/>
                <w:szCs w:val="21"/>
                <w:highlight w:val="none"/>
                <w:lang w:val="en-US" w:eastAsia="zh-CN"/>
              </w:rPr>
              <w:t>自合同</w:t>
            </w:r>
            <w:r>
              <w:rPr>
                <w:rFonts w:hint="eastAsia" w:ascii="宋体" w:hAnsi="宋体" w:eastAsia="宋体" w:cs="宋体"/>
                <w:color w:val="auto"/>
                <w:sz w:val="21"/>
                <w:szCs w:val="21"/>
                <w:highlight w:val="none"/>
              </w:rPr>
              <w:t>签订后</w:t>
            </w:r>
            <w:r>
              <w:rPr>
                <w:rFonts w:hint="eastAsia" w:ascii="宋体" w:hAnsi="宋体" w:eastAsia="宋体" w:cs="宋体"/>
                <w:color w:val="auto"/>
                <w:sz w:val="21"/>
                <w:szCs w:val="21"/>
                <w:highlight w:val="none"/>
                <w:lang w:eastAsia="zh-CN"/>
              </w:rPr>
              <w:t>采购人在供应商开具增值税等额发票后</w:t>
            </w:r>
            <w:r>
              <w:rPr>
                <w:rFonts w:hint="eastAsia" w:ascii="宋体" w:hAnsi="宋体" w:eastAsia="宋体" w:cs="宋体"/>
                <w:color w:val="auto"/>
                <w:sz w:val="21"/>
                <w:szCs w:val="21"/>
                <w:highlight w:val="none"/>
              </w:rPr>
              <w:t>支付</w:t>
            </w:r>
            <w:r>
              <w:rPr>
                <w:rFonts w:hint="eastAsia" w:ascii="宋体" w:hAnsi="宋体" w:cs="宋体"/>
                <w:color w:val="auto"/>
                <w:sz w:val="21"/>
                <w:szCs w:val="21"/>
                <w:highlight w:val="none"/>
                <w:lang w:val="en-US" w:eastAsia="zh-CN"/>
              </w:rPr>
              <w:t>合同价</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做完</w:t>
            </w:r>
            <w:r>
              <w:rPr>
                <w:rFonts w:hint="eastAsia" w:ascii="宋体" w:hAnsi="宋体" w:eastAsia="宋体" w:cs="宋体"/>
                <w:color w:val="auto"/>
                <w:sz w:val="21"/>
                <w:szCs w:val="21"/>
                <w:highlight w:val="none"/>
                <w:lang w:eastAsia="zh-CN"/>
              </w:rPr>
              <w:t>所有</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验收项目合格后</w:t>
            </w:r>
            <w:r>
              <w:rPr>
                <w:rFonts w:hint="eastAsia" w:ascii="宋体" w:hAnsi="宋体" w:eastAsia="宋体" w:cs="宋体"/>
                <w:color w:val="auto"/>
                <w:sz w:val="21"/>
                <w:szCs w:val="21"/>
                <w:highlight w:val="none"/>
                <w:lang w:eastAsia="zh-CN"/>
              </w:rPr>
              <w:t>在供应商开具增值税等额发票后</w:t>
            </w:r>
            <w:r>
              <w:rPr>
                <w:rFonts w:hint="eastAsia" w:ascii="宋体" w:hAnsi="宋体" w:eastAsia="宋体" w:cs="宋体"/>
                <w:color w:val="auto"/>
                <w:sz w:val="21"/>
                <w:szCs w:val="21"/>
                <w:highlight w:val="none"/>
              </w:rPr>
              <w:t>支付</w:t>
            </w:r>
            <w:r>
              <w:rPr>
                <w:rFonts w:hint="eastAsia" w:ascii="宋体" w:hAnsi="宋体" w:cs="宋体"/>
                <w:color w:val="auto"/>
                <w:sz w:val="21"/>
                <w:szCs w:val="21"/>
                <w:highlight w:val="none"/>
                <w:lang w:val="en-US" w:eastAsia="zh-CN"/>
              </w:rPr>
              <w:t>合同价</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14:paraId="4AC5A96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3、成交人未能按采购文件规定时间要求向采购人提交服务成果的，采购人有权解除合同、并获得赔偿。</w:t>
            </w:r>
          </w:p>
          <w:p w14:paraId="38F49B7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竞标人在竞标文件中根据自身优势提供针对本项目的服务方案，格式自拟。</w:t>
            </w:r>
          </w:p>
          <w:p w14:paraId="125308D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供应商所提供的标的涉及到的知识产权和相关技术资料必须是合法取得的，不会侵犯任何第三方的专利权、商标权、工业设计权或其他权利，不会因为采购人的使用服务成果遭受第三方侵权指控，包括被责令致歉、停止使用、追偿或要求赔偿损失等。否则，供应商负责解决由此引起的一切纠纷，采购人有权追究供应商的法律责任，其不利后果由供应商全部承担</w:t>
            </w:r>
          </w:p>
        </w:tc>
      </w:tr>
    </w:tbl>
    <w:p w14:paraId="2F8C78B3">
      <w:pPr>
        <w:pStyle w:val="18"/>
        <w:rPr>
          <w:rFonts w:hint="eastAsia"/>
          <w:b/>
          <w:bCs/>
          <w:i w:val="0"/>
          <w:iCs w:val="0"/>
          <w:color w:val="auto"/>
          <w:highlight w:val="none"/>
          <w:lang w:eastAsia="zh-CN"/>
        </w:rPr>
      </w:pPr>
    </w:p>
    <w:p w14:paraId="6B74A8C7">
      <w:pPr>
        <w:pStyle w:val="18"/>
        <w:rPr>
          <w:rFonts w:hint="eastAsia"/>
          <w:b/>
          <w:bCs/>
          <w:i w:val="0"/>
          <w:iCs w:val="0"/>
          <w:color w:val="auto"/>
          <w:highlight w:val="none"/>
          <w:lang w:eastAsia="zh-CN"/>
        </w:rPr>
        <w:sectPr>
          <w:pgSz w:w="11906" w:h="16838"/>
          <w:pgMar w:top="1440" w:right="1279" w:bottom="1440" w:left="1387" w:header="851" w:footer="992" w:gutter="0"/>
          <w:pgNumType w:fmt="decimal"/>
          <w:cols w:space="720" w:num="1"/>
          <w:titlePg/>
          <w:docGrid w:type="lines" w:linePitch="312" w:charSpace="0"/>
        </w:sectPr>
      </w:pPr>
    </w:p>
    <w:p w14:paraId="37E9F6A3">
      <w:pPr>
        <w:pStyle w:val="3"/>
        <w:spacing w:line="360" w:lineRule="auto"/>
        <w:jc w:val="center"/>
        <w:rPr>
          <w:rFonts w:hint="eastAsia" w:ascii="宋体" w:hAnsi="宋体" w:eastAsia="宋体" w:cs="宋体"/>
          <w:color w:val="auto"/>
          <w:highlight w:val="none"/>
        </w:rPr>
      </w:pPr>
      <w:bookmarkStart w:id="69" w:name="_Toc14020"/>
      <w:r>
        <w:rPr>
          <w:rFonts w:hint="eastAsia" w:ascii="宋体" w:hAnsi="宋体" w:eastAsia="宋体" w:cs="宋体"/>
          <w:color w:val="auto"/>
          <w:highlight w:val="none"/>
        </w:rPr>
        <w:t>第四章  评审程序、评审方法和评审标准</w:t>
      </w:r>
      <w:bookmarkEnd w:id="69"/>
    </w:p>
    <w:p w14:paraId="3051B22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一、评审程序和评审方法</w:t>
      </w:r>
    </w:p>
    <w:p w14:paraId="31419E6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1.资格审查</w:t>
      </w:r>
    </w:p>
    <w:p w14:paraId="23BDB73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1.1响应文件开启后，磋商小组依法对供应商的资格证明文件进行审查。</w:t>
      </w:r>
    </w:p>
    <w:p w14:paraId="704CD73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注：采购人或者采购代理机构在资格审查结束前，对供应商进行信用查询。</w:t>
      </w:r>
    </w:p>
    <w:p w14:paraId="258A34E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 、中国政府采购网(www.ccgp.gov.cn)。</w:t>
      </w:r>
    </w:p>
    <w:p w14:paraId="6665C83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5A1DB15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查询记录和证据留存方式：在查询网站中直接打印查询记录，打印材料作为评审资料保存。</w:t>
      </w:r>
    </w:p>
    <w:p w14:paraId="7FB32E6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4188C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7D1B17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1.3供应商有下列情形之一的，资格审查不通过，其响应文件按无效响应处理：</w:t>
      </w:r>
    </w:p>
    <w:p w14:paraId="45D04D0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062AB7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4DE01E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4CDE25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1.4通过资格审查的合格供应商不足3家的，不得进入符合性审查环节，采购人或者采购代理机构应当重新开展采购活动。</w:t>
      </w:r>
    </w:p>
    <w:p w14:paraId="53730F8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2.符合性审查</w:t>
      </w:r>
    </w:p>
    <w:p w14:paraId="4B87A880">
      <w:pPr>
        <w:spacing w:line="360" w:lineRule="auto"/>
        <w:ind w:firstLine="420" w:firstLineChars="200"/>
        <w:rPr>
          <w:rFonts w:hint="eastAsia" w:ascii="宋体" w:hAnsi="宋体" w:eastAsia="宋体" w:cs="宋体"/>
          <w:color w:val="auto"/>
          <w:szCs w:val="21"/>
          <w:highlight w:val="none"/>
        </w:rPr>
      </w:pPr>
      <w:bookmarkStart w:id="70" w:name="_Hlk42528882"/>
      <w:r>
        <w:rPr>
          <w:rFonts w:hint="eastAsia" w:ascii="宋体" w:hAnsi="宋体" w:eastAsia="宋体" w:cs="宋体"/>
          <w:color w:val="auto"/>
          <w:szCs w:val="21"/>
          <w:highlight w:val="none"/>
        </w:rPr>
        <w:t>2.1由磋商小组对通过资格审查的合格供应商的响应文件的竞标报价、商务、技术等实质性要求进行符合性审查，以确定其是否满足磋商文件的实质性要求。</w:t>
      </w:r>
    </w:p>
    <w:bookmarkEnd w:id="70"/>
    <w:p w14:paraId="0B9AB3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6DA3DC">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若委托代理人不是响应文件中授权的委托代理人时，必须同时出示有效的法定代表人授权委托书原件</w:t>
      </w:r>
      <w:r>
        <w:rPr>
          <w:rFonts w:hint="eastAsia" w:ascii="宋体" w:hAnsi="宋体" w:eastAsia="宋体" w:cs="宋体"/>
          <w:color w:val="auto"/>
          <w:spacing w:val="-6"/>
          <w:szCs w:val="21"/>
          <w:highlight w:val="none"/>
        </w:rPr>
        <w:t>。供应商为自然人的，必须由本人签字并附身份证明。</w:t>
      </w:r>
    </w:p>
    <w:p w14:paraId="4CCCB156">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2.4</w:t>
      </w:r>
      <w:r>
        <w:rPr>
          <w:rFonts w:hint="eastAsia" w:ascii="宋体" w:hAnsi="宋体" w:eastAsia="宋体" w:cs="宋体"/>
          <w:color w:val="auto"/>
          <w:szCs w:val="21"/>
          <w:highlight w:val="none"/>
        </w:rPr>
        <w:t xml:space="preserve">首次响应文件报价出现前后不一致的，按照下列规定修正： </w:t>
      </w:r>
    </w:p>
    <w:p w14:paraId="5BDD3E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2E6DBF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0441C2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7D9868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396D03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3CDA1F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2.5商务报价</w:t>
      </w:r>
      <w:r>
        <w:rPr>
          <w:rFonts w:hint="eastAsia" w:ascii="宋体" w:hAnsi="宋体" w:cs="宋体"/>
          <w:color w:val="auto"/>
          <w:szCs w:val="21"/>
          <w:highlight w:val="none"/>
          <w:lang w:eastAsia="zh-CN"/>
        </w:rPr>
        <w:t>、技术文件</w:t>
      </w:r>
      <w:r>
        <w:rPr>
          <w:rFonts w:hint="eastAsia" w:ascii="宋体" w:hAnsi="宋体" w:eastAsia="宋体" w:cs="宋体"/>
          <w:color w:val="auto"/>
          <w:szCs w:val="21"/>
          <w:highlight w:val="none"/>
        </w:rPr>
        <w:t>评审</w:t>
      </w:r>
    </w:p>
    <w:p w14:paraId="0C8A65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6A40B3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（1）商务报价</w:t>
      </w:r>
      <w:r>
        <w:rPr>
          <w:rFonts w:hint="eastAsia" w:ascii="宋体" w:hAnsi="宋体" w:cs="宋体"/>
          <w:color w:val="auto"/>
          <w:szCs w:val="21"/>
          <w:highlight w:val="none"/>
          <w:lang w:eastAsia="zh-CN"/>
        </w:rPr>
        <w:t>、技术文件</w:t>
      </w:r>
      <w:r>
        <w:rPr>
          <w:rFonts w:hint="eastAsia" w:ascii="宋体" w:hAnsi="宋体" w:eastAsia="宋体" w:cs="宋体"/>
          <w:color w:val="auto"/>
          <w:szCs w:val="21"/>
          <w:highlight w:val="none"/>
        </w:rPr>
        <w:t>评审</w:t>
      </w:r>
    </w:p>
    <w:p w14:paraId="6D80C7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1）提供响应文件正、副本数量不足；</w:t>
      </w:r>
    </w:p>
    <w:p w14:paraId="36F7F8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2）响应文件未按磋商文件要求签署、盖章；</w:t>
      </w:r>
    </w:p>
    <w:p w14:paraId="6191E6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3）委托代理人未能出具有效身份证明或者出具的身份证明与授权委托书中的信息不符； </w:t>
      </w:r>
    </w:p>
    <w:p w14:paraId="459EA2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4）提交的磋商保证金无效的或者未按照磋商文件的规定提交磋商保证金；</w:t>
      </w:r>
    </w:p>
    <w:p w14:paraId="36CADA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5）响应文件未提供任一项“供应商须知前附表”</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中“必须提供”或者“委托时必须提供”的文件资料；响应文件提供的</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出现任一项不符合“供应商须知前附表”</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中 “必须提供”或者“委托时必须提供”文件资料要求的规定或者提供的</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无效。</w:t>
      </w:r>
    </w:p>
    <w:p w14:paraId="717697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6）商务条款中标“▲”的条款发生负偏离的或者允许负偏离的条款数超过“供应商须知前附表”规定项数的或者标明实质性的要求发生负偏离；</w:t>
      </w:r>
    </w:p>
    <w:p w14:paraId="7B2B93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7）未对竞标有效期作出响应或者响应文件承诺的竞标有效期不满足磋商文件要求；</w:t>
      </w:r>
    </w:p>
    <w:p w14:paraId="207D6C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8）响应文件的实质性内容未使用中文表述、使用计量单位不符合磋商文件要求；</w:t>
      </w:r>
    </w:p>
    <w:p w14:paraId="784842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9）响应文件中的文件资料因填写不齐全或者内容虚假或者出现其他情形而导致被磋商小组认定无效；</w:t>
      </w:r>
    </w:p>
    <w:p w14:paraId="4949DD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10）响应文件含有采购人不能接受的附加条件；</w:t>
      </w:r>
    </w:p>
    <w:p w14:paraId="6F5161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11）属于“供应商须知正文”第7.5条情形；</w:t>
      </w:r>
    </w:p>
    <w:p w14:paraId="3468B0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12）明显不满足磋商文件要求的技术规格、安全、质量标准，或者与磋商文件中标“▲”的技术需求或者标明实质性的要求发生负偏离；</w:t>
      </w:r>
    </w:p>
    <w:p w14:paraId="34FA83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13）技术需求允许负偏离的条款数超过“供应商须知前附表”规定项数；</w:t>
      </w:r>
    </w:p>
    <w:p w14:paraId="0D48C2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14）虚假竞标，或者出现其他情形而导致被磋商小组认定无效；</w:t>
      </w:r>
    </w:p>
    <w:p w14:paraId="3B3537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15）竞标技术方案不明确，磋商文件未允许但响应文件中存在一个或者一个以上备选（替代）竞标方案；</w:t>
      </w:r>
    </w:p>
    <w:p w14:paraId="6C5CCC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16）未响应磋商文件实质性要求；</w:t>
      </w:r>
    </w:p>
    <w:p w14:paraId="2AC394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17）法律、法规和磋商文件规定的其他无效情形。</w:t>
      </w:r>
    </w:p>
    <w:p w14:paraId="3A7C8A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1C2302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 响应文件未提供“供应商须知前附表” </w:t>
      </w:r>
      <w:r>
        <w:rPr>
          <w:rFonts w:hint="eastAsia" w:ascii="宋体" w:hAnsi="宋体" w:cs="宋体"/>
          <w:color w:val="auto"/>
          <w:szCs w:val="21"/>
          <w:highlight w:val="none"/>
          <w:lang w:eastAsia="zh-CN"/>
        </w:rPr>
        <w:t>商务报价文件</w:t>
      </w:r>
      <w:r>
        <w:rPr>
          <w:rFonts w:hint="eastAsia" w:ascii="宋体" w:hAnsi="宋体" w:eastAsia="宋体" w:cs="宋体"/>
          <w:color w:val="auto"/>
          <w:szCs w:val="21"/>
          <w:highlight w:val="none"/>
        </w:rPr>
        <w:t>中规定的“竞标报价表”；</w:t>
      </w:r>
    </w:p>
    <w:p w14:paraId="16CFAD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773185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478B14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4）竞标报价（包含首次报价、最后报价）超过所竞标分标规定的采购预算金额或者最高限价的（如本项目公布了最高限价）；</w:t>
      </w:r>
      <w:bookmarkStart w:id="71" w:name="_Hlk42596405"/>
      <w:r>
        <w:rPr>
          <w:rFonts w:hint="eastAsia" w:ascii="宋体" w:hAnsi="宋体" w:eastAsia="宋体" w:cs="宋体"/>
          <w:color w:val="auto"/>
          <w:szCs w:val="21"/>
          <w:highlight w:val="none"/>
        </w:rPr>
        <w:t>竞标报价（包含首次报价、最后报价）</w:t>
      </w:r>
      <w:bookmarkEnd w:id="71"/>
      <w:bookmarkStart w:id="72" w:name="_Hlk42596276"/>
      <w:r>
        <w:rPr>
          <w:rFonts w:hint="eastAsia" w:ascii="宋体" w:hAnsi="宋体" w:eastAsia="宋体" w:cs="宋体"/>
          <w:color w:val="auto"/>
          <w:szCs w:val="21"/>
          <w:highlight w:val="none"/>
        </w:rPr>
        <w:t>超过磋商文件分项采购预算金额或者最高限价的</w:t>
      </w:r>
      <w:bookmarkEnd w:id="72"/>
      <w:r>
        <w:rPr>
          <w:rFonts w:hint="eastAsia" w:ascii="宋体" w:hAnsi="宋体" w:eastAsia="宋体" w:cs="宋体"/>
          <w:color w:val="auto"/>
          <w:szCs w:val="21"/>
          <w:highlight w:val="none"/>
        </w:rPr>
        <w:t>（如本项目公布了最高限价）；</w:t>
      </w:r>
    </w:p>
    <w:p w14:paraId="53E5CA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5158BC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2B4AA2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2.7通过符合性审查的合格供应商不足3家的，不得进入磋商环节，采购人或者采购代理机构应当重新开展采购活动。</w:t>
      </w:r>
    </w:p>
    <w:p w14:paraId="65CE2B1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3.磋商</w:t>
      </w:r>
    </w:p>
    <w:p w14:paraId="2A8A8DC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3.磋商的程序</w:t>
      </w:r>
    </w:p>
    <w:p w14:paraId="715D3F3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B8339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DCBFE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3.3对磋商文件作出的实质性变动是磋商文件的有效组成部分，由磋商小组及时以书面形式同时通知所有参加磋商的供应商。</w:t>
      </w:r>
    </w:p>
    <w:p w14:paraId="32391A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3.4供应商必须按照磋商文件的变动情况和磋商小组的要求重新提交响应文件，并由其法定代表人或者授权代表签字或者加盖公章。由委托代理人签字的，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若委托代理人不是响应文件中授权的委托代理人时，必须同时出示有效的法定代表人授权委托书原件</w:t>
      </w:r>
      <w:r>
        <w:rPr>
          <w:rFonts w:hint="eastAsia" w:ascii="宋体" w:hAnsi="宋体" w:eastAsia="宋体" w:cs="宋体"/>
          <w:color w:val="auto"/>
          <w:szCs w:val="21"/>
          <w:highlight w:val="none"/>
        </w:rPr>
        <w:t>。供应商为自然人的，必须由本人签字并附身份证明。参加磋商的供应商未在规定时间内重新提交响应文件的，视同</w:t>
      </w:r>
      <w:bookmarkStart w:id="73" w:name="_Hlk55814495"/>
      <w:r>
        <w:rPr>
          <w:rFonts w:hint="eastAsia" w:ascii="宋体" w:hAnsi="宋体" w:eastAsia="宋体" w:cs="宋体"/>
          <w:color w:val="auto"/>
          <w:szCs w:val="21"/>
          <w:highlight w:val="none"/>
        </w:rPr>
        <w:t>退出磋商</w:t>
      </w:r>
      <w:bookmarkEnd w:id="73"/>
      <w:r>
        <w:rPr>
          <w:rFonts w:hint="eastAsia" w:ascii="宋体" w:hAnsi="宋体" w:eastAsia="宋体" w:cs="宋体"/>
          <w:color w:val="auto"/>
          <w:szCs w:val="21"/>
          <w:highlight w:val="none"/>
        </w:rPr>
        <w:t>，其响应文件作无效处理。</w:t>
      </w:r>
    </w:p>
    <w:p w14:paraId="1DCAC7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72AD88D9">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3.6采购代理机构对磋商过程和重要磋商内容进行记录，磋商双方在记录上签字确认。</w:t>
      </w:r>
    </w:p>
    <w:p w14:paraId="1157D47C">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3.7磋商过程中重新提交的响应文件，供应商可以在开启前补充、修改。</w:t>
      </w:r>
    </w:p>
    <w:p w14:paraId="613CB7C8">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76E7CA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3.9对磋商过程提交的响应文件进行有效性、完整性和响应程度审查，通过审查的合格供应商不足3家的，除本章第3.8条的情形外，采购人或者采购代理机构应当重新开展采购活动。</w:t>
      </w:r>
    </w:p>
    <w:p w14:paraId="1FBE3824">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4. 最后报价</w:t>
      </w:r>
    </w:p>
    <w:p w14:paraId="2475D2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磋商文件能够详细列明采购标的的技术、服务要求的，磋商结束后，由磋商小组要求所有继续参加磋商的供应商在规定时间内密封提交最后报价，提交最后报价的供应商不得少于3家，除本章第4.3条外，否则必须重新采购。</w:t>
      </w:r>
    </w:p>
    <w:p w14:paraId="4211A2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4ADD0A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14:paraId="76A8C0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0056EF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4.5供应商未在规定时间内提交最后报价的，视为退出磋商，其响应文件作无效处理。</w:t>
      </w:r>
    </w:p>
    <w:p w14:paraId="00A3D2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4.6磋商小组收齐某一分标最后报价后统一开启，磋商小组对最后报价进行有效性、完整性和响应程度的审查。</w:t>
      </w:r>
    </w:p>
    <w:p w14:paraId="29C359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4.7响应文件最后报价出现前后不一致的，按照本章第2.4条的规定修正。 </w:t>
      </w:r>
    </w:p>
    <w:p w14:paraId="410F0E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4.8修正后的报价出现下列情形的，按无效响应处理：</w:t>
      </w:r>
    </w:p>
    <w:p w14:paraId="0EC51A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w:t>
      </w:r>
    </w:p>
    <w:p w14:paraId="595D19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（2）经供应商确认修正后的竞标报价（包含首次报价、最后报价）超过所竞标分标规定的采购预算金额或者最高限价的（如本项目公布了最高限价）；</w:t>
      </w:r>
    </w:p>
    <w:p w14:paraId="0264E8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（3）经供应商确认修正后的竞标报价（包含首次报价、最后报价）超过分项采购预算金额或者最高限价的（如本项目公布了最高限价）。</w:t>
      </w:r>
    </w:p>
    <w:p w14:paraId="7B712E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4.9经供应商确认修正后的最后报价作为评审及签订合同的依据。</w:t>
      </w:r>
    </w:p>
    <w:p w14:paraId="6F2F1F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4.10最后报价结束后，磋商小组不得再与供应商进行任何形式的商谈。</w:t>
      </w:r>
    </w:p>
    <w:p w14:paraId="179F938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5.比较与评价</w:t>
      </w:r>
    </w:p>
    <w:p w14:paraId="5EE908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5.1评审方法：综合评分法。</w:t>
      </w:r>
    </w:p>
    <w:p w14:paraId="0EA3E2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31E1E4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5.3评审时，磋商小组各成员应当独立对每个有效响应的文件进行评价、打分，然后汇总每个供应商每项评分因素的得分。</w:t>
      </w:r>
    </w:p>
    <w:p w14:paraId="7B316B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3AFD69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1A8E58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65914A8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6EC811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89F17D8">
      <w:pPr>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二、评审标准</w:t>
      </w:r>
      <w:r>
        <w:rPr>
          <w:rFonts w:hint="eastAsia" w:ascii="宋体" w:hAnsi="宋体" w:cs="宋体"/>
          <w:b/>
          <w:color w:val="auto"/>
          <w:sz w:val="32"/>
          <w:szCs w:val="32"/>
          <w:highlight w:val="none"/>
          <w:lang w:eastAsia="zh-CN"/>
        </w:rPr>
        <w:t>（适用于所有标项）</w:t>
      </w:r>
    </w:p>
    <w:p w14:paraId="379F5A8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6.评审依据：磋商小组将以磋商响应文件为评审依据，对供应商的报价、技术、商务等方面内容按百分制打分。（计分方法按四舍五入取至百分位）</w:t>
      </w:r>
    </w:p>
    <w:tbl>
      <w:tblPr>
        <w:tblStyle w:val="23"/>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304"/>
        <w:gridCol w:w="6288"/>
        <w:gridCol w:w="851"/>
      </w:tblGrid>
      <w:tr w14:paraId="384D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7" w:type="dxa"/>
            <w:vAlign w:val="center"/>
          </w:tcPr>
          <w:p w14:paraId="09C2C886">
            <w:pPr>
              <w:widowControl/>
              <w:spacing w:line="360" w:lineRule="auto"/>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304" w:type="dxa"/>
            <w:vAlign w:val="center"/>
          </w:tcPr>
          <w:p w14:paraId="6DF14C4D">
            <w:pPr>
              <w:widowControl/>
              <w:spacing w:line="360" w:lineRule="auto"/>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w:t>
            </w:r>
          </w:p>
        </w:tc>
        <w:tc>
          <w:tcPr>
            <w:tcW w:w="6288" w:type="dxa"/>
            <w:vAlign w:val="center"/>
          </w:tcPr>
          <w:p w14:paraId="1EF504CD">
            <w:pPr>
              <w:widowControl/>
              <w:spacing w:line="360" w:lineRule="auto"/>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评审因素具体内容</w:t>
            </w:r>
          </w:p>
        </w:tc>
        <w:tc>
          <w:tcPr>
            <w:tcW w:w="851" w:type="dxa"/>
            <w:vAlign w:val="center"/>
          </w:tcPr>
          <w:p w14:paraId="46D8808C">
            <w:pPr>
              <w:widowControl/>
              <w:spacing w:line="360" w:lineRule="auto"/>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分值</w:t>
            </w:r>
          </w:p>
        </w:tc>
      </w:tr>
      <w:tr w14:paraId="0726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7" w:type="dxa"/>
            <w:vAlign w:val="center"/>
          </w:tcPr>
          <w:p w14:paraId="30F45BEF">
            <w:pPr>
              <w:widowControl/>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304" w:type="dxa"/>
            <w:vAlign w:val="center"/>
          </w:tcPr>
          <w:p w14:paraId="72CB9ED1">
            <w:pPr>
              <w:widowControl/>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价格分</w:t>
            </w:r>
          </w:p>
        </w:tc>
        <w:tc>
          <w:tcPr>
            <w:tcW w:w="6288" w:type="dxa"/>
            <w:vAlign w:val="top"/>
          </w:tcPr>
          <w:p w14:paraId="2E77C0AE">
            <w:pPr>
              <w:keepNext w:val="0"/>
              <w:keepLines w:val="0"/>
              <w:pageBreakBefore w:val="0"/>
              <w:kinsoku/>
              <w:wordWrap/>
              <w:overflowPunct/>
              <w:topLinePunct w:val="0"/>
              <w:autoSpaceDE/>
              <w:autoSpaceDN/>
              <w:bidi w:val="0"/>
              <w:snapToGrid/>
              <w:spacing w:line="360" w:lineRule="auto"/>
              <w:ind w:firstLine="420" w:firstLineChars="200"/>
              <w:rPr>
                <w:rFonts w:hint="eastAsia"/>
                <w:color w:val="auto"/>
                <w:sz w:val="21"/>
                <w:szCs w:val="21"/>
                <w:highlight w:val="none"/>
              </w:rPr>
            </w:pPr>
            <w:r>
              <w:rPr>
                <w:rFonts w:hint="eastAsia"/>
                <w:color w:val="auto"/>
                <w:sz w:val="21"/>
                <w:szCs w:val="21"/>
                <w:highlight w:val="none"/>
              </w:rPr>
              <w:t>评标基准价</w:t>
            </w:r>
            <w:r>
              <w:rPr>
                <w:color w:val="auto"/>
                <w:sz w:val="21"/>
                <w:szCs w:val="21"/>
                <w:highlight w:val="none"/>
              </w:rPr>
              <w:t>的确定方法</w:t>
            </w:r>
            <w:r>
              <w:rPr>
                <w:rFonts w:hint="eastAsia"/>
                <w:color w:val="auto"/>
                <w:sz w:val="21"/>
                <w:szCs w:val="21"/>
                <w:highlight w:val="none"/>
                <w:lang w:eastAsia="zh-CN"/>
              </w:rPr>
              <w:t>：</w:t>
            </w:r>
            <w:r>
              <w:rPr>
                <w:rFonts w:hint="default"/>
                <w:color w:val="auto"/>
                <w:sz w:val="21"/>
                <w:szCs w:val="21"/>
                <w:highlight w:val="none"/>
              </w:rPr>
              <w:t>采用低价优先法计算，即满足磋商文件要求且最后报价最低的供应商的价格为磋商基准价，其价格分为满分</w:t>
            </w:r>
            <w:r>
              <w:rPr>
                <w:rFonts w:hint="eastAsia"/>
                <w:color w:val="auto"/>
                <w:sz w:val="21"/>
                <w:szCs w:val="21"/>
                <w:highlight w:val="none"/>
              </w:rPr>
              <w:t>。</w:t>
            </w:r>
          </w:p>
          <w:p w14:paraId="2DB0EAC0">
            <w:pPr>
              <w:pStyle w:val="14"/>
              <w:spacing w:line="360" w:lineRule="auto"/>
              <w:ind w:firstLine="420" w:firstLineChars="200"/>
              <w:rPr>
                <w:rFonts w:hint="eastAsia" w:hAnsi="宋体" w:cs="宋体"/>
                <w:bCs/>
                <w:color w:val="auto"/>
                <w:kern w:val="2"/>
                <w:sz w:val="21"/>
                <w:szCs w:val="21"/>
                <w:highlight w:val="none"/>
              </w:rPr>
            </w:pPr>
            <w:r>
              <w:rPr>
                <w:rFonts w:hint="eastAsia"/>
                <w:color w:val="auto"/>
                <w:sz w:val="21"/>
                <w:szCs w:val="21"/>
                <w:highlight w:val="none"/>
              </w:rPr>
              <w:t>价格分统一按照下列公式计算：磋商报价得分=（评审基准价/磋商报价）×价格分满分分值。</w:t>
            </w:r>
          </w:p>
        </w:tc>
        <w:tc>
          <w:tcPr>
            <w:tcW w:w="851" w:type="dxa"/>
            <w:vAlign w:val="center"/>
          </w:tcPr>
          <w:p w14:paraId="68A6AD94">
            <w:pPr>
              <w:widowControl/>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分</w:t>
            </w:r>
          </w:p>
        </w:tc>
      </w:tr>
      <w:tr w14:paraId="7F2D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7" w:type="dxa"/>
            <w:vAlign w:val="center"/>
          </w:tcPr>
          <w:p w14:paraId="0764D72B">
            <w:pPr>
              <w:widowControl/>
              <w:spacing w:line="360" w:lineRule="auto"/>
              <w:jc w:val="center"/>
              <w:rPr>
                <w:rFonts w:hint="eastAsia" w:ascii="宋体" w:hAnsi="宋体" w:cs="宋体"/>
                <w:color w:val="auto"/>
                <w:kern w:val="0"/>
                <w:sz w:val="21"/>
                <w:szCs w:val="21"/>
                <w:highlight w:val="none"/>
              </w:rPr>
            </w:pPr>
            <w:r>
              <w:rPr>
                <w:rFonts w:hint="eastAsia" w:ascii="宋体" w:hAnsi="宋体" w:cs="宋体"/>
                <w:bCs/>
                <w:color w:val="auto"/>
                <w:kern w:val="0"/>
                <w:sz w:val="21"/>
                <w:szCs w:val="21"/>
                <w:highlight w:val="none"/>
              </w:rPr>
              <w:t>2</w:t>
            </w:r>
          </w:p>
        </w:tc>
        <w:tc>
          <w:tcPr>
            <w:tcW w:w="8443" w:type="dxa"/>
            <w:gridSpan w:val="3"/>
            <w:vAlign w:val="center"/>
          </w:tcPr>
          <w:p w14:paraId="775A16FC">
            <w:pPr>
              <w:widowControl/>
              <w:spacing w:line="360" w:lineRule="auto"/>
              <w:jc w:val="center"/>
              <w:rPr>
                <w:rFonts w:hint="eastAsia" w:ascii="宋体" w:hAnsi="宋体" w:cs="宋体"/>
                <w:color w:val="auto"/>
                <w:kern w:val="0"/>
                <w:sz w:val="21"/>
                <w:szCs w:val="21"/>
                <w:highlight w:val="none"/>
              </w:rPr>
            </w:pPr>
            <w:r>
              <w:rPr>
                <w:rFonts w:hint="eastAsia" w:ascii="宋体" w:hAnsi="宋体" w:cs="宋体"/>
                <w:bCs/>
                <w:color w:val="auto"/>
                <w:kern w:val="0"/>
                <w:sz w:val="21"/>
                <w:szCs w:val="21"/>
                <w:highlight w:val="none"/>
              </w:rPr>
              <w:t>技术分（满分</w:t>
            </w:r>
            <w:r>
              <w:rPr>
                <w:rFonts w:hint="eastAsia" w:ascii="宋体" w:hAnsi="宋体" w:cs="宋体"/>
                <w:bCs/>
                <w:color w:val="auto"/>
                <w:kern w:val="0"/>
                <w:sz w:val="21"/>
                <w:szCs w:val="21"/>
                <w:highlight w:val="none"/>
                <w:lang w:val="en-US" w:eastAsia="zh-CN"/>
              </w:rPr>
              <w:t>80</w:t>
            </w:r>
            <w:r>
              <w:rPr>
                <w:rFonts w:hint="eastAsia" w:ascii="宋体" w:hAnsi="宋体" w:cs="宋体"/>
                <w:bCs/>
                <w:color w:val="auto"/>
                <w:kern w:val="0"/>
                <w:sz w:val="21"/>
                <w:szCs w:val="21"/>
                <w:highlight w:val="none"/>
              </w:rPr>
              <w:t>分）</w:t>
            </w:r>
            <w:r>
              <w:rPr>
                <w:rFonts w:hint="eastAsia" w:ascii="宋体" w:hAnsi="宋体" w:cs="宋体"/>
                <w:color w:val="auto"/>
                <w:kern w:val="0"/>
                <w:sz w:val="21"/>
                <w:szCs w:val="21"/>
                <w:highlight w:val="none"/>
              </w:rPr>
              <w:t>（</w:t>
            </w:r>
            <w:r>
              <w:rPr>
                <w:rFonts w:hint="eastAsia" w:ascii="宋体" w:hAnsi="宋体" w:cs="宋体"/>
                <w:bCs/>
                <w:color w:val="auto"/>
                <w:kern w:val="0"/>
                <w:sz w:val="21"/>
                <w:szCs w:val="21"/>
                <w:highlight w:val="none"/>
              </w:rPr>
              <w:t>由</w:t>
            </w:r>
            <w:r>
              <w:rPr>
                <w:rFonts w:hint="eastAsia" w:ascii="宋体" w:hAnsi="宋体" w:cs="宋体"/>
                <w:bCs/>
                <w:color w:val="auto"/>
                <w:kern w:val="0"/>
                <w:sz w:val="21"/>
                <w:szCs w:val="21"/>
                <w:highlight w:val="none"/>
                <w:lang w:eastAsia="zh-CN"/>
              </w:rPr>
              <w:t>评标委员会成员</w:t>
            </w:r>
            <w:r>
              <w:rPr>
                <w:rFonts w:hint="eastAsia" w:ascii="宋体" w:hAnsi="宋体" w:cs="宋体"/>
                <w:bCs/>
                <w:color w:val="auto"/>
                <w:kern w:val="0"/>
                <w:sz w:val="21"/>
                <w:szCs w:val="21"/>
                <w:highlight w:val="none"/>
              </w:rPr>
              <w:t>根据以下标准进行独立评审并独立打分</w:t>
            </w:r>
            <w:r>
              <w:rPr>
                <w:rFonts w:hint="eastAsia" w:ascii="宋体" w:hAnsi="宋体" w:cs="宋体"/>
                <w:bCs/>
                <w:color w:val="auto"/>
                <w:kern w:val="0"/>
                <w:sz w:val="21"/>
                <w:szCs w:val="21"/>
                <w:highlight w:val="none"/>
                <w:lang w:eastAsia="zh-CN"/>
              </w:rPr>
              <w:t>，如未提供相应方案的不计分。</w:t>
            </w:r>
            <w:r>
              <w:rPr>
                <w:rFonts w:hint="eastAsia" w:ascii="宋体" w:hAnsi="宋体" w:cs="宋体"/>
                <w:color w:val="auto"/>
                <w:kern w:val="0"/>
                <w:sz w:val="21"/>
                <w:szCs w:val="21"/>
                <w:highlight w:val="none"/>
              </w:rPr>
              <w:t>）</w:t>
            </w:r>
          </w:p>
        </w:tc>
      </w:tr>
      <w:tr w14:paraId="24EA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7" w:type="dxa"/>
            <w:vAlign w:val="center"/>
          </w:tcPr>
          <w:p w14:paraId="7A4718E6">
            <w:pPr>
              <w:adjustRightInd w:val="0"/>
              <w:spacing w:line="360" w:lineRule="auto"/>
              <w:ind w:left="-105" w:leftChars="-50" w:right="-105" w:rightChars="-50"/>
              <w:jc w:val="center"/>
              <w:textAlignment w:val="baseline"/>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2.1</w:t>
            </w:r>
          </w:p>
        </w:tc>
        <w:tc>
          <w:tcPr>
            <w:tcW w:w="1304" w:type="dxa"/>
            <w:vAlign w:val="center"/>
          </w:tcPr>
          <w:p w14:paraId="3D3446FE">
            <w:pPr>
              <w:autoSpaceDE w:val="0"/>
              <w:autoSpaceDN w:val="0"/>
              <w:spacing w:line="360" w:lineRule="auto"/>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eastAsia="zh-CN"/>
              </w:rPr>
              <w:t>服务方案</w:t>
            </w:r>
          </w:p>
        </w:tc>
        <w:tc>
          <w:tcPr>
            <w:tcW w:w="6288" w:type="dxa"/>
            <w:vAlign w:val="center"/>
          </w:tcPr>
          <w:p w14:paraId="7B718E40">
            <w:pPr>
              <w:autoSpaceDE w:val="0"/>
              <w:autoSpaceDN w:val="0"/>
              <w:spacing w:line="360" w:lineRule="auto"/>
              <w:jc w:val="left"/>
              <w:rPr>
                <w:rFonts w:hint="eastAsia"/>
                <w:b/>
                <w:bCs/>
                <w:color w:val="auto"/>
                <w:sz w:val="21"/>
                <w:szCs w:val="21"/>
                <w:highlight w:val="none"/>
                <w:lang w:eastAsia="zh-CN"/>
              </w:rPr>
            </w:pPr>
            <w:bookmarkStart w:id="74" w:name="OLE_LINK1"/>
            <w:r>
              <w:rPr>
                <w:rFonts w:hint="eastAsia"/>
                <w:b/>
                <w:bCs/>
                <w:color w:val="auto"/>
                <w:sz w:val="21"/>
                <w:szCs w:val="21"/>
                <w:highlight w:val="none"/>
                <w:lang w:eastAsia="zh-CN"/>
              </w:rPr>
              <w:t>（1）</w:t>
            </w:r>
            <w:r>
              <w:rPr>
                <w:rFonts w:hint="eastAsia" w:ascii="宋体" w:hAnsi="宋体" w:eastAsia="宋体" w:cs="宋体"/>
                <w:b/>
                <w:bCs/>
                <w:color w:val="auto"/>
                <w:sz w:val="21"/>
                <w:szCs w:val="21"/>
                <w:highlight w:val="none"/>
                <w:lang w:eastAsia="zh-CN"/>
              </w:rPr>
              <w:t>培训工作实施方案</w:t>
            </w:r>
            <w:r>
              <w:rPr>
                <w:rFonts w:hint="eastAsia"/>
                <w:b/>
                <w:bCs/>
                <w:color w:val="auto"/>
                <w:sz w:val="21"/>
                <w:szCs w:val="21"/>
                <w:highlight w:val="none"/>
                <w:lang w:eastAsia="zh-CN"/>
              </w:rPr>
              <w:t>（满分</w:t>
            </w:r>
            <w:r>
              <w:rPr>
                <w:rFonts w:hint="eastAsia"/>
                <w:b/>
                <w:bCs/>
                <w:color w:val="auto"/>
                <w:sz w:val="21"/>
                <w:szCs w:val="21"/>
                <w:highlight w:val="none"/>
                <w:lang w:val="en-US" w:eastAsia="zh-CN"/>
              </w:rPr>
              <w:t>20分</w:t>
            </w:r>
            <w:r>
              <w:rPr>
                <w:rFonts w:hint="eastAsia"/>
                <w:b/>
                <w:bCs/>
                <w:color w:val="auto"/>
                <w:sz w:val="21"/>
                <w:szCs w:val="21"/>
                <w:highlight w:val="none"/>
                <w:lang w:eastAsia="zh-CN"/>
              </w:rPr>
              <w:t>）</w:t>
            </w:r>
          </w:p>
          <w:p w14:paraId="7498DCC5">
            <w:pPr>
              <w:pStyle w:val="14"/>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差（</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：实施方案合理，清晰，有投标人介绍、培训依据</w:t>
            </w:r>
            <w:r>
              <w:rPr>
                <w:rFonts w:hint="eastAsia" w:ascii="宋体" w:hAnsi="宋体" w:eastAsia="宋体" w:cs="宋体"/>
                <w:color w:val="auto"/>
                <w:sz w:val="21"/>
                <w:szCs w:val="21"/>
                <w:highlight w:val="none"/>
                <w:lang w:eastAsia="zh-CN"/>
              </w:rPr>
              <w:t>、培训总体要求</w:t>
            </w:r>
            <w:r>
              <w:rPr>
                <w:rFonts w:hint="eastAsia" w:ascii="宋体" w:hAnsi="宋体" w:eastAsia="宋体" w:cs="宋体"/>
                <w:color w:val="auto"/>
                <w:sz w:val="21"/>
                <w:szCs w:val="21"/>
                <w:highlight w:val="none"/>
              </w:rPr>
              <w:t>、培训目标任务、培训预算，</w:t>
            </w:r>
            <w:r>
              <w:rPr>
                <w:rFonts w:hint="eastAsia" w:ascii="宋体" w:hAnsi="宋体" w:eastAsia="宋体" w:cs="宋体"/>
                <w:color w:val="auto"/>
                <w:sz w:val="21"/>
                <w:szCs w:val="21"/>
                <w:highlight w:val="none"/>
                <w:lang w:eastAsia="zh-CN"/>
              </w:rPr>
              <w:t>勉强</w:t>
            </w:r>
            <w:r>
              <w:rPr>
                <w:rFonts w:hint="eastAsia" w:ascii="宋体" w:hAnsi="宋体" w:eastAsia="宋体" w:cs="宋体"/>
                <w:color w:val="auto"/>
                <w:sz w:val="21"/>
                <w:szCs w:val="21"/>
                <w:highlight w:val="none"/>
              </w:rPr>
              <w:t>满足培训需求；</w:t>
            </w:r>
          </w:p>
          <w:p w14:paraId="516DC81B">
            <w:pPr>
              <w:pStyle w:val="14"/>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w:t>
            </w:r>
            <w:r>
              <w:rPr>
                <w:rFonts w:hint="eastAsia" w:hAnsi="宋体" w:cs="宋体"/>
                <w:color w:val="auto"/>
                <w:sz w:val="21"/>
                <w:szCs w:val="21"/>
                <w:highlight w:val="none"/>
                <w:lang w:val="en-US" w:eastAsia="zh-CN"/>
              </w:rPr>
              <w:t>（10分）：</w:t>
            </w:r>
            <w:r>
              <w:rPr>
                <w:rFonts w:hint="eastAsia" w:ascii="宋体" w:hAnsi="宋体" w:eastAsia="宋体" w:cs="宋体"/>
                <w:color w:val="auto"/>
                <w:sz w:val="21"/>
                <w:szCs w:val="21"/>
                <w:highlight w:val="none"/>
              </w:rPr>
              <w:t>实施方案合理，清晰，有投标人介绍、培训依据</w:t>
            </w:r>
            <w:r>
              <w:rPr>
                <w:rFonts w:hint="eastAsia" w:ascii="宋体" w:hAnsi="宋体" w:eastAsia="宋体" w:cs="宋体"/>
                <w:color w:val="auto"/>
                <w:sz w:val="21"/>
                <w:szCs w:val="21"/>
                <w:highlight w:val="none"/>
                <w:lang w:eastAsia="zh-CN"/>
              </w:rPr>
              <w:t>、培训总体要求</w:t>
            </w:r>
            <w:r>
              <w:rPr>
                <w:rFonts w:hint="eastAsia" w:ascii="宋体" w:hAnsi="宋体" w:eastAsia="宋体" w:cs="宋体"/>
                <w:color w:val="auto"/>
                <w:sz w:val="21"/>
                <w:szCs w:val="21"/>
                <w:highlight w:val="none"/>
              </w:rPr>
              <w:t>、培训目标任务、培训预算、培训对象、培训内容、培训方式及期限、培训要求达到的效果等满足培训需求；</w:t>
            </w:r>
          </w:p>
          <w:p w14:paraId="0221E856">
            <w:pPr>
              <w:pStyle w:val="14"/>
              <w:spacing w:line="360" w:lineRule="auto"/>
              <w:ind w:firstLine="420"/>
              <w:rPr>
                <w:rFonts w:hint="eastAsia" w:ascii="宋体" w:hAnsi="宋体" w:eastAsia="宋体" w:cs="宋体"/>
                <w:color w:val="auto"/>
                <w:sz w:val="21"/>
                <w:szCs w:val="21"/>
                <w:highlight w:val="none"/>
              </w:rPr>
            </w:pPr>
            <w:r>
              <w:rPr>
                <w:rFonts w:hint="eastAsia"/>
                <w:color w:val="auto"/>
                <w:sz w:val="21"/>
                <w:szCs w:val="21"/>
                <w:highlight w:val="none"/>
                <w:lang w:eastAsia="zh-CN"/>
              </w:rPr>
              <w:t>良</w:t>
            </w:r>
            <w:r>
              <w:rPr>
                <w:rFonts w:hint="eastAsia" w:hAnsi="宋体" w:cs="宋体"/>
                <w:color w:val="auto"/>
                <w:sz w:val="21"/>
                <w:szCs w:val="21"/>
                <w:highlight w:val="none"/>
                <w:lang w:val="en-US" w:eastAsia="zh-CN"/>
              </w:rPr>
              <w:t>（15分）：</w:t>
            </w:r>
            <w:r>
              <w:rPr>
                <w:rFonts w:hint="eastAsia" w:ascii="宋体" w:hAnsi="宋体" w:eastAsia="宋体" w:cs="宋体"/>
                <w:color w:val="auto"/>
                <w:sz w:val="21"/>
                <w:szCs w:val="21"/>
                <w:highlight w:val="none"/>
              </w:rPr>
              <w:t>实施方案合理，清晰，有投标人介绍、培训依据</w:t>
            </w:r>
            <w:r>
              <w:rPr>
                <w:rFonts w:hint="eastAsia" w:ascii="宋体" w:hAnsi="宋体" w:eastAsia="宋体" w:cs="宋体"/>
                <w:color w:val="auto"/>
                <w:sz w:val="21"/>
                <w:szCs w:val="21"/>
                <w:highlight w:val="none"/>
                <w:lang w:eastAsia="zh-CN"/>
              </w:rPr>
              <w:t>、培训总体要求</w:t>
            </w:r>
            <w:r>
              <w:rPr>
                <w:rFonts w:hint="eastAsia" w:ascii="宋体" w:hAnsi="宋体" w:eastAsia="宋体" w:cs="宋体"/>
                <w:color w:val="auto"/>
                <w:sz w:val="21"/>
                <w:szCs w:val="21"/>
                <w:highlight w:val="none"/>
              </w:rPr>
              <w:t>、培训目标任务、培训预算、培训对象、培训内容、培训方式及期限、培训要求达到的效果、培训课程等完全满足培训需求；</w:t>
            </w:r>
          </w:p>
          <w:p w14:paraId="6BE257C4">
            <w:pPr>
              <w:pStyle w:val="14"/>
              <w:spacing w:line="360" w:lineRule="auto"/>
              <w:ind w:firstLine="420"/>
              <w:rPr>
                <w:rFonts w:hint="eastAsia" w:ascii="宋体" w:hAnsi="宋体" w:eastAsia="宋体" w:cs="宋体"/>
                <w:color w:val="auto"/>
                <w:sz w:val="21"/>
                <w:szCs w:val="21"/>
                <w:highlight w:val="none"/>
              </w:rPr>
            </w:pPr>
            <w:r>
              <w:rPr>
                <w:rFonts w:hint="eastAsia"/>
                <w:color w:val="auto"/>
                <w:sz w:val="21"/>
                <w:szCs w:val="21"/>
                <w:highlight w:val="none"/>
                <w:lang w:eastAsia="zh-CN"/>
              </w:rPr>
              <w:t>优</w:t>
            </w:r>
            <w:r>
              <w:rPr>
                <w:rFonts w:hint="eastAsia" w:hAnsi="宋体" w:cs="宋体"/>
                <w:color w:val="auto"/>
                <w:sz w:val="21"/>
                <w:szCs w:val="21"/>
                <w:highlight w:val="none"/>
                <w:lang w:val="en-US" w:eastAsia="zh-CN"/>
              </w:rPr>
              <w:t>（20分）</w:t>
            </w:r>
            <w:r>
              <w:rPr>
                <w:rFonts w:hint="eastAsia" w:ascii="宋体" w:hAnsi="宋体" w:eastAsia="宋体" w:cs="宋体"/>
                <w:color w:val="auto"/>
                <w:sz w:val="21"/>
                <w:szCs w:val="21"/>
                <w:highlight w:val="none"/>
              </w:rPr>
              <w:t>：实施方案合理，清晰，有投标人介绍、培训依据</w:t>
            </w:r>
            <w:r>
              <w:rPr>
                <w:rFonts w:hint="eastAsia" w:ascii="宋体" w:hAnsi="宋体" w:eastAsia="宋体" w:cs="宋体"/>
                <w:color w:val="auto"/>
                <w:sz w:val="21"/>
                <w:szCs w:val="21"/>
                <w:highlight w:val="none"/>
                <w:lang w:eastAsia="zh-CN"/>
              </w:rPr>
              <w:t>、培训总体要求</w:t>
            </w:r>
            <w:r>
              <w:rPr>
                <w:rFonts w:hint="eastAsia" w:ascii="宋体" w:hAnsi="宋体" w:eastAsia="宋体" w:cs="宋体"/>
                <w:color w:val="auto"/>
                <w:sz w:val="21"/>
                <w:szCs w:val="21"/>
                <w:highlight w:val="none"/>
              </w:rPr>
              <w:t>、培训目标任务、培训预算、培训对象、培训内容、培训方式及期限、培训要求达到的效果、</w:t>
            </w:r>
            <w:r>
              <w:rPr>
                <w:rFonts w:hint="eastAsia" w:ascii="宋体" w:hAnsi="宋体" w:eastAsia="宋体" w:cs="宋体"/>
                <w:color w:val="auto"/>
                <w:sz w:val="21"/>
                <w:szCs w:val="21"/>
                <w:highlight w:val="none"/>
                <w:lang w:eastAsia="zh-CN"/>
              </w:rPr>
              <w:t>培训</w:t>
            </w:r>
            <w:r>
              <w:rPr>
                <w:rFonts w:hint="eastAsia" w:ascii="宋体" w:hAnsi="宋体" w:eastAsia="宋体" w:cs="宋体"/>
                <w:color w:val="auto"/>
                <w:sz w:val="21"/>
                <w:szCs w:val="21"/>
                <w:highlight w:val="none"/>
              </w:rPr>
              <w:t>课程、</w:t>
            </w:r>
            <w:r>
              <w:rPr>
                <w:rFonts w:hint="eastAsia" w:ascii="宋体" w:hAnsi="宋体" w:eastAsia="宋体" w:cs="宋体"/>
                <w:color w:val="auto"/>
                <w:sz w:val="21"/>
                <w:szCs w:val="21"/>
                <w:highlight w:val="none"/>
                <w:lang w:eastAsia="zh-CN"/>
              </w:rPr>
              <w:t>培训计划</w:t>
            </w:r>
            <w:r>
              <w:rPr>
                <w:rFonts w:hint="eastAsia" w:ascii="宋体" w:hAnsi="宋体" w:eastAsia="宋体" w:cs="宋体"/>
                <w:color w:val="auto"/>
                <w:sz w:val="21"/>
                <w:szCs w:val="21"/>
                <w:highlight w:val="none"/>
              </w:rPr>
              <w:t>安排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方案实施步骤</w:t>
            </w:r>
            <w:r>
              <w:rPr>
                <w:rFonts w:hint="eastAsia" w:ascii="宋体" w:hAnsi="宋体" w:eastAsia="宋体" w:cs="宋体"/>
                <w:color w:val="auto"/>
                <w:sz w:val="21"/>
                <w:szCs w:val="21"/>
                <w:highlight w:val="none"/>
                <w:lang w:eastAsia="zh-CN"/>
              </w:rPr>
              <w:t>、拟投入的师资力量、培训效益评估</w:t>
            </w:r>
            <w:r>
              <w:rPr>
                <w:rFonts w:hint="eastAsia" w:ascii="宋体" w:hAnsi="宋体" w:eastAsia="宋体" w:cs="宋体"/>
                <w:color w:val="auto"/>
                <w:sz w:val="21"/>
                <w:szCs w:val="21"/>
                <w:highlight w:val="none"/>
              </w:rPr>
              <w:t>等完全满足培训100%需求</w:t>
            </w:r>
            <w:r>
              <w:rPr>
                <w:rFonts w:hint="eastAsia" w:ascii="宋体" w:hAnsi="宋体" w:eastAsia="宋体" w:cs="宋体"/>
                <w:color w:val="auto"/>
                <w:sz w:val="21"/>
                <w:szCs w:val="21"/>
                <w:highlight w:val="none"/>
                <w:lang w:eastAsia="zh-CN"/>
              </w:rPr>
              <w:t>。</w:t>
            </w:r>
          </w:p>
          <w:p w14:paraId="6E3797BB">
            <w:pPr>
              <w:autoSpaceDE w:val="0"/>
              <w:autoSpaceDN w:val="0"/>
              <w:spacing w:line="360" w:lineRule="auto"/>
              <w:jc w:val="left"/>
              <w:rPr>
                <w:rFonts w:hint="eastAsia"/>
                <w:b/>
                <w:bCs/>
                <w:color w:val="auto"/>
                <w:sz w:val="21"/>
                <w:szCs w:val="21"/>
                <w:highlight w:val="none"/>
                <w:lang w:eastAsia="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2</w:t>
            </w:r>
            <w:r>
              <w:rPr>
                <w:rFonts w:hint="eastAsia"/>
                <w:b/>
                <w:bCs/>
                <w:color w:val="auto"/>
                <w:sz w:val="21"/>
                <w:szCs w:val="21"/>
                <w:highlight w:val="none"/>
                <w:lang w:eastAsia="zh-CN"/>
              </w:rPr>
              <w:t>）人员配备方案分（满分</w:t>
            </w:r>
            <w:r>
              <w:rPr>
                <w:rFonts w:hint="eastAsia"/>
                <w:b/>
                <w:bCs/>
                <w:color w:val="auto"/>
                <w:sz w:val="21"/>
                <w:szCs w:val="21"/>
                <w:highlight w:val="none"/>
                <w:lang w:val="en-US" w:eastAsia="zh-CN"/>
              </w:rPr>
              <w:t>15分</w:t>
            </w:r>
            <w:r>
              <w:rPr>
                <w:rFonts w:hint="eastAsia"/>
                <w:b/>
                <w:bCs/>
                <w:color w:val="auto"/>
                <w:sz w:val="21"/>
                <w:szCs w:val="21"/>
                <w:highlight w:val="none"/>
                <w:lang w:eastAsia="zh-CN"/>
              </w:rPr>
              <w:t>）</w:t>
            </w:r>
          </w:p>
          <w:p w14:paraId="05A521CF">
            <w:pPr>
              <w:autoSpaceDE w:val="0"/>
              <w:autoSpaceDN w:val="0"/>
              <w:spacing w:line="360" w:lineRule="auto"/>
              <w:ind w:firstLine="420" w:firstLineChars="200"/>
              <w:jc w:val="left"/>
              <w:rPr>
                <w:rFonts w:hint="eastAsia" w:ascii="Times New Roman" w:hAnsi="Times New Roman" w:cs="Times New Roman"/>
                <w:color w:val="auto"/>
                <w:sz w:val="21"/>
                <w:szCs w:val="21"/>
                <w:highlight w:val="none"/>
                <w:lang w:val="en-GB" w:eastAsia="zh-CN"/>
              </w:rPr>
            </w:pPr>
            <w:r>
              <w:rPr>
                <w:rFonts w:hint="eastAsia"/>
                <w:color w:val="auto"/>
                <w:sz w:val="21"/>
                <w:szCs w:val="21"/>
                <w:highlight w:val="none"/>
                <w:lang w:eastAsia="zh-CN"/>
              </w:rPr>
              <w:t>差（3分）：拟投入的</w:t>
            </w:r>
            <w:r>
              <w:rPr>
                <w:rFonts w:hint="eastAsia" w:ascii="Times New Roman" w:hAnsi="Times New Roman" w:cs="Times New Roman"/>
                <w:color w:val="auto"/>
                <w:sz w:val="21"/>
                <w:szCs w:val="21"/>
                <w:highlight w:val="none"/>
                <w:lang w:val="en-GB" w:eastAsia="zh-CN"/>
              </w:rPr>
              <w:t>教师团队、后勤管理、现场指导等服务人员配备一般的，授课教师不少于</w:t>
            </w:r>
            <w:r>
              <w:rPr>
                <w:rFonts w:hint="eastAsia" w:ascii="Times New Roman" w:hAnsi="Times New Roman" w:cs="Times New Roman"/>
                <w:color w:val="auto"/>
                <w:sz w:val="21"/>
                <w:szCs w:val="21"/>
                <w:highlight w:val="none"/>
                <w:lang w:val="en-US" w:eastAsia="zh-CN"/>
              </w:rPr>
              <w:t>2人，教师助理不少于1人（必须提供教师资格证书或聘用合同等证明材料），</w:t>
            </w:r>
            <w:r>
              <w:rPr>
                <w:rFonts w:hint="eastAsia" w:ascii="Times New Roman" w:hAnsi="Times New Roman" w:cs="Times New Roman"/>
                <w:color w:val="auto"/>
                <w:sz w:val="21"/>
                <w:szCs w:val="21"/>
                <w:highlight w:val="none"/>
                <w:lang w:val="en-GB" w:eastAsia="zh-CN"/>
              </w:rPr>
              <w:t>其中基本满足项目需求；</w:t>
            </w:r>
          </w:p>
          <w:p w14:paraId="3AE52739">
            <w:pPr>
              <w:autoSpaceDE w:val="0"/>
              <w:autoSpaceDN w:val="0"/>
              <w:spacing w:line="360" w:lineRule="auto"/>
              <w:ind w:firstLine="420" w:firstLineChars="200"/>
              <w:jc w:val="left"/>
              <w:rPr>
                <w:rFonts w:hint="eastAsia"/>
                <w:color w:val="auto"/>
                <w:sz w:val="21"/>
                <w:szCs w:val="21"/>
                <w:highlight w:val="none"/>
                <w:lang w:eastAsia="zh-CN"/>
              </w:rPr>
            </w:pPr>
            <w:r>
              <w:rPr>
                <w:rFonts w:hint="eastAsia" w:ascii="Times New Roman" w:hAnsi="Times New Roman" w:cs="Times New Roman"/>
                <w:color w:val="auto"/>
                <w:sz w:val="21"/>
                <w:szCs w:val="21"/>
                <w:highlight w:val="none"/>
                <w:lang w:val="en-GB" w:eastAsia="zh-CN"/>
              </w:rPr>
              <w:t>中（</w:t>
            </w:r>
            <w:r>
              <w:rPr>
                <w:rFonts w:hint="eastAsia" w:ascii="Times New Roman" w:hAnsi="Times New Roman" w:cs="Times New Roman"/>
                <w:color w:val="auto"/>
                <w:sz w:val="21"/>
                <w:szCs w:val="21"/>
                <w:highlight w:val="none"/>
                <w:lang w:val="en-US" w:eastAsia="zh-CN"/>
              </w:rPr>
              <w:t>8</w:t>
            </w:r>
            <w:r>
              <w:rPr>
                <w:rFonts w:hint="eastAsia" w:ascii="Times New Roman" w:hAnsi="Times New Roman" w:cs="Times New Roman"/>
                <w:color w:val="auto"/>
                <w:sz w:val="21"/>
                <w:szCs w:val="21"/>
                <w:highlight w:val="none"/>
                <w:lang w:val="en-GB" w:eastAsia="zh-CN"/>
              </w:rPr>
              <w:t>分）：拟投入的教师团队、后勤管理、现场指导等服务人员基本配备，授课教师不少于</w:t>
            </w:r>
            <w:r>
              <w:rPr>
                <w:rFonts w:hint="eastAsia" w:ascii="Times New Roman" w:hAnsi="Times New Roman" w:cs="Times New Roman"/>
                <w:color w:val="auto"/>
                <w:sz w:val="21"/>
                <w:szCs w:val="21"/>
                <w:highlight w:val="none"/>
                <w:lang w:val="en-US" w:eastAsia="zh-CN"/>
              </w:rPr>
              <w:t>3人，教师助理不少于2人（必须提供教师资格证书或聘用合同等证明材料），</w:t>
            </w:r>
            <w:r>
              <w:rPr>
                <w:rFonts w:hint="eastAsia" w:ascii="Times New Roman" w:hAnsi="Times New Roman" w:cs="Times New Roman"/>
                <w:color w:val="auto"/>
                <w:sz w:val="21"/>
                <w:szCs w:val="21"/>
                <w:highlight w:val="none"/>
                <w:lang w:val="en-GB" w:eastAsia="zh-CN"/>
              </w:rPr>
              <w:t>能顺利实施安</w:t>
            </w:r>
            <w:r>
              <w:rPr>
                <w:rFonts w:hint="eastAsia"/>
                <w:color w:val="auto"/>
                <w:sz w:val="21"/>
                <w:szCs w:val="21"/>
                <w:highlight w:val="none"/>
                <w:lang w:eastAsia="zh-CN"/>
              </w:rPr>
              <w:t>保</w:t>
            </w:r>
            <w:r>
              <w:rPr>
                <w:rFonts w:hint="eastAsia"/>
                <w:color w:val="auto"/>
                <w:sz w:val="21"/>
                <w:szCs w:val="21"/>
                <w:highlight w:val="none"/>
                <w:lang w:val="en-US" w:eastAsia="zh-CN"/>
              </w:rPr>
              <w:t>维护等服务</w:t>
            </w:r>
            <w:r>
              <w:rPr>
                <w:rFonts w:hint="eastAsia"/>
                <w:color w:val="auto"/>
                <w:sz w:val="21"/>
                <w:szCs w:val="21"/>
                <w:highlight w:val="none"/>
                <w:lang w:eastAsia="zh-CN"/>
              </w:rPr>
              <w:t>；</w:t>
            </w:r>
          </w:p>
          <w:p w14:paraId="61B828DD">
            <w:pPr>
              <w:autoSpaceDE w:val="0"/>
              <w:autoSpaceDN w:val="0"/>
              <w:spacing w:line="360" w:lineRule="auto"/>
              <w:ind w:firstLine="420" w:firstLineChars="200"/>
              <w:jc w:val="left"/>
              <w:rPr>
                <w:rFonts w:hint="eastAsia"/>
                <w:color w:val="auto"/>
                <w:sz w:val="21"/>
                <w:szCs w:val="21"/>
                <w:highlight w:val="none"/>
                <w:lang w:val="en-GB" w:eastAsia="zh-CN"/>
              </w:rPr>
            </w:pPr>
            <w:r>
              <w:rPr>
                <w:rFonts w:hint="eastAsia"/>
                <w:color w:val="auto"/>
                <w:sz w:val="21"/>
                <w:szCs w:val="21"/>
                <w:highlight w:val="none"/>
                <w:lang w:eastAsia="zh-CN"/>
              </w:rPr>
              <w:t>良（</w:t>
            </w:r>
            <w:r>
              <w:rPr>
                <w:rFonts w:hint="eastAsia"/>
                <w:color w:val="auto"/>
                <w:sz w:val="21"/>
                <w:szCs w:val="21"/>
                <w:highlight w:val="none"/>
                <w:lang w:val="en-US" w:eastAsia="zh-CN"/>
              </w:rPr>
              <w:t>12分</w:t>
            </w:r>
            <w:r>
              <w:rPr>
                <w:rFonts w:hint="eastAsia"/>
                <w:color w:val="auto"/>
                <w:sz w:val="21"/>
                <w:szCs w:val="21"/>
                <w:highlight w:val="none"/>
                <w:lang w:eastAsia="zh-CN"/>
              </w:rPr>
              <w:t>）：拟投入的</w:t>
            </w:r>
            <w:r>
              <w:rPr>
                <w:rFonts w:hint="eastAsia"/>
                <w:color w:val="auto"/>
                <w:sz w:val="21"/>
                <w:szCs w:val="21"/>
                <w:highlight w:val="none"/>
                <w:lang w:val="en-GB" w:eastAsia="zh-CN"/>
              </w:rPr>
              <w:t>教师团队、后勤管理、现场指导等服务人员配</w:t>
            </w:r>
            <w:r>
              <w:rPr>
                <w:rFonts w:hint="eastAsia"/>
                <w:color w:val="auto"/>
                <w:sz w:val="21"/>
                <w:szCs w:val="21"/>
                <w:highlight w:val="none"/>
                <w:lang w:eastAsia="zh-CN"/>
              </w:rPr>
              <w:t>备</w:t>
            </w:r>
            <w:r>
              <w:rPr>
                <w:rFonts w:hint="eastAsia"/>
                <w:color w:val="auto"/>
                <w:sz w:val="21"/>
                <w:szCs w:val="21"/>
                <w:highlight w:val="none"/>
                <w:lang w:val="en-GB" w:eastAsia="zh-CN"/>
              </w:rPr>
              <w:t>完善，授课教师不少于</w:t>
            </w:r>
            <w:r>
              <w:rPr>
                <w:rFonts w:hint="eastAsia"/>
                <w:color w:val="auto"/>
                <w:sz w:val="21"/>
                <w:szCs w:val="21"/>
                <w:highlight w:val="none"/>
                <w:lang w:val="en-US" w:eastAsia="zh-CN"/>
              </w:rPr>
              <w:t>4人，教师助理不少于3人（必须提供教师资格证书或聘用合同等证明材料），</w:t>
            </w:r>
            <w:r>
              <w:rPr>
                <w:rFonts w:hint="eastAsia"/>
                <w:color w:val="auto"/>
                <w:sz w:val="21"/>
                <w:szCs w:val="21"/>
                <w:highlight w:val="none"/>
                <w:lang w:val="en-GB" w:eastAsia="zh-CN"/>
              </w:rPr>
              <w:t>有人员管理制度等，能很好开展</w:t>
            </w:r>
            <w:r>
              <w:rPr>
                <w:rFonts w:hint="eastAsia"/>
                <w:color w:val="auto"/>
                <w:sz w:val="21"/>
                <w:szCs w:val="21"/>
                <w:highlight w:val="none"/>
                <w:lang w:val="en-US" w:eastAsia="zh-CN"/>
              </w:rPr>
              <w:t>服务工作</w:t>
            </w:r>
            <w:r>
              <w:rPr>
                <w:rFonts w:hint="eastAsia"/>
                <w:color w:val="auto"/>
                <w:sz w:val="21"/>
                <w:szCs w:val="21"/>
                <w:highlight w:val="none"/>
                <w:lang w:val="en-GB" w:eastAsia="zh-CN"/>
              </w:rPr>
              <w:t>。</w:t>
            </w:r>
          </w:p>
          <w:p w14:paraId="06ACA1E9">
            <w:pPr>
              <w:autoSpaceDE w:val="0"/>
              <w:autoSpaceDN w:val="0"/>
              <w:spacing w:line="360" w:lineRule="auto"/>
              <w:ind w:firstLine="420" w:firstLineChars="200"/>
              <w:jc w:val="left"/>
              <w:rPr>
                <w:rFonts w:hint="eastAsia"/>
                <w:color w:val="auto"/>
                <w:sz w:val="21"/>
                <w:szCs w:val="21"/>
                <w:highlight w:val="none"/>
                <w:lang w:eastAsia="zh-CN"/>
              </w:rPr>
            </w:pPr>
            <w:r>
              <w:rPr>
                <w:rFonts w:hint="eastAsia"/>
                <w:color w:val="auto"/>
                <w:sz w:val="21"/>
                <w:szCs w:val="21"/>
                <w:highlight w:val="none"/>
                <w:lang w:val="en-GB" w:eastAsia="zh-CN"/>
              </w:rPr>
              <w:t>优（</w:t>
            </w:r>
            <w:r>
              <w:rPr>
                <w:rFonts w:hint="eastAsia"/>
                <w:color w:val="auto"/>
                <w:sz w:val="21"/>
                <w:szCs w:val="21"/>
                <w:highlight w:val="none"/>
                <w:lang w:val="en-US" w:eastAsia="zh-CN"/>
              </w:rPr>
              <w:t>15分</w:t>
            </w:r>
            <w:r>
              <w:rPr>
                <w:rFonts w:hint="eastAsia"/>
                <w:color w:val="auto"/>
                <w:sz w:val="21"/>
                <w:szCs w:val="21"/>
                <w:highlight w:val="none"/>
                <w:lang w:val="en-GB" w:eastAsia="zh-CN"/>
              </w:rPr>
              <w:t>）：拟投入的教师团队、后勤管理、现场指导等服务人员配备完善，授课教师不少于</w:t>
            </w:r>
            <w:r>
              <w:rPr>
                <w:rFonts w:hint="eastAsia"/>
                <w:color w:val="auto"/>
                <w:sz w:val="21"/>
                <w:szCs w:val="21"/>
                <w:highlight w:val="none"/>
                <w:lang w:val="en-US" w:eastAsia="zh-CN"/>
              </w:rPr>
              <w:t>5人，教师助理不少于4人（必须提供教师资格证书或聘用合同等证明材料），</w:t>
            </w:r>
            <w:r>
              <w:rPr>
                <w:rFonts w:hint="eastAsia"/>
                <w:color w:val="auto"/>
                <w:sz w:val="21"/>
                <w:szCs w:val="21"/>
                <w:highlight w:val="none"/>
                <w:lang w:val="en-GB" w:eastAsia="zh-CN"/>
              </w:rPr>
              <w:t>具有详细的人员</w:t>
            </w:r>
            <w:r>
              <w:rPr>
                <w:rFonts w:hint="eastAsia"/>
                <w:color w:val="auto"/>
                <w:sz w:val="21"/>
                <w:szCs w:val="21"/>
                <w:highlight w:val="none"/>
                <w:lang w:eastAsia="zh-CN"/>
              </w:rPr>
              <w:t>管理</w:t>
            </w:r>
            <w:r>
              <w:rPr>
                <w:rFonts w:hint="eastAsia"/>
                <w:color w:val="auto"/>
                <w:sz w:val="21"/>
                <w:szCs w:val="21"/>
                <w:highlight w:val="none"/>
                <w:lang w:val="en-GB" w:eastAsia="zh-CN"/>
              </w:rPr>
              <w:t>制度等，</w:t>
            </w:r>
            <w:r>
              <w:rPr>
                <w:rFonts w:hint="eastAsia"/>
                <w:color w:val="auto"/>
                <w:sz w:val="21"/>
                <w:szCs w:val="21"/>
                <w:highlight w:val="none"/>
                <w:lang w:eastAsia="zh-CN"/>
              </w:rPr>
              <w:t>能更好开展</w:t>
            </w:r>
            <w:r>
              <w:rPr>
                <w:rFonts w:hint="eastAsia"/>
                <w:color w:val="auto"/>
                <w:sz w:val="21"/>
                <w:szCs w:val="21"/>
                <w:highlight w:val="none"/>
                <w:lang w:val="en-US" w:eastAsia="zh-CN"/>
              </w:rPr>
              <w:t>服务工作。</w:t>
            </w:r>
          </w:p>
          <w:p w14:paraId="784626E7">
            <w:pPr>
              <w:numPr>
                <w:ilvl w:val="0"/>
                <w:numId w:val="0"/>
              </w:numPr>
              <w:autoSpaceDE w:val="0"/>
              <w:autoSpaceDN w:val="0"/>
              <w:spacing w:line="360" w:lineRule="auto"/>
              <w:jc w:val="left"/>
              <w:rPr>
                <w:rFonts w:hint="eastAsia"/>
                <w:b/>
                <w:bCs/>
                <w:color w:val="auto"/>
                <w:sz w:val="21"/>
                <w:szCs w:val="21"/>
                <w:highlight w:val="none"/>
                <w:lang w:val="en-US" w:eastAsia="zh-CN"/>
              </w:rPr>
            </w:pPr>
            <w:r>
              <w:rPr>
                <w:rFonts w:hint="eastAsia"/>
                <w:b/>
                <w:bCs/>
                <w:color w:val="auto"/>
                <w:sz w:val="21"/>
                <w:szCs w:val="21"/>
                <w:highlight w:val="none"/>
                <w:lang w:val="en-US" w:eastAsia="zh-CN"/>
              </w:rPr>
              <w:t>（3）工作进度安排方案分（</w:t>
            </w:r>
            <w:r>
              <w:rPr>
                <w:rFonts w:hint="eastAsia"/>
                <w:b/>
                <w:bCs/>
                <w:color w:val="auto"/>
                <w:sz w:val="21"/>
                <w:szCs w:val="21"/>
                <w:highlight w:val="none"/>
                <w:lang w:eastAsia="zh-CN"/>
              </w:rPr>
              <w:t>满分</w:t>
            </w:r>
            <w:r>
              <w:rPr>
                <w:rFonts w:hint="eastAsia"/>
                <w:b/>
                <w:bCs/>
                <w:color w:val="auto"/>
                <w:sz w:val="21"/>
                <w:szCs w:val="21"/>
                <w:highlight w:val="none"/>
                <w:lang w:val="en-US" w:eastAsia="zh-CN"/>
              </w:rPr>
              <w:t>15分）</w:t>
            </w:r>
          </w:p>
          <w:p w14:paraId="28B8DB41">
            <w:pPr>
              <w:pStyle w:val="11"/>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差（3分）</w:t>
            </w:r>
            <w:r>
              <w:rPr>
                <w:rFonts w:hint="eastAsia" w:ascii="Times New Roman" w:hAnsi="Times New Roman" w:eastAsia="宋体" w:cs="Times New Roman"/>
                <w:color w:val="auto"/>
                <w:kern w:val="2"/>
                <w:sz w:val="21"/>
                <w:szCs w:val="21"/>
                <w:highlight w:val="none"/>
                <w:lang w:val="en-US" w:eastAsia="zh-CN" w:bidi="ar-SA"/>
              </w:rPr>
              <w:t>：投标人对本项目服务工作量及项目计划安排有描述并进行分析，有简单的人员、设备计划投入。</w:t>
            </w:r>
          </w:p>
          <w:p w14:paraId="203757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中（</w:t>
            </w:r>
            <w:r>
              <w:rPr>
                <w:rFonts w:hint="eastAsia" w:cs="Times New Roman"/>
                <w:color w:val="auto"/>
                <w:kern w:val="2"/>
                <w:sz w:val="21"/>
                <w:szCs w:val="21"/>
                <w:highlight w:val="none"/>
                <w:lang w:val="en-US" w:eastAsia="zh-CN" w:bidi="ar-SA"/>
              </w:rPr>
              <w:t>8</w:t>
            </w:r>
            <w:r>
              <w:rPr>
                <w:rFonts w:hint="eastAsia" w:ascii="Times New Roman" w:hAnsi="Times New Roman" w:eastAsia="宋体" w:cs="Times New Roman"/>
                <w:color w:val="auto"/>
                <w:kern w:val="2"/>
                <w:sz w:val="21"/>
                <w:szCs w:val="21"/>
                <w:highlight w:val="none"/>
                <w:lang w:val="en-US" w:eastAsia="zh-CN" w:bidi="ar-SA"/>
              </w:rPr>
              <w:t>分）：投标人对本项目服务工作量分析一般，无较大错误，人员、设备投入一般，对项目计划一般的。</w:t>
            </w:r>
          </w:p>
          <w:p w14:paraId="2DA4B1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良（</w:t>
            </w:r>
            <w:r>
              <w:rPr>
                <w:rFonts w:hint="eastAsia" w:cs="Times New Roman"/>
                <w:color w:val="auto"/>
                <w:kern w:val="2"/>
                <w:sz w:val="21"/>
                <w:szCs w:val="21"/>
                <w:highlight w:val="none"/>
                <w:lang w:val="en-US" w:eastAsia="zh-CN" w:bidi="ar-SA"/>
              </w:rPr>
              <w:t>12</w:t>
            </w:r>
            <w:r>
              <w:rPr>
                <w:rFonts w:hint="eastAsia" w:ascii="Times New Roman" w:hAnsi="Times New Roman" w:eastAsia="宋体" w:cs="Times New Roman"/>
                <w:color w:val="auto"/>
                <w:kern w:val="2"/>
                <w:sz w:val="21"/>
                <w:szCs w:val="21"/>
                <w:highlight w:val="none"/>
                <w:lang w:val="en-US" w:eastAsia="zh-CN" w:bidi="ar-SA"/>
              </w:rPr>
              <w:t>分）：投标人对本项目服务工作量分析较准确、基本无误，人员、设备投入较充足，对项目计划较合理的。</w:t>
            </w:r>
          </w:p>
          <w:p w14:paraId="259388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优（</w:t>
            </w:r>
            <w:r>
              <w:rPr>
                <w:rFonts w:hint="eastAsia" w:cs="Times New Roman"/>
                <w:color w:val="auto"/>
                <w:kern w:val="2"/>
                <w:sz w:val="21"/>
                <w:szCs w:val="21"/>
                <w:highlight w:val="none"/>
                <w:lang w:val="en-US" w:eastAsia="zh-CN" w:bidi="ar-SA"/>
              </w:rPr>
              <w:t>15</w:t>
            </w:r>
            <w:r>
              <w:rPr>
                <w:rFonts w:hint="eastAsia" w:ascii="Times New Roman" w:hAnsi="Times New Roman" w:eastAsia="宋体" w:cs="Times New Roman"/>
                <w:color w:val="auto"/>
                <w:kern w:val="2"/>
                <w:sz w:val="21"/>
                <w:szCs w:val="21"/>
                <w:highlight w:val="none"/>
                <w:lang w:val="en-US" w:eastAsia="zh-CN" w:bidi="ar-SA"/>
              </w:rPr>
              <w:t>分）：投标人对本项目服务工作量分析准确、无误，人员、设备投入充足，对项目计划合理的。</w:t>
            </w:r>
          </w:p>
          <w:p w14:paraId="3A2EF3A0">
            <w:pPr>
              <w:autoSpaceDE w:val="0"/>
              <w:autoSpaceDN w:val="0"/>
              <w:spacing w:line="360" w:lineRule="auto"/>
              <w:jc w:val="left"/>
              <w:rPr>
                <w:rFonts w:hint="eastAsia"/>
                <w:b/>
                <w:bCs/>
                <w:color w:val="auto"/>
                <w:sz w:val="21"/>
                <w:szCs w:val="21"/>
                <w:highlight w:val="none"/>
                <w:lang w:eastAsia="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4</w:t>
            </w:r>
            <w:r>
              <w:rPr>
                <w:rFonts w:hint="eastAsia"/>
                <w:b/>
                <w:bCs/>
                <w:color w:val="auto"/>
                <w:sz w:val="21"/>
                <w:szCs w:val="21"/>
                <w:highlight w:val="none"/>
                <w:lang w:eastAsia="zh-CN"/>
              </w:rPr>
              <w:t>）管理规章制度、管理方式分（满分</w:t>
            </w:r>
            <w:r>
              <w:rPr>
                <w:rFonts w:hint="eastAsia"/>
                <w:b/>
                <w:bCs/>
                <w:color w:val="auto"/>
                <w:sz w:val="21"/>
                <w:szCs w:val="21"/>
                <w:highlight w:val="none"/>
                <w:lang w:val="en-US" w:eastAsia="zh-CN"/>
              </w:rPr>
              <w:t>15分</w:t>
            </w:r>
            <w:r>
              <w:rPr>
                <w:rFonts w:hint="eastAsia"/>
                <w:b/>
                <w:bCs/>
                <w:color w:val="auto"/>
                <w:sz w:val="21"/>
                <w:szCs w:val="21"/>
                <w:highlight w:val="none"/>
                <w:lang w:eastAsia="zh-CN"/>
              </w:rPr>
              <w:t>）</w:t>
            </w:r>
          </w:p>
          <w:p w14:paraId="7C8F1319">
            <w:pPr>
              <w:autoSpaceDE w:val="0"/>
              <w:autoSpaceDN w:val="0"/>
              <w:spacing w:line="360" w:lineRule="auto"/>
              <w:ind w:firstLine="420" w:firstLineChars="200"/>
              <w:jc w:val="left"/>
              <w:rPr>
                <w:rFonts w:hint="eastAsia"/>
                <w:color w:val="auto"/>
                <w:sz w:val="21"/>
                <w:szCs w:val="21"/>
                <w:highlight w:val="none"/>
                <w:lang w:val="en-GB" w:eastAsia="zh-CN"/>
              </w:rPr>
            </w:pPr>
            <w:r>
              <w:rPr>
                <w:rFonts w:hint="eastAsia"/>
                <w:color w:val="auto"/>
                <w:sz w:val="21"/>
                <w:szCs w:val="21"/>
                <w:highlight w:val="none"/>
                <w:lang w:eastAsia="zh-CN"/>
              </w:rPr>
              <w:t>差（3分）：管理规章制度、管理</w:t>
            </w:r>
            <w:r>
              <w:rPr>
                <w:rFonts w:hint="eastAsia"/>
                <w:color w:val="auto"/>
                <w:sz w:val="21"/>
                <w:szCs w:val="21"/>
                <w:highlight w:val="none"/>
                <w:lang w:val="en-GB" w:eastAsia="zh-CN"/>
              </w:rPr>
              <w:t>方式一般的，各项管理工作可行性差；</w:t>
            </w:r>
          </w:p>
          <w:p w14:paraId="12F12387">
            <w:pPr>
              <w:autoSpaceDE w:val="0"/>
              <w:autoSpaceDN w:val="0"/>
              <w:spacing w:line="360" w:lineRule="auto"/>
              <w:ind w:firstLine="420" w:firstLineChars="200"/>
              <w:jc w:val="left"/>
              <w:rPr>
                <w:rFonts w:hint="eastAsia"/>
                <w:color w:val="auto"/>
                <w:sz w:val="21"/>
                <w:szCs w:val="21"/>
                <w:highlight w:val="none"/>
                <w:lang w:val="en-GB" w:eastAsia="zh-CN"/>
              </w:rPr>
            </w:pPr>
            <w:r>
              <w:rPr>
                <w:rFonts w:hint="eastAsia"/>
                <w:color w:val="auto"/>
                <w:sz w:val="21"/>
                <w:szCs w:val="21"/>
                <w:highlight w:val="none"/>
                <w:lang w:val="en-GB" w:eastAsia="zh-CN"/>
              </w:rPr>
              <w:t>中</w:t>
            </w:r>
            <w:r>
              <w:rPr>
                <w:rFonts w:hint="eastAsia" w:eastAsia="宋体"/>
                <w:color w:val="auto"/>
                <w:sz w:val="21"/>
                <w:szCs w:val="21"/>
                <w:highlight w:val="none"/>
                <w:lang w:val="en-GB" w:eastAsia="zh-CN"/>
              </w:rPr>
              <w:t>（</w:t>
            </w:r>
            <w:r>
              <w:rPr>
                <w:rFonts w:hint="eastAsia"/>
                <w:color w:val="auto"/>
                <w:sz w:val="21"/>
                <w:szCs w:val="21"/>
                <w:highlight w:val="none"/>
                <w:lang w:val="en-US" w:eastAsia="zh-CN"/>
              </w:rPr>
              <w:t>8</w:t>
            </w:r>
            <w:r>
              <w:rPr>
                <w:rFonts w:hint="eastAsia" w:eastAsia="宋体"/>
                <w:color w:val="auto"/>
                <w:sz w:val="21"/>
                <w:szCs w:val="21"/>
                <w:highlight w:val="none"/>
                <w:lang w:val="en-GB" w:eastAsia="zh-CN"/>
              </w:rPr>
              <w:t>分）：</w:t>
            </w:r>
            <w:r>
              <w:rPr>
                <w:rFonts w:hint="eastAsia"/>
                <w:color w:val="auto"/>
                <w:sz w:val="21"/>
                <w:szCs w:val="21"/>
                <w:highlight w:val="none"/>
                <w:lang w:val="en-GB" w:eastAsia="zh-CN"/>
              </w:rPr>
              <w:t>管理规章制度、管理方式较完善，提供简单的教育培训管理制度或岗位培训制度，提高</w:t>
            </w:r>
            <w:r>
              <w:rPr>
                <w:rFonts w:hint="eastAsia"/>
                <w:color w:val="auto"/>
                <w:sz w:val="21"/>
                <w:szCs w:val="21"/>
                <w:highlight w:val="none"/>
                <w:lang w:val="en-US" w:eastAsia="zh-CN"/>
              </w:rPr>
              <w:t>技术</w:t>
            </w:r>
            <w:r>
              <w:rPr>
                <w:rFonts w:hint="eastAsia"/>
                <w:color w:val="auto"/>
                <w:sz w:val="21"/>
                <w:szCs w:val="21"/>
                <w:highlight w:val="none"/>
                <w:lang w:val="en-GB" w:eastAsia="zh-CN"/>
              </w:rPr>
              <w:t>人员综合素质，能有效管理各人员的工作；</w:t>
            </w:r>
          </w:p>
          <w:p w14:paraId="2685FA7C">
            <w:pPr>
              <w:autoSpaceDE w:val="0"/>
              <w:autoSpaceDN w:val="0"/>
              <w:spacing w:line="360" w:lineRule="auto"/>
              <w:ind w:firstLine="420" w:firstLineChars="200"/>
              <w:jc w:val="left"/>
              <w:rPr>
                <w:rFonts w:hint="eastAsia"/>
                <w:color w:val="auto"/>
                <w:sz w:val="21"/>
                <w:szCs w:val="21"/>
                <w:highlight w:val="none"/>
                <w:lang w:eastAsia="zh-CN"/>
              </w:rPr>
            </w:pPr>
            <w:r>
              <w:rPr>
                <w:rFonts w:hint="eastAsia"/>
                <w:color w:val="auto"/>
                <w:sz w:val="21"/>
                <w:szCs w:val="21"/>
                <w:highlight w:val="none"/>
                <w:lang w:eastAsia="zh-CN"/>
              </w:rPr>
              <w:t>良</w:t>
            </w:r>
            <w:r>
              <w:rPr>
                <w:rFonts w:hint="eastAsia" w:eastAsia="宋体"/>
                <w:color w:val="auto"/>
                <w:sz w:val="21"/>
                <w:szCs w:val="21"/>
                <w:highlight w:val="none"/>
                <w:lang w:val="en-US" w:eastAsia="zh-CN"/>
              </w:rPr>
              <w:t>（</w:t>
            </w:r>
            <w:r>
              <w:rPr>
                <w:rFonts w:hint="eastAsia"/>
                <w:color w:val="auto"/>
                <w:sz w:val="21"/>
                <w:szCs w:val="21"/>
                <w:highlight w:val="none"/>
                <w:lang w:val="en-US" w:eastAsia="zh-CN"/>
              </w:rPr>
              <w:t>12</w:t>
            </w:r>
            <w:r>
              <w:rPr>
                <w:rFonts w:hint="eastAsia" w:eastAsia="宋体"/>
                <w:color w:val="auto"/>
                <w:sz w:val="21"/>
                <w:szCs w:val="21"/>
                <w:highlight w:val="none"/>
                <w:lang w:val="en-US" w:eastAsia="zh-CN"/>
              </w:rPr>
              <w:t>分）：</w:t>
            </w:r>
            <w:r>
              <w:rPr>
                <w:rFonts w:hint="eastAsia"/>
                <w:color w:val="auto"/>
                <w:sz w:val="21"/>
                <w:szCs w:val="21"/>
                <w:highlight w:val="none"/>
                <w:lang w:eastAsia="zh-CN"/>
              </w:rPr>
              <w:t>管理规章制度、管理方式</w:t>
            </w:r>
            <w:r>
              <w:rPr>
                <w:rFonts w:hint="eastAsia"/>
                <w:color w:val="auto"/>
                <w:sz w:val="21"/>
                <w:szCs w:val="21"/>
                <w:highlight w:val="none"/>
                <w:lang w:val="en-GB" w:eastAsia="zh-CN"/>
              </w:rPr>
              <w:t>完善，提供完整的教育培训管理制度或岗位培训制度，提高</w:t>
            </w:r>
            <w:r>
              <w:rPr>
                <w:rFonts w:hint="eastAsia"/>
                <w:color w:val="auto"/>
                <w:sz w:val="21"/>
                <w:szCs w:val="21"/>
                <w:highlight w:val="none"/>
                <w:lang w:val="en-US" w:eastAsia="zh-CN"/>
              </w:rPr>
              <w:t>服务</w:t>
            </w:r>
            <w:r>
              <w:rPr>
                <w:rFonts w:hint="eastAsia"/>
                <w:color w:val="auto"/>
                <w:sz w:val="21"/>
                <w:szCs w:val="21"/>
                <w:highlight w:val="none"/>
                <w:lang w:val="en-GB" w:eastAsia="zh-CN"/>
              </w:rPr>
              <w:t>人员综合素质</w:t>
            </w:r>
            <w:r>
              <w:rPr>
                <w:rFonts w:hint="eastAsia"/>
                <w:color w:val="auto"/>
                <w:sz w:val="21"/>
                <w:szCs w:val="21"/>
                <w:highlight w:val="none"/>
                <w:lang w:eastAsia="zh-CN"/>
              </w:rPr>
              <w:t>。</w:t>
            </w:r>
          </w:p>
          <w:p w14:paraId="71B7C3ED">
            <w:pPr>
              <w:autoSpaceDE w:val="0"/>
              <w:autoSpaceDN w:val="0"/>
              <w:spacing w:line="360" w:lineRule="auto"/>
              <w:ind w:firstLine="420" w:firstLineChars="200"/>
              <w:jc w:val="left"/>
              <w:rPr>
                <w:rFonts w:hint="eastAsia"/>
                <w:color w:val="auto"/>
                <w:highlight w:val="none"/>
                <w:lang w:val="en-US" w:eastAsia="zh-CN"/>
              </w:rPr>
            </w:pPr>
            <w:r>
              <w:rPr>
                <w:rFonts w:hint="eastAsia"/>
                <w:color w:val="auto"/>
                <w:sz w:val="21"/>
                <w:szCs w:val="21"/>
                <w:highlight w:val="none"/>
                <w:lang w:eastAsia="zh-CN"/>
              </w:rPr>
              <w:t>优</w:t>
            </w:r>
            <w:r>
              <w:rPr>
                <w:rFonts w:hint="eastAsia" w:eastAsia="宋体"/>
                <w:color w:val="auto"/>
                <w:sz w:val="21"/>
                <w:szCs w:val="21"/>
                <w:highlight w:val="none"/>
                <w:lang w:val="en-US" w:eastAsia="zh-CN"/>
              </w:rPr>
              <w:t>（</w:t>
            </w:r>
            <w:r>
              <w:rPr>
                <w:rFonts w:hint="eastAsia"/>
                <w:color w:val="auto"/>
                <w:sz w:val="21"/>
                <w:szCs w:val="21"/>
                <w:highlight w:val="none"/>
                <w:lang w:val="en-US" w:eastAsia="zh-CN"/>
              </w:rPr>
              <w:t>15</w:t>
            </w:r>
            <w:r>
              <w:rPr>
                <w:rFonts w:hint="eastAsia" w:eastAsia="宋体"/>
                <w:color w:val="auto"/>
                <w:sz w:val="21"/>
                <w:szCs w:val="21"/>
                <w:highlight w:val="none"/>
                <w:lang w:val="en-US" w:eastAsia="zh-CN"/>
              </w:rPr>
              <w:t>分）</w:t>
            </w:r>
            <w:r>
              <w:rPr>
                <w:rFonts w:hint="eastAsia"/>
                <w:color w:val="auto"/>
                <w:sz w:val="21"/>
                <w:szCs w:val="21"/>
                <w:highlight w:val="none"/>
                <w:lang w:eastAsia="zh-CN"/>
              </w:rPr>
              <w:t>：管理规章制度、管理方式</w:t>
            </w:r>
            <w:r>
              <w:rPr>
                <w:rFonts w:hint="eastAsia"/>
                <w:color w:val="auto"/>
                <w:sz w:val="21"/>
                <w:szCs w:val="21"/>
                <w:highlight w:val="none"/>
                <w:lang w:val="en-GB" w:eastAsia="zh-CN"/>
              </w:rPr>
              <w:t>完善到位，提供详细完好的教育培训管理制度或岗位培训制度，提高</w:t>
            </w:r>
            <w:r>
              <w:rPr>
                <w:rFonts w:hint="eastAsia"/>
                <w:color w:val="auto"/>
                <w:sz w:val="21"/>
                <w:szCs w:val="21"/>
                <w:highlight w:val="none"/>
                <w:lang w:val="en-US" w:eastAsia="zh-CN"/>
              </w:rPr>
              <w:t>服务</w:t>
            </w:r>
            <w:r>
              <w:rPr>
                <w:rFonts w:hint="eastAsia"/>
                <w:color w:val="auto"/>
                <w:sz w:val="21"/>
                <w:szCs w:val="21"/>
                <w:highlight w:val="none"/>
                <w:lang w:val="en-GB" w:eastAsia="zh-CN"/>
              </w:rPr>
              <w:t>人员综合素质和职业技能</w:t>
            </w:r>
            <w:r>
              <w:rPr>
                <w:rFonts w:hint="eastAsia"/>
                <w:color w:val="auto"/>
                <w:sz w:val="21"/>
                <w:szCs w:val="21"/>
                <w:highlight w:val="none"/>
                <w:lang w:eastAsia="zh-CN"/>
              </w:rPr>
              <w:t>。</w:t>
            </w:r>
          </w:p>
          <w:bookmarkEnd w:id="74"/>
          <w:p w14:paraId="65EDF3DA">
            <w:pPr>
              <w:pStyle w:val="14"/>
              <w:numPr>
                <w:ilvl w:val="0"/>
                <w:numId w:val="0"/>
              </w:num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）培训</w:t>
            </w:r>
            <w:r>
              <w:rPr>
                <w:rFonts w:hint="eastAsia" w:hAnsi="宋体" w:cs="宋体"/>
                <w:b/>
                <w:bCs/>
                <w:color w:val="auto"/>
                <w:sz w:val="21"/>
                <w:szCs w:val="21"/>
                <w:highlight w:val="none"/>
                <w:lang w:val="en-US" w:eastAsia="zh-CN"/>
              </w:rPr>
              <w:t>后期</w:t>
            </w:r>
            <w:r>
              <w:rPr>
                <w:rFonts w:hint="eastAsia" w:ascii="宋体" w:hAnsi="宋体" w:eastAsia="宋体" w:cs="宋体"/>
                <w:b/>
                <w:bCs/>
                <w:color w:val="auto"/>
                <w:sz w:val="21"/>
                <w:szCs w:val="21"/>
                <w:highlight w:val="none"/>
                <w:lang w:val="en-US" w:eastAsia="zh-CN"/>
              </w:rPr>
              <w:t>服务方案</w:t>
            </w:r>
            <w:r>
              <w:rPr>
                <w:rFonts w:hint="eastAsia"/>
                <w:b/>
                <w:bCs/>
                <w:color w:val="auto"/>
                <w:sz w:val="21"/>
                <w:szCs w:val="21"/>
                <w:highlight w:val="none"/>
                <w:lang w:eastAsia="zh-CN"/>
              </w:rPr>
              <w:t>（满分</w:t>
            </w:r>
            <w:r>
              <w:rPr>
                <w:rFonts w:hint="eastAsia"/>
                <w:b/>
                <w:bCs/>
                <w:color w:val="auto"/>
                <w:sz w:val="21"/>
                <w:szCs w:val="21"/>
                <w:highlight w:val="none"/>
                <w:lang w:val="en-US" w:eastAsia="zh-CN"/>
              </w:rPr>
              <w:t>15分</w:t>
            </w:r>
            <w:r>
              <w:rPr>
                <w:rFonts w:hint="eastAsia"/>
                <w:b/>
                <w:bCs/>
                <w:color w:val="auto"/>
                <w:sz w:val="21"/>
                <w:szCs w:val="21"/>
                <w:highlight w:val="none"/>
                <w:lang w:eastAsia="zh-CN"/>
              </w:rPr>
              <w:t>）</w:t>
            </w:r>
          </w:p>
          <w:p w14:paraId="6AEC34BB">
            <w:pPr>
              <w:pStyle w:val="14"/>
              <w:spacing w:line="360" w:lineRule="auto"/>
              <w:ind w:firstLine="420"/>
              <w:rPr>
                <w:rFonts w:hint="eastAsia" w:ascii="Times New Roman" w:hAnsi="Times New Roman" w:eastAsia="宋体" w:cs="Times New Roman"/>
                <w:color w:val="auto"/>
                <w:kern w:val="2"/>
                <w:sz w:val="21"/>
                <w:szCs w:val="21"/>
                <w:highlight w:val="none"/>
                <w:lang w:val="en-GB" w:eastAsia="zh-CN" w:bidi="ar-SA"/>
              </w:rPr>
            </w:pPr>
            <w:r>
              <w:rPr>
                <w:rFonts w:hint="eastAsia" w:ascii="Times New Roman" w:hAnsi="Times New Roman" w:cs="Times New Roman"/>
                <w:color w:val="auto"/>
                <w:kern w:val="2"/>
                <w:sz w:val="21"/>
                <w:szCs w:val="21"/>
                <w:highlight w:val="none"/>
                <w:lang w:val="en-GB" w:eastAsia="zh-CN" w:bidi="ar-SA"/>
              </w:rPr>
              <w:t>差（3分）</w:t>
            </w:r>
            <w:r>
              <w:rPr>
                <w:rFonts w:hint="eastAsia" w:ascii="Times New Roman" w:hAnsi="Times New Roman" w:eastAsia="宋体" w:cs="Times New Roman"/>
                <w:color w:val="auto"/>
                <w:kern w:val="2"/>
                <w:sz w:val="21"/>
                <w:szCs w:val="21"/>
                <w:highlight w:val="none"/>
                <w:lang w:val="en-GB" w:eastAsia="zh-CN" w:bidi="ar-SA"/>
              </w:rPr>
              <w:t>：服务承诺基本完整，可行性一般，提出后续服务的安排和保证措施一般的。</w:t>
            </w:r>
          </w:p>
          <w:p w14:paraId="79BB1F95">
            <w:pPr>
              <w:pStyle w:val="14"/>
              <w:spacing w:line="360" w:lineRule="auto"/>
              <w:ind w:firstLine="420"/>
              <w:rPr>
                <w:rFonts w:hint="eastAsia" w:ascii="Times New Roman" w:hAnsi="Times New Roman" w:eastAsia="宋体" w:cs="Times New Roman"/>
                <w:color w:val="auto"/>
                <w:kern w:val="2"/>
                <w:sz w:val="21"/>
                <w:szCs w:val="21"/>
                <w:highlight w:val="none"/>
                <w:lang w:val="en-GB" w:eastAsia="zh-CN" w:bidi="ar-SA"/>
              </w:rPr>
            </w:pPr>
            <w:r>
              <w:rPr>
                <w:rFonts w:hint="eastAsia" w:ascii="Times New Roman" w:hAnsi="Times New Roman" w:eastAsia="宋体" w:cs="Times New Roman"/>
                <w:color w:val="auto"/>
                <w:kern w:val="2"/>
                <w:sz w:val="21"/>
                <w:szCs w:val="21"/>
                <w:highlight w:val="none"/>
                <w:lang w:val="en-GB" w:eastAsia="zh-CN" w:bidi="ar-SA"/>
              </w:rPr>
              <w:t>中（</w:t>
            </w:r>
            <w:r>
              <w:rPr>
                <w:rFonts w:hint="eastAsia" w:ascii="Times New Roman" w:hAnsi="Times New Roman" w:cs="Times New Roman"/>
                <w:color w:val="auto"/>
                <w:kern w:val="2"/>
                <w:sz w:val="21"/>
                <w:szCs w:val="21"/>
                <w:highlight w:val="none"/>
                <w:lang w:val="en-US" w:eastAsia="zh-CN" w:bidi="ar-SA"/>
              </w:rPr>
              <w:t>8</w:t>
            </w:r>
            <w:r>
              <w:rPr>
                <w:rFonts w:hint="eastAsia" w:ascii="Times New Roman" w:hAnsi="Times New Roman" w:eastAsia="宋体" w:cs="Times New Roman"/>
                <w:color w:val="auto"/>
                <w:kern w:val="2"/>
                <w:sz w:val="21"/>
                <w:szCs w:val="21"/>
                <w:highlight w:val="none"/>
                <w:lang w:val="en-GB" w:eastAsia="zh-CN" w:bidi="ar-SA"/>
              </w:rPr>
              <w:t>分）：服务承诺较完整，可行性较强，承诺对出现的问题响应及时</w:t>
            </w:r>
            <w:r>
              <w:rPr>
                <w:rFonts w:hint="eastAsia" w:ascii="Times New Roman" w:hAnsi="Times New Roman" w:cs="Times New Roman"/>
                <w:color w:val="auto"/>
                <w:kern w:val="2"/>
                <w:sz w:val="21"/>
                <w:szCs w:val="21"/>
                <w:highlight w:val="none"/>
                <w:lang w:val="en-GB" w:eastAsia="zh-CN" w:bidi="ar-SA"/>
              </w:rPr>
              <w:t>，</w:t>
            </w:r>
            <w:r>
              <w:rPr>
                <w:rFonts w:hint="eastAsia" w:ascii="Times New Roman" w:hAnsi="Times New Roman" w:eastAsia="宋体" w:cs="Times New Roman"/>
                <w:color w:val="auto"/>
                <w:kern w:val="2"/>
                <w:sz w:val="21"/>
                <w:szCs w:val="21"/>
                <w:highlight w:val="none"/>
                <w:lang w:val="en-GB" w:eastAsia="zh-CN" w:bidi="ar-SA"/>
              </w:rPr>
              <w:t>有</w:t>
            </w:r>
            <w:r>
              <w:rPr>
                <w:rFonts w:hint="eastAsia" w:ascii="Times New Roman" w:hAnsi="Times New Roman" w:cs="Times New Roman"/>
                <w:color w:val="auto"/>
                <w:kern w:val="2"/>
                <w:sz w:val="21"/>
                <w:szCs w:val="21"/>
                <w:highlight w:val="none"/>
                <w:lang w:val="en-GB" w:eastAsia="zh-CN" w:bidi="ar-SA"/>
              </w:rPr>
              <w:t>简单的跟踪服务</w:t>
            </w:r>
            <w:r>
              <w:rPr>
                <w:rFonts w:hint="eastAsia" w:ascii="Times New Roman" w:hAnsi="Times New Roman" w:eastAsia="宋体" w:cs="Times New Roman"/>
                <w:color w:val="auto"/>
                <w:kern w:val="2"/>
                <w:sz w:val="21"/>
                <w:szCs w:val="21"/>
                <w:highlight w:val="none"/>
                <w:lang w:val="en-GB" w:eastAsia="zh-CN" w:bidi="ar-SA"/>
              </w:rPr>
              <w:t>计划</w:t>
            </w:r>
            <w:r>
              <w:rPr>
                <w:rFonts w:hint="eastAsia" w:ascii="Times New Roman" w:hAnsi="Times New Roman" w:cs="Times New Roman"/>
                <w:color w:val="auto"/>
                <w:kern w:val="2"/>
                <w:sz w:val="21"/>
                <w:szCs w:val="21"/>
                <w:highlight w:val="none"/>
                <w:lang w:val="en-GB" w:eastAsia="zh-CN" w:bidi="ar-SA"/>
              </w:rPr>
              <w:t>，能保证后期服务到位的</w:t>
            </w:r>
            <w:r>
              <w:rPr>
                <w:rFonts w:hint="eastAsia" w:ascii="Times New Roman" w:hAnsi="Times New Roman" w:eastAsia="宋体" w:cs="Times New Roman"/>
                <w:color w:val="auto"/>
                <w:kern w:val="2"/>
                <w:sz w:val="21"/>
                <w:szCs w:val="21"/>
                <w:highlight w:val="none"/>
                <w:lang w:val="en-GB" w:eastAsia="zh-CN" w:bidi="ar-SA"/>
              </w:rPr>
              <w:t>。</w:t>
            </w:r>
          </w:p>
          <w:p w14:paraId="7305A3BA">
            <w:pPr>
              <w:pStyle w:val="14"/>
              <w:spacing w:line="360" w:lineRule="auto"/>
              <w:ind w:firstLine="420"/>
              <w:rPr>
                <w:rFonts w:hint="eastAsia" w:ascii="Times New Roman" w:hAnsi="Times New Roman" w:eastAsia="宋体" w:cs="Times New Roman"/>
                <w:color w:val="auto"/>
                <w:kern w:val="2"/>
                <w:sz w:val="21"/>
                <w:szCs w:val="21"/>
                <w:highlight w:val="none"/>
                <w:lang w:val="en-GB" w:eastAsia="zh-CN" w:bidi="ar-SA"/>
              </w:rPr>
            </w:pPr>
            <w:r>
              <w:rPr>
                <w:rFonts w:hint="eastAsia" w:ascii="Times New Roman" w:hAnsi="Times New Roman" w:eastAsia="宋体" w:cs="Times New Roman"/>
                <w:color w:val="auto"/>
                <w:kern w:val="2"/>
                <w:sz w:val="21"/>
                <w:szCs w:val="21"/>
                <w:highlight w:val="none"/>
                <w:lang w:val="en-GB" w:eastAsia="zh-CN" w:bidi="ar-SA"/>
              </w:rPr>
              <w:t>良（</w:t>
            </w:r>
            <w:r>
              <w:rPr>
                <w:rFonts w:hint="eastAsia" w:ascii="Times New Roman" w:hAnsi="Times New Roman" w:cs="Times New Roman"/>
                <w:color w:val="auto"/>
                <w:kern w:val="2"/>
                <w:sz w:val="21"/>
                <w:szCs w:val="21"/>
                <w:highlight w:val="none"/>
                <w:lang w:val="en-US" w:eastAsia="zh-CN" w:bidi="ar-SA"/>
              </w:rPr>
              <w:t>12</w:t>
            </w:r>
            <w:r>
              <w:rPr>
                <w:rFonts w:hint="eastAsia" w:ascii="Times New Roman" w:hAnsi="Times New Roman" w:eastAsia="宋体" w:cs="Times New Roman"/>
                <w:color w:val="auto"/>
                <w:kern w:val="2"/>
                <w:sz w:val="21"/>
                <w:szCs w:val="21"/>
                <w:highlight w:val="none"/>
                <w:lang w:val="en-GB" w:eastAsia="zh-CN" w:bidi="ar-SA"/>
              </w:rPr>
              <w:t>分）：能结合本项目实际情况，保障措施表述较清晰、完整，有</w:t>
            </w:r>
            <w:r>
              <w:rPr>
                <w:rFonts w:hint="eastAsia" w:ascii="Times New Roman" w:hAnsi="Times New Roman" w:cs="Times New Roman"/>
                <w:color w:val="auto"/>
                <w:kern w:val="2"/>
                <w:sz w:val="21"/>
                <w:szCs w:val="21"/>
                <w:highlight w:val="none"/>
                <w:lang w:val="en-GB" w:eastAsia="zh-CN" w:bidi="ar-SA"/>
              </w:rPr>
              <w:t>完善的跟踪服务</w:t>
            </w:r>
            <w:r>
              <w:rPr>
                <w:rFonts w:hint="eastAsia" w:ascii="Times New Roman" w:hAnsi="Times New Roman" w:eastAsia="宋体" w:cs="Times New Roman"/>
                <w:color w:val="auto"/>
                <w:kern w:val="2"/>
                <w:sz w:val="21"/>
                <w:szCs w:val="21"/>
                <w:highlight w:val="none"/>
                <w:lang w:val="en-GB" w:eastAsia="zh-CN" w:bidi="ar-SA"/>
              </w:rPr>
              <w:t>计划，方案良好，相应保证措施较可行的。</w:t>
            </w:r>
          </w:p>
          <w:p w14:paraId="43B068C2">
            <w:pPr>
              <w:autoSpaceDE w:val="0"/>
              <w:autoSpaceDN w:val="0"/>
              <w:spacing w:line="360" w:lineRule="auto"/>
              <w:ind w:firstLine="420" w:firstLineChars="200"/>
              <w:jc w:val="left"/>
              <w:rPr>
                <w:rFonts w:hint="eastAsia" w:eastAsia="宋体"/>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GB" w:eastAsia="zh-CN" w:bidi="ar-SA"/>
              </w:rPr>
              <w:t>优</w:t>
            </w:r>
            <w:r>
              <w:rPr>
                <w:rFonts w:hint="eastAsia"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15</w:t>
            </w:r>
            <w:r>
              <w:rPr>
                <w:rFonts w:hint="eastAsia" w:ascii="Times New Roman" w:hAnsi="Times New Roman" w:eastAsia="宋体" w:cs="Times New Roman"/>
                <w:color w:val="auto"/>
                <w:kern w:val="2"/>
                <w:sz w:val="21"/>
                <w:szCs w:val="21"/>
                <w:highlight w:val="none"/>
                <w:lang w:val="en-US" w:eastAsia="zh-CN" w:bidi="ar-SA"/>
              </w:rPr>
              <w:t>分）：</w:t>
            </w:r>
            <w:r>
              <w:rPr>
                <w:rFonts w:hint="eastAsia" w:ascii="Times New Roman" w:hAnsi="Times New Roman" w:eastAsia="宋体" w:cs="Times New Roman"/>
                <w:color w:val="auto"/>
                <w:kern w:val="2"/>
                <w:sz w:val="21"/>
                <w:szCs w:val="21"/>
                <w:highlight w:val="none"/>
                <w:lang w:val="en-GB" w:eastAsia="zh-CN" w:bidi="ar-SA"/>
              </w:rPr>
              <w:t>能结合本项目实际情况，保障措施表述较清晰、完整，有</w:t>
            </w:r>
            <w:r>
              <w:rPr>
                <w:rFonts w:hint="eastAsia" w:cs="Times New Roman"/>
                <w:color w:val="auto"/>
                <w:kern w:val="2"/>
                <w:sz w:val="21"/>
                <w:szCs w:val="21"/>
                <w:highlight w:val="none"/>
                <w:lang w:val="en-GB" w:eastAsia="zh-CN" w:bidi="ar-SA"/>
              </w:rPr>
              <w:t>详细的</w:t>
            </w:r>
            <w:r>
              <w:rPr>
                <w:rFonts w:hint="eastAsia" w:ascii="Times New Roman" w:hAnsi="Times New Roman" w:cs="Times New Roman"/>
                <w:color w:val="auto"/>
                <w:kern w:val="2"/>
                <w:sz w:val="21"/>
                <w:szCs w:val="21"/>
                <w:highlight w:val="none"/>
                <w:lang w:val="en-GB" w:eastAsia="zh-CN" w:bidi="ar-SA"/>
              </w:rPr>
              <w:t>跟踪服务</w:t>
            </w:r>
            <w:r>
              <w:rPr>
                <w:rFonts w:hint="eastAsia" w:ascii="Times New Roman" w:hAnsi="Times New Roman" w:eastAsia="宋体" w:cs="Times New Roman"/>
                <w:color w:val="auto"/>
                <w:kern w:val="2"/>
                <w:sz w:val="21"/>
                <w:szCs w:val="21"/>
                <w:highlight w:val="none"/>
                <w:lang w:val="en-GB" w:eastAsia="zh-CN" w:bidi="ar-SA"/>
              </w:rPr>
              <w:t>计划，方案优秀，各项保证措施切实可行的。</w:t>
            </w:r>
          </w:p>
        </w:tc>
        <w:tc>
          <w:tcPr>
            <w:tcW w:w="851" w:type="dxa"/>
            <w:vAlign w:val="center"/>
          </w:tcPr>
          <w:p w14:paraId="2BB242FD">
            <w:pPr>
              <w:spacing w:line="360" w:lineRule="auto"/>
              <w:jc w:val="center"/>
              <w:rPr>
                <w:rFonts w:hint="eastAsia" w:ascii="宋体" w:hAnsi="宋体" w:cs="宋体"/>
                <w:color w:val="auto"/>
                <w:kern w:val="0"/>
                <w:sz w:val="21"/>
                <w:szCs w:val="21"/>
                <w:highlight w:val="none"/>
              </w:rPr>
            </w:pPr>
          </w:p>
        </w:tc>
      </w:tr>
      <w:tr w14:paraId="4156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647" w:type="dxa"/>
            <w:vAlign w:val="center"/>
          </w:tcPr>
          <w:p w14:paraId="0B1AA3E8">
            <w:pPr>
              <w:adjustRightInd w:val="0"/>
              <w:spacing w:line="360" w:lineRule="auto"/>
              <w:ind w:left="-105" w:leftChars="-50" w:right="-105" w:rightChars="-50"/>
              <w:jc w:val="center"/>
              <w:textAlignment w:val="baseline"/>
              <w:rPr>
                <w:rFonts w:hint="default"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3</w:t>
            </w:r>
          </w:p>
        </w:tc>
        <w:tc>
          <w:tcPr>
            <w:tcW w:w="1304" w:type="dxa"/>
            <w:vAlign w:val="center"/>
          </w:tcPr>
          <w:p w14:paraId="1E4C5081">
            <w:pPr>
              <w:autoSpaceDE w:val="0"/>
              <w:autoSpaceDN w:val="0"/>
              <w:spacing w:line="360" w:lineRule="auto"/>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eastAsia="zh-CN"/>
              </w:rPr>
              <w:t>业绩分</w:t>
            </w:r>
          </w:p>
        </w:tc>
        <w:tc>
          <w:tcPr>
            <w:tcW w:w="6288" w:type="dxa"/>
            <w:vAlign w:val="center"/>
          </w:tcPr>
          <w:p w14:paraId="5EA68DC7">
            <w:pPr>
              <w:autoSpaceDE w:val="0"/>
              <w:autoSpaceDN w:val="0"/>
              <w:spacing w:line="360" w:lineRule="auto"/>
              <w:ind w:firstLine="420" w:firstLineChars="200"/>
              <w:jc w:val="left"/>
              <w:rPr>
                <w:rFonts w:hint="eastAsia" w:ascii="Times New Roman" w:hAnsi="Times New Roman" w:eastAsia="宋体" w:cs="Times New Roman"/>
                <w:color w:val="auto"/>
                <w:kern w:val="2"/>
                <w:sz w:val="21"/>
                <w:szCs w:val="21"/>
                <w:highlight w:val="none"/>
                <w:lang w:val="en-GB" w:eastAsia="zh-CN" w:bidi="ar-SA"/>
              </w:rPr>
            </w:pPr>
            <w:r>
              <w:rPr>
                <w:rFonts w:hint="eastAsia" w:cs="Times New Roman"/>
                <w:color w:val="auto"/>
                <w:kern w:val="2"/>
                <w:sz w:val="21"/>
                <w:szCs w:val="21"/>
                <w:highlight w:val="none"/>
                <w:lang w:val="en-US" w:eastAsia="zh-CN" w:bidi="ar-SA"/>
              </w:rPr>
              <w:t>投标截止时间前3年内</w:t>
            </w:r>
            <w:r>
              <w:rPr>
                <w:rFonts w:hint="eastAsia" w:ascii="Times New Roman" w:hAnsi="Times New Roman" w:eastAsia="宋体" w:cs="Times New Roman"/>
                <w:color w:val="auto"/>
                <w:kern w:val="2"/>
                <w:sz w:val="21"/>
                <w:szCs w:val="21"/>
                <w:highlight w:val="none"/>
                <w:lang w:val="en-US" w:eastAsia="zh-CN" w:bidi="ar-SA"/>
              </w:rPr>
              <w:t>承担过</w:t>
            </w:r>
            <w:r>
              <w:rPr>
                <w:rFonts w:hint="eastAsia" w:cs="Times New Roman"/>
                <w:color w:val="auto"/>
                <w:kern w:val="2"/>
                <w:sz w:val="21"/>
                <w:szCs w:val="21"/>
                <w:highlight w:val="none"/>
                <w:lang w:val="en-US" w:eastAsia="zh-CN" w:bidi="ar-SA"/>
              </w:rPr>
              <w:t>类似服务</w:t>
            </w:r>
            <w:r>
              <w:rPr>
                <w:rFonts w:hint="eastAsia" w:ascii="Times New Roman" w:hAnsi="Times New Roman" w:eastAsia="宋体" w:cs="Times New Roman"/>
                <w:color w:val="auto"/>
                <w:kern w:val="2"/>
                <w:sz w:val="21"/>
                <w:szCs w:val="21"/>
                <w:highlight w:val="none"/>
                <w:lang w:val="en-US" w:eastAsia="zh-CN" w:bidi="ar-SA"/>
              </w:rPr>
              <w:t>项目的，每</w:t>
            </w:r>
            <w:r>
              <w:rPr>
                <w:rFonts w:hint="eastAsia" w:cs="Times New Roman"/>
                <w:color w:val="auto"/>
                <w:kern w:val="2"/>
                <w:sz w:val="21"/>
                <w:szCs w:val="21"/>
                <w:highlight w:val="none"/>
                <w:lang w:val="en-US" w:eastAsia="zh-CN" w:bidi="ar-SA"/>
              </w:rPr>
              <w:t>个业绩</w:t>
            </w:r>
            <w:r>
              <w:rPr>
                <w:rFonts w:hint="eastAsia" w:ascii="Times New Roman" w:hAnsi="Times New Roman" w:eastAsia="宋体" w:cs="Times New Roman"/>
                <w:color w:val="auto"/>
                <w:kern w:val="2"/>
                <w:sz w:val="21"/>
                <w:szCs w:val="21"/>
                <w:highlight w:val="none"/>
                <w:lang w:val="en-US" w:eastAsia="zh-CN" w:bidi="ar-SA"/>
              </w:rPr>
              <w:t>得</w:t>
            </w:r>
            <w:r>
              <w:rPr>
                <w:rFonts w:hint="eastAsia" w:eastAsia="宋体"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分，满分</w:t>
            </w:r>
            <w:r>
              <w:rPr>
                <w:rFonts w:hint="eastAsia" w:cs="Times New Roman"/>
                <w:color w:val="auto"/>
                <w:kern w:val="2"/>
                <w:sz w:val="21"/>
                <w:szCs w:val="21"/>
                <w:highlight w:val="none"/>
                <w:lang w:val="en-US" w:eastAsia="zh-CN" w:bidi="ar-SA"/>
              </w:rPr>
              <w:t>5</w:t>
            </w:r>
            <w:r>
              <w:rPr>
                <w:rFonts w:hint="eastAsia" w:ascii="Times New Roman" w:hAnsi="Times New Roman" w:eastAsia="宋体" w:cs="Times New Roman"/>
                <w:color w:val="auto"/>
                <w:kern w:val="2"/>
                <w:sz w:val="21"/>
                <w:szCs w:val="21"/>
                <w:highlight w:val="none"/>
                <w:lang w:val="en-US" w:eastAsia="zh-CN" w:bidi="ar-SA"/>
              </w:rPr>
              <w:t>分。(须提供成交通知书或合同复印件</w:t>
            </w:r>
            <w:r>
              <w:rPr>
                <w:rFonts w:hint="eastAsia" w:cs="Times New Roman"/>
                <w:color w:val="auto"/>
                <w:kern w:val="2"/>
                <w:sz w:val="21"/>
                <w:szCs w:val="21"/>
                <w:highlight w:val="none"/>
                <w:lang w:val="en-US" w:eastAsia="zh-CN" w:bidi="ar-SA"/>
              </w:rPr>
              <w:t>，否则不予计分</w:t>
            </w:r>
            <w:r>
              <w:rPr>
                <w:rFonts w:hint="eastAsia" w:ascii="Times New Roman" w:hAnsi="Times New Roman" w:eastAsia="宋体" w:cs="Times New Roman"/>
                <w:color w:val="auto"/>
                <w:kern w:val="2"/>
                <w:sz w:val="21"/>
                <w:szCs w:val="21"/>
                <w:highlight w:val="none"/>
                <w:lang w:val="en-US" w:eastAsia="zh-CN" w:bidi="ar-SA"/>
              </w:rPr>
              <w:t>)</w:t>
            </w:r>
          </w:p>
        </w:tc>
        <w:tc>
          <w:tcPr>
            <w:tcW w:w="851" w:type="dxa"/>
            <w:vAlign w:val="center"/>
          </w:tcPr>
          <w:p w14:paraId="2F5BD8B6">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5分</w:t>
            </w:r>
          </w:p>
        </w:tc>
      </w:tr>
      <w:tr w14:paraId="3742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647" w:type="dxa"/>
            <w:vAlign w:val="center"/>
          </w:tcPr>
          <w:p w14:paraId="598CFA9C">
            <w:pPr>
              <w:adjustRightInd w:val="0"/>
              <w:spacing w:line="360" w:lineRule="auto"/>
              <w:ind w:left="-105" w:leftChars="-50" w:right="-105" w:rightChars="-50"/>
              <w:jc w:val="center"/>
              <w:textAlignment w:val="baseline"/>
              <w:rPr>
                <w:rFonts w:hint="default"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4</w:t>
            </w:r>
          </w:p>
        </w:tc>
        <w:tc>
          <w:tcPr>
            <w:tcW w:w="1304" w:type="dxa"/>
            <w:vAlign w:val="center"/>
          </w:tcPr>
          <w:p w14:paraId="5FD8EA3A">
            <w:pPr>
              <w:autoSpaceDE w:val="0"/>
              <w:autoSpaceDN w:val="0"/>
              <w:spacing w:line="360" w:lineRule="auto"/>
              <w:jc w:val="center"/>
              <w:rPr>
                <w:rFonts w:hint="eastAsia" w:cs="Times New Roman"/>
                <w:bCs/>
                <w:color w:val="auto"/>
                <w:sz w:val="21"/>
                <w:szCs w:val="21"/>
                <w:highlight w:val="none"/>
                <w:lang w:eastAsia="zh-CN"/>
              </w:rPr>
            </w:pPr>
            <w:r>
              <w:rPr>
                <w:rFonts w:hint="eastAsia" w:cs="Times New Roman"/>
                <w:bCs/>
                <w:color w:val="auto"/>
                <w:sz w:val="21"/>
                <w:szCs w:val="21"/>
                <w:highlight w:val="none"/>
                <w:lang w:eastAsia="zh-CN"/>
              </w:rPr>
              <w:t>综合实力分</w:t>
            </w:r>
          </w:p>
        </w:tc>
        <w:tc>
          <w:tcPr>
            <w:tcW w:w="6288" w:type="dxa"/>
            <w:vAlign w:val="center"/>
          </w:tcPr>
          <w:p w14:paraId="113ACE33">
            <w:pPr>
              <w:autoSpaceDE w:val="0"/>
              <w:autoSpaceDN w:val="0"/>
              <w:spacing w:line="360" w:lineRule="auto"/>
              <w:ind w:firstLine="420" w:firstLineChars="200"/>
              <w:jc w:val="left"/>
              <w:rPr>
                <w:rFonts w:hint="eastAsia" w:eastAsia="宋体" w:cs="Times New Roman"/>
                <w:color w:val="auto"/>
                <w:kern w:val="2"/>
                <w:sz w:val="21"/>
                <w:szCs w:val="21"/>
                <w:highlight w:val="none"/>
                <w:lang w:val="en-US" w:eastAsia="zh-CN" w:bidi="ar-SA"/>
              </w:rPr>
            </w:pPr>
            <w:r>
              <w:rPr>
                <w:rFonts w:hint="eastAsia" w:ascii="宋体" w:hAnsi="宋体" w:cs="宋体"/>
                <w:color w:val="auto"/>
                <w:sz w:val="21"/>
                <w:szCs w:val="21"/>
                <w:highlight w:val="none"/>
              </w:rPr>
              <w:t>供应商拟投入本项目的项目实施人员中具有与项目实施相关的专业类职称的（包括但不限于生物、动物、畜牧、兽医等专业，供应商于响应文件中提供相关有效的职称证书复印件，并加盖供应商电子签章），按以下规定计分：具有初级职称的每个得0.5分；具有中级职称的每个得1分；具有高级及以上职称的每个得2分；本项最多得5分</w:t>
            </w:r>
            <w:r>
              <w:rPr>
                <w:rFonts w:hint="eastAsia" w:ascii="宋体" w:hAnsi="宋体" w:cs="宋体"/>
                <w:color w:val="auto"/>
                <w:sz w:val="21"/>
                <w:szCs w:val="21"/>
                <w:highlight w:val="none"/>
                <w:lang w:eastAsia="zh-CN"/>
              </w:rPr>
              <w:t>。</w:t>
            </w:r>
          </w:p>
        </w:tc>
        <w:tc>
          <w:tcPr>
            <w:tcW w:w="851" w:type="dxa"/>
            <w:vAlign w:val="center"/>
          </w:tcPr>
          <w:p w14:paraId="7569FCE0">
            <w:pPr>
              <w:spacing w:line="360" w:lineRule="auto"/>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5分</w:t>
            </w:r>
          </w:p>
        </w:tc>
      </w:tr>
      <w:tr w14:paraId="6822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vAlign w:val="top"/>
          </w:tcPr>
          <w:p w14:paraId="453C2D8B">
            <w:pPr>
              <w:pStyle w:val="14"/>
              <w:spacing w:line="360" w:lineRule="auto"/>
              <w:ind w:firstLine="420" w:firstLineChars="200"/>
              <w:rPr>
                <w:rFonts w:hint="default" w:hAnsi="宋体" w:eastAsia="宋体" w:cs="宋体"/>
                <w:bCs/>
                <w:color w:val="auto"/>
                <w:kern w:val="2"/>
                <w:sz w:val="21"/>
                <w:szCs w:val="21"/>
                <w:highlight w:val="none"/>
                <w:lang w:val="en-US" w:eastAsia="zh-CN"/>
              </w:rPr>
            </w:pPr>
            <w:r>
              <w:rPr>
                <w:rFonts w:hint="eastAsia" w:hAnsi="宋体" w:cs="宋体"/>
                <w:bCs/>
                <w:color w:val="auto"/>
                <w:kern w:val="2"/>
                <w:sz w:val="21"/>
                <w:szCs w:val="21"/>
                <w:highlight w:val="none"/>
              </w:rPr>
              <w:t>总得分＝1＋2</w:t>
            </w:r>
            <w:r>
              <w:rPr>
                <w:rFonts w:hint="eastAsia" w:hAnsi="宋体" w:cs="宋体"/>
                <w:bCs/>
                <w:color w:val="auto"/>
                <w:kern w:val="2"/>
                <w:sz w:val="21"/>
                <w:szCs w:val="21"/>
                <w:highlight w:val="none"/>
                <w:lang w:val="en-US" w:eastAsia="zh-CN"/>
              </w:rPr>
              <w:t>+3+4</w:t>
            </w:r>
          </w:p>
        </w:tc>
        <w:tc>
          <w:tcPr>
            <w:tcW w:w="851" w:type="dxa"/>
            <w:vAlign w:val="center"/>
          </w:tcPr>
          <w:p w14:paraId="0DF6D56D">
            <w:pPr>
              <w:widowControl/>
              <w:spacing w:line="360" w:lineRule="auto"/>
              <w:jc w:val="center"/>
              <w:rPr>
                <w:rFonts w:hint="eastAsia" w:ascii="宋体" w:hAnsi="宋体" w:cs="宋体"/>
                <w:color w:val="auto"/>
                <w:kern w:val="0"/>
                <w:sz w:val="21"/>
                <w:szCs w:val="21"/>
                <w:highlight w:val="none"/>
              </w:rPr>
            </w:pPr>
          </w:p>
        </w:tc>
      </w:tr>
    </w:tbl>
    <w:p w14:paraId="32342E6B">
      <w:pPr>
        <w:pStyle w:val="3"/>
        <w:spacing w:before="0" w:after="0" w:line="360" w:lineRule="auto"/>
        <w:ind w:firstLine="643" w:firstLineChars="200"/>
        <w:jc w:val="center"/>
        <w:rPr>
          <w:rFonts w:hint="eastAsia" w:ascii="宋体" w:hAnsi="宋体" w:eastAsia="宋体" w:cs="宋体"/>
          <w:b/>
          <w:bCs w:val="0"/>
          <w:color w:val="auto"/>
          <w:kern w:val="2"/>
          <w:sz w:val="32"/>
          <w:szCs w:val="32"/>
          <w:highlight w:val="none"/>
          <w:lang w:val="en-US" w:eastAsia="zh-CN" w:bidi="ar-SA"/>
        </w:rPr>
      </w:pPr>
      <w:bookmarkStart w:id="75" w:name="_Toc3683"/>
      <w:bookmarkStart w:id="76" w:name="_Toc80886939"/>
      <w:r>
        <w:rPr>
          <w:rFonts w:hint="eastAsia" w:ascii="宋体" w:hAnsi="宋体" w:eastAsia="宋体" w:cs="宋体"/>
          <w:b/>
          <w:bCs w:val="0"/>
          <w:color w:val="auto"/>
          <w:kern w:val="2"/>
          <w:sz w:val="32"/>
          <w:szCs w:val="32"/>
          <w:highlight w:val="none"/>
          <w:lang w:val="en-US" w:eastAsia="zh-CN" w:bidi="ar-SA"/>
        </w:rPr>
        <w:t>第</w:t>
      </w:r>
      <w:r>
        <w:rPr>
          <w:rFonts w:hint="eastAsia" w:ascii="宋体" w:hAnsi="宋体" w:cs="宋体"/>
          <w:b/>
          <w:bCs w:val="0"/>
          <w:color w:val="auto"/>
          <w:kern w:val="2"/>
          <w:sz w:val="32"/>
          <w:szCs w:val="32"/>
          <w:highlight w:val="none"/>
          <w:lang w:val="en-US" w:eastAsia="zh-CN" w:bidi="ar-SA"/>
        </w:rPr>
        <w:t>三</w:t>
      </w:r>
      <w:r>
        <w:rPr>
          <w:rFonts w:hint="eastAsia" w:ascii="宋体" w:hAnsi="宋体" w:eastAsia="宋体" w:cs="宋体"/>
          <w:b/>
          <w:bCs w:val="0"/>
          <w:color w:val="auto"/>
          <w:kern w:val="2"/>
          <w:sz w:val="32"/>
          <w:szCs w:val="32"/>
          <w:highlight w:val="none"/>
          <w:lang w:val="en-US" w:eastAsia="zh-CN" w:bidi="ar-SA"/>
        </w:rPr>
        <w:t>节 评标报告</w:t>
      </w:r>
      <w:bookmarkEnd w:id="75"/>
      <w:bookmarkEnd w:id="76"/>
    </w:p>
    <w:p w14:paraId="7CFA439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1.成交标准</w:t>
      </w:r>
    </w:p>
    <w:p w14:paraId="18F7D26C">
      <w:pPr>
        <w:spacing w:line="360" w:lineRule="auto"/>
        <w:ind w:firstLine="420" w:firstLineChars="200"/>
        <w:rPr>
          <w:rFonts w:hint="eastAsia" w:ascii="宋体" w:hAnsi="宋体" w:cs="宋体"/>
          <w:color w:val="auto"/>
          <w:sz w:val="24"/>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42F4F41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2.评标争议事项处理</w:t>
      </w:r>
    </w:p>
    <w:p w14:paraId="774A8FA9">
      <w:pPr>
        <w:pStyle w:val="39"/>
        <w:spacing w:before="0"/>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728FA21">
      <w:pPr>
        <w:pStyle w:val="3"/>
        <w:spacing w:before="0" w:after="0" w:line="360" w:lineRule="auto"/>
        <w:ind w:firstLine="643" w:firstLineChars="200"/>
        <w:jc w:val="center"/>
        <w:rPr>
          <w:rFonts w:hint="eastAsia" w:ascii="宋体" w:hAnsi="宋体" w:eastAsia="宋体" w:cs="宋体"/>
          <w:b/>
          <w:bCs w:val="0"/>
          <w:color w:val="auto"/>
          <w:kern w:val="2"/>
          <w:sz w:val="32"/>
          <w:szCs w:val="32"/>
          <w:highlight w:val="none"/>
          <w:lang w:val="en-US" w:eastAsia="zh-CN" w:bidi="ar-SA"/>
        </w:rPr>
      </w:pPr>
      <w:bookmarkStart w:id="77" w:name="_Toc80886940"/>
      <w:bookmarkStart w:id="78" w:name="_Toc6995"/>
      <w:bookmarkStart w:id="79" w:name="_Toc80205936"/>
      <w:r>
        <w:rPr>
          <w:rFonts w:hint="eastAsia" w:ascii="宋体" w:hAnsi="宋体" w:eastAsia="宋体" w:cs="宋体"/>
          <w:b/>
          <w:bCs w:val="0"/>
          <w:color w:val="auto"/>
          <w:kern w:val="2"/>
          <w:sz w:val="32"/>
          <w:szCs w:val="32"/>
          <w:highlight w:val="none"/>
          <w:lang w:val="en-US" w:eastAsia="zh-CN" w:bidi="ar-SA"/>
        </w:rPr>
        <w:t>第</w:t>
      </w:r>
      <w:r>
        <w:rPr>
          <w:rFonts w:hint="eastAsia" w:ascii="宋体" w:hAnsi="宋体" w:cs="宋体"/>
          <w:b/>
          <w:bCs w:val="0"/>
          <w:color w:val="auto"/>
          <w:kern w:val="2"/>
          <w:sz w:val="32"/>
          <w:szCs w:val="32"/>
          <w:highlight w:val="none"/>
          <w:lang w:val="en-US" w:eastAsia="zh-CN" w:bidi="ar-SA"/>
        </w:rPr>
        <w:t>四</w:t>
      </w:r>
      <w:r>
        <w:rPr>
          <w:rFonts w:hint="eastAsia" w:ascii="宋体" w:hAnsi="宋体" w:eastAsia="宋体" w:cs="宋体"/>
          <w:b/>
          <w:bCs w:val="0"/>
          <w:color w:val="auto"/>
          <w:kern w:val="2"/>
          <w:sz w:val="32"/>
          <w:szCs w:val="32"/>
          <w:highlight w:val="none"/>
          <w:lang w:val="en-US" w:eastAsia="zh-CN" w:bidi="ar-SA"/>
        </w:rPr>
        <w:t>节 评审过程的保密与录像</w:t>
      </w:r>
      <w:bookmarkEnd w:id="77"/>
      <w:bookmarkEnd w:id="78"/>
      <w:bookmarkEnd w:id="79"/>
    </w:p>
    <w:p w14:paraId="67CAED1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1.保密。</w:t>
      </w:r>
    </w:p>
    <w:p w14:paraId="4E72321B">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019DB73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2.录音录像。</w:t>
      </w:r>
    </w:p>
    <w:p w14:paraId="7DD9BCB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5D0C6423">
      <w:pPr>
        <w:spacing w:line="360" w:lineRule="auto"/>
        <w:ind w:firstLine="420" w:firstLineChars="200"/>
        <w:rPr>
          <w:rFonts w:hint="eastAsia" w:ascii="宋体" w:hAnsi="宋体" w:cs="宋体"/>
          <w:color w:val="auto"/>
          <w:highlight w:val="none"/>
        </w:rPr>
      </w:pPr>
    </w:p>
    <w:p w14:paraId="32DE289C">
      <w:pPr>
        <w:spacing w:line="360" w:lineRule="auto"/>
        <w:ind w:firstLine="420" w:firstLineChars="200"/>
        <w:rPr>
          <w:rFonts w:hint="eastAsia" w:ascii="宋体" w:hAnsi="宋体" w:eastAsia="宋体" w:cs="宋体"/>
          <w:color w:val="auto"/>
          <w:highlight w:val="none"/>
        </w:rPr>
      </w:pPr>
    </w:p>
    <w:p w14:paraId="09775B8D">
      <w:pPr>
        <w:pStyle w:val="3"/>
        <w:spacing w:line="360" w:lineRule="auto"/>
        <w:rPr>
          <w:rFonts w:hint="eastAsia" w:ascii="宋体" w:hAnsi="宋体" w:eastAsia="宋体" w:cs="宋体"/>
          <w:color w:val="auto"/>
          <w:highlight w:val="none"/>
        </w:rPr>
      </w:pPr>
    </w:p>
    <w:p w14:paraId="7B7282B7">
      <w:pPr>
        <w:pStyle w:val="3"/>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80" w:name="_Toc9547"/>
      <w:r>
        <w:rPr>
          <w:rFonts w:hint="eastAsia" w:ascii="宋体" w:hAnsi="宋体" w:eastAsia="宋体" w:cs="宋体"/>
          <w:color w:val="auto"/>
          <w:highlight w:val="none"/>
        </w:rPr>
        <w:t>第五章 响应文件格式</w:t>
      </w:r>
      <w:bookmarkEnd w:id="80"/>
    </w:p>
    <w:p w14:paraId="57BF872B">
      <w:pPr>
        <w:spacing w:line="360" w:lineRule="auto"/>
        <w:rPr>
          <w:rFonts w:hint="eastAsia" w:ascii="宋体" w:hAnsi="宋体" w:eastAsia="宋体" w:cs="宋体"/>
          <w:b/>
          <w:color w:val="auto"/>
          <w:sz w:val="32"/>
          <w:szCs w:val="32"/>
          <w:highlight w:val="none"/>
        </w:rPr>
      </w:pPr>
    </w:p>
    <w:p w14:paraId="553D5E29">
      <w:pPr>
        <w:snapToGrid w:val="0"/>
        <w:spacing w:before="50" w:after="50" w:line="360" w:lineRule="auto"/>
        <w:outlineLvl w:val="1"/>
        <w:rPr>
          <w:rFonts w:hint="eastAsia" w:ascii="宋体" w:hAnsi="宋体" w:eastAsia="宋体" w:cs="宋体"/>
          <w:b/>
          <w:bCs/>
          <w:color w:val="auto"/>
          <w:sz w:val="24"/>
          <w:highlight w:val="none"/>
        </w:rPr>
      </w:pPr>
    </w:p>
    <w:p w14:paraId="06987CF5">
      <w:pPr>
        <w:snapToGrid w:val="0"/>
        <w:spacing w:before="50" w:after="50" w:line="360" w:lineRule="auto"/>
        <w:outlineLvl w:val="1"/>
        <w:rPr>
          <w:rFonts w:hint="eastAsia" w:ascii="宋体" w:hAnsi="宋体" w:eastAsia="宋体" w:cs="宋体"/>
          <w:b/>
          <w:bCs/>
          <w:color w:val="auto"/>
          <w:sz w:val="32"/>
          <w:szCs w:val="32"/>
          <w:highlight w:val="none"/>
        </w:rPr>
      </w:pPr>
      <w:bookmarkStart w:id="81" w:name="_Toc28794"/>
      <w:bookmarkStart w:id="82" w:name="_Toc44229898"/>
      <w:r>
        <w:rPr>
          <w:rFonts w:hint="eastAsia" w:ascii="宋体" w:hAnsi="宋体" w:eastAsia="宋体" w:cs="宋体"/>
          <w:b/>
          <w:color w:val="auto"/>
          <w:sz w:val="32"/>
          <w:szCs w:val="32"/>
          <w:highlight w:val="none"/>
        </w:rPr>
        <w:t>（</w:t>
      </w:r>
      <w:bookmarkStart w:id="83" w:name="_Toc35611515"/>
      <w:bookmarkStart w:id="84" w:name="_Toc35611437"/>
      <w:r>
        <w:rPr>
          <w:rFonts w:hint="eastAsia" w:ascii="宋体" w:hAnsi="宋体" w:eastAsia="宋体" w:cs="宋体"/>
          <w:b/>
          <w:bCs/>
          <w:color w:val="auto"/>
          <w:sz w:val="32"/>
          <w:szCs w:val="32"/>
          <w:highlight w:val="none"/>
        </w:rPr>
        <w:t>响应文件外层包装封面格式</w:t>
      </w:r>
      <w:bookmarkEnd w:id="83"/>
      <w:bookmarkEnd w:id="84"/>
      <w:r>
        <w:rPr>
          <w:rFonts w:hint="eastAsia" w:ascii="宋体" w:hAnsi="宋体" w:eastAsia="宋体" w:cs="宋体"/>
          <w:b/>
          <w:color w:val="auto"/>
          <w:sz w:val="32"/>
          <w:szCs w:val="32"/>
          <w:highlight w:val="none"/>
        </w:rPr>
        <w:t xml:space="preserve"> ）</w:t>
      </w:r>
      <w:bookmarkEnd w:id="81"/>
      <w:bookmarkEnd w:id="82"/>
    </w:p>
    <w:p w14:paraId="335837D3">
      <w:pPr>
        <w:snapToGrid w:val="0"/>
        <w:spacing w:before="156" w:beforeLines="50" w:after="50" w:line="360" w:lineRule="auto"/>
        <w:rPr>
          <w:rFonts w:hint="eastAsia" w:ascii="宋体" w:hAnsi="宋体" w:eastAsia="宋体" w:cs="宋体"/>
          <w:color w:val="auto"/>
          <w:sz w:val="24"/>
          <w:szCs w:val="20"/>
          <w:highlight w:val="none"/>
        </w:rPr>
      </w:pPr>
    </w:p>
    <w:p w14:paraId="7C2DBE2F">
      <w:pPr>
        <w:snapToGrid w:val="0"/>
        <w:spacing w:before="156" w:beforeLines="50" w:after="50" w:line="360" w:lineRule="auto"/>
        <w:jc w:val="center"/>
        <w:rPr>
          <w:rFonts w:hint="eastAsia" w:ascii="宋体" w:hAnsi="宋体" w:eastAsia="宋体" w:cs="宋体"/>
          <w:bCs/>
          <w:color w:val="auto"/>
          <w:sz w:val="22"/>
          <w:szCs w:val="18"/>
          <w:highlight w:val="none"/>
        </w:rPr>
      </w:pPr>
    </w:p>
    <w:p w14:paraId="0CC2B70E">
      <w:pPr>
        <w:snapToGrid w:val="0"/>
        <w:spacing w:before="156" w:beforeLines="50" w:after="50" w:line="360" w:lineRule="auto"/>
        <w:jc w:val="center"/>
        <w:rPr>
          <w:rFonts w:hint="eastAsia" w:ascii="宋体" w:hAnsi="宋体" w:eastAsia="宋体" w:cs="宋体"/>
          <w:bCs/>
          <w:color w:val="auto"/>
          <w:sz w:val="40"/>
          <w:szCs w:val="40"/>
          <w:highlight w:val="none"/>
        </w:rPr>
      </w:pPr>
      <w:r>
        <w:rPr>
          <w:rFonts w:hint="eastAsia" w:ascii="宋体" w:hAnsi="宋体" w:eastAsia="宋体" w:cs="宋体"/>
          <w:bCs/>
          <w:color w:val="auto"/>
          <w:sz w:val="40"/>
          <w:szCs w:val="40"/>
          <w:highlight w:val="none"/>
        </w:rPr>
        <w:t>响  应  文  件</w:t>
      </w:r>
    </w:p>
    <w:p w14:paraId="6A83ED43">
      <w:pPr>
        <w:snapToGrid w:val="0"/>
        <w:spacing w:before="156" w:beforeLines="50" w:after="50" w:line="360" w:lineRule="auto"/>
        <w:rPr>
          <w:rFonts w:hint="eastAsia" w:ascii="宋体" w:hAnsi="宋体" w:eastAsia="宋体" w:cs="宋体"/>
          <w:bCs/>
          <w:color w:val="auto"/>
          <w:sz w:val="22"/>
          <w:szCs w:val="18"/>
          <w:highlight w:val="none"/>
        </w:rPr>
      </w:pPr>
    </w:p>
    <w:p w14:paraId="0458FB6E">
      <w:pPr>
        <w:snapToGrid w:val="0"/>
        <w:spacing w:before="156" w:beforeLines="50" w:after="50" w:line="360" w:lineRule="auto"/>
        <w:rPr>
          <w:rFonts w:hint="eastAsia" w:ascii="宋体" w:hAnsi="宋体" w:eastAsia="宋体" w:cs="宋体"/>
          <w:bCs/>
          <w:color w:val="auto"/>
          <w:sz w:val="22"/>
          <w:szCs w:val="18"/>
          <w:highlight w:val="none"/>
        </w:rPr>
      </w:pPr>
    </w:p>
    <w:p w14:paraId="7A0D6D1A">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p w14:paraId="7407D2EB">
      <w:pPr>
        <w:snapToGrid w:val="0"/>
        <w:spacing w:before="156" w:beforeLines="50" w:after="50" w:line="360" w:lineRule="auto"/>
        <w:ind w:firstLine="420" w:firstLineChars="150"/>
        <w:rPr>
          <w:rFonts w:hint="eastAsia" w:ascii="宋体" w:hAnsi="宋体" w:eastAsia="宋体" w:cs="宋体"/>
          <w:bCs/>
          <w:color w:val="auto"/>
          <w:sz w:val="28"/>
          <w:szCs w:val="28"/>
          <w:highlight w:val="none"/>
        </w:rPr>
      </w:pPr>
    </w:p>
    <w:p w14:paraId="2B4F178A">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01618CE7">
      <w:pPr>
        <w:snapToGrid w:val="0"/>
        <w:spacing w:before="156" w:beforeLines="50" w:after="50" w:line="360" w:lineRule="auto"/>
        <w:ind w:firstLine="420" w:firstLineChars="150"/>
        <w:rPr>
          <w:rFonts w:hint="eastAsia" w:ascii="宋体" w:hAnsi="宋体" w:eastAsia="宋体" w:cs="宋体"/>
          <w:bCs/>
          <w:color w:val="auto"/>
          <w:sz w:val="28"/>
          <w:szCs w:val="28"/>
          <w:highlight w:val="none"/>
        </w:rPr>
      </w:pPr>
    </w:p>
    <w:p w14:paraId="7A547745">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所竞分标（如有则填写，无分标时填写“无”或者留空）：</w:t>
      </w:r>
    </w:p>
    <w:p w14:paraId="3EAADCAA">
      <w:pPr>
        <w:snapToGrid w:val="0"/>
        <w:spacing w:before="156" w:beforeLines="50" w:after="50" w:line="360" w:lineRule="auto"/>
        <w:rPr>
          <w:rFonts w:hint="eastAsia" w:ascii="宋体" w:hAnsi="宋体" w:eastAsia="宋体" w:cs="宋体"/>
          <w:bCs/>
          <w:color w:val="auto"/>
          <w:sz w:val="28"/>
          <w:szCs w:val="28"/>
          <w:highlight w:val="none"/>
        </w:rPr>
      </w:pPr>
    </w:p>
    <w:p w14:paraId="6BC28264">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供应商名称：</w:t>
      </w:r>
    </w:p>
    <w:p w14:paraId="7DF187CB">
      <w:pPr>
        <w:snapToGrid w:val="0"/>
        <w:spacing w:before="156" w:beforeLines="50" w:after="50" w:line="360" w:lineRule="auto"/>
        <w:ind w:firstLine="420" w:firstLineChars="15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首次响应文件提交截止时间前不得启封</w:t>
      </w:r>
    </w:p>
    <w:p w14:paraId="4D08F3B0">
      <w:pPr>
        <w:snapToGrid w:val="0"/>
        <w:spacing w:before="156" w:beforeLines="50" w:after="50" w:line="360" w:lineRule="auto"/>
        <w:ind w:firstLine="645"/>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年    月    日</w:t>
      </w:r>
    </w:p>
    <w:p w14:paraId="2039FD63">
      <w:pPr>
        <w:spacing w:line="360" w:lineRule="auto"/>
        <w:rPr>
          <w:rFonts w:hint="eastAsia" w:ascii="宋体" w:hAnsi="宋体" w:eastAsia="宋体" w:cs="宋体"/>
          <w:bCs/>
          <w:color w:val="auto"/>
          <w:sz w:val="32"/>
          <w:szCs w:val="32"/>
          <w:highlight w:val="none"/>
        </w:rPr>
      </w:pPr>
      <w:r>
        <w:rPr>
          <w:rFonts w:hint="eastAsia" w:ascii="宋体" w:hAnsi="宋体" w:eastAsia="宋体" w:cs="宋体"/>
          <w:bCs/>
          <w:color w:val="auto"/>
          <w:sz w:val="24"/>
          <w:highlight w:val="none"/>
        </w:rPr>
        <w:br w:type="page"/>
      </w:r>
      <w:r>
        <w:rPr>
          <w:rFonts w:hint="eastAsia" w:ascii="宋体" w:hAnsi="宋体" w:eastAsia="宋体" w:cs="宋体"/>
          <w:b/>
          <w:bCs/>
          <w:color w:val="auto"/>
          <w:sz w:val="32"/>
          <w:szCs w:val="32"/>
          <w:highlight w:val="none"/>
        </w:rPr>
        <w:t>（响应文件封面格式）</w:t>
      </w:r>
    </w:p>
    <w:p w14:paraId="6489A5EB">
      <w:pPr>
        <w:spacing w:line="360" w:lineRule="auto"/>
        <w:jc w:val="center"/>
        <w:rPr>
          <w:rFonts w:hint="eastAsia" w:ascii="宋体" w:hAnsi="宋体" w:eastAsia="宋体" w:cs="宋体"/>
          <w:bCs/>
          <w:color w:val="auto"/>
          <w:sz w:val="24"/>
          <w:highlight w:val="none"/>
        </w:rPr>
      </w:pPr>
    </w:p>
    <w:p w14:paraId="2FC3D97E">
      <w:pPr>
        <w:spacing w:line="360" w:lineRule="auto"/>
        <w:jc w:val="center"/>
        <w:rPr>
          <w:rFonts w:hint="eastAsia" w:ascii="宋体" w:hAnsi="宋体" w:eastAsia="宋体" w:cs="宋体"/>
          <w:bCs/>
          <w:color w:val="auto"/>
          <w:sz w:val="24"/>
          <w:highlight w:val="none"/>
        </w:rPr>
      </w:pPr>
    </w:p>
    <w:p w14:paraId="318BA1E7">
      <w:pPr>
        <w:spacing w:line="360" w:lineRule="auto"/>
        <w:jc w:val="center"/>
        <w:rPr>
          <w:rFonts w:hint="eastAsia" w:ascii="宋体" w:hAnsi="宋体" w:eastAsia="宋体" w:cs="宋体"/>
          <w:bCs/>
          <w:color w:val="auto"/>
          <w:sz w:val="24"/>
          <w:highlight w:val="none"/>
        </w:rPr>
      </w:pPr>
    </w:p>
    <w:p w14:paraId="4B557D03">
      <w:pPr>
        <w:spacing w:line="360" w:lineRule="auto"/>
        <w:jc w:val="center"/>
        <w:rPr>
          <w:rFonts w:hint="eastAsia" w:ascii="宋体" w:hAnsi="宋体" w:eastAsia="宋体" w:cs="宋体"/>
          <w:bCs/>
          <w:color w:val="auto"/>
          <w:sz w:val="44"/>
          <w:szCs w:val="44"/>
          <w:highlight w:val="none"/>
        </w:rPr>
      </w:pPr>
    </w:p>
    <w:p w14:paraId="5155C2FF">
      <w:pPr>
        <w:spacing w:line="360" w:lineRule="auto"/>
        <w:jc w:val="center"/>
        <w:rPr>
          <w:rFonts w:hint="eastAsia" w:ascii="宋体" w:hAnsi="宋体" w:eastAsia="宋体" w:cs="宋体"/>
          <w:bCs/>
          <w:color w:val="auto"/>
          <w:sz w:val="44"/>
          <w:szCs w:val="44"/>
          <w:highlight w:val="none"/>
        </w:rPr>
      </w:pPr>
    </w:p>
    <w:p w14:paraId="64C7562B">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响  应  文  件</w:t>
      </w:r>
      <w:r>
        <w:rPr>
          <w:rFonts w:hint="eastAsia" w:ascii="宋体" w:hAnsi="宋体" w:eastAsia="宋体" w:cs="宋体"/>
          <w:b/>
          <w:color w:val="auto"/>
          <w:sz w:val="32"/>
          <w:szCs w:val="32"/>
          <w:highlight w:val="none"/>
        </w:rPr>
        <w:t xml:space="preserve"> </w:t>
      </w:r>
      <w:r>
        <w:rPr>
          <w:rFonts w:hint="eastAsia" w:ascii="宋体" w:hAnsi="宋体" w:eastAsia="宋体" w:cs="宋体"/>
          <w:color w:val="auto"/>
          <w:szCs w:val="21"/>
          <w:highlight w:val="none"/>
        </w:rPr>
        <w:t>(封面)</w:t>
      </w:r>
    </w:p>
    <w:p w14:paraId="6BD66FF6">
      <w:pPr>
        <w:spacing w:line="360" w:lineRule="auto"/>
        <w:jc w:val="center"/>
        <w:rPr>
          <w:rFonts w:hint="eastAsia" w:ascii="宋体" w:hAnsi="宋体" w:eastAsia="宋体" w:cs="宋体"/>
          <w:color w:val="auto"/>
          <w:szCs w:val="21"/>
          <w:highlight w:val="none"/>
        </w:rPr>
      </w:pPr>
    </w:p>
    <w:p w14:paraId="14D8AB10">
      <w:pPr>
        <w:spacing w:line="360" w:lineRule="auto"/>
        <w:jc w:val="center"/>
        <w:rPr>
          <w:rFonts w:hint="eastAsia" w:ascii="宋体" w:hAnsi="宋体" w:eastAsia="宋体" w:cs="宋体"/>
          <w:color w:val="auto"/>
          <w:szCs w:val="21"/>
          <w:highlight w:val="none"/>
        </w:rPr>
      </w:pPr>
    </w:p>
    <w:p w14:paraId="520E8279">
      <w:pPr>
        <w:spacing w:line="360" w:lineRule="auto"/>
        <w:jc w:val="both"/>
        <w:rPr>
          <w:rFonts w:hint="eastAsia" w:ascii="宋体" w:hAnsi="宋体" w:eastAsia="宋体" w:cs="宋体"/>
          <w:color w:val="auto"/>
          <w:szCs w:val="21"/>
          <w:highlight w:val="none"/>
        </w:rPr>
      </w:pPr>
    </w:p>
    <w:p w14:paraId="5F805376">
      <w:pPr>
        <w:spacing w:line="360" w:lineRule="auto"/>
        <w:jc w:val="left"/>
        <w:rPr>
          <w:rFonts w:hint="eastAsia" w:ascii="宋体" w:hAnsi="宋体" w:eastAsia="宋体" w:cs="宋体"/>
          <w:color w:val="auto"/>
          <w:sz w:val="28"/>
          <w:szCs w:val="28"/>
          <w:highlight w:val="none"/>
        </w:rPr>
      </w:pPr>
    </w:p>
    <w:p w14:paraId="70E3565C">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14:paraId="4A499B50">
      <w:pPr>
        <w:spacing w:line="360" w:lineRule="auto"/>
        <w:ind w:firstLine="560" w:firstLineChars="200"/>
        <w:jc w:val="left"/>
        <w:rPr>
          <w:rFonts w:hint="eastAsia" w:ascii="宋体" w:hAnsi="宋体" w:eastAsia="宋体" w:cs="宋体"/>
          <w:color w:val="auto"/>
          <w:sz w:val="28"/>
          <w:szCs w:val="28"/>
          <w:highlight w:val="none"/>
          <w:u w:val="single"/>
        </w:rPr>
      </w:pPr>
    </w:p>
    <w:p w14:paraId="73F0C500">
      <w:pPr>
        <w:tabs>
          <w:tab w:val="left" w:pos="3240"/>
        </w:tabs>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p w14:paraId="1E1EC675">
      <w:pPr>
        <w:tabs>
          <w:tab w:val="left" w:pos="3240"/>
        </w:tabs>
        <w:spacing w:line="360" w:lineRule="auto"/>
        <w:ind w:firstLine="560" w:firstLineChars="200"/>
        <w:jc w:val="left"/>
        <w:rPr>
          <w:rFonts w:hint="eastAsia" w:ascii="宋体" w:hAnsi="宋体" w:eastAsia="宋体" w:cs="宋体"/>
          <w:color w:val="auto"/>
          <w:sz w:val="28"/>
          <w:szCs w:val="28"/>
          <w:highlight w:val="none"/>
          <w:u w:val="single"/>
        </w:rPr>
      </w:pPr>
    </w:p>
    <w:p w14:paraId="221468F9">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所竞分标</w:t>
      </w:r>
      <w:r>
        <w:rPr>
          <w:rFonts w:hint="eastAsia" w:ascii="宋体" w:hAnsi="宋体" w:eastAsia="宋体" w:cs="宋体"/>
          <w:bCs/>
          <w:color w:val="auto"/>
          <w:sz w:val="28"/>
          <w:szCs w:val="28"/>
          <w:highlight w:val="none"/>
        </w:rPr>
        <w:t>（如有则填写，无分标时填写“无”或者留空）</w:t>
      </w:r>
      <w:r>
        <w:rPr>
          <w:rFonts w:hint="eastAsia" w:ascii="宋体" w:hAnsi="宋体" w:eastAsia="宋体" w:cs="宋体"/>
          <w:color w:val="auto"/>
          <w:sz w:val="28"/>
          <w:szCs w:val="28"/>
          <w:highlight w:val="none"/>
        </w:rPr>
        <w:t>：</w:t>
      </w:r>
    </w:p>
    <w:p w14:paraId="58F642B1">
      <w:pPr>
        <w:spacing w:line="360" w:lineRule="auto"/>
        <w:ind w:firstLine="560" w:firstLineChars="200"/>
        <w:jc w:val="left"/>
        <w:rPr>
          <w:rFonts w:hint="eastAsia" w:ascii="宋体" w:hAnsi="宋体" w:eastAsia="宋体" w:cs="宋体"/>
          <w:color w:val="auto"/>
          <w:sz w:val="28"/>
          <w:szCs w:val="28"/>
          <w:highlight w:val="none"/>
          <w:u w:val="single"/>
        </w:rPr>
      </w:pPr>
    </w:p>
    <w:p w14:paraId="176B5F62">
      <w:pPr>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供应商名称：</w:t>
      </w:r>
    </w:p>
    <w:p w14:paraId="53EB039E">
      <w:pPr>
        <w:snapToGrid w:val="0"/>
        <w:spacing w:before="156" w:beforeLines="50" w:after="50" w:line="360" w:lineRule="auto"/>
        <w:rPr>
          <w:rFonts w:hint="eastAsia" w:ascii="宋体" w:hAnsi="宋体" w:eastAsia="宋体" w:cs="宋体"/>
          <w:color w:val="auto"/>
          <w:sz w:val="28"/>
          <w:szCs w:val="28"/>
          <w:highlight w:val="none"/>
        </w:rPr>
      </w:pPr>
    </w:p>
    <w:p w14:paraId="69771D78">
      <w:pPr>
        <w:snapToGrid w:val="0"/>
        <w:spacing w:before="156" w:beforeLines="50" w:after="50" w:line="360" w:lineRule="auto"/>
        <w:rPr>
          <w:rFonts w:hint="eastAsia" w:ascii="宋体" w:hAnsi="宋体" w:eastAsia="宋体" w:cs="宋体"/>
          <w:color w:val="auto"/>
          <w:sz w:val="28"/>
          <w:szCs w:val="28"/>
          <w:highlight w:val="none"/>
        </w:rPr>
      </w:pPr>
    </w:p>
    <w:p w14:paraId="05801120">
      <w:pPr>
        <w:snapToGrid w:val="0"/>
        <w:spacing w:before="156" w:beforeLines="50" w:after="50" w:line="360" w:lineRule="auto"/>
        <w:rPr>
          <w:rFonts w:hint="eastAsia" w:ascii="宋体" w:hAnsi="宋体" w:eastAsia="宋体" w:cs="宋体"/>
          <w:color w:val="auto"/>
          <w:sz w:val="28"/>
          <w:szCs w:val="28"/>
          <w:highlight w:val="none"/>
        </w:rPr>
      </w:pPr>
    </w:p>
    <w:p w14:paraId="27F26FEC">
      <w:pPr>
        <w:snapToGrid w:val="0"/>
        <w:spacing w:before="156" w:beforeLines="50" w:after="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14:paraId="14B4BD51">
      <w:pPr>
        <w:snapToGrid w:val="0"/>
        <w:spacing w:before="156" w:beforeLines="50" w:after="50" w:line="360" w:lineRule="auto"/>
        <w:jc w:val="center"/>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br w:type="page"/>
      </w:r>
    </w:p>
    <w:p w14:paraId="06708152">
      <w:pPr>
        <w:snapToGrid w:val="0"/>
        <w:spacing w:before="156" w:beforeLines="50" w:after="50" w:line="360" w:lineRule="auto"/>
        <w:outlineLvl w:val="1"/>
        <w:rPr>
          <w:rFonts w:hint="eastAsia" w:ascii="宋体" w:hAnsi="宋体" w:eastAsia="宋体" w:cs="宋体"/>
          <w:b/>
          <w:bCs/>
          <w:color w:val="auto"/>
          <w:sz w:val="32"/>
          <w:szCs w:val="32"/>
          <w:highlight w:val="none"/>
        </w:rPr>
      </w:pPr>
      <w:bookmarkStart w:id="85" w:name="_Toc35611516"/>
      <w:bookmarkStart w:id="86" w:name="_Toc44229899"/>
      <w:bookmarkStart w:id="87" w:name="_Toc31728084"/>
      <w:bookmarkStart w:id="88" w:name="_Toc31723070"/>
      <w:bookmarkStart w:id="89" w:name="_Toc35611438"/>
      <w:bookmarkStart w:id="90" w:name="_Toc8534"/>
      <w:r>
        <w:rPr>
          <w:rFonts w:hint="eastAsia" w:ascii="宋体" w:hAnsi="宋体" w:eastAsia="宋体" w:cs="宋体"/>
          <w:b/>
          <w:bCs/>
          <w:color w:val="auto"/>
          <w:sz w:val="32"/>
          <w:szCs w:val="32"/>
          <w:highlight w:val="none"/>
        </w:rPr>
        <w:t>一、资格证明文件格式</w:t>
      </w:r>
      <w:bookmarkEnd w:id="85"/>
      <w:bookmarkEnd w:id="86"/>
      <w:bookmarkEnd w:id="87"/>
      <w:bookmarkEnd w:id="88"/>
      <w:bookmarkEnd w:id="89"/>
      <w:bookmarkEnd w:id="90"/>
    </w:p>
    <w:p w14:paraId="66A48AD1">
      <w:pPr>
        <w:snapToGrid w:val="0"/>
        <w:spacing w:before="156" w:beforeLines="50" w:after="50"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1.资格证明文件封面格式：</w:t>
      </w:r>
      <w:r>
        <w:rPr>
          <w:rFonts w:hint="eastAsia" w:ascii="宋体" w:hAnsi="宋体" w:eastAsia="宋体" w:cs="宋体"/>
          <w:b/>
          <w:color w:val="auto"/>
          <w:sz w:val="24"/>
          <w:highlight w:val="none"/>
        </w:rPr>
        <w:t xml:space="preserve"> </w:t>
      </w:r>
    </w:p>
    <w:p w14:paraId="4CF1775C">
      <w:pPr>
        <w:snapToGrid w:val="0"/>
        <w:spacing w:before="156"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正本/副本</w:t>
      </w:r>
    </w:p>
    <w:p w14:paraId="47A99834">
      <w:pPr>
        <w:snapToGrid w:val="0"/>
        <w:spacing w:before="156" w:beforeLines="50" w:after="50" w:line="360" w:lineRule="auto"/>
        <w:rPr>
          <w:rFonts w:hint="eastAsia" w:ascii="宋体" w:hAnsi="宋体" w:eastAsia="宋体" w:cs="宋体"/>
          <w:color w:val="auto"/>
          <w:sz w:val="24"/>
          <w:szCs w:val="20"/>
          <w:highlight w:val="none"/>
        </w:rPr>
      </w:pPr>
    </w:p>
    <w:p w14:paraId="496B179C">
      <w:pPr>
        <w:snapToGrid w:val="0"/>
        <w:spacing w:before="156" w:beforeLines="50" w:after="50" w:line="360" w:lineRule="auto"/>
        <w:rPr>
          <w:rFonts w:hint="eastAsia" w:ascii="宋体" w:hAnsi="宋体" w:eastAsia="宋体" w:cs="宋体"/>
          <w:color w:val="auto"/>
          <w:sz w:val="24"/>
          <w:szCs w:val="20"/>
          <w:highlight w:val="none"/>
        </w:rPr>
      </w:pPr>
    </w:p>
    <w:p w14:paraId="679A3FED">
      <w:pPr>
        <w:snapToGrid w:val="0"/>
        <w:spacing w:before="156"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w:t>
      </w:r>
    </w:p>
    <w:p w14:paraId="631BFD8F">
      <w:pPr>
        <w:snapToGrid w:val="0"/>
        <w:spacing w:before="156" w:beforeLines="50" w:after="50" w:line="360" w:lineRule="auto"/>
        <w:rPr>
          <w:rFonts w:hint="eastAsia" w:ascii="宋体" w:hAnsi="宋体" w:eastAsia="宋体" w:cs="宋体"/>
          <w:bCs/>
          <w:color w:val="auto"/>
          <w:sz w:val="24"/>
          <w:szCs w:val="20"/>
          <w:highlight w:val="none"/>
        </w:rPr>
      </w:pPr>
    </w:p>
    <w:p w14:paraId="34B03B2A">
      <w:pPr>
        <w:snapToGrid w:val="0"/>
        <w:spacing w:before="156" w:beforeLines="50" w:after="50" w:line="360" w:lineRule="auto"/>
        <w:rPr>
          <w:rFonts w:hint="eastAsia" w:ascii="宋体" w:hAnsi="宋体" w:eastAsia="宋体" w:cs="宋体"/>
          <w:bCs/>
          <w:color w:val="auto"/>
          <w:sz w:val="24"/>
          <w:szCs w:val="20"/>
          <w:highlight w:val="none"/>
        </w:rPr>
      </w:pPr>
    </w:p>
    <w:p w14:paraId="2CF1449B">
      <w:pPr>
        <w:snapToGrid w:val="0"/>
        <w:spacing w:before="156" w:beforeLines="50" w:after="50" w:line="360" w:lineRule="auto"/>
        <w:rPr>
          <w:rFonts w:hint="eastAsia" w:ascii="宋体" w:hAnsi="宋体" w:eastAsia="宋体" w:cs="宋体"/>
          <w:bCs/>
          <w:color w:val="auto"/>
          <w:sz w:val="24"/>
          <w:szCs w:val="20"/>
          <w:highlight w:val="none"/>
        </w:rPr>
      </w:pPr>
    </w:p>
    <w:p w14:paraId="6C02425E">
      <w:pPr>
        <w:snapToGrid w:val="0"/>
        <w:spacing w:before="156" w:beforeLines="50" w:after="50" w:line="360" w:lineRule="auto"/>
        <w:rPr>
          <w:rFonts w:hint="eastAsia" w:ascii="宋体" w:hAnsi="宋体" w:eastAsia="宋体" w:cs="宋体"/>
          <w:bCs/>
          <w:color w:val="auto"/>
          <w:sz w:val="24"/>
          <w:szCs w:val="20"/>
          <w:highlight w:val="none"/>
        </w:rPr>
      </w:pPr>
    </w:p>
    <w:p w14:paraId="4984E1C3">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p w14:paraId="0E3B97DB">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p>
    <w:p w14:paraId="7DB28711">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60A757C5">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w:t>
      </w:r>
    </w:p>
    <w:p w14:paraId="6464F1B2">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所竞分标（如有则填写，无分标时填写“无”或者留空）：</w:t>
      </w:r>
    </w:p>
    <w:p w14:paraId="0A1C8B38">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p>
    <w:p w14:paraId="12E156F5">
      <w:pPr>
        <w:pStyle w:val="7"/>
        <w:snapToGrid w:val="0"/>
        <w:spacing w:before="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供应商名称：</w:t>
      </w:r>
    </w:p>
    <w:p w14:paraId="1BE01EF0">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76F68D76">
      <w:pPr>
        <w:snapToGrid w:val="0"/>
        <w:spacing w:before="156" w:beforeLines="50" w:after="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14:paraId="6B510449">
      <w:pPr>
        <w:snapToGrid w:val="0"/>
        <w:spacing w:before="156" w:beforeLines="50" w:after="50" w:line="360" w:lineRule="auto"/>
        <w:ind w:left="142"/>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2.资格证明文件目录</w:t>
      </w:r>
    </w:p>
    <w:p w14:paraId="1BC7F86F">
      <w:pPr>
        <w:snapToGrid w:val="0"/>
        <w:spacing w:before="156" w:beforeLines="50" w:after="50" w:line="360" w:lineRule="auto"/>
        <w:ind w:firstLine="64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根据磋商文件规定及供应商提供的材料自行编写目录（部分格式后附）。</w:t>
      </w:r>
    </w:p>
    <w:p w14:paraId="555F0BBE">
      <w:pPr>
        <w:snapToGrid w:val="0"/>
        <w:spacing w:before="156" w:beforeLines="50" w:after="50"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117FD8C2">
      <w:pPr>
        <w:spacing w:line="360" w:lineRule="auto"/>
        <w:rPr>
          <w:rFonts w:hint="eastAsia" w:ascii="宋体" w:hAnsi="宋体" w:eastAsia="宋体" w:cs="宋体"/>
          <w:color w:val="auto"/>
          <w:szCs w:val="21"/>
          <w:highlight w:val="none"/>
        </w:rPr>
      </w:pPr>
    </w:p>
    <w:p w14:paraId="1804AC7C">
      <w:pPr>
        <w:spacing w:line="360" w:lineRule="auto"/>
        <w:rPr>
          <w:rFonts w:hint="eastAsia" w:ascii="宋体" w:hAnsi="宋体" w:eastAsia="宋体" w:cs="宋体"/>
          <w:color w:val="auto"/>
          <w:szCs w:val="21"/>
          <w:highlight w:val="none"/>
        </w:rPr>
      </w:pPr>
    </w:p>
    <w:p w14:paraId="47D37A90">
      <w:pPr>
        <w:spacing w:line="360" w:lineRule="auto"/>
        <w:rPr>
          <w:rFonts w:hint="eastAsia" w:ascii="宋体" w:hAnsi="宋体" w:eastAsia="宋体" w:cs="宋体"/>
          <w:color w:val="auto"/>
          <w:szCs w:val="21"/>
          <w:highlight w:val="none"/>
        </w:rPr>
      </w:pPr>
    </w:p>
    <w:p w14:paraId="46F0AD04">
      <w:pPr>
        <w:spacing w:line="360" w:lineRule="auto"/>
        <w:rPr>
          <w:rFonts w:hint="eastAsia" w:ascii="宋体" w:hAnsi="宋体" w:eastAsia="宋体" w:cs="宋体"/>
          <w:color w:val="auto"/>
          <w:szCs w:val="21"/>
          <w:highlight w:val="none"/>
        </w:rPr>
      </w:pPr>
    </w:p>
    <w:p w14:paraId="77670827">
      <w:pPr>
        <w:spacing w:line="360" w:lineRule="auto"/>
        <w:rPr>
          <w:rFonts w:hint="eastAsia" w:ascii="宋体" w:hAnsi="宋体" w:eastAsia="宋体" w:cs="宋体"/>
          <w:color w:val="auto"/>
          <w:szCs w:val="21"/>
          <w:highlight w:val="none"/>
        </w:rPr>
      </w:pPr>
    </w:p>
    <w:p w14:paraId="356800A1">
      <w:pPr>
        <w:spacing w:line="360" w:lineRule="auto"/>
        <w:rPr>
          <w:rFonts w:hint="eastAsia" w:ascii="宋体" w:hAnsi="宋体" w:eastAsia="宋体" w:cs="宋体"/>
          <w:color w:val="auto"/>
          <w:szCs w:val="21"/>
          <w:highlight w:val="none"/>
        </w:rPr>
      </w:pPr>
    </w:p>
    <w:p w14:paraId="0479E768">
      <w:pPr>
        <w:spacing w:line="360" w:lineRule="auto"/>
        <w:rPr>
          <w:rFonts w:hint="eastAsia" w:ascii="宋体" w:hAnsi="宋体" w:eastAsia="宋体" w:cs="宋体"/>
          <w:color w:val="auto"/>
          <w:szCs w:val="21"/>
          <w:highlight w:val="none"/>
        </w:rPr>
      </w:pPr>
    </w:p>
    <w:p w14:paraId="109B47B7">
      <w:pPr>
        <w:spacing w:line="360" w:lineRule="auto"/>
        <w:rPr>
          <w:rFonts w:hint="eastAsia" w:ascii="宋体" w:hAnsi="宋体" w:eastAsia="宋体" w:cs="宋体"/>
          <w:color w:val="auto"/>
          <w:szCs w:val="21"/>
          <w:highlight w:val="none"/>
        </w:rPr>
      </w:pPr>
    </w:p>
    <w:p w14:paraId="673729CD">
      <w:pPr>
        <w:spacing w:line="360" w:lineRule="auto"/>
        <w:rPr>
          <w:rFonts w:hint="eastAsia" w:ascii="宋体" w:hAnsi="宋体" w:eastAsia="宋体" w:cs="宋体"/>
          <w:color w:val="auto"/>
          <w:szCs w:val="21"/>
          <w:highlight w:val="none"/>
        </w:rPr>
      </w:pPr>
    </w:p>
    <w:p w14:paraId="01995777">
      <w:pPr>
        <w:spacing w:line="360" w:lineRule="auto"/>
        <w:rPr>
          <w:rFonts w:hint="eastAsia" w:ascii="宋体" w:hAnsi="宋体" w:eastAsia="宋体" w:cs="宋体"/>
          <w:color w:val="auto"/>
          <w:szCs w:val="21"/>
          <w:highlight w:val="none"/>
        </w:rPr>
      </w:pPr>
    </w:p>
    <w:p w14:paraId="7306F3E8">
      <w:pPr>
        <w:spacing w:line="360" w:lineRule="auto"/>
        <w:rPr>
          <w:rFonts w:hint="eastAsia" w:ascii="宋体" w:hAnsi="宋体" w:eastAsia="宋体" w:cs="宋体"/>
          <w:color w:val="auto"/>
          <w:szCs w:val="21"/>
          <w:highlight w:val="none"/>
        </w:rPr>
      </w:pPr>
    </w:p>
    <w:p w14:paraId="61DAC085">
      <w:pPr>
        <w:spacing w:line="360" w:lineRule="auto"/>
        <w:rPr>
          <w:rFonts w:hint="eastAsia" w:ascii="宋体" w:hAnsi="宋体" w:eastAsia="宋体" w:cs="宋体"/>
          <w:color w:val="auto"/>
          <w:szCs w:val="21"/>
          <w:highlight w:val="none"/>
        </w:rPr>
      </w:pPr>
    </w:p>
    <w:p w14:paraId="082E1D69">
      <w:pPr>
        <w:spacing w:line="360" w:lineRule="auto"/>
        <w:rPr>
          <w:rFonts w:hint="eastAsia" w:ascii="宋体" w:hAnsi="宋体" w:eastAsia="宋体" w:cs="宋体"/>
          <w:color w:val="auto"/>
          <w:szCs w:val="21"/>
          <w:highlight w:val="none"/>
        </w:rPr>
      </w:pPr>
    </w:p>
    <w:p w14:paraId="2726035E">
      <w:pPr>
        <w:spacing w:line="360" w:lineRule="auto"/>
        <w:rPr>
          <w:rFonts w:hint="eastAsia" w:ascii="宋体" w:hAnsi="宋体" w:eastAsia="宋体" w:cs="宋体"/>
          <w:color w:val="auto"/>
          <w:szCs w:val="21"/>
          <w:highlight w:val="none"/>
        </w:rPr>
      </w:pPr>
    </w:p>
    <w:p w14:paraId="010718E1">
      <w:pPr>
        <w:spacing w:line="360" w:lineRule="auto"/>
        <w:rPr>
          <w:rFonts w:hint="eastAsia" w:ascii="宋体" w:hAnsi="宋体" w:eastAsia="宋体" w:cs="宋体"/>
          <w:color w:val="auto"/>
          <w:szCs w:val="21"/>
          <w:highlight w:val="none"/>
        </w:rPr>
      </w:pPr>
    </w:p>
    <w:p w14:paraId="18991BF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 xml:space="preserve"> </w:t>
      </w:r>
      <w:r>
        <w:rPr>
          <w:rFonts w:hint="eastAsia" w:ascii="宋体" w:hAnsi="宋体" w:eastAsia="宋体" w:cs="Times New Roman"/>
          <w:b/>
          <w:color w:val="auto"/>
          <w:sz w:val="32"/>
          <w:szCs w:val="32"/>
          <w:lang w:val="en-US" w:eastAsia="zh-CN"/>
        </w:rPr>
        <w:t>崇左市政府采购供应商信用承诺函（格式）</w:t>
      </w:r>
    </w:p>
    <w:p w14:paraId="0206CC7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bidi="ar"/>
        </w:rPr>
      </w:pPr>
    </w:p>
    <w:p w14:paraId="41D41232">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kern w:val="0"/>
          <w:sz w:val="21"/>
          <w:szCs w:val="21"/>
          <w:highlight w:val="none"/>
          <w:lang w:val="en-US" w:eastAsia="zh-CN" w:bidi="ar"/>
        </w:rPr>
        <w:t>致</w:t>
      </w:r>
      <w:r>
        <w:rPr>
          <w:rFonts w:hint="eastAsia" w:ascii="宋体" w:hAnsi="宋体" w:eastAsia="宋体" w:cs="宋体"/>
          <w:color w:val="auto"/>
          <w:kern w:val="0"/>
          <w:sz w:val="21"/>
          <w:szCs w:val="21"/>
          <w:highlight w:val="none"/>
          <w:u w:val="single"/>
          <w:lang w:val="en-US" w:eastAsia="zh-CN" w:bidi="ar"/>
        </w:rPr>
        <w:t>（采购代理机构名称）</w:t>
      </w:r>
      <w:r>
        <w:rPr>
          <w:rFonts w:hint="eastAsia" w:ascii="宋体" w:hAnsi="宋体" w:eastAsia="宋体" w:cs="宋体"/>
          <w:color w:val="auto"/>
          <w:kern w:val="0"/>
          <w:sz w:val="21"/>
          <w:szCs w:val="21"/>
          <w:highlight w:val="none"/>
          <w:u w:val="none"/>
          <w:lang w:val="en-US" w:eastAsia="zh-CN" w:bidi="ar"/>
        </w:rPr>
        <w:t>:</w:t>
      </w:r>
    </w:p>
    <w:p w14:paraId="12AD7101">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lang w:val="en-US" w:eastAsia="zh-CN" w:bidi="ar"/>
        </w:rPr>
        <w:t>我方自愿参加</w:t>
      </w:r>
      <w:r>
        <w:rPr>
          <w:rFonts w:hint="eastAsia" w:ascii="宋体" w:hAnsi="宋体" w:eastAsia="宋体" w:cs="宋体"/>
          <w:color w:val="auto"/>
          <w:kern w:val="0"/>
          <w:sz w:val="21"/>
          <w:szCs w:val="21"/>
          <w:highlight w:val="none"/>
          <w:u w:val="single"/>
          <w:lang w:val="en-US" w:eastAsia="zh-CN" w:bidi="ar"/>
        </w:rPr>
        <w:t xml:space="preserve"> （项目名称） </w:t>
      </w:r>
      <w:r>
        <w:rPr>
          <w:rFonts w:hint="eastAsia" w:ascii="宋体" w:hAnsi="宋体" w:eastAsia="宋体" w:cs="宋体"/>
          <w:color w:val="auto"/>
          <w:kern w:val="0"/>
          <w:sz w:val="21"/>
          <w:szCs w:val="21"/>
          <w:highlight w:val="none"/>
          <w:lang w:val="en-US" w:eastAsia="zh-CN" w:bidi="ar"/>
        </w:rPr>
        <w:t>项目</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w:t>
      </w:r>
      <w:r>
        <w:rPr>
          <w:rFonts w:hint="eastAsia" w:ascii="宋体" w:hAnsi="宋体" w:eastAsia="宋体" w:cs="宋体"/>
          <w:color w:val="auto"/>
          <w:kern w:val="0"/>
          <w:sz w:val="21"/>
          <w:szCs w:val="21"/>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1"/>
          <w:szCs w:val="21"/>
          <w:highlight w:val="none"/>
          <w:lang w:val="en-US" w:eastAsia="zh-CN" w:bidi="ar"/>
        </w:rPr>
        <w:t xml:space="preserve">： </w:t>
      </w:r>
    </w:p>
    <w:p w14:paraId="0283CEF7">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1.我方</w:t>
      </w:r>
      <w:r>
        <w:rPr>
          <w:rFonts w:hint="eastAsia" w:ascii="宋体" w:hAnsi="宋体" w:eastAsia="宋体" w:cs="宋体"/>
          <w:color w:val="auto"/>
          <w:spacing w:val="6"/>
          <w:sz w:val="21"/>
          <w:szCs w:val="21"/>
          <w:highlight w:val="none"/>
          <w:lang w:val="en-US" w:eastAsia="zh-CN"/>
        </w:rPr>
        <w:t>具有独立承担民事责任的能力或我方属于银行、保险、石油石化、电力、电信等有行业特殊情况的法人的分支机构在参加本次政府采购活动前已取得总公司的授权。</w:t>
      </w:r>
    </w:p>
    <w:p w14:paraId="47C1167C">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2.我方具有符合采购文件资格要求的财务状况报告。 </w:t>
      </w:r>
    </w:p>
    <w:p w14:paraId="52FBC4DF">
      <w:pPr>
        <w:keepNext w:val="0"/>
        <w:keepLines w:val="0"/>
        <w:pageBreakBefore w:val="0"/>
        <w:widowControl/>
        <w:suppressLineNumbers w:val="0"/>
        <w:kinsoku/>
        <w:wordWrap/>
        <w:overflowPunct/>
        <w:topLinePunct w:val="0"/>
        <w:autoSpaceDE/>
        <w:autoSpaceDN/>
        <w:bidi w:val="0"/>
        <w:adjustRightInd/>
        <w:snapToGrid/>
        <w:spacing w:line="440" w:lineRule="exact"/>
        <w:ind w:firstLine="396" w:firstLineChars="200"/>
        <w:jc w:val="both"/>
        <w:textAlignment w:val="auto"/>
        <w:rPr>
          <w:rFonts w:hint="eastAsia" w:ascii="宋体" w:hAnsi="宋体" w:eastAsia="宋体" w:cs="宋体"/>
          <w:color w:val="auto"/>
          <w:spacing w:val="-17"/>
          <w:sz w:val="21"/>
          <w:szCs w:val="21"/>
          <w:highlight w:val="none"/>
        </w:rPr>
      </w:pPr>
      <w:r>
        <w:rPr>
          <w:rFonts w:hint="eastAsia" w:ascii="宋体" w:hAnsi="宋体" w:eastAsia="宋体" w:cs="宋体"/>
          <w:color w:val="auto"/>
          <w:spacing w:val="-6"/>
          <w:kern w:val="0"/>
          <w:sz w:val="21"/>
          <w:szCs w:val="21"/>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1"/>
          <w:szCs w:val="21"/>
          <w:highlight w:val="none"/>
          <w:lang w:val="en-US" w:eastAsia="zh-CN" w:bidi="ar"/>
        </w:rPr>
        <w:t xml:space="preserve"> </w:t>
      </w:r>
    </w:p>
    <w:p w14:paraId="5CA9DECF">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4.我方具有符合采购文件资格要求履行合同所必需的设备和专业技术能力。 </w:t>
      </w:r>
    </w:p>
    <w:p w14:paraId="5AB8C253">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5.我方参加政府采购活动前3年内在经营活动中没有重大违法记录。 </w:t>
      </w:r>
    </w:p>
    <w:p w14:paraId="712F0CCE">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我方对以上承诺内容的真实性负责。如有虚假，将依法承担相应责任。</w:t>
      </w:r>
    </w:p>
    <w:p w14:paraId="02F3B4AD">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kern w:val="0"/>
          <w:sz w:val="21"/>
          <w:szCs w:val="21"/>
          <w:highlight w:val="none"/>
          <w:lang w:val="en-US" w:eastAsia="zh-CN" w:bidi="ar"/>
        </w:rPr>
      </w:pPr>
    </w:p>
    <w:p w14:paraId="7D4B6FB4">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kern w:val="0"/>
          <w:sz w:val="21"/>
          <w:szCs w:val="21"/>
          <w:highlight w:val="none"/>
          <w:lang w:val="en-US" w:eastAsia="zh-CN" w:bidi="ar"/>
        </w:rPr>
      </w:pPr>
    </w:p>
    <w:p w14:paraId="3DD9F7FE">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供应商名称（盖章）： </w:t>
      </w:r>
    </w:p>
    <w:p w14:paraId="029F21BB">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日期：</w:t>
      </w:r>
    </w:p>
    <w:p w14:paraId="30BA9B47">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1"/>
          <w:szCs w:val="21"/>
          <w:highlight w:val="none"/>
          <w:lang w:val="en-US" w:eastAsia="zh-CN" w:bidi="ar"/>
        </w:rPr>
      </w:pPr>
    </w:p>
    <w:p w14:paraId="0EDAD664">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注：1.</w:t>
      </w:r>
      <w:r>
        <w:rPr>
          <w:rFonts w:hint="eastAsia" w:ascii="宋体" w:hAnsi="宋体" w:eastAsia="宋体" w:cs="宋体"/>
          <w:i w:val="0"/>
          <w:iCs w:val="0"/>
          <w:caps w:val="0"/>
          <w:color w:val="auto"/>
          <w:spacing w:val="0"/>
          <w:sz w:val="21"/>
          <w:szCs w:val="21"/>
          <w:highlight w:val="none"/>
          <w:lang w:val="en-US" w:eastAsia="zh-CN"/>
        </w:rPr>
        <w:t>参与政府采购活动的供应商可按第1点的内容：“</w:t>
      </w:r>
      <w:r>
        <w:rPr>
          <w:rFonts w:hint="eastAsia" w:ascii="宋体" w:hAnsi="宋体" w:eastAsia="宋体" w:cs="宋体"/>
          <w:color w:val="auto"/>
          <w:kern w:val="0"/>
          <w:sz w:val="21"/>
          <w:szCs w:val="21"/>
          <w:highlight w:val="none"/>
          <w:lang w:val="en-US" w:eastAsia="zh-CN" w:bidi="ar"/>
        </w:rPr>
        <w:t>我方</w:t>
      </w:r>
      <w:r>
        <w:rPr>
          <w:rFonts w:hint="eastAsia" w:ascii="宋体" w:hAnsi="宋体" w:eastAsia="宋体" w:cs="宋体"/>
          <w:color w:val="auto"/>
          <w:spacing w:val="6"/>
          <w:sz w:val="21"/>
          <w:szCs w:val="21"/>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1"/>
          <w:szCs w:val="21"/>
          <w:highlight w:val="none"/>
          <w:lang w:val="en-US" w:eastAsia="zh-CN" w:bidi="ar"/>
        </w:rPr>
        <w:t>我方</w:t>
      </w:r>
      <w:r>
        <w:rPr>
          <w:rFonts w:hint="eastAsia" w:ascii="宋体" w:hAnsi="宋体" w:eastAsia="宋体" w:cs="宋体"/>
          <w:color w:val="auto"/>
          <w:spacing w:val="6"/>
          <w:sz w:val="21"/>
          <w:szCs w:val="21"/>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1"/>
          <w:szCs w:val="21"/>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1"/>
          <w:szCs w:val="21"/>
          <w:highlight w:val="none"/>
          <w:lang w:val="en-US" w:eastAsia="zh-CN"/>
        </w:rPr>
        <w:t>2.第1点所指的行业特殊情况使用了“等”字表示列举未尽，即行业特殊情况包含但不限于银行、保险、石油石化、电力、电信。</w:t>
      </w:r>
    </w:p>
    <w:p w14:paraId="022DE817">
      <w:pPr>
        <w:snapToGrid w:val="0"/>
        <w:spacing w:before="120" w:beforeLines="50" w:after="50"/>
        <w:jc w:val="center"/>
        <w:rPr>
          <w:rFonts w:hint="eastAsia" w:ascii="宋体" w:hAnsi="宋体"/>
          <w:b/>
          <w:color w:val="auto"/>
          <w:sz w:val="32"/>
          <w:szCs w:val="32"/>
        </w:rPr>
      </w:pPr>
    </w:p>
    <w:p w14:paraId="3E300E67">
      <w:pPr>
        <w:spacing w:line="360" w:lineRule="auto"/>
        <w:jc w:val="left"/>
        <w:rPr>
          <w:rFonts w:hint="eastAsia" w:ascii="宋体" w:hAnsi="宋体" w:eastAsia="宋体" w:cs="宋体"/>
          <w:color w:val="auto"/>
          <w:szCs w:val="21"/>
          <w:highlight w:val="none"/>
        </w:rPr>
      </w:pPr>
    </w:p>
    <w:p w14:paraId="7EFAF257">
      <w:pPr>
        <w:pStyle w:val="29"/>
        <w:rPr>
          <w:rFonts w:hint="eastAsia"/>
          <w:color w:val="auto"/>
        </w:rPr>
      </w:pPr>
    </w:p>
    <w:p w14:paraId="7A8416B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供应商直接控股、管理关系信息表</w:t>
      </w:r>
    </w:p>
    <w:p w14:paraId="0BE5C856">
      <w:pPr>
        <w:snapToGrid w:val="0"/>
        <w:spacing w:before="156" w:beforeLines="50" w:after="50" w:line="360" w:lineRule="auto"/>
        <w:jc w:val="center"/>
        <w:rPr>
          <w:rFonts w:hint="eastAsia" w:ascii="宋体" w:hAnsi="宋体" w:eastAsia="宋体" w:cs="宋体"/>
          <w:b/>
          <w:color w:val="auto"/>
          <w:sz w:val="24"/>
          <w:highlight w:val="none"/>
        </w:rPr>
      </w:pPr>
    </w:p>
    <w:p w14:paraId="569929C7">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供应商直接控股股东信息表</w:t>
      </w:r>
    </w:p>
    <w:p w14:paraId="715A0614">
      <w:pPr>
        <w:snapToGrid w:val="0"/>
        <w:spacing w:before="50" w:after="156" w:afterLines="50" w:line="360" w:lineRule="auto"/>
        <w:jc w:val="center"/>
        <w:rPr>
          <w:rFonts w:hint="eastAsia" w:ascii="宋体" w:hAnsi="宋体" w:eastAsia="宋体" w:cs="宋体"/>
          <w:b/>
          <w:color w:val="auto"/>
          <w:sz w:val="21"/>
          <w:szCs w:val="21"/>
          <w:highlight w:val="none"/>
        </w:rPr>
      </w:pPr>
    </w:p>
    <w:tbl>
      <w:tblPr>
        <w:tblStyle w:val="23"/>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EF5D269">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855F26">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242D70">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CD8B3B">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F7B1BE">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BD4D58">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081C515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EAFEC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5C0851">
            <w:pPr>
              <w:widowControl/>
              <w:spacing w:line="360" w:lineRule="auto"/>
              <w:jc w:val="center"/>
              <w:rPr>
                <w:rFonts w:hint="eastAsia" w:ascii="宋体" w:hAnsi="宋体" w:eastAsia="宋体" w:cs="宋体"/>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E2FA0A">
            <w:pPr>
              <w:widowControl/>
              <w:spacing w:line="360" w:lineRule="auto"/>
              <w:jc w:val="center"/>
              <w:rPr>
                <w:rFonts w:hint="eastAsia" w:ascii="宋体" w:hAnsi="宋体" w:eastAsia="宋体" w:cs="宋体"/>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30B8FF">
            <w:pPr>
              <w:widowControl/>
              <w:spacing w:line="360" w:lineRule="auto"/>
              <w:jc w:val="center"/>
              <w:rPr>
                <w:rFonts w:hint="eastAsia" w:ascii="宋体" w:hAnsi="宋体" w:eastAsia="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BC317A">
            <w:pPr>
              <w:widowControl/>
              <w:spacing w:line="360" w:lineRule="auto"/>
              <w:jc w:val="center"/>
              <w:rPr>
                <w:rFonts w:hint="eastAsia" w:ascii="宋体" w:hAnsi="宋体" w:eastAsia="宋体" w:cs="宋体"/>
                <w:color w:val="auto"/>
                <w:kern w:val="0"/>
                <w:sz w:val="21"/>
                <w:szCs w:val="21"/>
                <w:highlight w:val="none"/>
              </w:rPr>
            </w:pPr>
          </w:p>
        </w:tc>
      </w:tr>
      <w:tr w14:paraId="0C1D046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CABE5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0CBF4C">
            <w:pPr>
              <w:widowControl/>
              <w:spacing w:line="360" w:lineRule="auto"/>
              <w:jc w:val="center"/>
              <w:rPr>
                <w:rFonts w:hint="eastAsia" w:ascii="宋体" w:hAnsi="宋体" w:eastAsia="宋体" w:cs="宋体"/>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422BBE">
            <w:pPr>
              <w:widowControl/>
              <w:spacing w:line="360" w:lineRule="auto"/>
              <w:jc w:val="center"/>
              <w:rPr>
                <w:rFonts w:hint="eastAsia" w:ascii="宋体" w:hAnsi="宋体" w:eastAsia="宋体" w:cs="宋体"/>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B793D2">
            <w:pPr>
              <w:widowControl/>
              <w:spacing w:line="360" w:lineRule="auto"/>
              <w:jc w:val="center"/>
              <w:rPr>
                <w:rFonts w:hint="eastAsia" w:ascii="宋体" w:hAnsi="宋体" w:eastAsia="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1F86C7">
            <w:pPr>
              <w:widowControl/>
              <w:spacing w:line="360" w:lineRule="auto"/>
              <w:jc w:val="center"/>
              <w:rPr>
                <w:rFonts w:hint="eastAsia" w:ascii="宋体" w:hAnsi="宋体" w:eastAsia="宋体" w:cs="宋体"/>
                <w:color w:val="auto"/>
                <w:kern w:val="0"/>
                <w:sz w:val="21"/>
                <w:szCs w:val="21"/>
                <w:highlight w:val="none"/>
              </w:rPr>
            </w:pPr>
          </w:p>
        </w:tc>
      </w:tr>
      <w:tr w14:paraId="13C8A2A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27C40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012BC3">
            <w:pPr>
              <w:widowControl/>
              <w:spacing w:line="360" w:lineRule="auto"/>
              <w:jc w:val="center"/>
              <w:rPr>
                <w:rFonts w:hint="eastAsia" w:ascii="宋体" w:hAnsi="宋体" w:eastAsia="宋体" w:cs="宋体"/>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03F743">
            <w:pPr>
              <w:widowControl/>
              <w:spacing w:line="360" w:lineRule="auto"/>
              <w:jc w:val="center"/>
              <w:rPr>
                <w:rFonts w:hint="eastAsia" w:ascii="宋体" w:hAnsi="宋体" w:eastAsia="宋体" w:cs="宋体"/>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CEB053">
            <w:pPr>
              <w:widowControl/>
              <w:spacing w:line="360" w:lineRule="auto"/>
              <w:jc w:val="center"/>
              <w:rPr>
                <w:rFonts w:hint="eastAsia" w:ascii="宋体" w:hAnsi="宋体" w:eastAsia="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1735F1">
            <w:pPr>
              <w:widowControl/>
              <w:spacing w:line="360" w:lineRule="auto"/>
              <w:jc w:val="center"/>
              <w:rPr>
                <w:rFonts w:hint="eastAsia" w:ascii="宋体" w:hAnsi="宋体" w:eastAsia="宋体" w:cs="宋体"/>
                <w:color w:val="auto"/>
                <w:kern w:val="0"/>
                <w:sz w:val="21"/>
                <w:szCs w:val="21"/>
                <w:highlight w:val="none"/>
              </w:rPr>
            </w:pPr>
          </w:p>
        </w:tc>
      </w:tr>
    </w:tbl>
    <w:p w14:paraId="78869F28">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6735D847">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159897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2.本表所指的控股关系仅限于直接控股关系，不包括间接的控股关系。公司实际控制人与公司之间的关系不属于本表所指的直接控股关系。</w:t>
      </w:r>
    </w:p>
    <w:p w14:paraId="3B7FE0FE">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3.供应商不存在直接控股股东的，则填“无”。</w:t>
      </w:r>
    </w:p>
    <w:p w14:paraId="748ED47D">
      <w:pPr>
        <w:snapToGrid w:val="0"/>
        <w:spacing w:line="360" w:lineRule="auto"/>
        <w:jc w:val="left"/>
        <w:rPr>
          <w:rFonts w:hint="eastAsia" w:ascii="宋体" w:hAnsi="宋体" w:eastAsia="宋体" w:cs="宋体"/>
          <w:color w:val="auto"/>
          <w:sz w:val="21"/>
          <w:szCs w:val="21"/>
          <w:highlight w:val="none"/>
        </w:rPr>
      </w:pPr>
    </w:p>
    <w:p w14:paraId="428341BA">
      <w:pPr>
        <w:snapToGrid w:val="0"/>
        <w:spacing w:line="360" w:lineRule="auto"/>
        <w:jc w:val="left"/>
        <w:rPr>
          <w:rFonts w:hint="eastAsia" w:ascii="宋体" w:hAnsi="宋体" w:eastAsia="宋体" w:cs="宋体"/>
          <w:color w:val="auto"/>
          <w:sz w:val="21"/>
          <w:szCs w:val="21"/>
          <w:highlight w:val="none"/>
        </w:rPr>
      </w:pPr>
    </w:p>
    <w:p w14:paraId="11363B75">
      <w:pPr>
        <w:snapToGrid w:val="0"/>
        <w:spacing w:line="360" w:lineRule="auto"/>
        <w:jc w:val="left"/>
        <w:rPr>
          <w:rFonts w:hint="eastAsia" w:ascii="宋体" w:hAnsi="宋体" w:eastAsia="宋体" w:cs="宋体"/>
          <w:color w:val="auto"/>
          <w:sz w:val="21"/>
          <w:szCs w:val="21"/>
          <w:highlight w:val="none"/>
        </w:rPr>
      </w:pPr>
    </w:p>
    <w:p w14:paraId="35F42733">
      <w:pPr>
        <w:snapToGrid w:val="0"/>
        <w:spacing w:before="156" w:beforeLines="50" w:line="360" w:lineRule="auto"/>
        <w:ind w:right="480" w:firstLine="1680" w:firstLineChars="8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法定代表人或者委托代理人签字：</w:t>
      </w:r>
      <w:r>
        <w:rPr>
          <w:rFonts w:hint="eastAsia" w:ascii="宋体" w:hAnsi="宋体" w:eastAsia="宋体" w:cs="宋体"/>
          <w:color w:val="auto"/>
          <w:sz w:val="21"/>
          <w:szCs w:val="21"/>
          <w:highlight w:val="none"/>
          <w:u w:val="single"/>
        </w:rPr>
        <w:t xml:space="preserve">                </w:t>
      </w:r>
    </w:p>
    <w:p w14:paraId="5837A79A">
      <w:pPr>
        <w:snapToGrid w:val="0"/>
        <w:spacing w:before="156" w:beforeLines="50" w:after="50" w:line="360" w:lineRule="auto"/>
        <w:ind w:right="480" w:firstLine="2625" w:firstLineChars="1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供应商（盖公章 ）：</w:t>
      </w:r>
      <w:r>
        <w:rPr>
          <w:rFonts w:hint="eastAsia" w:ascii="宋体" w:hAnsi="宋体" w:eastAsia="宋体" w:cs="宋体"/>
          <w:color w:val="auto"/>
          <w:sz w:val="21"/>
          <w:szCs w:val="21"/>
          <w:highlight w:val="none"/>
          <w:u w:val="single"/>
        </w:rPr>
        <w:t xml:space="preserve">                              </w:t>
      </w:r>
    </w:p>
    <w:p w14:paraId="354506E5">
      <w:pPr>
        <w:snapToGrid w:val="0"/>
        <w:spacing w:before="156" w:beforeLines="50" w:after="50" w:line="360" w:lineRule="auto"/>
        <w:ind w:right="480" w:firstLine="4620" w:firstLineChars="220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年    月    日</w:t>
      </w:r>
    </w:p>
    <w:p w14:paraId="41551650">
      <w:pPr>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2071BD1">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供应商直接管理关系信息表</w:t>
      </w:r>
    </w:p>
    <w:p w14:paraId="07F75A41">
      <w:pPr>
        <w:snapToGrid w:val="0"/>
        <w:spacing w:line="360" w:lineRule="auto"/>
        <w:jc w:val="center"/>
        <w:rPr>
          <w:rFonts w:hint="eastAsia" w:ascii="宋体" w:hAnsi="宋体" w:eastAsia="宋体" w:cs="宋体"/>
          <w:b/>
          <w:color w:val="auto"/>
          <w:sz w:val="21"/>
          <w:szCs w:val="21"/>
          <w:highlight w:val="none"/>
        </w:rPr>
      </w:pPr>
    </w:p>
    <w:tbl>
      <w:tblPr>
        <w:tblStyle w:val="23"/>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321DF5B">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060E2E">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A49EB2">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1CDD93">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73A43B">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17EC24D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A4DA02">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516F97">
            <w:pPr>
              <w:widowControl/>
              <w:spacing w:line="360" w:lineRule="auto"/>
              <w:jc w:val="center"/>
              <w:rPr>
                <w:rFonts w:hint="eastAsia" w:ascii="宋体" w:hAnsi="宋体" w:eastAsia="宋体" w:cs="宋体"/>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328242">
            <w:pPr>
              <w:widowControl/>
              <w:spacing w:line="360" w:lineRule="auto"/>
              <w:jc w:val="center"/>
              <w:rPr>
                <w:rFonts w:hint="eastAsia" w:ascii="宋体" w:hAnsi="宋体" w:eastAsia="宋体" w:cs="宋体"/>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345CC5">
            <w:pPr>
              <w:widowControl/>
              <w:spacing w:line="360" w:lineRule="auto"/>
              <w:jc w:val="center"/>
              <w:rPr>
                <w:rFonts w:hint="eastAsia" w:ascii="宋体" w:hAnsi="宋体" w:eastAsia="宋体" w:cs="宋体"/>
                <w:color w:val="auto"/>
                <w:kern w:val="0"/>
                <w:sz w:val="21"/>
                <w:szCs w:val="21"/>
                <w:highlight w:val="none"/>
              </w:rPr>
            </w:pPr>
          </w:p>
        </w:tc>
      </w:tr>
      <w:tr w14:paraId="5EF4E3F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68ECF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194380">
            <w:pPr>
              <w:widowControl/>
              <w:spacing w:line="360" w:lineRule="auto"/>
              <w:jc w:val="center"/>
              <w:rPr>
                <w:rFonts w:hint="eastAsia" w:ascii="宋体" w:hAnsi="宋体" w:eastAsia="宋体" w:cs="宋体"/>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E20220">
            <w:pPr>
              <w:widowControl/>
              <w:spacing w:line="360" w:lineRule="auto"/>
              <w:jc w:val="center"/>
              <w:rPr>
                <w:rFonts w:hint="eastAsia" w:ascii="宋体" w:hAnsi="宋体" w:eastAsia="宋体" w:cs="宋体"/>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8973BB">
            <w:pPr>
              <w:widowControl/>
              <w:spacing w:line="360" w:lineRule="auto"/>
              <w:jc w:val="center"/>
              <w:rPr>
                <w:rFonts w:hint="eastAsia" w:ascii="宋体" w:hAnsi="宋体" w:eastAsia="宋体" w:cs="宋体"/>
                <w:color w:val="auto"/>
                <w:kern w:val="0"/>
                <w:sz w:val="21"/>
                <w:szCs w:val="21"/>
                <w:highlight w:val="none"/>
              </w:rPr>
            </w:pPr>
          </w:p>
        </w:tc>
      </w:tr>
      <w:tr w14:paraId="532C3A6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1C0D5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F9B4AE">
            <w:pPr>
              <w:widowControl/>
              <w:spacing w:line="360" w:lineRule="auto"/>
              <w:jc w:val="center"/>
              <w:rPr>
                <w:rFonts w:hint="eastAsia" w:ascii="宋体" w:hAnsi="宋体" w:eastAsia="宋体" w:cs="宋体"/>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98A086">
            <w:pPr>
              <w:widowControl/>
              <w:spacing w:line="360" w:lineRule="auto"/>
              <w:jc w:val="center"/>
              <w:rPr>
                <w:rFonts w:hint="eastAsia" w:ascii="宋体" w:hAnsi="宋体" w:eastAsia="宋体" w:cs="宋体"/>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C7C5EF">
            <w:pPr>
              <w:widowControl/>
              <w:spacing w:line="360" w:lineRule="auto"/>
              <w:jc w:val="center"/>
              <w:rPr>
                <w:rFonts w:hint="eastAsia" w:ascii="宋体" w:hAnsi="宋体" w:eastAsia="宋体" w:cs="宋体"/>
                <w:color w:val="auto"/>
                <w:kern w:val="0"/>
                <w:sz w:val="21"/>
                <w:szCs w:val="21"/>
                <w:highlight w:val="none"/>
              </w:rPr>
            </w:pPr>
          </w:p>
        </w:tc>
      </w:tr>
    </w:tbl>
    <w:p w14:paraId="5E1EF0E8">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47E88781">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1.管理关系：是指不具有出资持股关系的其他单位之间存在的管理与被管理关系，如一些上下级关系的事业单位和团体组织。</w:t>
      </w:r>
    </w:p>
    <w:p w14:paraId="5FFF7960">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pacing w:val="-6"/>
          <w:sz w:val="21"/>
          <w:szCs w:val="21"/>
          <w:highlight w:val="none"/>
        </w:rPr>
        <w:t>本表所指的管理关系仅限于直接管理关系，不包括间接的管理关系。</w:t>
      </w:r>
    </w:p>
    <w:p w14:paraId="02420AEC">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3.供应商不存在直接管理关系的，则填“无”。</w:t>
      </w:r>
    </w:p>
    <w:p w14:paraId="7E2836EF">
      <w:pPr>
        <w:snapToGrid w:val="0"/>
        <w:spacing w:line="360" w:lineRule="auto"/>
        <w:jc w:val="left"/>
        <w:rPr>
          <w:rFonts w:hint="eastAsia" w:ascii="宋体" w:hAnsi="宋体" w:eastAsia="宋体" w:cs="宋体"/>
          <w:color w:val="auto"/>
          <w:sz w:val="21"/>
          <w:szCs w:val="21"/>
          <w:highlight w:val="none"/>
        </w:rPr>
      </w:pPr>
    </w:p>
    <w:p w14:paraId="560E2490">
      <w:pPr>
        <w:snapToGrid w:val="0"/>
        <w:spacing w:line="360" w:lineRule="auto"/>
        <w:jc w:val="left"/>
        <w:rPr>
          <w:rFonts w:hint="eastAsia" w:ascii="宋体" w:hAnsi="宋体" w:eastAsia="宋体" w:cs="宋体"/>
          <w:color w:val="auto"/>
          <w:sz w:val="21"/>
          <w:szCs w:val="21"/>
          <w:highlight w:val="none"/>
        </w:rPr>
      </w:pPr>
    </w:p>
    <w:p w14:paraId="44239475">
      <w:pPr>
        <w:snapToGrid w:val="0"/>
        <w:spacing w:line="360" w:lineRule="auto"/>
        <w:jc w:val="left"/>
        <w:rPr>
          <w:rFonts w:hint="eastAsia" w:ascii="宋体" w:hAnsi="宋体" w:eastAsia="宋体" w:cs="宋体"/>
          <w:color w:val="auto"/>
          <w:sz w:val="21"/>
          <w:szCs w:val="21"/>
          <w:highlight w:val="none"/>
        </w:rPr>
      </w:pPr>
    </w:p>
    <w:p w14:paraId="2E5B11E9">
      <w:pPr>
        <w:snapToGrid w:val="0"/>
        <w:spacing w:line="360" w:lineRule="auto"/>
        <w:jc w:val="left"/>
        <w:rPr>
          <w:rFonts w:hint="eastAsia" w:ascii="宋体" w:hAnsi="宋体" w:eastAsia="宋体" w:cs="宋体"/>
          <w:color w:val="auto"/>
          <w:sz w:val="21"/>
          <w:szCs w:val="21"/>
          <w:highlight w:val="none"/>
        </w:rPr>
      </w:pPr>
    </w:p>
    <w:p w14:paraId="4363334A">
      <w:pPr>
        <w:snapToGrid w:val="0"/>
        <w:spacing w:line="360" w:lineRule="auto"/>
        <w:jc w:val="left"/>
        <w:rPr>
          <w:rFonts w:hint="eastAsia" w:ascii="宋体" w:hAnsi="宋体" w:eastAsia="宋体" w:cs="宋体"/>
          <w:color w:val="auto"/>
          <w:sz w:val="21"/>
          <w:szCs w:val="21"/>
          <w:highlight w:val="none"/>
        </w:rPr>
      </w:pPr>
    </w:p>
    <w:p w14:paraId="78A36B8D">
      <w:pPr>
        <w:snapToGrid w:val="0"/>
        <w:spacing w:line="360" w:lineRule="auto"/>
        <w:jc w:val="left"/>
        <w:rPr>
          <w:rFonts w:hint="eastAsia" w:ascii="宋体" w:hAnsi="宋体" w:eastAsia="宋体" w:cs="宋体"/>
          <w:color w:val="auto"/>
          <w:sz w:val="21"/>
          <w:szCs w:val="21"/>
          <w:highlight w:val="none"/>
        </w:rPr>
      </w:pPr>
    </w:p>
    <w:p w14:paraId="12FA87BA">
      <w:pPr>
        <w:snapToGrid w:val="0"/>
        <w:spacing w:before="156" w:beforeLines="50" w:line="360" w:lineRule="auto"/>
        <w:ind w:right="480" w:firstLine="1890" w:firstLineChars="9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法定代表人或者委托代理人签字：</w:t>
      </w:r>
      <w:r>
        <w:rPr>
          <w:rFonts w:hint="eastAsia" w:ascii="宋体" w:hAnsi="宋体" w:eastAsia="宋体" w:cs="宋体"/>
          <w:color w:val="auto"/>
          <w:sz w:val="21"/>
          <w:szCs w:val="21"/>
          <w:highlight w:val="none"/>
          <w:u w:val="single"/>
        </w:rPr>
        <w:t xml:space="preserve">               </w:t>
      </w:r>
    </w:p>
    <w:p w14:paraId="27AB4F76">
      <w:pPr>
        <w:snapToGrid w:val="0"/>
        <w:spacing w:before="156" w:beforeLines="50" w:after="50" w:line="360" w:lineRule="auto"/>
        <w:ind w:right="480" w:firstLine="2940" w:firstLineChars="1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供应商（盖公章）：</w:t>
      </w:r>
      <w:r>
        <w:rPr>
          <w:rFonts w:hint="eastAsia" w:ascii="宋体" w:hAnsi="宋体" w:eastAsia="宋体" w:cs="宋体"/>
          <w:color w:val="auto"/>
          <w:sz w:val="21"/>
          <w:szCs w:val="21"/>
          <w:highlight w:val="none"/>
          <w:u w:val="single"/>
        </w:rPr>
        <w:t xml:space="preserve">                </w:t>
      </w:r>
    </w:p>
    <w:p w14:paraId="7A340215">
      <w:pPr>
        <w:snapToGrid w:val="0"/>
        <w:spacing w:before="156" w:beforeLines="50" w:after="50" w:line="360" w:lineRule="auto"/>
        <w:ind w:right="480" w:firstLine="210" w:firstLineChars="100"/>
        <w:jc w:val="center"/>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 xml:space="preserve">                                        年    月    日</w:t>
      </w:r>
    </w:p>
    <w:p w14:paraId="6943BDC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color w:val="auto"/>
          <w:sz w:val="32"/>
          <w:szCs w:val="32"/>
          <w:highlight w:val="none"/>
        </w:rPr>
        <w:t>竞标声明</w:t>
      </w:r>
    </w:p>
    <w:p w14:paraId="2159C479">
      <w:pPr>
        <w:spacing w:line="360" w:lineRule="auto"/>
        <w:jc w:val="center"/>
        <w:rPr>
          <w:rFonts w:hint="eastAsia" w:ascii="宋体" w:hAnsi="宋体" w:eastAsia="宋体" w:cs="宋体"/>
          <w:color w:val="auto"/>
          <w:sz w:val="24"/>
          <w:szCs w:val="20"/>
          <w:highlight w:val="none"/>
        </w:rPr>
      </w:pPr>
    </w:p>
    <w:p w14:paraId="7EDB96BE">
      <w:pPr>
        <w:spacing w:before="156" w:beforeLines="50" w:after="50"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（采购代理机构名称）</w:t>
      </w:r>
      <w:r>
        <w:rPr>
          <w:rFonts w:hint="eastAsia" w:ascii="宋体" w:hAnsi="宋体" w:eastAsia="宋体" w:cs="宋体"/>
          <w:color w:val="auto"/>
          <w:sz w:val="21"/>
          <w:szCs w:val="21"/>
          <w:highlight w:val="none"/>
        </w:rPr>
        <w:t>：</w:t>
      </w:r>
    </w:p>
    <w:p w14:paraId="629A2E11">
      <w:pPr>
        <w:spacing w:before="156" w:beforeLines="50" w:after="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（供应商名称）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4B1F2AE">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我方愿意参加贵方组织的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项目的竞标，为便于贵方公正、择优地确定成交供应商及其竞标产品和服务，我方就本次竞标有关事项郑重声明如下：</w:t>
      </w:r>
    </w:p>
    <w:p w14:paraId="448A4382">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1.我方向贵方提交的所有响应文件、资料都是准确的和真实的。</w:t>
      </w:r>
    </w:p>
    <w:p w14:paraId="5DF659C9">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2567E2B">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3.在此，我方宣布同意如下：</w:t>
      </w:r>
    </w:p>
    <w:p w14:paraId="7A04985B">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（1）将按磋商文件的约定履行合同责任和义务；</w:t>
      </w:r>
    </w:p>
    <w:p w14:paraId="36C95A0A">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（2）已详细审查全部磋商文件，包括澄清或者更正公告（如有）；</w:t>
      </w:r>
    </w:p>
    <w:p w14:paraId="654B8F77">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（3）同意提供按照贵方可能要求的与磋商有关的一切数据或者资料；</w:t>
      </w:r>
    </w:p>
    <w:p w14:paraId="29A372B5">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（4）响应磋商文件规定的竞标有效期。</w:t>
      </w:r>
    </w:p>
    <w:p w14:paraId="3AEC20BE">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4.我方承诺符合《中华人民共和国政府采购法》第二十二条规定：</w:t>
      </w:r>
    </w:p>
    <w:p w14:paraId="42D70601">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5DDB4C45">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14:paraId="133F60ED">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071E99C7">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0FC8C5C2">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14:paraId="3B18CAD6">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p w14:paraId="4EB9C0F7">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0C28748">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6.根据《中华人民共和国政府采购法实施条例》第五十条要求对</w:t>
      </w:r>
      <w:r>
        <w:rPr>
          <w:rFonts w:hint="eastAsia" w:ascii="宋体" w:hAnsi="宋体" w:cs="宋体"/>
          <w:color w:val="auto"/>
          <w:sz w:val="21"/>
          <w:szCs w:val="21"/>
          <w:highlight w:val="none"/>
          <w:lang w:eastAsia="zh-CN"/>
        </w:rPr>
        <w:t>采购合同</w:t>
      </w:r>
      <w:r>
        <w:rPr>
          <w:rFonts w:hint="eastAsia" w:ascii="宋体" w:hAnsi="宋体" w:eastAsia="宋体" w:cs="宋体"/>
          <w:color w:val="auto"/>
          <w:sz w:val="21"/>
          <w:szCs w:val="21"/>
          <w:highlight w:val="none"/>
        </w:rPr>
        <w:t>进行公告，但</w:t>
      </w:r>
      <w:r>
        <w:rPr>
          <w:rFonts w:hint="eastAsia" w:ascii="宋体" w:hAnsi="宋体" w:cs="宋体"/>
          <w:color w:val="auto"/>
          <w:sz w:val="21"/>
          <w:szCs w:val="21"/>
          <w:highlight w:val="none"/>
          <w:lang w:eastAsia="zh-CN"/>
        </w:rPr>
        <w:t>采购合同</w:t>
      </w:r>
      <w:r>
        <w:rPr>
          <w:rFonts w:hint="eastAsia" w:ascii="宋体" w:hAnsi="宋体" w:eastAsia="宋体" w:cs="宋体"/>
          <w:color w:val="auto"/>
          <w:sz w:val="21"/>
          <w:szCs w:val="21"/>
          <w:highlight w:val="none"/>
        </w:rPr>
        <w:t>中涉及国家秘密、商业秘密的内容除外。我方就对本次响应文件进行注明如下：（两项内容中必须选择一项）</w:t>
      </w:r>
    </w:p>
    <w:p w14:paraId="6FDF0AA4">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□我方本次响应文件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p>
    <w:p w14:paraId="2B041EA9">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□我方本次响应文件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A10A7C0">
      <w:pPr>
        <w:pStyle w:val="14"/>
        <w:spacing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7.与本磋商有关的一切正式往来信函请寄：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邮政编号：</w:t>
      </w:r>
      <w:r>
        <w:rPr>
          <w:rFonts w:hint="eastAsia" w:ascii="宋体" w:hAnsi="宋体" w:eastAsia="宋体" w:cs="宋体"/>
          <w:color w:val="auto"/>
          <w:sz w:val="21"/>
          <w:szCs w:val="21"/>
          <w:highlight w:val="none"/>
          <w:u w:val="single"/>
        </w:rPr>
        <w:t xml:space="preserve">        </w:t>
      </w:r>
    </w:p>
    <w:p w14:paraId="232E1794">
      <w:pPr>
        <w:pStyle w:val="14"/>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电子函件：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AAD11DF">
      <w:pPr>
        <w:pStyle w:val="13"/>
        <w:tabs>
          <w:tab w:val="left" w:pos="939"/>
        </w:tabs>
        <w:spacing w:line="360" w:lineRule="auto"/>
        <w:ind w:left="141" w:leftChars="67"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p>
    <w:p w14:paraId="3B929A65">
      <w:pPr>
        <w:pStyle w:val="13"/>
        <w:tabs>
          <w:tab w:val="left" w:pos="939"/>
        </w:tabs>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8.以上事项如有虚假或者隐瞒，我方愿意承担一切后果，并不再寻求任何旨在减轻或者免除法律责任的辩解。</w:t>
      </w:r>
    </w:p>
    <w:p w14:paraId="1E8F4AF6">
      <w:pPr>
        <w:pStyle w:val="13"/>
        <w:tabs>
          <w:tab w:val="left" w:pos="939"/>
        </w:tabs>
        <w:spacing w:line="360" w:lineRule="auto"/>
        <w:ind w:left="141" w:leftChars="67"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171E0ADC">
      <w:pPr>
        <w:pStyle w:val="13"/>
        <w:tabs>
          <w:tab w:val="left" w:pos="939"/>
        </w:tabs>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注：如为联合体竞标，盖章处须加盖联合体各方公章并由联合体各方法定代表人签署，否则其响应文件按无效响应处理。</w:t>
      </w:r>
    </w:p>
    <w:p w14:paraId="20CEA09D">
      <w:pPr>
        <w:spacing w:line="360" w:lineRule="auto"/>
        <w:ind w:firstLine="3780"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D1A74B3">
      <w:pPr>
        <w:spacing w:line="360" w:lineRule="auto"/>
        <w:ind w:firstLine="3780" w:firstLineChars="18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供应商（盖公章）：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AC62BCE">
      <w:pPr>
        <w:snapToGrid w:val="0"/>
        <w:spacing w:before="156" w:beforeLines="50" w:after="50" w:line="360" w:lineRule="auto"/>
        <w:ind w:right="480" w:firstLine="210" w:firstLineChar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70EFE0A7">
      <w:pPr>
        <w:pStyle w:val="7"/>
        <w:overflowPunct w:val="0"/>
        <w:spacing w:line="360" w:lineRule="auto"/>
        <w:ind w:firstLine="0"/>
        <w:jc w:val="center"/>
        <w:rPr>
          <w:rFonts w:hint="eastAsia" w:ascii="宋体" w:hAnsi="宋体" w:eastAsia="宋体" w:cs="宋体"/>
          <w:color w:val="auto"/>
          <w:sz w:val="44"/>
          <w:szCs w:val="44"/>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44"/>
          <w:szCs w:val="44"/>
          <w:highlight w:val="none"/>
        </w:rPr>
        <w:t>联合体竞标协议书</w:t>
      </w:r>
    </w:p>
    <w:p w14:paraId="05509ED0">
      <w:pPr>
        <w:pStyle w:val="7"/>
        <w:overflowPunct w:val="0"/>
        <w:spacing w:line="360" w:lineRule="auto"/>
        <w:ind w:firstLine="0"/>
        <w:rPr>
          <w:rFonts w:hint="eastAsia" w:ascii="宋体" w:hAnsi="宋体" w:eastAsia="宋体" w:cs="宋体"/>
          <w:color w:val="auto"/>
          <w:sz w:val="24"/>
          <w:highlight w:val="none"/>
        </w:rPr>
      </w:pPr>
    </w:p>
    <w:p w14:paraId="4E729EF4">
      <w:pPr>
        <w:pStyle w:val="7"/>
        <w:overflowPunct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（所有成员单位名称）自愿组成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（联合体名称）联合体，共同参加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（项目名称）采购项目竞标。现就联合体竞标事宜订立如下协议：</w:t>
      </w:r>
    </w:p>
    <w:p w14:paraId="603A467F">
      <w:pPr>
        <w:pStyle w:val="7"/>
        <w:overflowPunct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（某成员单位名称）为</w:t>
      </w:r>
      <w:r>
        <w:rPr>
          <w:rFonts w:hint="eastAsia" w:ascii="宋体" w:hAnsi="宋体" w:eastAsia="宋体" w:cs="宋体"/>
          <w:color w:val="auto"/>
          <w:sz w:val="21"/>
          <w:szCs w:val="21"/>
          <w:highlight w:val="none"/>
          <w:u w:val="single"/>
        </w:rPr>
        <w:t xml:space="preserve">     （联合体名称）</w:t>
      </w:r>
      <w:r>
        <w:rPr>
          <w:rFonts w:hint="eastAsia" w:ascii="宋体" w:hAnsi="宋体" w:eastAsia="宋体" w:cs="宋体"/>
          <w:color w:val="auto"/>
          <w:sz w:val="21"/>
          <w:szCs w:val="21"/>
          <w:highlight w:val="none"/>
        </w:rPr>
        <w:t>牵头人。</w:t>
      </w:r>
    </w:p>
    <w:p w14:paraId="076C8B1C">
      <w:pPr>
        <w:pStyle w:val="7"/>
        <w:overflowPunct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77D07980">
      <w:pPr>
        <w:pStyle w:val="7"/>
        <w:overflowPunct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5E273BEF">
      <w:pPr>
        <w:pStyle w:val="7"/>
        <w:overflowPunct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4.联合体各成员单位内部的职责分工如下：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2F2D4AC">
      <w:pPr>
        <w:pStyle w:val="7"/>
        <w:overflowPunct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w:t>
      </w:r>
      <w:r>
        <w:rPr>
          <w:rFonts w:hint="eastAsia" w:ascii="宋体" w:hAnsi="宋体" w:eastAsia="宋体" w:cs="宋体"/>
          <w:color w:val="auto"/>
          <w:spacing w:val="-6"/>
          <w:sz w:val="21"/>
          <w:szCs w:val="21"/>
          <w:highlight w:val="none"/>
        </w:rPr>
        <w:t>协议书自所有成员单位法定代表人或者其委托代理人签字或者盖单位章之日起生效，合同履行完毕后自动失效。</w:t>
      </w:r>
    </w:p>
    <w:p w14:paraId="485451EE">
      <w:pPr>
        <w:pStyle w:val="7"/>
        <w:overflowPunct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6.本协议书一式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份，联合体成员和采购人各执一份。</w:t>
      </w:r>
    </w:p>
    <w:p w14:paraId="0E253113">
      <w:pPr>
        <w:pStyle w:val="7"/>
        <w:overflowPunct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注：本协议书由法定代表人签字的，应附法定代表人身份证明书；由委托代理人签字的，应附联合体协议签订授权委托书（格式自拟）。</w:t>
      </w:r>
    </w:p>
    <w:p w14:paraId="2230B952">
      <w:pPr>
        <w:pStyle w:val="7"/>
        <w:overflowPunct w:val="0"/>
        <w:spacing w:line="360" w:lineRule="auto"/>
        <w:ind w:firstLineChars="175"/>
        <w:rPr>
          <w:rFonts w:hint="eastAsia" w:ascii="宋体" w:hAnsi="宋体" w:eastAsia="宋体" w:cs="宋体"/>
          <w:color w:val="auto"/>
          <w:sz w:val="21"/>
          <w:szCs w:val="21"/>
          <w:highlight w:val="none"/>
        </w:rPr>
      </w:pPr>
    </w:p>
    <w:p w14:paraId="3EB4ED94">
      <w:pPr>
        <w:pStyle w:val="7"/>
        <w:overflowPunct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联合体牵头人名称（盖公章）：</w:t>
      </w:r>
    </w:p>
    <w:p w14:paraId="69714734">
      <w:pPr>
        <w:pStyle w:val="7"/>
        <w:overflowPunct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法定代表人或者其委托代理人（签字）：</w:t>
      </w:r>
    </w:p>
    <w:p w14:paraId="5F08B0B3">
      <w:pPr>
        <w:pStyle w:val="7"/>
        <w:overflowPunct w:val="0"/>
        <w:spacing w:line="360" w:lineRule="auto"/>
        <w:ind w:firstLine="420" w:firstLineChars="200"/>
        <w:rPr>
          <w:rFonts w:hint="eastAsia" w:ascii="宋体" w:hAnsi="宋体" w:eastAsia="宋体" w:cs="宋体"/>
          <w:color w:val="auto"/>
          <w:sz w:val="21"/>
          <w:szCs w:val="21"/>
          <w:highlight w:val="none"/>
        </w:rPr>
      </w:pPr>
    </w:p>
    <w:p w14:paraId="51549CD8">
      <w:pPr>
        <w:pStyle w:val="7"/>
        <w:overflowPunct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联合体成员名称（盖公章）：</w:t>
      </w:r>
    </w:p>
    <w:p w14:paraId="77B2D636">
      <w:pPr>
        <w:pStyle w:val="7"/>
        <w:overflowPunct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法定代表人或者其委托代理人（签字）：</w:t>
      </w:r>
    </w:p>
    <w:p w14:paraId="6EB12977">
      <w:pPr>
        <w:pStyle w:val="7"/>
        <w:overflowPunct w:val="0"/>
        <w:spacing w:line="360" w:lineRule="auto"/>
        <w:ind w:firstLine="420" w:firstLineChars="200"/>
        <w:rPr>
          <w:rFonts w:hint="eastAsia" w:ascii="宋体" w:hAnsi="宋体" w:eastAsia="宋体" w:cs="宋体"/>
          <w:color w:val="auto"/>
          <w:sz w:val="21"/>
          <w:szCs w:val="21"/>
          <w:highlight w:val="none"/>
        </w:rPr>
      </w:pPr>
    </w:p>
    <w:p w14:paraId="3F01278F">
      <w:pPr>
        <w:pStyle w:val="7"/>
        <w:overflowPunct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联合体成员名称（盖公章）：</w:t>
      </w:r>
    </w:p>
    <w:p w14:paraId="20D1101C">
      <w:pPr>
        <w:pStyle w:val="7"/>
        <w:overflowPunct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法定代表人或者其委托代理人（签字）：</w:t>
      </w:r>
    </w:p>
    <w:p w14:paraId="4CA15649">
      <w:pPr>
        <w:pStyle w:val="7"/>
        <w:overflowPunct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D771BDE">
      <w:pPr>
        <w:pStyle w:val="7"/>
        <w:overflowPunct w:val="0"/>
        <w:spacing w:line="360" w:lineRule="auto"/>
        <w:ind w:firstLineChars="175"/>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日</w:t>
      </w:r>
    </w:p>
    <w:p w14:paraId="34BEF20D">
      <w:pPr>
        <w:pStyle w:val="7"/>
        <w:overflowPunct w:val="0"/>
        <w:spacing w:line="360" w:lineRule="auto"/>
        <w:ind w:firstLine="0"/>
        <w:rPr>
          <w:rFonts w:hint="eastAsia" w:ascii="宋体" w:hAnsi="宋体" w:eastAsia="宋体" w:cs="宋体"/>
          <w:color w:val="auto"/>
          <w:sz w:val="30"/>
          <w:highlight w:val="none"/>
        </w:rPr>
      </w:pPr>
    </w:p>
    <w:p w14:paraId="4E3343AB">
      <w:pPr>
        <w:snapToGrid w:val="0"/>
        <w:spacing w:before="156" w:beforeLines="50" w:after="50" w:line="360" w:lineRule="auto"/>
        <w:ind w:right="480"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bCs/>
          <w:color w:val="auto"/>
          <w:sz w:val="32"/>
          <w:szCs w:val="32"/>
          <w:highlight w:val="none"/>
        </w:rPr>
        <w:t>二、</w:t>
      </w:r>
      <w:r>
        <w:rPr>
          <w:rFonts w:hint="eastAsia" w:ascii="宋体" w:hAnsi="宋体" w:cs="宋体"/>
          <w:b/>
          <w:bCs/>
          <w:color w:val="auto"/>
          <w:sz w:val="32"/>
          <w:szCs w:val="32"/>
          <w:highlight w:val="none"/>
          <w:lang w:eastAsia="zh-CN"/>
        </w:rPr>
        <w:t>商务</w:t>
      </w:r>
      <w:r>
        <w:rPr>
          <w:rFonts w:hint="eastAsia" w:ascii="宋体" w:hAnsi="宋体" w:eastAsia="宋体" w:cs="宋体"/>
          <w:b/>
          <w:color w:val="auto"/>
          <w:sz w:val="32"/>
          <w:szCs w:val="32"/>
          <w:highlight w:val="none"/>
        </w:rPr>
        <w:t>报价文件</w:t>
      </w:r>
      <w:r>
        <w:rPr>
          <w:rFonts w:hint="eastAsia" w:ascii="宋体" w:hAnsi="宋体" w:cs="宋体"/>
          <w:b/>
          <w:color w:val="auto"/>
          <w:sz w:val="32"/>
          <w:szCs w:val="32"/>
          <w:highlight w:val="none"/>
          <w:lang w:eastAsia="zh-CN"/>
        </w:rPr>
        <w:t>和技术文件</w:t>
      </w:r>
      <w:r>
        <w:rPr>
          <w:rFonts w:hint="eastAsia" w:ascii="宋体" w:hAnsi="宋体" w:eastAsia="宋体" w:cs="宋体"/>
          <w:b/>
          <w:color w:val="auto"/>
          <w:sz w:val="32"/>
          <w:szCs w:val="32"/>
          <w:highlight w:val="none"/>
        </w:rPr>
        <w:t xml:space="preserve">格式 </w:t>
      </w:r>
    </w:p>
    <w:p w14:paraId="1DE01F39">
      <w:pPr>
        <w:snapToGrid w:val="0"/>
        <w:spacing w:before="156" w:beforeLines="50" w:after="50"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1.封面格式</w:t>
      </w:r>
    </w:p>
    <w:p w14:paraId="12BD4F18">
      <w:pPr>
        <w:snapToGrid w:val="0"/>
        <w:spacing w:before="156"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正本/副本</w:t>
      </w:r>
    </w:p>
    <w:p w14:paraId="5AB75480">
      <w:pPr>
        <w:snapToGrid w:val="0"/>
        <w:spacing w:before="156" w:beforeLines="50" w:after="50" w:line="360" w:lineRule="auto"/>
        <w:rPr>
          <w:rFonts w:hint="eastAsia" w:ascii="宋体" w:hAnsi="宋体" w:eastAsia="宋体" w:cs="宋体"/>
          <w:color w:val="auto"/>
          <w:sz w:val="24"/>
          <w:szCs w:val="20"/>
          <w:highlight w:val="none"/>
        </w:rPr>
      </w:pPr>
    </w:p>
    <w:p w14:paraId="0D248C80">
      <w:pPr>
        <w:snapToGrid w:val="0"/>
        <w:spacing w:before="156" w:beforeLines="50" w:after="50" w:line="360" w:lineRule="auto"/>
        <w:rPr>
          <w:rFonts w:hint="eastAsia" w:ascii="宋体" w:hAnsi="宋体" w:eastAsia="宋体" w:cs="宋体"/>
          <w:color w:val="auto"/>
          <w:sz w:val="24"/>
          <w:szCs w:val="20"/>
          <w:highlight w:val="none"/>
        </w:rPr>
      </w:pPr>
    </w:p>
    <w:p w14:paraId="1704F924">
      <w:pPr>
        <w:snapToGrid w:val="0"/>
        <w:spacing w:before="156" w:beforeLines="50" w:after="50" w:line="360" w:lineRule="auto"/>
        <w:rPr>
          <w:rFonts w:hint="eastAsia" w:ascii="宋体" w:hAnsi="宋体" w:eastAsia="宋体" w:cs="宋体"/>
          <w:color w:val="auto"/>
          <w:sz w:val="24"/>
          <w:szCs w:val="20"/>
          <w:highlight w:val="none"/>
        </w:rPr>
      </w:pPr>
    </w:p>
    <w:p w14:paraId="4E6EFF31">
      <w:pPr>
        <w:snapToGrid w:val="0"/>
        <w:spacing w:before="156" w:beforeLines="50" w:after="50" w:line="360" w:lineRule="auto"/>
        <w:jc w:val="center"/>
        <w:rPr>
          <w:rFonts w:hint="eastAsia" w:ascii="宋体" w:hAnsi="宋体" w:eastAsia="宋体" w:cs="宋体"/>
          <w:bCs/>
          <w:color w:val="auto"/>
          <w:sz w:val="40"/>
          <w:szCs w:val="40"/>
          <w:highlight w:val="none"/>
          <w:lang w:val="en-US" w:eastAsia="zh-CN"/>
        </w:rPr>
      </w:pPr>
      <w:r>
        <w:rPr>
          <w:rFonts w:hint="eastAsia" w:ascii="宋体" w:hAnsi="宋体" w:cs="宋体"/>
          <w:bCs/>
          <w:color w:val="auto"/>
          <w:sz w:val="40"/>
          <w:szCs w:val="40"/>
          <w:highlight w:val="none"/>
          <w:lang w:eastAsia="zh-CN"/>
        </w:rPr>
        <w:t>商务</w:t>
      </w:r>
      <w:r>
        <w:rPr>
          <w:rFonts w:hint="eastAsia" w:ascii="宋体" w:hAnsi="宋体" w:eastAsia="宋体" w:cs="宋体"/>
          <w:bCs/>
          <w:color w:val="auto"/>
          <w:sz w:val="40"/>
          <w:szCs w:val="40"/>
          <w:highlight w:val="none"/>
        </w:rPr>
        <w:t>报价文件</w:t>
      </w:r>
      <w:r>
        <w:rPr>
          <w:rFonts w:hint="eastAsia" w:ascii="宋体" w:hAnsi="宋体" w:cs="宋体"/>
          <w:bCs/>
          <w:color w:val="auto"/>
          <w:sz w:val="40"/>
          <w:szCs w:val="40"/>
          <w:highlight w:val="none"/>
          <w:lang w:val="en-US" w:eastAsia="zh-CN"/>
        </w:rPr>
        <w:t>/技术文件</w:t>
      </w:r>
    </w:p>
    <w:p w14:paraId="2FD673B4">
      <w:pPr>
        <w:snapToGrid w:val="0"/>
        <w:spacing w:before="156" w:beforeLines="50" w:after="50" w:line="360" w:lineRule="auto"/>
        <w:rPr>
          <w:rFonts w:hint="eastAsia" w:ascii="宋体" w:hAnsi="宋体" w:eastAsia="宋体" w:cs="宋体"/>
          <w:bCs/>
          <w:color w:val="auto"/>
          <w:sz w:val="22"/>
          <w:szCs w:val="18"/>
          <w:highlight w:val="none"/>
        </w:rPr>
      </w:pPr>
    </w:p>
    <w:p w14:paraId="22933A06">
      <w:pPr>
        <w:snapToGrid w:val="0"/>
        <w:spacing w:before="156" w:beforeLines="50" w:after="50" w:line="360" w:lineRule="auto"/>
        <w:rPr>
          <w:rFonts w:hint="eastAsia" w:ascii="宋体" w:hAnsi="宋体" w:eastAsia="宋体" w:cs="宋体"/>
          <w:bCs/>
          <w:color w:val="auto"/>
          <w:sz w:val="22"/>
          <w:szCs w:val="18"/>
          <w:highlight w:val="none"/>
        </w:rPr>
      </w:pPr>
    </w:p>
    <w:p w14:paraId="17A5080C">
      <w:pPr>
        <w:snapToGrid w:val="0"/>
        <w:spacing w:before="156" w:beforeLines="50" w:after="50" w:line="360" w:lineRule="auto"/>
        <w:rPr>
          <w:rFonts w:hint="eastAsia" w:ascii="宋体" w:hAnsi="宋体" w:eastAsia="宋体" w:cs="宋体"/>
          <w:bCs/>
          <w:color w:val="auto"/>
          <w:sz w:val="22"/>
          <w:szCs w:val="18"/>
          <w:highlight w:val="none"/>
        </w:rPr>
      </w:pPr>
    </w:p>
    <w:p w14:paraId="4671585F">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p w14:paraId="4F4E4CB5">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p>
    <w:p w14:paraId="53EAE153">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3D1D809C">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w:t>
      </w:r>
    </w:p>
    <w:p w14:paraId="70A23945">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所竞分标（如有则填写，无分标时填写“无”或者留空）：</w:t>
      </w:r>
    </w:p>
    <w:p w14:paraId="780DD145">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p>
    <w:p w14:paraId="616DA4EA">
      <w:pPr>
        <w:pStyle w:val="7"/>
        <w:snapToGrid w:val="0"/>
        <w:spacing w:before="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供应商名称：</w:t>
      </w:r>
    </w:p>
    <w:p w14:paraId="21723F63">
      <w:pPr>
        <w:snapToGrid w:val="0"/>
        <w:spacing w:before="156" w:beforeLines="50" w:after="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14:paraId="5B0978A7">
      <w:pPr>
        <w:snapToGrid w:val="0"/>
        <w:spacing w:before="156" w:beforeLines="50" w:after="50" w:line="360" w:lineRule="auto"/>
        <w:ind w:left="142"/>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2.目录</w:t>
      </w:r>
    </w:p>
    <w:p w14:paraId="55140B03">
      <w:pPr>
        <w:snapToGrid w:val="0"/>
        <w:spacing w:before="156" w:beforeLines="50" w:after="5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根据磋商文件规定及供应商提供的材料自行编写目录（部分格式后附）。</w:t>
      </w:r>
    </w:p>
    <w:p w14:paraId="1F529C89">
      <w:pPr>
        <w:spacing w:line="360" w:lineRule="auto"/>
        <w:rPr>
          <w:rFonts w:hint="eastAsia" w:ascii="宋体" w:hAnsi="宋体" w:eastAsia="宋体" w:cs="宋体"/>
          <w:color w:val="auto"/>
          <w:sz w:val="32"/>
          <w:szCs w:val="32"/>
          <w:highlight w:val="none"/>
        </w:rPr>
      </w:pPr>
    </w:p>
    <w:p w14:paraId="01E95523">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sz w:val="44"/>
          <w:szCs w:val="44"/>
          <w:highlight w:val="none"/>
        </w:rPr>
        <w:t>无串通竞标行为的承诺函</w:t>
      </w:r>
    </w:p>
    <w:p w14:paraId="33B33AFC">
      <w:pPr>
        <w:spacing w:line="360" w:lineRule="auto"/>
        <w:ind w:firstLine="640" w:firstLineChars="200"/>
        <w:rPr>
          <w:rFonts w:hint="eastAsia" w:ascii="宋体" w:hAnsi="宋体" w:eastAsia="宋体" w:cs="宋体"/>
          <w:color w:val="auto"/>
          <w:sz w:val="32"/>
          <w:szCs w:val="32"/>
          <w:highlight w:val="none"/>
        </w:rPr>
      </w:pPr>
    </w:p>
    <w:p w14:paraId="36ABA2F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一、我方承诺无下列相互串通竞标的情形：</w:t>
      </w:r>
    </w:p>
    <w:p w14:paraId="5A3D0B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1.不同供应商的响应文件由同一单位或者个人编制；或者不同供应商报名的IP地址一致的；</w:t>
      </w:r>
    </w:p>
    <w:p w14:paraId="7B2758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2.不同供应商委托同一单位或者个人办理竞标事宜；</w:t>
      </w:r>
    </w:p>
    <w:p w14:paraId="4CD83E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3.不同供应商的响应文件载明的项目管理员为同一个人；</w:t>
      </w:r>
    </w:p>
    <w:p w14:paraId="361305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w:t>
      </w:r>
      <w:r>
        <w:rPr>
          <w:rFonts w:hint="eastAsia" w:ascii="宋体" w:hAnsi="宋体" w:eastAsia="宋体" w:cs="宋体"/>
          <w:color w:val="auto"/>
          <w:spacing w:val="-6"/>
          <w:sz w:val="21"/>
          <w:szCs w:val="21"/>
          <w:highlight w:val="none"/>
        </w:rPr>
        <w:t>同供应商的响应文件异常一致或者竞标报价呈规律性差异；</w:t>
      </w:r>
    </w:p>
    <w:p w14:paraId="0BD0E1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5.不同供应商的响应文件相互混装；</w:t>
      </w:r>
    </w:p>
    <w:p w14:paraId="5976A6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6.不同供应商的磋商保证金从同一单位或者个人账户转出。</w:t>
      </w:r>
    </w:p>
    <w:p w14:paraId="52D714BF">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二、我方承诺无下列恶意串通的情形：</w:t>
      </w:r>
    </w:p>
    <w:p w14:paraId="4D87E6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1.供应商直接或者间接从采购人或者采购代理机构处获得其他供应商的相关信息并修改其响应文件；</w:t>
      </w:r>
    </w:p>
    <w:p w14:paraId="552CFE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2.供应商按照采购人或者采购代理机构的授意撤换、修改响应文件；</w:t>
      </w:r>
    </w:p>
    <w:p w14:paraId="758B26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w:t>
      </w:r>
      <w:r>
        <w:rPr>
          <w:rFonts w:hint="eastAsia" w:ascii="宋体" w:hAnsi="宋体" w:eastAsia="宋体" w:cs="宋体"/>
          <w:color w:val="auto"/>
          <w:spacing w:val="-6"/>
          <w:sz w:val="21"/>
          <w:szCs w:val="21"/>
          <w:highlight w:val="none"/>
        </w:rPr>
        <w:t>应商之间协商报价、技术方案等响应文件的实质性内容；</w:t>
      </w:r>
    </w:p>
    <w:p w14:paraId="7F49F6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4.属于同一集团、协会、商会等组织成员的供应商按照该组织要求协同参加政府采购活动；</w:t>
      </w:r>
    </w:p>
    <w:p w14:paraId="47D420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5.供应商之间事先约定一致抬高或者压低竞标报价，或者在竞争性磋商项目中事先约定轮流以高价位或者低价位成交，或者事先约定由某一特定供应商成交，然后再参加竞标；</w:t>
      </w:r>
    </w:p>
    <w:p w14:paraId="42BA362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6.供应商之间商定部分供应商放弃参加政府采购活动或者放弃成交；</w:t>
      </w:r>
    </w:p>
    <w:p w14:paraId="105108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7.供应商与采购人或者采购代理机构之间、供应商相互之间，为</w:t>
      </w:r>
      <w:r>
        <w:rPr>
          <w:rFonts w:hint="eastAsia" w:ascii="宋体" w:hAnsi="宋体" w:eastAsia="宋体" w:cs="宋体"/>
          <w:color w:val="auto"/>
          <w:spacing w:val="-6"/>
          <w:sz w:val="21"/>
          <w:szCs w:val="21"/>
          <w:highlight w:val="none"/>
        </w:rPr>
        <w:t>谋求特定供应商成交或者排斥其他供应商的其他串通行为。</w:t>
      </w:r>
    </w:p>
    <w:p w14:paraId="25EE1D37">
      <w:pPr>
        <w:spacing w:line="360" w:lineRule="auto"/>
        <w:ind w:firstLine="420" w:firstLineChars="200"/>
        <w:rPr>
          <w:rFonts w:hint="eastAsia" w:ascii="宋体" w:hAnsi="宋体" w:eastAsia="宋体" w:cs="宋体"/>
          <w:color w:val="auto"/>
          <w:sz w:val="21"/>
          <w:szCs w:val="21"/>
          <w:highlight w:val="none"/>
        </w:rPr>
      </w:pPr>
    </w:p>
    <w:p w14:paraId="197AC5AE">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以上情形一经核查属实，我方愿意承担一切后果，并不再寻求任何旨在减轻或者免除法律责任的辩解。</w:t>
      </w:r>
    </w:p>
    <w:p w14:paraId="2D8A3B4C">
      <w:pPr>
        <w:spacing w:line="360" w:lineRule="auto"/>
        <w:rPr>
          <w:rFonts w:hint="eastAsia" w:ascii="宋体" w:hAnsi="宋体" w:eastAsia="宋体" w:cs="宋体"/>
          <w:color w:val="auto"/>
          <w:sz w:val="21"/>
          <w:szCs w:val="21"/>
          <w:highlight w:val="none"/>
        </w:rPr>
      </w:pPr>
    </w:p>
    <w:p w14:paraId="1FA2277F">
      <w:pPr>
        <w:spacing w:line="360" w:lineRule="auto"/>
        <w:ind w:firstLine="3150" w:firstLine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供应商（盖公章）：</w:t>
      </w:r>
    </w:p>
    <w:p w14:paraId="30A6421C">
      <w:pPr>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1CBA4949">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21"/>
          <w:szCs w:val="21"/>
          <w:highlight w:val="none"/>
        </w:rPr>
        <w:br w:type="page"/>
      </w:r>
      <w:r>
        <w:rPr>
          <w:rFonts w:hint="eastAsia" w:ascii="宋体" w:hAnsi="宋体" w:eastAsia="宋体" w:cs="宋体"/>
          <w:bCs/>
          <w:color w:val="auto"/>
          <w:sz w:val="44"/>
          <w:szCs w:val="44"/>
          <w:highlight w:val="none"/>
        </w:rPr>
        <w:t>竞  标  报  价  表</w:t>
      </w:r>
    </w:p>
    <w:p w14:paraId="0F6A1667">
      <w:pPr>
        <w:spacing w:line="360" w:lineRule="auto"/>
        <w:jc w:val="center"/>
        <w:rPr>
          <w:rFonts w:hint="eastAsia" w:ascii="宋体" w:hAnsi="宋体" w:eastAsia="宋体" w:cs="宋体"/>
          <w:bCs/>
          <w:color w:val="auto"/>
          <w:sz w:val="32"/>
          <w:szCs w:val="32"/>
          <w:highlight w:val="none"/>
        </w:rPr>
      </w:pPr>
    </w:p>
    <w:p w14:paraId="3B7F4FB0">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655E4BE">
      <w:pPr>
        <w:snapToGrid w:val="0"/>
        <w:spacing w:before="50" w:after="5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分标（如有）：</w:t>
      </w:r>
      <w:r>
        <w:rPr>
          <w:rFonts w:hint="eastAsia" w:ascii="宋体" w:hAnsi="宋体" w:eastAsia="宋体" w:cs="宋体"/>
          <w:color w:val="auto"/>
          <w:sz w:val="21"/>
          <w:szCs w:val="21"/>
          <w:highlight w:val="none"/>
          <w:u w:val="single"/>
        </w:rPr>
        <w:t xml:space="preserve">                                         </w:t>
      </w:r>
    </w:p>
    <w:p w14:paraId="0C969683">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65E8E41">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单位：元</w:t>
      </w:r>
    </w:p>
    <w:tbl>
      <w:tblPr>
        <w:tblStyle w:val="2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2BC2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2D3F031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67ECC12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617" w:type="dxa"/>
            <w:tcBorders>
              <w:top w:val="single" w:color="auto" w:sz="4" w:space="0"/>
              <w:left w:val="single" w:color="auto" w:sz="4" w:space="0"/>
              <w:bottom w:val="single" w:color="auto" w:sz="4" w:space="0"/>
              <w:right w:val="single" w:color="auto" w:sz="4" w:space="0"/>
            </w:tcBorders>
            <w:vAlign w:val="center"/>
          </w:tcPr>
          <w:p w14:paraId="62B20E4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5F3E936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7029F40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1B468F0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7010675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469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1D4090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2EA2ADC7">
            <w:pPr>
              <w:spacing w:line="360" w:lineRule="auto"/>
              <w:jc w:val="center"/>
              <w:rPr>
                <w:rFonts w:hint="eastAsia" w:ascii="宋体" w:hAnsi="宋体" w:eastAsia="宋体" w:cs="宋体"/>
                <w:color w:val="auto"/>
                <w:sz w:val="21"/>
                <w:szCs w:val="21"/>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14:paraId="3EDF7A4D">
            <w:pPr>
              <w:spacing w:line="360" w:lineRule="auto"/>
              <w:jc w:val="center"/>
              <w:rPr>
                <w:rFonts w:hint="eastAsia" w:ascii="宋体" w:hAnsi="宋体" w:eastAsia="宋体" w:cs="宋体"/>
                <w:color w:val="auto"/>
                <w:sz w:val="21"/>
                <w:szCs w:val="21"/>
                <w:highlight w:val="none"/>
              </w:rPr>
            </w:pPr>
          </w:p>
        </w:tc>
        <w:tc>
          <w:tcPr>
            <w:tcW w:w="617" w:type="dxa"/>
            <w:tcBorders>
              <w:top w:val="single" w:color="auto" w:sz="4" w:space="0"/>
              <w:left w:val="single" w:color="auto" w:sz="4" w:space="0"/>
              <w:bottom w:val="single" w:color="auto" w:sz="4" w:space="0"/>
              <w:right w:val="single" w:color="auto" w:sz="4" w:space="0"/>
            </w:tcBorders>
            <w:vAlign w:val="top"/>
          </w:tcPr>
          <w:p w14:paraId="270453DC">
            <w:pPr>
              <w:spacing w:line="360" w:lineRule="auto"/>
              <w:rPr>
                <w:rFonts w:hint="eastAsia" w:ascii="宋体" w:hAnsi="宋体" w:eastAsia="宋体" w:cs="宋体"/>
                <w:color w:val="auto"/>
                <w:sz w:val="21"/>
                <w:szCs w:val="21"/>
                <w:highlight w:val="none"/>
              </w:rPr>
            </w:pPr>
          </w:p>
        </w:tc>
        <w:tc>
          <w:tcPr>
            <w:tcW w:w="2194" w:type="dxa"/>
            <w:tcBorders>
              <w:top w:val="single" w:color="auto" w:sz="4" w:space="0"/>
              <w:left w:val="single" w:color="auto" w:sz="4" w:space="0"/>
              <w:bottom w:val="single" w:color="auto" w:sz="4" w:space="0"/>
              <w:right w:val="single" w:color="auto" w:sz="4" w:space="0"/>
            </w:tcBorders>
            <w:vAlign w:val="top"/>
          </w:tcPr>
          <w:p w14:paraId="7640C4A7">
            <w:pPr>
              <w:spacing w:line="360" w:lineRule="auto"/>
              <w:rPr>
                <w:rFonts w:hint="eastAsia" w:ascii="宋体" w:hAnsi="宋体" w:eastAsia="宋体" w:cs="宋体"/>
                <w:color w:val="auto"/>
                <w:sz w:val="21"/>
                <w:szCs w:val="21"/>
                <w:highlight w:val="none"/>
              </w:rPr>
            </w:pPr>
          </w:p>
        </w:tc>
        <w:tc>
          <w:tcPr>
            <w:tcW w:w="1184" w:type="dxa"/>
            <w:tcBorders>
              <w:top w:val="single" w:color="auto" w:sz="4" w:space="0"/>
              <w:left w:val="single" w:color="auto" w:sz="4" w:space="0"/>
              <w:bottom w:val="single" w:color="auto" w:sz="4" w:space="0"/>
              <w:right w:val="single" w:color="auto" w:sz="4" w:space="0"/>
            </w:tcBorders>
            <w:vAlign w:val="top"/>
          </w:tcPr>
          <w:p w14:paraId="3B0B35C2">
            <w:pPr>
              <w:spacing w:line="360" w:lineRule="auto"/>
              <w:rPr>
                <w:rFonts w:hint="eastAsia" w:ascii="宋体" w:hAnsi="宋体" w:eastAsia="宋体" w:cs="宋体"/>
                <w:color w:val="auto"/>
                <w:sz w:val="21"/>
                <w:szCs w:val="21"/>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2A10CEEA">
            <w:pPr>
              <w:spacing w:line="360" w:lineRule="auto"/>
              <w:rPr>
                <w:rFonts w:hint="eastAsia" w:ascii="宋体" w:hAnsi="宋体" w:eastAsia="宋体" w:cs="宋体"/>
                <w:color w:val="auto"/>
                <w:sz w:val="21"/>
                <w:szCs w:val="21"/>
                <w:highlight w:val="none"/>
              </w:rPr>
            </w:pPr>
          </w:p>
        </w:tc>
      </w:tr>
      <w:tr w14:paraId="520E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6B6CDDCD">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合计金额大写：人民币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bl>
    <w:p w14:paraId="503A528F">
      <w:pPr>
        <w:snapToGrid w:val="0"/>
        <w:spacing w:before="50" w:after="50" w:line="360" w:lineRule="auto"/>
        <w:jc w:val="left"/>
        <w:rPr>
          <w:rFonts w:hint="eastAsia" w:ascii="宋体" w:hAnsi="宋体" w:eastAsia="宋体" w:cs="宋体"/>
          <w:color w:val="auto"/>
          <w:sz w:val="21"/>
          <w:szCs w:val="21"/>
          <w:highlight w:val="none"/>
        </w:rPr>
      </w:pPr>
    </w:p>
    <w:p w14:paraId="2E33F550">
      <w:pPr>
        <w:snapToGrid w:val="0"/>
        <w:spacing w:before="50" w:after="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 </w:t>
      </w:r>
    </w:p>
    <w:p w14:paraId="3FAD20CE">
      <w:pPr>
        <w:snapToGrid w:val="0"/>
        <w:spacing w:before="50" w:after="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1.供应商的报价表必须加盖供应商公章并由法定代表人或者委托代理人签字，</w:t>
      </w:r>
      <w:r>
        <w:rPr>
          <w:rFonts w:hint="eastAsia" w:ascii="宋体" w:hAnsi="宋体" w:eastAsia="宋体" w:cs="宋体"/>
          <w:b/>
          <w:color w:val="auto"/>
          <w:sz w:val="21"/>
          <w:szCs w:val="21"/>
          <w:highlight w:val="none"/>
        </w:rPr>
        <w:t>否则其响应文件按无效响应处理</w:t>
      </w:r>
      <w:r>
        <w:rPr>
          <w:rFonts w:hint="eastAsia" w:ascii="宋体" w:hAnsi="宋体" w:eastAsia="宋体" w:cs="宋体"/>
          <w:color w:val="auto"/>
          <w:sz w:val="21"/>
          <w:szCs w:val="21"/>
          <w:highlight w:val="none"/>
        </w:rPr>
        <w:t>。</w:t>
      </w:r>
    </w:p>
    <w:p w14:paraId="39AC3709">
      <w:pPr>
        <w:snapToGrid w:val="0"/>
        <w:spacing w:before="50" w:after="50"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报价一经涂改，应在涂改处加盖供应商公章或者由法定代表人或者委托代理人签字或者盖章</w:t>
      </w:r>
      <w:r>
        <w:rPr>
          <w:rFonts w:hint="eastAsia" w:ascii="宋体" w:hAnsi="宋体" w:eastAsia="宋体" w:cs="宋体"/>
          <w:b/>
          <w:color w:val="auto"/>
          <w:sz w:val="21"/>
          <w:szCs w:val="21"/>
          <w:highlight w:val="none"/>
        </w:rPr>
        <w:t>，否则其响应文件按无效响应处理。</w:t>
      </w:r>
    </w:p>
    <w:p w14:paraId="2975EFFE">
      <w:pPr>
        <w:snapToGrid w:val="0"/>
        <w:spacing w:before="50" w:after="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3.如为联合体竞标，“供应商名称”处必须列明联合体各方名称，标注联合体牵头人名称，</w:t>
      </w:r>
      <w:r>
        <w:rPr>
          <w:rFonts w:hint="eastAsia" w:ascii="宋体" w:hAnsi="宋体" w:eastAsia="宋体" w:cs="宋体"/>
          <w:b/>
          <w:color w:val="auto"/>
          <w:sz w:val="21"/>
          <w:szCs w:val="21"/>
          <w:highlight w:val="none"/>
        </w:rPr>
        <w:t>否则其响应文件按无效响应处理。</w:t>
      </w:r>
    </w:p>
    <w:p w14:paraId="175ED33E">
      <w:pPr>
        <w:snapToGrid w:val="0"/>
        <w:spacing w:before="50" w:after="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4.如为联合体竞标，盖章处须加盖联合体各方公章，</w:t>
      </w:r>
      <w:r>
        <w:rPr>
          <w:rFonts w:hint="eastAsia" w:ascii="宋体" w:hAnsi="宋体" w:eastAsia="宋体" w:cs="宋体"/>
          <w:b/>
          <w:color w:val="auto"/>
          <w:sz w:val="21"/>
          <w:szCs w:val="21"/>
          <w:highlight w:val="none"/>
        </w:rPr>
        <w:t>否则其响应文件按无效响应处理。</w:t>
      </w:r>
    </w:p>
    <w:p w14:paraId="19D980F2">
      <w:pPr>
        <w:snapToGrid w:val="0"/>
        <w:spacing w:before="50" w:after="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pacing w:val="-6"/>
          <w:sz w:val="21"/>
          <w:szCs w:val="21"/>
          <w:highlight w:val="none"/>
        </w:rPr>
        <w:t>如有多分标，分别列明各分标的报价表，</w:t>
      </w:r>
      <w:r>
        <w:rPr>
          <w:rFonts w:hint="eastAsia" w:ascii="宋体" w:hAnsi="宋体" w:eastAsia="宋体" w:cs="宋体"/>
          <w:b/>
          <w:color w:val="auto"/>
          <w:spacing w:val="-6"/>
          <w:sz w:val="21"/>
          <w:szCs w:val="21"/>
          <w:highlight w:val="none"/>
        </w:rPr>
        <w:t>否则其响应文件按无效响应处理。</w:t>
      </w:r>
    </w:p>
    <w:p w14:paraId="12057B4D">
      <w:pPr>
        <w:snapToGrid w:val="0"/>
        <w:spacing w:before="50" w:after="50" w:line="360" w:lineRule="auto"/>
        <w:ind w:right="-817" w:rightChars="-389"/>
        <w:rPr>
          <w:rFonts w:hint="eastAsia" w:ascii="宋体" w:hAnsi="宋体" w:eastAsia="宋体" w:cs="宋体"/>
          <w:color w:val="auto"/>
          <w:sz w:val="21"/>
          <w:szCs w:val="21"/>
          <w:highlight w:val="none"/>
        </w:rPr>
      </w:pPr>
    </w:p>
    <w:p w14:paraId="467B09E2">
      <w:pPr>
        <w:snapToGrid w:val="0"/>
        <w:spacing w:before="50" w:after="50" w:line="360" w:lineRule="auto"/>
        <w:ind w:right="-817" w:rightChars="-389"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                    </w:t>
      </w:r>
    </w:p>
    <w:p w14:paraId="5E1BF793">
      <w:pPr>
        <w:snapToGrid w:val="0"/>
        <w:spacing w:before="50" w:after="50" w:line="360" w:lineRule="auto"/>
        <w:ind w:right="-817" w:rightChars="-389"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供应商（盖公章）：      </w:t>
      </w:r>
    </w:p>
    <w:p w14:paraId="2A405D10">
      <w:pPr>
        <w:snapToGrid w:val="0"/>
        <w:spacing w:before="50" w:after="50" w:line="360" w:lineRule="auto"/>
        <w:ind w:right="-817" w:rightChars="-389" w:firstLine="3570" w:firstLineChars="17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日期：   年   月   日</w:t>
      </w:r>
    </w:p>
    <w:p w14:paraId="218E6B17">
      <w:pPr>
        <w:spacing w:before="312" w:beforeLines="100" w:after="156" w:afterLines="50" w:line="360" w:lineRule="auto"/>
        <w:ind w:left="540"/>
        <w:jc w:val="center"/>
        <w:rPr>
          <w:rFonts w:hint="eastAsia" w:ascii="宋体" w:hAnsi="宋体" w:eastAsia="宋体" w:cs="宋体"/>
          <w:color w:val="auto"/>
          <w:sz w:val="32"/>
          <w:szCs w:val="32"/>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Cs/>
          <w:color w:val="auto"/>
          <w:sz w:val="44"/>
          <w:szCs w:val="44"/>
          <w:highlight w:val="none"/>
        </w:rPr>
        <w:t>法定代表人证明书</w:t>
      </w:r>
    </w:p>
    <w:p w14:paraId="7EABBDB8">
      <w:pPr>
        <w:spacing w:line="360" w:lineRule="auto"/>
        <w:ind w:left="540"/>
        <w:rPr>
          <w:rFonts w:hint="eastAsia" w:ascii="宋体" w:hAnsi="宋体" w:eastAsia="宋体" w:cs="宋体"/>
          <w:color w:val="auto"/>
          <w:sz w:val="32"/>
          <w:szCs w:val="32"/>
          <w:highlight w:val="none"/>
        </w:rPr>
      </w:pPr>
    </w:p>
    <w:p w14:paraId="7BC90FC3">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p>
    <w:p w14:paraId="53DA5DB5">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16D873F4">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14:paraId="3D7A93CF">
      <w:pPr>
        <w:spacing w:line="360" w:lineRule="auto"/>
        <w:ind w:left="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6AFBF5A3">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5A7DF0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（供应商名称）</w:t>
      </w:r>
      <w:r>
        <w:rPr>
          <w:rFonts w:hint="eastAsia" w:ascii="宋体" w:hAnsi="宋体" w:eastAsia="宋体" w:cs="宋体"/>
          <w:color w:val="auto"/>
          <w:sz w:val="21"/>
          <w:szCs w:val="21"/>
          <w:highlight w:val="none"/>
        </w:rPr>
        <w:t>的法定代表人。</w:t>
      </w:r>
    </w:p>
    <w:p w14:paraId="47E3573C">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3A714ACA">
      <w:pPr>
        <w:spacing w:line="360" w:lineRule="auto"/>
        <w:ind w:left="540"/>
        <w:rPr>
          <w:rFonts w:hint="eastAsia" w:ascii="宋体" w:hAnsi="宋体" w:eastAsia="宋体" w:cs="宋体"/>
          <w:color w:val="auto"/>
          <w:sz w:val="21"/>
          <w:szCs w:val="21"/>
          <w:highlight w:val="none"/>
        </w:rPr>
      </w:pPr>
    </w:p>
    <w:p w14:paraId="79623BE7">
      <w:pPr>
        <w:spacing w:line="360" w:lineRule="auto"/>
        <w:ind w:left="540"/>
        <w:rPr>
          <w:rFonts w:hint="eastAsia" w:ascii="宋体" w:hAnsi="宋体" w:eastAsia="宋体" w:cs="宋体"/>
          <w:color w:val="auto"/>
          <w:sz w:val="21"/>
          <w:szCs w:val="21"/>
          <w:highlight w:val="none"/>
        </w:rPr>
      </w:pPr>
    </w:p>
    <w:p w14:paraId="778AEDE4">
      <w:pPr>
        <w:spacing w:line="360" w:lineRule="auto"/>
        <w:ind w:left="540"/>
        <w:rPr>
          <w:rFonts w:hint="eastAsia" w:ascii="宋体" w:hAnsi="宋体" w:eastAsia="宋体" w:cs="宋体"/>
          <w:color w:val="auto"/>
          <w:sz w:val="21"/>
          <w:szCs w:val="21"/>
          <w:highlight w:val="none"/>
        </w:rPr>
      </w:pPr>
    </w:p>
    <w:p w14:paraId="21D4D882">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附件：法定代表人有效身份证正反面复印件</w:t>
      </w:r>
    </w:p>
    <w:p w14:paraId="0A2C42FC">
      <w:pPr>
        <w:spacing w:line="360" w:lineRule="auto"/>
        <w:ind w:left="540"/>
        <w:rPr>
          <w:rFonts w:hint="eastAsia" w:ascii="宋体" w:hAnsi="宋体" w:eastAsia="宋体" w:cs="宋体"/>
          <w:color w:val="auto"/>
          <w:sz w:val="21"/>
          <w:szCs w:val="21"/>
          <w:highlight w:val="none"/>
        </w:rPr>
      </w:pPr>
    </w:p>
    <w:p w14:paraId="59606E40">
      <w:pPr>
        <w:spacing w:line="360" w:lineRule="auto"/>
        <w:ind w:left="54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供应商（盖公章）：</w:t>
      </w:r>
      <w:r>
        <w:rPr>
          <w:rFonts w:hint="eastAsia" w:ascii="宋体" w:hAnsi="宋体" w:eastAsia="宋体" w:cs="宋体"/>
          <w:color w:val="auto"/>
          <w:sz w:val="21"/>
          <w:szCs w:val="21"/>
          <w:highlight w:val="none"/>
          <w:u w:val="single"/>
        </w:rPr>
        <w:t xml:space="preserve">               </w:t>
      </w:r>
    </w:p>
    <w:p w14:paraId="201E3B1A">
      <w:pPr>
        <w:snapToGrid w:val="0"/>
        <w:spacing w:before="156" w:beforeLines="50" w:after="50" w:line="360" w:lineRule="auto"/>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33B8002">
      <w:pPr>
        <w:snapToGrid w:val="0"/>
        <w:spacing w:before="156" w:beforeLines="50" w:after="50" w:line="360" w:lineRule="auto"/>
        <w:jc w:val="center"/>
        <w:rPr>
          <w:rFonts w:hint="eastAsia" w:ascii="宋体" w:hAnsi="宋体" w:eastAsia="宋体" w:cs="宋体"/>
          <w:b/>
          <w:color w:val="auto"/>
          <w:sz w:val="21"/>
          <w:szCs w:val="21"/>
          <w:highlight w:val="none"/>
        </w:rPr>
      </w:pPr>
    </w:p>
    <w:p w14:paraId="1CA5B616">
      <w:pPr>
        <w:snapToGrid w:val="0"/>
        <w:spacing w:before="156" w:beforeLines="50" w:after="50" w:line="360" w:lineRule="auto"/>
        <w:jc w:val="left"/>
        <w:rPr>
          <w:rFonts w:hint="eastAsia" w:ascii="宋体" w:hAnsi="宋体" w:eastAsia="宋体" w:cs="宋体"/>
          <w:color w:val="auto"/>
          <w:sz w:val="21"/>
          <w:szCs w:val="21"/>
          <w:highlight w:val="none"/>
        </w:rPr>
      </w:pPr>
    </w:p>
    <w:p w14:paraId="13D1B094">
      <w:pPr>
        <w:snapToGrid w:val="0"/>
        <w:spacing w:before="156" w:beforeLines="50" w:after="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注：1.自然人竞标的无需提供，联合体竞标的只需牵头人出具。</w:t>
      </w:r>
    </w:p>
    <w:p w14:paraId="6899258F">
      <w:pPr>
        <w:snapToGrid w:val="0"/>
        <w:spacing w:before="156" w:beforeLines="50" w:after="50"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9C5FEA9">
      <w:pPr>
        <w:adjustRightInd w:val="0"/>
        <w:snapToGrid w:val="0"/>
        <w:spacing w:line="360" w:lineRule="auto"/>
        <w:jc w:val="left"/>
        <w:rPr>
          <w:rFonts w:hint="eastAsia" w:ascii="宋体" w:hAnsi="宋体" w:eastAsia="宋体" w:cs="宋体"/>
          <w:b/>
          <w:color w:val="auto"/>
          <w:szCs w:val="21"/>
          <w:highlight w:val="none"/>
        </w:rPr>
      </w:pPr>
    </w:p>
    <w:p w14:paraId="15C8D46E">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sz w:val="44"/>
          <w:szCs w:val="44"/>
          <w:highlight w:val="none"/>
        </w:rPr>
        <w:t xml:space="preserve"> </w:t>
      </w:r>
    </w:p>
    <w:p w14:paraId="72BC5737">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法定代表人授权委托书（非联合体竞标格式）</w:t>
      </w:r>
    </w:p>
    <w:p w14:paraId="5F6A3E14">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042DBBCE">
      <w:pPr>
        <w:spacing w:line="360" w:lineRule="auto"/>
        <w:rPr>
          <w:rFonts w:hint="eastAsia" w:ascii="宋体" w:hAnsi="宋体" w:eastAsia="宋体" w:cs="宋体"/>
          <w:color w:val="auto"/>
          <w:sz w:val="32"/>
          <w:szCs w:val="32"/>
          <w:highlight w:val="none"/>
        </w:rPr>
      </w:pPr>
    </w:p>
    <w:p w14:paraId="3A4ED1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14:paraId="078120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（供应商名称）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sym w:font="Wingdings 2" w:char="00A3"/>
      </w:r>
      <w:r>
        <w:rPr>
          <w:rFonts w:hint="eastAsia" w:ascii="宋体" w:hAnsi="宋体" w:eastAsia="宋体" w:cs="宋体"/>
          <w:color w:val="auto"/>
          <w:sz w:val="21"/>
          <w:szCs w:val="21"/>
          <w:highlight w:val="none"/>
          <w:u w:val="single"/>
        </w:rPr>
        <w:t>法定代表人/□负责人/□自然人本人</w:t>
      </w:r>
      <w:r>
        <w:rPr>
          <w:rFonts w:hint="eastAsia" w:ascii="宋体" w:hAnsi="宋体" w:eastAsia="宋体" w:cs="宋体"/>
          <w:color w:val="auto"/>
          <w:sz w:val="21"/>
          <w:szCs w:val="21"/>
          <w:highlight w:val="none"/>
        </w:rPr>
        <w:t>），现授权</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项目的竞标活动，并代表我方全权办理针对上述项目的所有采购程序和环节的具体事务和签署相关文件。</w:t>
      </w:r>
    </w:p>
    <w:p w14:paraId="1248F9D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我方对委托代理人的签字事项负全部责任。</w:t>
      </w:r>
    </w:p>
    <w:p w14:paraId="3830EA5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本授权书自签署之日起生效，在撤销授权的书面通知以前，本授权书一直有效。委托代理人在授权书有效期内签署的所有文件不因授权的撤销而失效。</w:t>
      </w:r>
    </w:p>
    <w:p w14:paraId="11E7C5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委托代理人无转委托权，特此委托。</w:t>
      </w:r>
    </w:p>
    <w:p w14:paraId="317437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附：法定代表人身份证明书及委托代理人有效身份证正反面复印件</w:t>
      </w:r>
    </w:p>
    <w:p w14:paraId="6676E231">
      <w:pPr>
        <w:spacing w:line="360" w:lineRule="auto"/>
        <w:rPr>
          <w:rFonts w:hint="eastAsia" w:ascii="宋体" w:hAnsi="宋体" w:eastAsia="宋体" w:cs="宋体"/>
          <w:color w:val="auto"/>
          <w:sz w:val="21"/>
          <w:szCs w:val="21"/>
          <w:highlight w:val="none"/>
        </w:rPr>
      </w:pPr>
    </w:p>
    <w:p w14:paraId="31E0C71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委托代理人（签字）：         法定代表人（签字）：                    </w:t>
      </w:r>
    </w:p>
    <w:p w14:paraId="34A036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委托代理人身份证号码：                              </w:t>
      </w:r>
    </w:p>
    <w:p w14:paraId="7B864E1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2F860E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供应商（盖公章）：                      </w:t>
      </w:r>
    </w:p>
    <w:p w14:paraId="1B4BFA0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59AF88FF">
      <w:pPr>
        <w:spacing w:line="360" w:lineRule="auto"/>
        <w:rPr>
          <w:rFonts w:hint="eastAsia" w:ascii="宋体" w:hAnsi="宋体" w:eastAsia="宋体" w:cs="宋体"/>
          <w:color w:val="auto"/>
          <w:sz w:val="21"/>
          <w:szCs w:val="21"/>
          <w:highlight w:val="none"/>
        </w:rPr>
      </w:pPr>
    </w:p>
    <w:p w14:paraId="7E50492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注：1.法定代表人和委托代理人必须在授权委托书上亲笔签名，不得使用印章、签名章或者其他电子制版签名代替；</w:t>
      </w:r>
    </w:p>
    <w:p w14:paraId="39D4BEF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97CD6B5">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44"/>
          <w:szCs w:val="44"/>
          <w:highlight w:val="none"/>
        </w:rPr>
        <w:t>法定代表人授权委托书（联合体竞标格式）</w:t>
      </w:r>
    </w:p>
    <w:p w14:paraId="79938130">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3155A7F7">
      <w:pPr>
        <w:spacing w:line="360" w:lineRule="auto"/>
        <w:jc w:val="center"/>
        <w:rPr>
          <w:rFonts w:hint="eastAsia" w:ascii="宋体" w:hAnsi="宋体" w:eastAsia="宋体" w:cs="宋体"/>
          <w:color w:val="auto"/>
          <w:sz w:val="44"/>
          <w:szCs w:val="44"/>
          <w:highlight w:val="none"/>
        </w:rPr>
      </w:pPr>
    </w:p>
    <w:p w14:paraId="5933E538">
      <w:pPr>
        <w:spacing w:line="360" w:lineRule="auto"/>
        <w:jc w:val="center"/>
        <w:rPr>
          <w:rFonts w:hint="eastAsia" w:ascii="宋体" w:hAnsi="宋体" w:eastAsia="宋体" w:cs="宋体"/>
          <w:color w:val="auto"/>
          <w:sz w:val="32"/>
          <w:szCs w:val="32"/>
          <w:highlight w:val="none"/>
        </w:rPr>
      </w:pPr>
    </w:p>
    <w:p w14:paraId="76360E5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本授权委托书声明：根据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（牵头人名称）与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（联合体其他成员名称）签订的《联合体竞标协议书》的内容，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（牵头人名称）的法定代表人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（姓名）现授权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（姓名）为联合委托代理人，并代表我方全权办理针对上述项目的所有采购程序和环节的具体事务和签署相关文件。</w:t>
      </w:r>
    </w:p>
    <w:p w14:paraId="5D5A4F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我方对委托代理人的签字事项负全部责任。</w:t>
      </w:r>
    </w:p>
    <w:p w14:paraId="044882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本授权书自签署之日起生效，在撤销授权的书面通知以前，本授权书一直有效。委托代理人在授权书有效期内签署的所有文件不因授权的撤销而失效。</w:t>
      </w:r>
    </w:p>
    <w:p w14:paraId="2704D7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委托代理人无转委托权，特此委托。</w:t>
      </w:r>
    </w:p>
    <w:p w14:paraId="1976AEB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C3F8C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牵头人法定代表人（签字）：</w:t>
      </w:r>
    </w:p>
    <w:p w14:paraId="213C4978">
      <w:pPr>
        <w:spacing w:line="360" w:lineRule="auto"/>
        <w:ind w:firstLine="2730" w:firstLineChars="1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牵头人（盖公章）：</w:t>
      </w:r>
    </w:p>
    <w:p w14:paraId="471678FC">
      <w:pPr>
        <w:spacing w:line="360" w:lineRule="auto"/>
        <w:ind w:firstLine="3360" w:firstLineChars="1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6801C893">
      <w:pPr>
        <w:spacing w:line="360" w:lineRule="auto"/>
        <w:rPr>
          <w:rFonts w:hint="eastAsia" w:ascii="宋体" w:hAnsi="宋体" w:eastAsia="宋体" w:cs="宋体"/>
          <w:color w:val="auto"/>
          <w:sz w:val="21"/>
          <w:szCs w:val="21"/>
          <w:highlight w:val="none"/>
        </w:rPr>
      </w:pPr>
    </w:p>
    <w:p w14:paraId="1B4ED92E">
      <w:pPr>
        <w:spacing w:line="360" w:lineRule="auto"/>
        <w:ind w:firstLine="2730" w:firstLineChars="1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被授权人（签字）：</w:t>
      </w:r>
    </w:p>
    <w:p w14:paraId="3E7376F3">
      <w:pPr>
        <w:spacing w:line="360" w:lineRule="auto"/>
        <w:ind w:firstLine="3360" w:firstLineChars="1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343C5947">
      <w:pPr>
        <w:spacing w:line="360" w:lineRule="auto"/>
        <w:rPr>
          <w:rFonts w:hint="eastAsia" w:ascii="宋体" w:hAnsi="宋体" w:eastAsia="宋体" w:cs="宋体"/>
          <w:color w:val="auto"/>
          <w:sz w:val="21"/>
          <w:szCs w:val="21"/>
          <w:highlight w:val="none"/>
        </w:rPr>
      </w:pPr>
    </w:p>
    <w:p w14:paraId="582854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注：1.法定代表人和委托代理人必须在授权委托书上亲笔签名，不得使用印章、签名章或者其他电子制版签名代替；</w:t>
      </w:r>
    </w:p>
    <w:p w14:paraId="4382067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2.以联合体形式竞标的，本授权委托书应由联合体牵头人的法定代表人按上述规定签署。</w:t>
      </w:r>
    </w:p>
    <w:p w14:paraId="2F18319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C19E67C">
      <w:pPr>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color w:val="auto"/>
          <w:sz w:val="21"/>
          <w:szCs w:val="21"/>
          <w:highlight w:val="none"/>
        </w:rPr>
        <w:br w:type="page"/>
      </w:r>
      <w:r>
        <w:rPr>
          <w:rFonts w:hint="eastAsia" w:ascii="宋体" w:hAnsi="宋体" w:eastAsia="宋体" w:cs="宋体"/>
          <w:bCs/>
          <w:color w:val="auto"/>
          <w:sz w:val="36"/>
          <w:szCs w:val="36"/>
          <w:highlight w:val="none"/>
        </w:rPr>
        <w:t>商务条款偏离表格式</w:t>
      </w:r>
    </w:p>
    <w:p w14:paraId="5350A2E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36"/>
          <w:szCs w:val="36"/>
          <w:highlight w:val="none"/>
        </w:rPr>
        <w:t>(注：按采购需求具体条款修改)</w:t>
      </w:r>
    </w:p>
    <w:p w14:paraId="008C308F">
      <w:pPr>
        <w:snapToGrid w:val="0"/>
        <w:spacing w:before="50" w:line="360" w:lineRule="auto"/>
        <w:jc w:val="left"/>
        <w:rPr>
          <w:rFonts w:hint="eastAsia" w:ascii="宋体" w:hAnsi="宋体" w:eastAsia="宋体" w:cs="宋体"/>
          <w:color w:val="auto"/>
          <w:sz w:val="24"/>
          <w:highlight w:val="none"/>
        </w:rPr>
      </w:pPr>
    </w:p>
    <w:p w14:paraId="4B148889">
      <w:pPr>
        <w:pStyle w:val="1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所竞分标：</w:t>
      </w:r>
      <w:r>
        <w:rPr>
          <w:rFonts w:hint="eastAsia" w:ascii="宋体" w:hAnsi="宋体" w:eastAsia="宋体" w:cs="宋体"/>
          <w:color w:val="auto"/>
          <w:sz w:val="21"/>
          <w:szCs w:val="21"/>
          <w:highlight w:val="none"/>
          <w:u w:val="single"/>
        </w:rPr>
        <w:t xml:space="preserve">              </w:t>
      </w:r>
    </w:p>
    <w:p w14:paraId="1E8F424D">
      <w:pPr>
        <w:snapToGrid w:val="0"/>
        <w:spacing w:before="50" w:line="360" w:lineRule="auto"/>
        <w:jc w:val="left"/>
        <w:rPr>
          <w:rFonts w:hint="eastAsia" w:ascii="宋体" w:hAnsi="宋体" w:eastAsia="宋体" w:cs="宋体"/>
          <w:color w:val="auto"/>
          <w:sz w:val="21"/>
          <w:szCs w:val="21"/>
          <w:highlight w:val="none"/>
          <w:u w:val="single"/>
        </w:rPr>
      </w:pPr>
    </w:p>
    <w:tbl>
      <w:tblPr>
        <w:tblStyle w:val="23"/>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4DDA7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25C1C7B6">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76042DAF">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vAlign w:val="center"/>
          </w:tcPr>
          <w:p w14:paraId="26CB3E50">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供应商的承诺</w:t>
            </w:r>
          </w:p>
        </w:tc>
        <w:tc>
          <w:tcPr>
            <w:tcW w:w="2112" w:type="dxa"/>
            <w:tcBorders>
              <w:top w:val="single" w:color="auto" w:sz="4" w:space="0"/>
              <w:left w:val="single" w:color="auto" w:sz="4" w:space="0"/>
              <w:bottom w:val="single" w:color="auto" w:sz="4" w:space="0"/>
              <w:right w:val="single" w:color="auto" w:sz="4" w:space="0"/>
            </w:tcBorders>
            <w:vAlign w:val="center"/>
          </w:tcPr>
          <w:p w14:paraId="1BE0E709">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w:t>
            </w:r>
          </w:p>
        </w:tc>
      </w:tr>
      <w:tr w14:paraId="1C0A5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0078EC03">
            <w:pPr>
              <w:snapToGrid w:val="0"/>
              <w:spacing w:before="156" w:beforeLines="50" w:line="360" w:lineRule="auto"/>
              <w:jc w:val="center"/>
              <w:rPr>
                <w:rFonts w:hint="eastAsia" w:ascii="宋体" w:hAnsi="宋体" w:eastAsia="宋体" w:cs="宋体"/>
                <w:color w:val="auto"/>
                <w:sz w:val="21"/>
                <w:szCs w:val="21"/>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595E0D72">
            <w:pPr>
              <w:snapToGrid w:val="0"/>
              <w:spacing w:before="156" w:beforeLines="50" w:line="360" w:lineRule="auto"/>
              <w:jc w:val="center"/>
              <w:rPr>
                <w:rFonts w:hint="eastAsia" w:ascii="宋体" w:hAnsi="宋体" w:eastAsia="宋体" w:cs="宋体"/>
                <w:color w:val="auto"/>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5CB5CC3">
            <w:pPr>
              <w:snapToGrid w:val="0"/>
              <w:spacing w:before="156" w:beforeLines="50" w:line="360" w:lineRule="auto"/>
              <w:jc w:val="center"/>
              <w:rPr>
                <w:rFonts w:hint="eastAsia" w:ascii="宋体" w:hAnsi="宋体"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0226835A">
            <w:pPr>
              <w:snapToGrid w:val="0"/>
              <w:spacing w:before="156" w:beforeLines="50" w:line="360" w:lineRule="auto"/>
              <w:jc w:val="center"/>
              <w:rPr>
                <w:rFonts w:hint="eastAsia" w:ascii="宋体" w:hAnsi="宋体" w:eastAsia="宋体" w:cs="宋体"/>
                <w:color w:val="auto"/>
                <w:sz w:val="21"/>
                <w:szCs w:val="21"/>
                <w:highlight w:val="none"/>
              </w:rPr>
            </w:pPr>
          </w:p>
        </w:tc>
      </w:tr>
      <w:tr w14:paraId="747DF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1D7433FE">
            <w:pPr>
              <w:snapToGrid w:val="0"/>
              <w:spacing w:before="156" w:beforeLines="50" w:line="360" w:lineRule="auto"/>
              <w:jc w:val="center"/>
              <w:rPr>
                <w:rFonts w:hint="eastAsia" w:ascii="宋体" w:hAnsi="宋体" w:eastAsia="宋体" w:cs="宋体"/>
                <w:color w:val="auto"/>
                <w:sz w:val="21"/>
                <w:szCs w:val="21"/>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2F2F6DE3">
            <w:pPr>
              <w:snapToGrid w:val="0"/>
              <w:spacing w:before="156" w:beforeLines="50" w:line="360" w:lineRule="auto"/>
              <w:jc w:val="center"/>
              <w:rPr>
                <w:rFonts w:hint="eastAsia" w:ascii="宋体" w:hAnsi="宋体" w:eastAsia="宋体" w:cs="宋体"/>
                <w:color w:val="auto"/>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85FA29C">
            <w:pPr>
              <w:snapToGrid w:val="0"/>
              <w:spacing w:before="156" w:beforeLines="50" w:line="360" w:lineRule="auto"/>
              <w:ind w:left="43"/>
              <w:jc w:val="center"/>
              <w:rPr>
                <w:rFonts w:hint="eastAsia" w:ascii="宋体" w:hAnsi="宋体"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6364FCA3">
            <w:pPr>
              <w:snapToGrid w:val="0"/>
              <w:spacing w:before="156" w:beforeLines="50" w:line="360" w:lineRule="auto"/>
              <w:ind w:left="43"/>
              <w:jc w:val="center"/>
              <w:rPr>
                <w:rFonts w:hint="eastAsia" w:ascii="宋体" w:hAnsi="宋体" w:eastAsia="宋体" w:cs="宋体"/>
                <w:color w:val="auto"/>
                <w:sz w:val="21"/>
                <w:szCs w:val="21"/>
                <w:highlight w:val="none"/>
              </w:rPr>
            </w:pPr>
          </w:p>
        </w:tc>
      </w:tr>
      <w:tr w14:paraId="03ABB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vAlign w:val="center"/>
          </w:tcPr>
          <w:p w14:paraId="424FB912">
            <w:pPr>
              <w:snapToGrid w:val="0"/>
              <w:spacing w:before="156" w:beforeLines="50" w:line="360" w:lineRule="auto"/>
              <w:jc w:val="center"/>
              <w:rPr>
                <w:rFonts w:hint="eastAsia" w:ascii="宋体" w:hAnsi="宋体" w:eastAsia="宋体" w:cs="宋体"/>
                <w:color w:val="auto"/>
                <w:sz w:val="21"/>
                <w:szCs w:val="21"/>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236AA178">
            <w:pPr>
              <w:snapToGrid w:val="0"/>
              <w:spacing w:before="156" w:beforeLines="50" w:line="360" w:lineRule="auto"/>
              <w:jc w:val="center"/>
              <w:rPr>
                <w:rFonts w:hint="eastAsia" w:ascii="宋体" w:hAnsi="宋体" w:eastAsia="宋体" w:cs="宋体"/>
                <w:color w:val="auto"/>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207A321">
            <w:pPr>
              <w:snapToGrid w:val="0"/>
              <w:spacing w:before="156" w:beforeLines="50" w:line="360" w:lineRule="auto"/>
              <w:jc w:val="center"/>
              <w:rPr>
                <w:rFonts w:hint="eastAsia" w:ascii="宋体" w:hAnsi="宋体"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B138729">
            <w:pPr>
              <w:snapToGrid w:val="0"/>
              <w:spacing w:before="156" w:beforeLines="50" w:line="360" w:lineRule="auto"/>
              <w:jc w:val="center"/>
              <w:rPr>
                <w:rFonts w:hint="eastAsia" w:ascii="宋体" w:hAnsi="宋体" w:eastAsia="宋体" w:cs="宋体"/>
                <w:color w:val="auto"/>
                <w:sz w:val="21"/>
                <w:szCs w:val="21"/>
                <w:highlight w:val="none"/>
              </w:rPr>
            </w:pPr>
          </w:p>
        </w:tc>
      </w:tr>
      <w:tr w14:paraId="4E50F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4477F8D8">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3B7B1C57">
            <w:pPr>
              <w:snapToGrid w:val="0"/>
              <w:spacing w:before="156" w:beforeLines="50" w:line="360" w:lineRule="auto"/>
              <w:jc w:val="center"/>
              <w:rPr>
                <w:rFonts w:hint="eastAsia" w:ascii="宋体" w:hAnsi="宋体" w:eastAsia="宋体" w:cs="宋体"/>
                <w:color w:val="auto"/>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19BE43F">
            <w:pPr>
              <w:snapToGrid w:val="0"/>
              <w:spacing w:before="156" w:beforeLines="50" w:line="360" w:lineRule="auto"/>
              <w:jc w:val="center"/>
              <w:rPr>
                <w:rFonts w:hint="eastAsia" w:ascii="宋体" w:hAnsi="宋体"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19F905D">
            <w:pPr>
              <w:snapToGrid w:val="0"/>
              <w:spacing w:before="156" w:beforeLines="50" w:line="360" w:lineRule="auto"/>
              <w:jc w:val="center"/>
              <w:rPr>
                <w:rFonts w:hint="eastAsia" w:ascii="宋体" w:hAnsi="宋体" w:eastAsia="宋体" w:cs="宋体"/>
                <w:color w:val="auto"/>
                <w:sz w:val="21"/>
                <w:szCs w:val="21"/>
                <w:highlight w:val="none"/>
              </w:rPr>
            </w:pPr>
          </w:p>
        </w:tc>
      </w:tr>
    </w:tbl>
    <w:p w14:paraId="4AB4B258">
      <w:pPr>
        <w:pStyle w:val="10"/>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注：</w:t>
      </w:r>
      <w:r>
        <w:rPr>
          <w:rFonts w:hint="eastAsia" w:ascii="宋体" w:hAnsi="宋体" w:eastAsia="宋体" w:cs="宋体"/>
          <w:color w:val="auto"/>
          <w:kern w:val="0"/>
          <w:sz w:val="21"/>
          <w:szCs w:val="21"/>
          <w:highlight w:val="none"/>
          <w:lang w:eastAsia="zh-CN"/>
        </w:rPr>
        <w:t>本表可自行扩展</w:t>
      </w:r>
    </w:p>
    <w:p w14:paraId="40100B60">
      <w:pPr>
        <w:pStyle w:val="1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说明：应对照磋商文件“第三章 采购需求”中的商务条款逐条实质性响应，并作出偏离说明。</w:t>
      </w:r>
    </w:p>
    <w:p w14:paraId="73DEDDEE">
      <w:pPr>
        <w:snapToGrid w:val="0"/>
        <w:spacing w:before="50"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2.供应商应根据自身的承诺，对照磋商文件要求在“偏离说明”中注明“正偏离”、“负偏离”或者“无偏离”。既不属于“正偏离”也不属于“负偏离”即为“无偏离”。</w:t>
      </w:r>
    </w:p>
    <w:p w14:paraId="1FD9D4DD">
      <w:pPr>
        <w:snapToGrid w:val="0"/>
        <w:spacing w:before="50" w:after="50" w:line="360" w:lineRule="auto"/>
        <w:ind w:right="-817" w:rightChars="-389"/>
        <w:rPr>
          <w:rFonts w:hint="eastAsia" w:ascii="宋体" w:hAnsi="宋体" w:eastAsia="宋体" w:cs="宋体"/>
          <w:color w:val="auto"/>
          <w:sz w:val="21"/>
          <w:szCs w:val="21"/>
          <w:highlight w:val="none"/>
        </w:rPr>
      </w:pPr>
    </w:p>
    <w:p w14:paraId="7DE70F51">
      <w:pPr>
        <w:snapToGrid w:val="0"/>
        <w:spacing w:before="50" w:after="50" w:line="360" w:lineRule="auto"/>
        <w:ind w:right="-817" w:rightChars="-389"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                    </w:t>
      </w:r>
    </w:p>
    <w:p w14:paraId="57C22B5E">
      <w:pPr>
        <w:snapToGrid w:val="0"/>
        <w:spacing w:before="50" w:after="50" w:line="360" w:lineRule="auto"/>
        <w:ind w:right="-817" w:rightChars="-389"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供应商（盖公章）：      </w:t>
      </w:r>
    </w:p>
    <w:p w14:paraId="24958BC2">
      <w:pPr>
        <w:snapToGrid w:val="0"/>
        <w:spacing w:before="50" w:after="50" w:line="360" w:lineRule="auto"/>
        <w:ind w:right="-817" w:rightChars="-389" w:firstLine="3570" w:firstLineChars="17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日期：   年   月   日</w:t>
      </w:r>
    </w:p>
    <w:p w14:paraId="6E1FF0A2">
      <w:pPr>
        <w:adjustRightInd w:val="0"/>
        <w:snapToGrid w:val="0"/>
        <w:spacing w:line="360" w:lineRule="auto"/>
        <w:ind w:firstLine="3360" w:firstLineChars="1600"/>
        <w:jc w:val="center"/>
        <w:rPr>
          <w:rFonts w:hint="eastAsia" w:ascii="宋体" w:hAnsi="宋体" w:eastAsia="宋体" w:cs="宋体"/>
          <w:bCs/>
          <w:color w:val="auto"/>
          <w:sz w:val="21"/>
          <w:szCs w:val="21"/>
          <w:highlight w:val="none"/>
        </w:rPr>
      </w:pPr>
    </w:p>
    <w:p w14:paraId="38DAEAAA">
      <w:pPr>
        <w:adjustRightInd w:val="0"/>
        <w:snapToGrid w:val="0"/>
        <w:spacing w:line="360" w:lineRule="auto"/>
        <w:ind w:firstLine="3360" w:firstLineChars="1600"/>
        <w:jc w:val="center"/>
        <w:rPr>
          <w:rFonts w:hint="eastAsia" w:ascii="宋体" w:hAnsi="宋体" w:eastAsia="宋体" w:cs="宋体"/>
          <w:bCs/>
          <w:color w:val="auto"/>
          <w:sz w:val="21"/>
          <w:szCs w:val="21"/>
          <w:highlight w:val="none"/>
        </w:rPr>
      </w:pPr>
    </w:p>
    <w:p w14:paraId="1BF6937C">
      <w:pPr>
        <w:adjustRightInd w:val="0"/>
        <w:snapToGrid w:val="0"/>
        <w:spacing w:line="360" w:lineRule="auto"/>
        <w:ind w:firstLine="7040" w:firstLineChars="1600"/>
        <w:jc w:val="center"/>
        <w:rPr>
          <w:rFonts w:hint="eastAsia" w:ascii="宋体" w:hAnsi="宋体" w:eastAsia="宋体" w:cs="宋体"/>
          <w:bCs/>
          <w:color w:val="auto"/>
          <w:sz w:val="44"/>
          <w:szCs w:val="44"/>
          <w:highlight w:val="none"/>
        </w:rPr>
      </w:pPr>
    </w:p>
    <w:p w14:paraId="12A27356">
      <w:pPr>
        <w:adjustRightInd w:val="0"/>
        <w:snapToGrid w:val="0"/>
        <w:spacing w:line="360" w:lineRule="auto"/>
        <w:rPr>
          <w:rFonts w:hint="eastAsia" w:ascii="宋体" w:hAnsi="宋体" w:eastAsia="宋体" w:cs="宋体"/>
          <w:color w:val="auto"/>
          <w:szCs w:val="21"/>
          <w:highlight w:val="none"/>
          <w:u w:val="single"/>
        </w:rPr>
      </w:pPr>
    </w:p>
    <w:p w14:paraId="7967A4E3">
      <w:pPr>
        <w:adjustRightInd w:val="0"/>
        <w:snapToGrid w:val="0"/>
        <w:spacing w:line="360" w:lineRule="auto"/>
        <w:rPr>
          <w:rFonts w:hint="eastAsia" w:ascii="宋体" w:hAnsi="宋体" w:eastAsia="宋体" w:cs="宋体"/>
          <w:color w:val="auto"/>
          <w:szCs w:val="21"/>
          <w:highlight w:val="none"/>
          <w:u w:val="single"/>
        </w:rPr>
      </w:pPr>
    </w:p>
    <w:p w14:paraId="13372FE9">
      <w:pPr>
        <w:adjustRightInd w:val="0"/>
        <w:snapToGrid w:val="0"/>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br w:type="page"/>
      </w:r>
      <w:r>
        <w:rPr>
          <w:rFonts w:hint="eastAsia" w:ascii="宋体" w:hAnsi="宋体" w:eastAsia="宋体" w:cs="宋体"/>
          <w:bCs/>
          <w:color w:val="auto"/>
          <w:sz w:val="44"/>
          <w:szCs w:val="44"/>
          <w:highlight w:val="none"/>
        </w:rPr>
        <w:t>技术需求偏离表</w:t>
      </w:r>
    </w:p>
    <w:p w14:paraId="0F18F8B5">
      <w:pPr>
        <w:spacing w:line="360" w:lineRule="auto"/>
        <w:rPr>
          <w:rFonts w:hint="eastAsia" w:ascii="宋体" w:hAnsi="宋体" w:eastAsia="宋体" w:cs="宋体"/>
          <w:color w:val="auto"/>
          <w:sz w:val="32"/>
          <w:szCs w:val="32"/>
          <w:highlight w:val="none"/>
        </w:rPr>
      </w:pPr>
    </w:p>
    <w:p w14:paraId="3FBF99D4">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single"/>
        </w:rPr>
        <w:t xml:space="preserve">                 </w:t>
      </w:r>
    </w:p>
    <w:p w14:paraId="1D1C66C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single"/>
        </w:rPr>
        <w:t xml:space="preserve">                 </w:t>
      </w:r>
    </w:p>
    <w:p w14:paraId="71F5B49C">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分标号：</w:t>
      </w:r>
      <w:r>
        <w:rPr>
          <w:rFonts w:hint="eastAsia" w:ascii="宋体" w:hAnsi="宋体" w:eastAsia="宋体" w:cs="宋体"/>
          <w:color w:val="auto"/>
          <w:sz w:val="21"/>
          <w:szCs w:val="21"/>
          <w:highlight w:val="none"/>
          <w:u w:val="singl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1"/>
        <w:gridCol w:w="951"/>
        <w:gridCol w:w="3159"/>
        <w:gridCol w:w="2843"/>
        <w:gridCol w:w="1552"/>
      </w:tblGrid>
      <w:tr w14:paraId="143D0E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578A82DD">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91" w:name="_Toc383699906"/>
            <w:bookmarkStart w:id="92" w:name="_Toc173211900"/>
            <w:bookmarkStart w:id="93" w:name="_Toc373333689"/>
            <w:bookmarkStart w:id="94" w:name="_Toc295404981"/>
            <w:bookmarkStart w:id="95" w:name="_Toc254970729"/>
            <w:bookmarkStart w:id="96" w:name="_Toc254970588"/>
            <w:bookmarkStart w:id="97" w:name="_Toc301781611"/>
            <w:bookmarkStart w:id="98" w:name="_Toc297193185"/>
            <w:bookmarkStart w:id="99" w:name="_Toc173066401"/>
            <w:r>
              <w:rPr>
                <w:rFonts w:hint="eastAsia" w:ascii="宋体" w:hAnsi="宋体" w:eastAsia="宋体" w:cs="宋体"/>
                <w:color w:val="auto"/>
                <w:kern w:val="2"/>
                <w:sz w:val="21"/>
                <w:szCs w:val="21"/>
                <w:highlight w:val="none"/>
                <w:lang w:val="en-US" w:eastAsia="zh-CN"/>
              </w:rPr>
              <w:t>序号</w:t>
            </w:r>
            <w:bookmarkEnd w:id="91"/>
            <w:bookmarkEnd w:id="92"/>
            <w:bookmarkEnd w:id="93"/>
            <w:bookmarkEnd w:id="94"/>
            <w:bookmarkEnd w:id="95"/>
            <w:bookmarkEnd w:id="96"/>
            <w:bookmarkEnd w:id="97"/>
            <w:bookmarkEnd w:id="98"/>
            <w:bookmarkEnd w:id="99"/>
          </w:p>
        </w:tc>
        <w:tc>
          <w:tcPr>
            <w:tcW w:w="951" w:type="dxa"/>
            <w:tcBorders>
              <w:right w:val="single" w:color="auto" w:sz="4" w:space="0"/>
            </w:tcBorders>
            <w:vAlign w:val="center"/>
          </w:tcPr>
          <w:p w14:paraId="2DA5AF65">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名称</w:t>
            </w:r>
          </w:p>
        </w:tc>
        <w:tc>
          <w:tcPr>
            <w:tcW w:w="3159" w:type="dxa"/>
            <w:tcBorders>
              <w:left w:val="single" w:color="auto" w:sz="4" w:space="0"/>
            </w:tcBorders>
            <w:vAlign w:val="center"/>
          </w:tcPr>
          <w:p w14:paraId="5FC4FF0B">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磋商文件技术需求</w:t>
            </w:r>
          </w:p>
        </w:tc>
        <w:tc>
          <w:tcPr>
            <w:tcW w:w="2843" w:type="dxa"/>
            <w:vAlign w:val="center"/>
          </w:tcPr>
          <w:p w14:paraId="6A0CFC60">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00" w:name="_Toc295404983"/>
            <w:bookmarkStart w:id="101" w:name="_Toc173211902"/>
            <w:bookmarkStart w:id="102" w:name="_Toc254970731"/>
            <w:bookmarkStart w:id="103" w:name="_Toc301781613"/>
            <w:bookmarkStart w:id="104" w:name="_Toc373333691"/>
            <w:bookmarkStart w:id="105" w:name="_Toc173066403"/>
            <w:bookmarkStart w:id="106" w:name="_Toc297193187"/>
            <w:bookmarkStart w:id="107" w:name="_Toc383699908"/>
            <w:bookmarkStart w:id="108" w:name="_Toc254970590"/>
            <w:r>
              <w:rPr>
                <w:rFonts w:hint="eastAsia" w:ascii="宋体" w:hAnsi="宋体" w:eastAsia="宋体" w:cs="宋体"/>
                <w:color w:val="auto"/>
                <w:kern w:val="2"/>
                <w:sz w:val="21"/>
                <w:szCs w:val="21"/>
                <w:highlight w:val="none"/>
                <w:lang w:val="en-US" w:eastAsia="zh-CN"/>
              </w:rPr>
              <w:t>竞标响应</w:t>
            </w:r>
            <w:bookmarkEnd w:id="100"/>
            <w:bookmarkEnd w:id="101"/>
            <w:bookmarkEnd w:id="102"/>
            <w:bookmarkEnd w:id="103"/>
            <w:bookmarkEnd w:id="104"/>
            <w:bookmarkEnd w:id="105"/>
            <w:bookmarkEnd w:id="106"/>
            <w:bookmarkEnd w:id="107"/>
            <w:bookmarkEnd w:id="108"/>
          </w:p>
        </w:tc>
        <w:tc>
          <w:tcPr>
            <w:tcW w:w="1552" w:type="dxa"/>
            <w:vAlign w:val="center"/>
          </w:tcPr>
          <w:p w14:paraId="7964A4F7">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09" w:name="_Toc373333692"/>
            <w:bookmarkStart w:id="110" w:name="_Toc383699909"/>
            <w:bookmarkStart w:id="111" w:name="_Toc295404984"/>
            <w:bookmarkStart w:id="112" w:name="_Toc297193188"/>
            <w:bookmarkStart w:id="113" w:name="_Toc254970732"/>
            <w:bookmarkStart w:id="114" w:name="_Toc173211903"/>
            <w:bookmarkStart w:id="115" w:name="_Toc173066404"/>
            <w:bookmarkStart w:id="116" w:name="_Toc301781614"/>
            <w:bookmarkStart w:id="117" w:name="_Toc254970591"/>
            <w:r>
              <w:rPr>
                <w:rFonts w:hint="eastAsia" w:ascii="宋体" w:hAnsi="宋体" w:eastAsia="宋体" w:cs="宋体"/>
                <w:color w:val="auto"/>
                <w:kern w:val="2"/>
                <w:sz w:val="21"/>
                <w:szCs w:val="21"/>
                <w:highlight w:val="none"/>
                <w:lang w:val="en-US" w:eastAsia="zh-CN"/>
              </w:rPr>
              <w:t>偏离</w:t>
            </w:r>
            <w:bookmarkEnd w:id="109"/>
            <w:bookmarkEnd w:id="110"/>
            <w:bookmarkEnd w:id="111"/>
            <w:bookmarkEnd w:id="112"/>
            <w:bookmarkEnd w:id="113"/>
            <w:bookmarkEnd w:id="114"/>
            <w:bookmarkEnd w:id="115"/>
            <w:bookmarkEnd w:id="116"/>
            <w:bookmarkEnd w:id="117"/>
            <w:bookmarkStart w:id="118" w:name="_Toc295404985"/>
            <w:bookmarkStart w:id="119" w:name="_Toc297193189"/>
            <w:bookmarkStart w:id="120" w:name="_Toc254970592"/>
            <w:bookmarkStart w:id="121" w:name="_Toc254970733"/>
            <w:bookmarkStart w:id="122" w:name="_Toc383699910"/>
            <w:bookmarkStart w:id="123" w:name="_Toc373333693"/>
            <w:bookmarkStart w:id="124" w:name="_Toc173211904"/>
            <w:bookmarkStart w:id="125" w:name="_Toc173066405"/>
            <w:bookmarkStart w:id="126" w:name="_Toc301781615"/>
            <w:r>
              <w:rPr>
                <w:rFonts w:hint="eastAsia" w:ascii="宋体" w:hAnsi="宋体" w:eastAsia="宋体" w:cs="宋体"/>
                <w:color w:val="auto"/>
                <w:kern w:val="2"/>
                <w:sz w:val="21"/>
                <w:szCs w:val="21"/>
                <w:highlight w:val="none"/>
                <w:lang w:val="en-US" w:eastAsia="zh-CN"/>
              </w:rPr>
              <w:t>说明</w:t>
            </w:r>
            <w:bookmarkEnd w:id="118"/>
            <w:bookmarkEnd w:id="119"/>
            <w:bookmarkEnd w:id="120"/>
            <w:bookmarkEnd w:id="121"/>
            <w:bookmarkEnd w:id="122"/>
            <w:bookmarkEnd w:id="123"/>
            <w:bookmarkEnd w:id="124"/>
            <w:bookmarkEnd w:id="125"/>
            <w:bookmarkEnd w:id="126"/>
          </w:p>
        </w:tc>
      </w:tr>
      <w:tr w14:paraId="7C08F7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3EE83D2D">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27" w:name="_Toc297193190"/>
            <w:bookmarkStart w:id="128" w:name="_Toc383699911"/>
            <w:bookmarkStart w:id="129" w:name="_Toc173066406"/>
            <w:bookmarkStart w:id="130" w:name="_Toc295404986"/>
            <w:bookmarkStart w:id="131" w:name="_Toc254970734"/>
            <w:bookmarkStart w:id="132" w:name="_Toc254970593"/>
            <w:bookmarkStart w:id="133" w:name="_Toc173211905"/>
            <w:bookmarkStart w:id="134" w:name="_Toc301781616"/>
            <w:bookmarkStart w:id="135" w:name="_Toc373333694"/>
            <w:r>
              <w:rPr>
                <w:rFonts w:hint="eastAsia" w:ascii="宋体" w:hAnsi="宋体" w:eastAsia="宋体" w:cs="宋体"/>
                <w:color w:val="auto"/>
                <w:kern w:val="2"/>
                <w:sz w:val="21"/>
                <w:szCs w:val="21"/>
                <w:highlight w:val="none"/>
                <w:lang w:val="en-US" w:eastAsia="zh-CN"/>
              </w:rPr>
              <w:t>1</w:t>
            </w:r>
            <w:bookmarkEnd w:id="127"/>
            <w:bookmarkEnd w:id="128"/>
            <w:bookmarkEnd w:id="129"/>
            <w:bookmarkEnd w:id="130"/>
            <w:bookmarkEnd w:id="131"/>
            <w:bookmarkEnd w:id="132"/>
            <w:bookmarkEnd w:id="133"/>
            <w:bookmarkEnd w:id="134"/>
            <w:bookmarkEnd w:id="135"/>
          </w:p>
        </w:tc>
        <w:tc>
          <w:tcPr>
            <w:tcW w:w="951" w:type="dxa"/>
            <w:tcBorders>
              <w:right w:val="single" w:color="auto" w:sz="4" w:space="0"/>
            </w:tcBorders>
            <w:vAlign w:val="center"/>
          </w:tcPr>
          <w:p w14:paraId="1C75586F">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vAlign w:val="center"/>
          </w:tcPr>
          <w:p w14:paraId="43FAACC3">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vAlign w:val="center"/>
          </w:tcPr>
          <w:p w14:paraId="299AD87B">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vAlign w:val="center"/>
          </w:tcPr>
          <w:p w14:paraId="6D47573D">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447A01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19EB3F27">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36" w:name="_Toc373333695"/>
            <w:bookmarkStart w:id="137" w:name="_Toc383699912"/>
            <w:bookmarkStart w:id="138" w:name="_Toc295404987"/>
            <w:bookmarkStart w:id="139" w:name="_Toc297193191"/>
            <w:bookmarkStart w:id="140" w:name="_Toc254970735"/>
            <w:bookmarkStart w:id="141" w:name="_Toc254970594"/>
            <w:bookmarkStart w:id="142" w:name="_Toc173066407"/>
            <w:bookmarkStart w:id="143" w:name="_Toc173211906"/>
            <w:bookmarkStart w:id="144" w:name="_Toc301781617"/>
            <w:r>
              <w:rPr>
                <w:rFonts w:hint="eastAsia" w:ascii="宋体" w:hAnsi="宋体" w:eastAsia="宋体" w:cs="宋体"/>
                <w:color w:val="auto"/>
                <w:kern w:val="2"/>
                <w:sz w:val="21"/>
                <w:szCs w:val="21"/>
                <w:highlight w:val="none"/>
                <w:lang w:val="en-US" w:eastAsia="zh-CN"/>
              </w:rPr>
              <w:t>2</w:t>
            </w:r>
            <w:bookmarkEnd w:id="136"/>
            <w:bookmarkEnd w:id="137"/>
            <w:bookmarkEnd w:id="138"/>
            <w:bookmarkEnd w:id="139"/>
            <w:bookmarkEnd w:id="140"/>
            <w:bookmarkEnd w:id="141"/>
            <w:bookmarkEnd w:id="142"/>
            <w:bookmarkEnd w:id="143"/>
            <w:bookmarkEnd w:id="144"/>
          </w:p>
        </w:tc>
        <w:tc>
          <w:tcPr>
            <w:tcW w:w="951" w:type="dxa"/>
            <w:tcBorders>
              <w:right w:val="single" w:color="auto" w:sz="4" w:space="0"/>
            </w:tcBorders>
            <w:vAlign w:val="center"/>
          </w:tcPr>
          <w:p w14:paraId="1F9DDBAF">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vAlign w:val="center"/>
          </w:tcPr>
          <w:p w14:paraId="3DE31238">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vAlign w:val="center"/>
          </w:tcPr>
          <w:p w14:paraId="3083D1E4">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vAlign w:val="center"/>
          </w:tcPr>
          <w:p w14:paraId="06D7DF7F">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33BEAC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4699E7CE">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45" w:name="_Toc297193192"/>
            <w:bookmarkStart w:id="146" w:name="_Toc254970595"/>
            <w:bookmarkStart w:id="147" w:name="_Toc301781618"/>
            <w:bookmarkStart w:id="148" w:name="_Toc173211907"/>
            <w:bookmarkStart w:id="149" w:name="_Toc254970736"/>
            <w:bookmarkStart w:id="150" w:name="_Toc173066408"/>
            <w:bookmarkStart w:id="151" w:name="_Toc383699913"/>
            <w:bookmarkStart w:id="152" w:name="_Toc295404988"/>
            <w:bookmarkStart w:id="153" w:name="_Toc373333696"/>
            <w:r>
              <w:rPr>
                <w:rFonts w:hint="eastAsia" w:ascii="宋体" w:hAnsi="宋体" w:eastAsia="宋体" w:cs="宋体"/>
                <w:color w:val="auto"/>
                <w:kern w:val="2"/>
                <w:sz w:val="21"/>
                <w:szCs w:val="21"/>
                <w:highlight w:val="none"/>
                <w:lang w:val="en-US" w:eastAsia="zh-CN"/>
              </w:rPr>
              <w:t>3</w:t>
            </w:r>
            <w:bookmarkEnd w:id="145"/>
            <w:bookmarkEnd w:id="146"/>
            <w:bookmarkEnd w:id="147"/>
            <w:bookmarkEnd w:id="148"/>
            <w:bookmarkEnd w:id="149"/>
            <w:bookmarkEnd w:id="150"/>
            <w:bookmarkEnd w:id="151"/>
            <w:bookmarkEnd w:id="152"/>
            <w:bookmarkEnd w:id="153"/>
          </w:p>
        </w:tc>
        <w:tc>
          <w:tcPr>
            <w:tcW w:w="951" w:type="dxa"/>
            <w:tcBorders>
              <w:right w:val="single" w:color="auto" w:sz="4" w:space="0"/>
            </w:tcBorders>
            <w:vAlign w:val="center"/>
          </w:tcPr>
          <w:p w14:paraId="3EF7A284">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vAlign w:val="center"/>
          </w:tcPr>
          <w:p w14:paraId="78D50F83">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vAlign w:val="center"/>
          </w:tcPr>
          <w:p w14:paraId="54C6C63D">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vAlign w:val="center"/>
          </w:tcPr>
          <w:p w14:paraId="3C37C2F4">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394D6F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5BFF0CBF">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54" w:name="_Toc254970596"/>
            <w:bookmarkStart w:id="155" w:name="_Toc373333697"/>
            <w:bookmarkStart w:id="156" w:name="_Toc301781619"/>
            <w:bookmarkStart w:id="157" w:name="_Toc297193193"/>
            <w:bookmarkStart w:id="158" w:name="_Toc254970737"/>
            <w:bookmarkStart w:id="159" w:name="_Toc295404989"/>
            <w:bookmarkStart w:id="160" w:name="_Toc383699914"/>
            <w:bookmarkStart w:id="161" w:name="_Toc173211908"/>
            <w:bookmarkStart w:id="162" w:name="_Toc173066409"/>
            <w:r>
              <w:rPr>
                <w:rFonts w:hint="eastAsia" w:ascii="宋体" w:hAnsi="宋体" w:eastAsia="宋体" w:cs="宋体"/>
                <w:color w:val="auto"/>
                <w:kern w:val="2"/>
                <w:sz w:val="21"/>
                <w:szCs w:val="21"/>
                <w:highlight w:val="none"/>
                <w:lang w:val="en-US" w:eastAsia="zh-CN"/>
              </w:rPr>
              <w:t>4</w:t>
            </w:r>
            <w:bookmarkEnd w:id="154"/>
            <w:bookmarkEnd w:id="155"/>
            <w:bookmarkEnd w:id="156"/>
            <w:bookmarkEnd w:id="157"/>
            <w:bookmarkEnd w:id="158"/>
            <w:bookmarkEnd w:id="159"/>
            <w:bookmarkEnd w:id="160"/>
            <w:bookmarkEnd w:id="161"/>
            <w:bookmarkEnd w:id="162"/>
          </w:p>
        </w:tc>
        <w:tc>
          <w:tcPr>
            <w:tcW w:w="951" w:type="dxa"/>
            <w:tcBorders>
              <w:right w:val="single" w:color="auto" w:sz="4" w:space="0"/>
            </w:tcBorders>
            <w:vAlign w:val="center"/>
          </w:tcPr>
          <w:p w14:paraId="36686ACF">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vAlign w:val="center"/>
          </w:tcPr>
          <w:p w14:paraId="623FFC35">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vAlign w:val="center"/>
          </w:tcPr>
          <w:p w14:paraId="47452961">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vAlign w:val="center"/>
          </w:tcPr>
          <w:p w14:paraId="0EFDBC78">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455D9B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08F7C15B">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63" w:name="_Toc254970738"/>
            <w:bookmarkStart w:id="164" w:name="_Toc297193194"/>
            <w:bookmarkStart w:id="165" w:name="_Toc373333698"/>
            <w:bookmarkStart w:id="166" w:name="_Toc173066410"/>
            <w:bookmarkStart w:id="167" w:name="_Toc254970597"/>
            <w:bookmarkStart w:id="168" w:name="_Toc173211909"/>
            <w:bookmarkStart w:id="169" w:name="_Toc383699915"/>
            <w:bookmarkStart w:id="170" w:name="_Toc301781620"/>
            <w:bookmarkStart w:id="171" w:name="_Toc295404990"/>
            <w:r>
              <w:rPr>
                <w:rFonts w:hint="eastAsia" w:ascii="宋体" w:hAnsi="宋体" w:eastAsia="宋体" w:cs="宋体"/>
                <w:color w:val="auto"/>
                <w:kern w:val="2"/>
                <w:sz w:val="21"/>
                <w:szCs w:val="21"/>
                <w:highlight w:val="none"/>
                <w:lang w:val="en-US" w:eastAsia="zh-CN"/>
              </w:rPr>
              <w:t>5</w:t>
            </w:r>
            <w:bookmarkEnd w:id="163"/>
            <w:bookmarkEnd w:id="164"/>
            <w:bookmarkEnd w:id="165"/>
            <w:bookmarkEnd w:id="166"/>
            <w:bookmarkEnd w:id="167"/>
            <w:bookmarkEnd w:id="168"/>
            <w:bookmarkEnd w:id="169"/>
            <w:bookmarkEnd w:id="170"/>
            <w:bookmarkEnd w:id="171"/>
          </w:p>
        </w:tc>
        <w:tc>
          <w:tcPr>
            <w:tcW w:w="951" w:type="dxa"/>
            <w:tcBorders>
              <w:right w:val="single" w:color="auto" w:sz="4" w:space="0"/>
            </w:tcBorders>
            <w:vAlign w:val="center"/>
          </w:tcPr>
          <w:p w14:paraId="40B25323">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vAlign w:val="center"/>
          </w:tcPr>
          <w:p w14:paraId="2F88102E">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vAlign w:val="center"/>
          </w:tcPr>
          <w:p w14:paraId="2F92463B">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vAlign w:val="center"/>
          </w:tcPr>
          <w:p w14:paraId="59BC9AFC">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6206B2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51" w:type="dxa"/>
            <w:vAlign w:val="center"/>
          </w:tcPr>
          <w:p w14:paraId="377C75D9">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72" w:name="_Toc383699916"/>
            <w:bookmarkStart w:id="173" w:name="_Toc173211914"/>
            <w:bookmarkStart w:id="174" w:name="_Toc373333699"/>
            <w:bookmarkStart w:id="175" w:name="_Toc254970602"/>
            <w:bookmarkStart w:id="176" w:name="_Toc295404991"/>
            <w:bookmarkStart w:id="177" w:name="_Toc173066415"/>
            <w:bookmarkStart w:id="178" w:name="_Toc301781621"/>
            <w:bookmarkStart w:id="179" w:name="_Toc297193195"/>
            <w:bookmarkStart w:id="180" w:name="_Toc254970743"/>
            <w:r>
              <w:rPr>
                <w:rFonts w:hint="eastAsia" w:ascii="宋体" w:hAnsi="宋体" w:eastAsia="宋体" w:cs="宋体"/>
                <w:color w:val="auto"/>
                <w:kern w:val="2"/>
                <w:sz w:val="21"/>
                <w:szCs w:val="21"/>
                <w:highlight w:val="none"/>
                <w:lang w:val="en-US" w:eastAsia="zh-CN"/>
              </w:rPr>
              <w:t>…</w:t>
            </w:r>
            <w:bookmarkEnd w:id="172"/>
            <w:bookmarkEnd w:id="173"/>
            <w:bookmarkEnd w:id="174"/>
            <w:bookmarkEnd w:id="175"/>
            <w:bookmarkEnd w:id="176"/>
            <w:bookmarkEnd w:id="177"/>
            <w:bookmarkEnd w:id="178"/>
            <w:bookmarkEnd w:id="179"/>
            <w:bookmarkEnd w:id="180"/>
          </w:p>
        </w:tc>
        <w:tc>
          <w:tcPr>
            <w:tcW w:w="951" w:type="dxa"/>
            <w:tcBorders>
              <w:right w:val="single" w:color="auto" w:sz="4" w:space="0"/>
            </w:tcBorders>
            <w:vAlign w:val="center"/>
          </w:tcPr>
          <w:p w14:paraId="68032D7B">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vAlign w:val="center"/>
          </w:tcPr>
          <w:p w14:paraId="2DCEEA00">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vAlign w:val="center"/>
          </w:tcPr>
          <w:p w14:paraId="706477C4">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tcBorders>
              <w:right w:val="single" w:color="auto" w:sz="4" w:space="0"/>
            </w:tcBorders>
            <w:vAlign w:val="center"/>
          </w:tcPr>
          <w:p w14:paraId="59558D24">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bl>
    <w:p w14:paraId="7D2E7BB2">
      <w:pPr>
        <w:adjustRightInd w:val="0"/>
        <w:snapToGrid w:val="0"/>
        <w:spacing w:line="360" w:lineRule="auto"/>
        <w:rPr>
          <w:rFonts w:hint="eastAsia" w:ascii="宋体" w:hAnsi="宋体" w:eastAsia="宋体" w:cs="宋体"/>
          <w:color w:val="auto"/>
          <w:sz w:val="21"/>
          <w:szCs w:val="21"/>
          <w:highlight w:val="none"/>
        </w:rPr>
      </w:pPr>
    </w:p>
    <w:p w14:paraId="282A48E7">
      <w:pPr>
        <w:pStyle w:val="12"/>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本表可自行扩展</w:t>
      </w:r>
    </w:p>
    <w:p w14:paraId="20F23549">
      <w:pPr>
        <w:pStyle w:val="12"/>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说明：应对照磋商文件“第三章 采购需求”中的技术需求逐条实质性响应，并作出偏离说明。</w:t>
      </w:r>
    </w:p>
    <w:p w14:paraId="57C8265E">
      <w:pPr>
        <w:pStyle w:val="12"/>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w:t>
      </w:r>
    </w:p>
    <w:p w14:paraId="1DDEF8F4">
      <w:pPr>
        <w:pStyle w:val="14"/>
        <w:spacing w:line="360" w:lineRule="auto"/>
        <w:rPr>
          <w:rFonts w:hint="eastAsia" w:ascii="宋体" w:hAnsi="宋体" w:eastAsia="宋体" w:cs="宋体"/>
          <w:color w:val="auto"/>
          <w:sz w:val="21"/>
          <w:szCs w:val="21"/>
          <w:highlight w:val="none"/>
        </w:rPr>
      </w:pPr>
    </w:p>
    <w:p w14:paraId="483AC9A7">
      <w:pPr>
        <w:snapToGrid w:val="0"/>
        <w:spacing w:before="50" w:after="50" w:line="360" w:lineRule="auto"/>
        <w:ind w:right="-817" w:rightChars="-389"/>
        <w:rPr>
          <w:rFonts w:hint="eastAsia" w:ascii="宋体" w:hAnsi="宋体" w:eastAsia="宋体" w:cs="宋体"/>
          <w:color w:val="auto"/>
          <w:sz w:val="21"/>
          <w:szCs w:val="21"/>
          <w:highlight w:val="none"/>
        </w:rPr>
      </w:pPr>
    </w:p>
    <w:p w14:paraId="0F0015B2">
      <w:pPr>
        <w:snapToGrid w:val="0"/>
        <w:spacing w:before="50" w:after="50" w:line="360" w:lineRule="auto"/>
        <w:ind w:right="-817" w:rightChars="-389"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                    </w:t>
      </w:r>
    </w:p>
    <w:p w14:paraId="6F77132E">
      <w:pPr>
        <w:snapToGrid w:val="0"/>
        <w:spacing w:before="50" w:after="50" w:line="360" w:lineRule="auto"/>
        <w:ind w:right="-817" w:rightChars="-389"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供应商（盖公章）：      </w:t>
      </w:r>
    </w:p>
    <w:p w14:paraId="7E0F01FD">
      <w:pPr>
        <w:snapToGrid w:val="0"/>
        <w:spacing w:before="50" w:after="50" w:line="360" w:lineRule="auto"/>
        <w:ind w:right="-817" w:rightChars="-389"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3BC9BD13">
      <w:pPr>
        <w:snapToGrid w:val="0"/>
        <w:spacing w:before="156" w:beforeLines="50" w:after="50" w:line="360" w:lineRule="auto"/>
        <w:ind w:left="142"/>
        <w:jc w:val="left"/>
        <w:rPr>
          <w:rFonts w:hint="eastAsia" w:ascii="宋体" w:hAnsi="宋体" w:eastAsia="宋体" w:cs="宋体"/>
          <w:b/>
          <w:color w:val="auto"/>
          <w:sz w:val="24"/>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4"/>
          <w:highlight w:val="none"/>
        </w:rPr>
        <w:t>项目实施人员一览表格式</w:t>
      </w:r>
    </w:p>
    <w:p w14:paraId="07BC842B">
      <w:pPr>
        <w:snapToGrid w:val="0"/>
        <w:spacing w:before="156" w:beforeLines="50" w:after="50" w:line="360" w:lineRule="auto"/>
        <w:ind w:left="142"/>
        <w:jc w:val="left"/>
        <w:rPr>
          <w:rFonts w:hint="eastAsia" w:ascii="宋体" w:hAnsi="宋体" w:eastAsia="宋体" w:cs="宋体"/>
          <w:b/>
          <w:color w:val="auto"/>
          <w:sz w:val="24"/>
          <w:highlight w:val="none"/>
        </w:rPr>
      </w:pPr>
    </w:p>
    <w:p w14:paraId="740D7EB1">
      <w:pPr>
        <w:snapToGrid w:val="0"/>
        <w:spacing w:before="156" w:beforeLines="50" w:after="50" w:line="360" w:lineRule="auto"/>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项目实施人员一览表</w:t>
      </w:r>
    </w:p>
    <w:p w14:paraId="1FE9FEC8">
      <w:pPr>
        <w:pStyle w:val="1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所竞分标：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分标</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270F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D509FED">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姓名</w:t>
            </w:r>
          </w:p>
        </w:tc>
        <w:tc>
          <w:tcPr>
            <w:tcW w:w="709" w:type="dxa"/>
            <w:vAlign w:val="center"/>
          </w:tcPr>
          <w:p w14:paraId="6ABDB0B7">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职务</w:t>
            </w:r>
          </w:p>
        </w:tc>
        <w:tc>
          <w:tcPr>
            <w:tcW w:w="1701" w:type="dxa"/>
            <w:vAlign w:val="center"/>
          </w:tcPr>
          <w:p w14:paraId="6DF0BDA3">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专业技术资格（职称）或者职业资格或者执业资格证或者其他证书</w:t>
            </w:r>
          </w:p>
        </w:tc>
        <w:tc>
          <w:tcPr>
            <w:tcW w:w="1420" w:type="dxa"/>
            <w:vAlign w:val="center"/>
          </w:tcPr>
          <w:p w14:paraId="179F4EBB">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证书编号</w:t>
            </w:r>
          </w:p>
        </w:tc>
        <w:tc>
          <w:tcPr>
            <w:tcW w:w="1698" w:type="dxa"/>
            <w:vAlign w:val="center"/>
          </w:tcPr>
          <w:p w14:paraId="1F331A33">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参加本单位</w:t>
            </w:r>
          </w:p>
          <w:p w14:paraId="3054CBD2">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工作时间</w:t>
            </w:r>
          </w:p>
        </w:tc>
        <w:tc>
          <w:tcPr>
            <w:tcW w:w="1843" w:type="dxa"/>
            <w:vAlign w:val="center"/>
          </w:tcPr>
          <w:p w14:paraId="71626CC1">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劳动合同编号</w:t>
            </w:r>
          </w:p>
        </w:tc>
      </w:tr>
      <w:tr w14:paraId="34D4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5F80596">
            <w:pPr>
              <w:snapToGrid w:val="0"/>
              <w:spacing w:before="50" w:after="156" w:afterLines="50" w:line="360" w:lineRule="auto"/>
              <w:jc w:val="center"/>
              <w:rPr>
                <w:rFonts w:hint="eastAsia" w:ascii="宋体" w:hAnsi="宋体" w:eastAsia="宋体" w:cs="宋体"/>
                <w:color w:val="auto"/>
                <w:sz w:val="21"/>
                <w:szCs w:val="16"/>
                <w:highlight w:val="none"/>
              </w:rPr>
            </w:pPr>
          </w:p>
        </w:tc>
        <w:tc>
          <w:tcPr>
            <w:tcW w:w="709" w:type="dxa"/>
            <w:vAlign w:val="center"/>
          </w:tcPr>
          <w:p w14:paraId="00EDE368">
            <w:pPr>
              <w:snapToGrid w:val="0"/>
              <w:spacing w:before="50" w:after="156" w:afterLines="50" w:line="360" w:lineRule="auto"/>
              <w:jc w:val="center"/>
              <w:rPr>
                <w:rFonts w:hint="eastAsia" w:ascii="宋体" w:hAnsi="宋体" w:eastAsia="宋体" w:cs="宋体"/>
                <w:color w:val="auto"/>
                <w:sz w:val="21"/>
                <w:szCs w:val="16"/>
                <w:highlight w:val="none"/>
              </w:rPr>
            </w:pPr>
          </w:p>
        </w:tc>
        <w:tc>
          <w:tcPr>
            <w:tcW w:w="1701" w:type="dxa"/>
            <w:vAlign w:val="center"/>
          </w:tcPr>
          <w:p w14:paraId="32B4DE14">
            <w:pPr>
              <w:snapToGrid w:val="0"/>
              <w:spacing w:before="50" w:after="156" w:afterLines="50" w:line="360" w:lineRule="auto"/>
              <w:jc w:val="center"/>
              <w:rPr>
                <w:rFonts w:hint="eastAsia" w:ascii="宋体" w:hAnsi="宋体" w:eastAsia="宋体" w:cs="宋体"/>
                <w:color w:val="auto"/>
                <w:sz w:val="21"/>
                <w:szCs w:val="16"/>
                <w:highlight w:val="none"/>
              </w:rPr>
            </w:pPr>
          </w:p>
        </w:tc>
        <w:tc>
          <w:tcPr>
            <w:tcW w:w="1420" w:type="dxa"/>
            <w:vAlign w:val="center"/>
          </w:tcPr>
          <w:p w14:paraId="330A0612">
            <w:pPr>
              <w:snapToGrid w:val="0"/>
              <w:spacing w:before="50" w:after="156" w:afterLines="50" w:line="360" w:lineRule="auto"/>
              <w:jc w:val="center"/>
              <w:rPr>
                <w:rFonts w:hint="eastAsia" w:ascii="宋体" w:hAnsi="宋体" w:eastAsia="宋体" w:cs="宋体"/>
                <w:color w:val="auto"/>
                <w:sz w:val="21"/>
                <w:szCs w:val="16"/>
                <w:highlight w:val="none"/>
              </w:rPr>
            </w:pPr>
          </w:p>
        </w:tc>
        <w:tc>
          <w:tcPr>
            <w:tcW w:w="1698" w:type="dxa"/>
            <w:vAlign w:val="center"/>
          </w:tcPr>
          <w:p w14:paraId="47D27BFA">
            <w:pPr>
              <w:snapToGrid w:val="0"/>
              <w:spacing w:before="50" w:after="156" w:afterLines="50" w:line="360" w:lineRule="auto"/>
              <w:jc w:val="center"/>
              <w:rPr>
                <w:rFonts w:hint="eastAsia" w:ascii="宋体" w:hAnsi="宋体" w:eastAsia="宋体" w:cs="宋体"/>
                <w:color w:val="auto"/>
                <w:sz w:val="21"/>
                <w:szCs w:val="16"/>
                <w:highlight w:val="none"/>
              </w:rPr>
            </w:pPr>
          </w:p>
        </w:tc>
        <w:tc>
          <w:tcPr>
            <w:tcW w:w="1843" w:type="dxa"/>
            <w:vAlign w:val="center"/>
          </w:tcPr>
          <w:p w14:paraId="59DE7B56">
            <w:pPr>
              <w:snapToGrid w:val="0"/>
              <w:spacing w:before="50" w:after="156" w:afterLines="50" w:line="360" w:lineRule="auto"/>
              <w:jc w:val="center"/>
              <w:rPr>
                <w:rFonts w:hint="eastAsia" w:ascii="宋体" w:hAnsi="宋体" w:eastAsia="宋体" w:cs="宋体"/>
                <w:color w:val="auto"/>
                <w:sz w:val="21"/>
                <w:szCs w:val="16"/>
                <w:highlight w:val="none"/>
              </w:rPr>
            </w:pPr>
          </w:p>
        </w:tc>
      </w:tr>
      <w:tr w14:paraId="20BD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68B1E75">
            <w:pPr>
              <w:snapToGrid w:val="0"/>
              <w:spacing w:before="50" w:after="156" w:afterLines="50" w:line="360" w:lineRule="auto"/>
              <w:jc w:val="center"/>
              <w:rPr>
                <w:rFonts w:hint="eastAsia" w:ascii="宋体" w:hAnsi="宋体" w:eastAsia="宋体" w:cs="宋体"/>
                <w:color w:val="auto"/>
                <w:sz w:val="21"/>
                <w:szCs w:val="16"/>
                <w:highlight w:val="none"/>
              </w:rPr>
            </w:pPr>
          </w:p>
        </w:tc>
        <w:tc>
          <w:tcPr>
            <w:tcW w:w="709" w:type="dxa"/>
            <w:vAlign w:val="center"/>
          </w:tcPr>
          <w:p w14:paraId="42C73894">
            <w:pPr>
              <w:snapToGrid w:val="0"/>
              <w:spacing w:before="50" w:after="156" w:afterLines="50" w:line="360" w:lineRule="auto"/>
              <w:jc w:val="center"/>
              <w:rPr>
                <w:rFonts w:hint="eastAsia" w:ascii="宋体" w:hAnsi="宋体" w:eastAsia="宋体" w:cs="宋体"/>
                <w:color w:val="auto"/>
                <w:sz w:val="21"/>
                <w:szCs w:val="16"/>
                <w:highlight w:val="none"/>
              </w:rPr>
            </w:pPr>
          </w:p>
        </w:tc>
        <w:tc>
          <w:tcPr>
            <w:tcW w:w="1701" w:type="dxa"/>
            <w:vAlign w:val="center"/>
          </w:tcPr>
          <w:p w14:paraId="0FDFADEB">
            <w:pPr>
              <w:snapToGrid w:val="0"/>
              <w:spacing w:before="50" w:after="156" w:afterLines="50" w:line="360" w:lineRule="auto"/>
              <w:jc w:val="center"/>
              <w:rPr>
                <w:rFonts w:hint="eastAsia" w:ascii="宋体" w:hAnsi="宋体" w:eastAsia="宋体" w:cs="宋体"/>
                <w:color w:val="auto"/>
                <w:sz w:val="21"/>
                <w:szCs w:val="16"/>
                <w:highlight w:val="none"/>
              </w:rPr>
            </w:pPr>
          </w:p>
        </w:tc>
        <w:tc>
          <w:tcPr>
            <w:tcW w:w="1420" w:type="dxa"/>
            <w:vAlign w:val="center"/>
          </w:tcPr>
          <w:p w14:paraId="45A62E2E">
            <w:pPr>
              <w:snapToGrid w:val="0"/>
              <w:spacing w:before="50" w:after="156" w:afterLines="50" w:line="360" w:lineRule="auto"/>
              <w:jc w:val="center"/>
              <w:rPr>
                <w:rFonts w:hint="eastAsia" w:ascii="宋体" w:hAnsi="宋体" w:eastAsia="宋体" w:cs="宋体"/>
                <w:color w:val="auto"/>
                <w:sz w:val="21"/>
                <w:szCs w:val="16"/>
                <w:highlight w:val="none"/>
              </w:rPr>
            </w:pPr>
          </w:p>
        </w:tc>
        <w:tc>
          <w:tcPr>
            <w:tcW w:w="1698" w:type="dxa"/>
            <w:vAlign w:val="center"/>
          </w:tcPr>
          <w:p w14:paraId="2C2C0DB6">
            <w:pPr>
              <w:snapToGrid w:val="0"/>
              <w:spacing w:before="50" w:after="156" w:afterLines="50" w:line="360" w:lineRule="auto"/>
              <w:jc w:val="center"/>
              <w:rPr>
                <w:rFonts w:hint="eastAsia" w:ascii="宋体" w:hAnsi="宋体" w:eastAsia="宋体" w:cs="宋体"/>
                <w:color w:val="auto"/>
                <w:sz w:val="21"/>
                <w:szCs w:val="16"/>
                <w:highlight w:val="none"/>
              </w:rPr>
            </w:pPr>
          </w:p>
        </w:tc>
        <w:tc>
          <w:tcPr>
            <w:tcW w:w="1843" w:type="dxa"/>
            <w:vAlign w:val="center"/>
          </w:tcPr>
          <w:p w14:paraId="276AF14B">
            <w:pPr>
              <w:snapToGrid w:val="0"/>
              <w:spacing w:before="50" w:after="156" w:afterLines="50" w:line="360" w:lineRule="auto"/>
              <w:jc w:val="center"/>
              <w:rPr>
                <w:rFonts w:hint="eastAsia" w:ascii="宋体" w:hAnsi="宋体" w:eastAsia="宋体" w:cs="宋体"/>
                <w:color w:val="auto"/>
                <w:sz w:val="21"/>
                <w:szCs w:val="16"/>
                <w:highlight w:val="none"/>
              </w:rPr>
            </w:pPr>
          </w:p>
        </w:tc>
      </w:tr>
      <w:tr w14:paraId="513D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59B43C0">
            <w:pPr>
              <w:snapToGrid w:val="0"/>
              <w:spacing w:before="50" w:after="156" w:afterLines="50" w:line="360" w:lineRule="auto"/>
              <w:jc w:val="center"/>
              <w:rPr>
                <w:rFonts w:hint="eastAsia" w:ascii="宋体" w:hAnsi="宋体" w:eastAsia="宋体" w:cs="宋体"/>
                <w:color w:val="auto"/>
                <w:sz w:val="21"/>
                <w:szCs w:val="16"/>
                <w:highlight w:val="none"/>
              </w:rPr>
            </w:pPr>
          </w:p>
        </w:tc>
        <w:tc>
          <w:tcPr>
            <w:tcW w:w="709" w:type="dxa"/>
            <w:vAlign w:val="center"/>
          </w:tcPr>
          <w:p w14:paraId="385F7B8A">
            <w:pPr>
              <w:snapToGrid w:val="0"/>
              <w:spacing w:before="50" w:after="156" w:afterLines="50" w:line="360" w:lineRule="auto"/>
              <w:jc w:val="center"/>
              <w:rPr>
                <w:rFonts w:hint="eastAsia" w:ascii="宋体" w:hAnsi="宋体" w:eastAsia="宋体" w:cs="宋体"/>
                <w:color w:val="auto"/>
                <w:sz w:val="21"/>
                <w:szCs w:val="16"/>
                <w:highlight w:val="none"/>
              </w:rPr>
            </w:pPr>
          </w:p>
        </w:tc>
        <w:tc>
          <w:tcPr>
            <w:tcW w:w="1701" w:type="dxa"/>
            <w:vAlign w:val="center"/>
          </w:tcPr>
          <w:p w14:paraId="58940617">
            <w:pPr>
              <w:snapToGrid w:val="0"/>
              <w:spacing w:before="50" w:after="156" w:afterLines="50" w:line="360" w:lineRule="auto"/>
              <w:jc w:val="center"/>
              <w:rPr>
                <w:rFonts w:hint="eastAsia" w:ascii="宋体" w:hAnsi="宋体" w:eastAsia="宋体" w:cs="宋体"/>
                <w:color w:val="auto"/>
                <w:sz w:val="21"/>
                <w:szCs w:val="16"/>
                <w:highlight w:val="none"/>
              </w:rPr>
            </w:pPr>
          </w:p>
        </w:tc>
        <w:tc>
          <w:tcPr>
            <w:tcW w:w="1420" w:type="dxa"/>
            <w:vAlign w:val="center"/>
          </w:tcPr>
          <w:p w14:paraId="2FDF2FF1">
            <w:pPr>
              <w:snapToGrid w:val="0"/>
              <w:spacing w:before="50" w:after="156" w:afterLines="50" w:line="360" w:lineRule="auto"/>
              <w:jc w:val="center"/>
              <w:rPr>
                <w:rFonts w:hint="eastAsia" w:ascii="宋体" w:hAnsi="宋体" w:eastAsia="宋体" w:cs="宋体"/>
                <w:color w:val="auto"/>
                <w:sz w:val="21"/>
                <w:szCs w:val="16"/>
                <w:highlight w:val="none"/>
              </w:rPr>
            </w:pPr>
          </w:p>
        </w:tc>
        <w:tc>
          <w:tcPr>
            <w:tcW w:w="1698" w:type="dxa"/>
            <w:vAlign w:val="center"/>
          </w:tcPr>
          <w:p w14:paraId="67931B68">
            <w:pPr>
              <w:snapToGrid w:val="0"/>
              <w:spacing w:before="50" w:after="156" w:afterLines="50" w:line="360" w:lineRule="auto"/>
              <w:jc w:val="center"/>
              <w:rPr>
                <w:rFonts w:hint="eastAsia" w:ascii="宋体" w:hAnsi="宋体" w:eastAsia="宋体" w:cs="宋体"/>
                <w:color w:val="auto"/>
                <w:sz w:val="21"/>
                <w:szCs w:val="16"/>
                <w:highlight w:val="none"/>
              </w:rPr>
            </w:pPr>
          </w:p>
        </w:tc>
        <w:tc>
          <w:tcPr>
            <w:tcW w:w="1843" w:type="dxa"/>
            <w:vAlign w:val="center"/>
          </w:tcPr>
          <w:p w14:paraId="6EFBC80B">
            <w:pPr>
              <w:snapToGrid w:val="0"/>
              <w:spacing w:before="50" w:after="156" w:afterLines="50" w:line="360" w:lineRule="auto"/>
              <w:jc w:val="center"/>
              <w:rPr>
                <w:rFonts w:hint="eastAsia" w:ascii="宋体" w:hAnsi="宋体" w:eastAsia="宋体" w:cs="宋体"/>
                <w:color w:val="auto"/>
                <w:sz w:val="21"/>
                <w:szCs w:val="16"/>
                <w:highlight w:val="none"/>
              </w:rPr>
            </w:pPr>
          </w:p>
        </w:tc>
      </w:tr>
    </w:tbl>
    <w:p w14:paraId="42592F1B">
      <w:pPr>
        <w:snapToGrid w:val="0"/>
        <w:spacing w:before="50" w:after="156" w:afterLines="50" w:line="360" w:lineRule="auto"/>
        <w:ind w:left="840" w:hanging="840" w:hangingChars="400"/>
        <w:jc w:val="left"/>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注：</w:t>
      </w:r>
      <w:r>
        <w:rPr>
          <w:rFonts w:hint="eastAsia" w:ascii="宋体" w:hAnsi="宋体" w:eastAsia="宋体" w:cs="宋体"/>
          <w:color w:val="auto"/>
          <w:kern w:val="0"/>
          <w:sz w:val="21"/>
          <w:szCs w:val="21"/>
          <w:highlight w:val="none"/>
          <w:lang w:eastAsia="zh-CN"/>
        </w:rPr>
        <w:t>本表可自行扩展，</w:t>
      </w:r>
      <w:r>
        <w:rPr>
          <w:rFonts w:hint="eastAsia" w:ascii="宋体" w:hAnsi="宋体" w:eastAsia="宋体" w:cs="宋体"/>
          <w:color w:val="auto"/>
          <w:sz w:val="21"/>
          <w:szCs w:val="16"/>
          <w:highlight w:val="none"/>
        </w:rPr>
        <w:t>在填写时，如本表格不适合供应商的实际情况，</w:t>
      </w:r>
      <w:r>
        <w:rPr>
          <w:rFonts w:hint="eastAsia" w:ascii="宋体" w:hAnsi="宋体" w:cs="宋体"/>
          <w:color w:val="auto"/>
          <w:sz w:val="21"/>
          <w:szCs w:val="16"/>
          <w:highlight w:val="none"/>
          <w:lang w:eastAsia="zh-CN"/>
        </w:rPr>
        <w:t>也</w:t>
      </w:r>
      <w:r>
        <w:rPr>
          <w:rFonts w:hint="eastAsia" w:ascii="宋体" w:hAnsi="宋体" w:eastAsia="宋体" w:cs="宋体"/>
          <w:color w:val="auto"/>
          <w:sz w:val="21"/>
          <w:szCs w:val="16"/>
          <w:highlight w:val="none"/>
        </w:rPr>
        <w:t>可根据</w:t>
      </w:r>
      <w:r>
        <w:rPr>
          <w:rFonts w:hint="eastAsia" w:ascii="宋体" w:hAnsi="宋体" w:cs="宋体"/>
          <w:color w:val="auto"/>
          <w:sz w:val="21"/>
          <w:szCs w:val="16"/>
          <w:highlight w:val="none"/>
          <w:lang w:eastAsia="zh-CN"/>
        </w:rPr>
        <w:t>项目培训实施实际</w:t>
      </w:r>
      <w:r>
        <w:rPr>
          <w:rFonts w:hint="eastAsia" w:ascii="宋体" w:hAnsi="宋体" w:eastAsia="宋体" w:cs="宋体"/>
          <w:color w:val="auto"/>
          <w:sz w:val="21"/>
          <w:szCs w:val="16"/>
          <w:highlight w:val="none"/>
        </w:rPr>
        <w:t>自行</w:t>
      </w:r>
      <w:r>
        <w:rPr>
          <w:rFonts w:hint="eastAsia" w:ascii="宋体" w:hAnsi="宋体" w:cs="宋体"/>
          <w:color w:val="auto"/>
          <w:sz w:val="21"/>
          <w:szCs w:val="16"/>
          <w:highlight w:val="none"/>
          <w:lang w:eastAsia="zh-CN"/>
        </w:rPr>
        <w:t>拟表格格式</w:t>
      </w:r>
      <w:r>
        <w:rPr>
          <w:rFonts w:hint="eastAsia" w:ascii="宋体" w:hAnsi="宋体" w:eastAsia="宋体" w:cs="宋体"/>
          <w:color w:val="auto"/>
          <w:sz w:val="21"/>
          <w:szCs w:val="16"/>
          <w:highlight w:val="none"/>
        </w:rPr>
        <w:t>填写。</w:t>
      </w:r>
    </w:p>
    <w:p w14:paraId="42187EE1">
      <w:pPr>
        <w:snapToGrid w:val="0"/>
        <w:spacing w:before="50" w:after="50" w:line="360" w:lineRule="auto"/>
        <w:rPr>
          <w:rFonts w:hint="eastAsia" w:ascii="宋体" w:hAnsi="宋体" w:eastAsia="宋体" w:cs="宋体"/>
          <w:color w:val="auto"/>
          <w:spacing w:val="20"/>
          <w:sz w:val="21"/>
          <w:szCs w:val="16"/>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签字：</w:t>
      </w:r>
      <w:r>
        <w:rPr>
          <w:rFonts w:hint="eastAsia" w:ascii="宋体" w:hAnsi="宋体" w:eastAsia="宋体" w:cs="宋体"/>
          <w:color w:val="auto"/>
          <w:spacing w:val="20"/>
          <w:sz w:val="21"/>
          <w:szCs w:val="21"/>
          <w:highlight w:val="none"/>
          <w:u w:val="single"/>
        </w:rPr>
        <w:t xml:space="preserve">        </w:t>
      </w:r>
    </w:p>
    <w:p w14:paraId="561D93D8">
      <w:pPr>
        <w:snapToGrid w:val="0"/>
        <w:spacing w:before="50" w:after="156" w:afterLines="50" w:line="360" w:lineRule="auto"/>
        <w:jc w:val="left"/>
        <w:rPr>
          <w:rFonts w:hint="eastAsia" w:ascii="宋体" w:hAnsi="宋体" w:eastAsia="宋体" w:cs="宋体"/>
          <w:color w:val="auto"/>
          <w:sz w:val="21"/>
          <w:szCs w:val="16"/>
          <w:highlight w:val="none"/>
        </w:rPr>
      </w:pPr>
      <w:r>
        <w:rPr>
          <w:rFonts w:hint="eastAsia" w:ascii="宋体" w:hAnsi="宋体" w:eastAsia="宋体" w:cs="宋体"/>
          <w:color w:val="auto"/>
          <w:spacing w:val="20"/>
          <w:sz w:val="21"/>
          <w:szCs w:val="21"/>
          <w:highlight w:val="none"/>
        </w:rPr>
        <w:t>供应商（盖公章）：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日 期：</w:t>
      </w:r>
      <w:r>
        <w:rPr>
          <w:rFonts w:hint="eastAsia" w:ascii="宋体" w:hAnsi="宋体" w:eastAsia="宋体" w:cs="宋体"/>
          <w:color w:val="auto"/>
          <w:spacing w:val="20"/>
          <w:sz w:val="21"/>
          <w:szCs w:val="21"/>
          <w:highlight w:val="none"/>
          <w:u w:val="single"/>
        </w:rPr>
        <w:t xml:space="preserve">         </w:t>
      </w:r>
    </w:p>
    <w:p w14:paraId="65179747">
      <w:pPr>
        <w:snapToGrid w:val="0"/>
        <w:spacing w:before="50" w:after="156" w:afterLines="50" w:line="360" w:lineRule="auto"/>
        <w:jc w:val="left"/>
        <w:rPr>
          <w:rFonts w:hint="eastAsia" w:ascii="宋体" w:hAnsi="宋体" w:eastAsia="宋体" w:cs="宋体"/>
          <w:color w:val="auto"/>
          <w:sz w:val="21"/>
          <w:szCs w:val="16"/>
          <w:highlight w:val="none"/>
        </w:rPr>
      </w:pPr>
    </w:p>
    <w:p w14:paraId="08D88949">
      <w:pPr>
        <w:snapToGrid w:val="0"/>
        <w:spacing w:before="50" w:after="50" w:line="360" w:lineRule="auto"/>
        <w:ind w:right="-817" w:rightChars="-389" w:firstLine="4096" w:firstLineChars="1700"/>
        <w:rPr>
          <w:rFonts w:hint="eastAsia" w:ascii="宋体" w:hAnsi="宋体" w:eastAsia="宋体" w:cs="宋体"/>
          <w:b/>
          <w:color w:val="auto"/>
          <w:sz w:val="24"/>
          <w:szCs w:val="24"/>
          <w:highlight w:val="none"/>
        </w:rPr>
      </w:pPr>
    </w:p>
    <w:p w14:paraId="173A7851">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4"/>
          <w:highlight w:val="none"/>
        </w:rPr>
        <w:t>其他文书、文件格式</w:t>
      </w:r>
    </w:p>
    <w:p w14:paraId="244ABEFA">
      <w:pPr>
        <w:pStyle w:val="2"/>
        <w:spacing w:before="146" w:line="500" w:lineRule="exact"/>
        <w:ind w:right="142"/>
        <w:jc w:val="center"/>
        <w:rPr>
          <w:b w:val="0"/>
          <w:bCs w:val="0"/>
          <w:color w:val="auto"/>
          <w:highlight w:val="none"/>
        </w:rPr>
      </w:pPr>
      <w:bookmarkStart w:id="181" w:name="_Toc26133"/>
      <w:bookmarkStart w:id="182" w:name="_Toc11896"/>
      <w:bookmarkStart w:id="183" w:name="_Toc13230"/>
      <w:r>
        <w:rPr>
          <w:color w:val="auto"/>
          <w:highlight w:val="none"/>
        </w:rPr>
        <w:t>中小企业声明函（</w:t>
      </w:r>
      <w:r>
        <w:rPr>
          <w:rFonts w:hint="eastAsia" w:cs="宋体"/>
          <w:color w:val="auto"/>
          <w:highlight w:val="none"/>
        </w:rPr>
        <w:t>服务</w:t>
      </w:r>
      <w:r>
        <w:rPr>
          <w:color w:val="auto"/>
          <w:highlight w:val="none"/>
        </w:rPr>
        <w:t>）</w:t>
      </w:r>
      <w:bookmarkEnd w:id="181"/>
      <w:bookmarkEnd w:id="182"/>
      <w:bookmarkEnd w:id="183"/>
    </w:p>
    <w:p w14:paraId="2A23012E">
      <w:pPr>
        <w:pStyle w:val="11"/>
        <w:spacing w:line="500" w:lineRule="exact"/>
        <w:ind w:right="142" w:firstLine="617" w:firstLineChars="294"/>
        <w:rPr>
          <w:rFonts w:ascii="宋体" w:hAnsi="宋体"/>
          <w:color w:val="auto"/>
          <w:szCs w:val="21"/>
          <w:highlight w:val="none"/>
        </w:rPr>
      </w:pPr>
      <w:r>
        <w:rPr>
          <w:rFonts w:ascii="宋体" w:hAnsi="宋体"/>
          <w:color w:val="auto"/>
          <w:szCs w:val="21"/>
          <w:highlight w:val="none"/>
        </w:rPr>
        <w:t>本公司（联合体）郑重声明，根据《政府采购促进中小企业发展管理办法》（财库﹝2020﹞46号）的规定，本公司（联合体）参加</w:t>
      </w:r>
      <w:r>
        <w:rPr>
          <w:rFonts w:ascii="宋体" w:hAnsi="宋体"/>
          <w:color w:val="auto"/>
          <w:szCs w:val="21"/>
          <w:highlight w:val="none"/>
          <w:u w:val="single"/>
        </w:rPr>
        <w:t>（单位名称）</w:t>
      </w:r>
      <w:r>
        <w:rPr>
          <w:rFonts w:ascii="宋体" w:hAnsi="宋体"/>
          <w:color w:val="auto"/>
          <w:szCs w:val="21"/>
          <w:highlight w:val="none"/>
        </w:rPr>
        <w:t>的</w:t>
      </w:r>
      <w:r>
        <w:rPr>
          <w:rFonts w:ascii="宋体" w:hAnsi="宋体"/>
          <w:color w:val="auto"/>
          <w:szCs w:val="21"/>
          <w:highlight w:val="none"/>
          <w:u w:val="single"/>
        </w:rPr>
        <w:t>（项目名称）</w:t>
      </w:r>
      <w:r>
        <w:rPr>
          <w:rFonts w:ascii="宋体" w:hAnsi="宋体"/>
          <w:color w:val="auto"/>
          <w:szCs w:val="21"/>
          <w:highlight w:val="none"/>
        </w:rPr>
        <w:t>采购活动，</w:t>
      </w:r>
      <w:r>
        <w:rPr>
          <w:rFonts w:hint="eastAsia" w:ascii="宋体" w:hAnsi="宋体"/>
          <w:color w:val="auto"/>
          <w:szCs w:val="21"/>
          <w:highlight w:val="none"/>
        </w:rPr>
        <w:t>服务全部由符合政策要求的中小企业承接。相关企业的具体情况如下：</w:t>
      </w:r>
    </w:p>
    <w:p w14:paraId="797E748F">
      <w:pPr>
        <w:tabs>
          <w:tab w:val="left" w:pos="1384"/>
          <w:tab w:val="left" w:pos="4562"/>
          <w:tab w:val="left" w:pos="6803"/>
        </w:tabs>
        <w:spacing w:before="13" w:line="500" w:lineRule="exact"/>
        <w:ind w:right="142" w:firstLine="676" w:firstLineChars="322"/>
        <w:rPr>
          <w:rFonts w:ascii="宋体" w:hAnsi="宋体"/>
          <w:color w:val="auto"/>
          <w:szCs w:val="21"/>
          <w:highlight w:val="none"/>
        </w:rPr>
      </w:pPr>
      <w:r>
        <w:rPr>
          <w:rFonts w:ascii="宋体" w:hAnsi="宋体"/>
          <w:color w:val="auto"/>
          <w:szCs w:val="21"/>
          <w:highlight w:val="none"/>
        </w:rPr>
        <w:t>1.</w:t>
      </w:r>
      <w:r>
        <w:rPr>
          <w:rFonts w:ascii="宋体" w:hAnsi="宋体"/>
          <w:color w:val="auto"/>
          <w:szCs w:val="21"/>
          <w:highlight w:val="none"/>
          <w:u w:val="single"/>
        </w:rPr>
        <w:t>（标的名称）</w:t>
      </w:r>
      <w:r>
        <w:rPr>
          <w:rFonts w:ascii="宋体" w:hAnsi="宋体"/>
          <w:color w:val="auto"/>
          <w:szCs w:val="21"/>
          <w:highlight w:val="none"/>
        </w:rPr>
        <w:t>，属于</w:t>
      </w:r>
      <w:r>
        <w:rPr>
          <w:rFonts w:ascii="宋体" w:hAnsi="宋体"/>
          <w:color w:val="auto"/>
          <w:szCs w:val="21"/>
          <w:highlight w:val="none"/>
          <w:u w:val="single"/>
        </w:rPr>
        <w:t>（采购文件中明确的所属</w:t>
      </w:r>
      <w:r>
        <w:rPr>
          <w:rFonts w:hint="eastAsia" w:ascii="宋体" w:hAnsi="宋体"/>
          <w:color w:val="auto"/>
          <w:szCs w:val="21"/>
          <w:highlight w:val="none"/>
          <w:u w:val="single"/>
        </w:rPr>
        <w:t>行</w:t>
      </w:r>
      <w:r>
        <w:rPr>
          <w:rFonts w:ascii="宋体" w:hAnsi="宋体"/>
          <w:color w:val="auto"/>
          <w:szCs w:val="21"/>
          <w:highlight w:val="none"/>
          <w:u w:val="single"/>
        </w:rPr>
        <w:t>业）</w:t>
      </w:r>
      <w:r>
        <w:rPr>
          <w:rFonts w:ascii="宋体" w:hAnsi="宋体"/>
          <w:color w:val="auto"/>
          <w:szCs w:val="21"/>
          <w:highlight w:val="none"/>
        </w:rPr>
        <w:t>；</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w:t>
      </w:r>
      <w:r>
        <w:rPr>
          <w:rFonts w:ascii="宋体" w:hAnsi="宋体"/>
          <w:color w:val="auto"/>
          <w:szCs w:val="21"/>
          <w:highlight w:val="none"/>
        </w:rPr>
        <w:t>，属于</w:t>
      </w:r>
      <w:r>
        <w:rPr>
          <w:rFonts w:ascii="宋体" w:hAnsi="宋体"/>
          <w:color w:val="auto"/>
          <w:szCs w:val="21"/>
          <w:highlight w:val="none"/>
          <w:u w:val="single"/>
        </w:rPr>
        <w:t>（中型企业、</w:t>
      </w:r>
      <w:r>
        <w:rPr>
          <w:rFonts w:hint="eastAsia" w:ascii="宋体" w:hAnsi="宋体"/>
          <w:color w:val="auto"/>
          <w:szCs w:val="21"/>
          <w:highlight w:val="none"/>
          <w:u w:val="single"/>
        </w:rPr>
        <w:t>小型企业、微型企业）</w:t>
      </w:r>
      <w:r>
        <w:rPr>
          <w:rFonts w:hint="eastAsia" w:ascii="宋体" w:hAnsi="宋体"/>
          <w:color w:val="auto"/>
          <w:szCs w:val="21"/>
          <w:highlight w:val="none"/>
        </w:rPr>
        <w:t>；</w:t>
      </w:r>
    </w:p>
    <w:p w14:paraId="56CBB6F3">
      <w:pPr>
        <w:tabs>
          <w:tab w:val="left" w:pos="1065"/>
          <w:tab w:val="left" w:pos="4262"/>
          <w:tab w:val="left" w:pos="6477"/>
        </w:tabs>
        <w:spacing w:before="20" w:line="500" w:lineRule="exact"/>
        <w:ind w:right="84" w:firstLine="676" w:firstLineChars="322"/>
        <w:rPr>
          <w:rFonts w:ascii="宋体" w:hAnsi="宋体"/>
          <w:color w:val="auto"/>
          <w:szCs w:val="21"/>
          <w:highlight w:val="none"/>
          <w:u w:val="single"/>
        </w:rPr>
      </w:pPr>
      <w:r>
        <w:rPr>
          <w:rFonts w:ascii="宋体" w:hAnsi="宋体"/>
          <w:color w:val="auto"/>
          <w:szCs w:val="21"/>
          <w:highlight w:val="none"/>
        </w:rPr>
        <w:t>2.</w:t>
      </w:r>
      <w:r>
        <w:rPr>
          <w:rFonts w:ascii="宋体" w:hAnsi="宋体"/>
          <w:color w:val="auto"/>
          <w:szCs w:val="21"/>
          <w:highlight w:val="none"/>
          <w:u w:val="single"/>
        </w:rPr>
        <w:t>（标的名称）</w:t>
      </w:r>
      <w:r>
        <w:rPr>
          <w:rFonts w:ascii="宋体" w:hAnsi="宋体"/>
          <w:color w:val="auto"/>
          <w:szCs w:val="21"/>
          <w:highlight w:val="none"/>
        </w:rPr>
        <w:t>，属于</w:t>
      </w:r>
      <w:r>
        <w:rPr>
          <w:rFonts w:ascii="宋体" w:hAnsi="宋体"/>
          <w:color w:val="auto"/>
          <w:szCs w:val="21"/>
          <w:highlight w:val="none"/>
          <w:u w:val="single"/>
        </w:rPr>
        <w:t>（采购文件中明确的所属</w:t>
      </w:r>
      <w:r>
        <w:rPr>
          <w:rFonts w:hint="eastAsia" w:ascii="宋体" w:hAnsi="宋体"/>
          <w:color w:val="auto"/>
          <w:szCs w:val="21"/>
          <w:highlight w:val="none"/>
          <w:u w:val="single"/>
        </w:rPr>
        <w:t>行业</w:t>
      </w:r>
      <w:r>
        <w:rPr>
          <w:rFonts w:ascii="宋体" w:hAnsi="宋体"/>
          <w:color w:val="auto"/>
          <w:szCs w:val="21"/>
          <w:highlight w:val="none"/>
          <w:u w:val="single"/>
        </w:rPr>
        <w:t>）</w:t>
      </w:r>
      <w:r>
        <w:rPr>
          <w:rFonts w:ascii="宋体" w:hAnsi="宋体"/>
          <w:color w:val="auto"/>
          <w:szCs w:val="21"/>
          <w:highlight w:val="none"/>
        </w:rPr>
        <w:t>；</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w:t>
      </w:r>
      <w:r>
        <w:rPr>
          <w:rFonts w:ascii="宋体" w:hAnsi="宋体"/>
          <w:color w:val="auto"/>
          <w:szCs w:val="21"/>
          <w:highlight w:val="none"/>
        </w:rPr>
        <w:t>，属于</w:t>
      </w:r>
      <w:r>
        <w:rPr>
          <w:rFonts w:ascii="宋体" w:hAnsi="宋体"/>
          <w:color w:val="auto"/>
          <w:szCs w:val="21"/>
          <w:highlight w:val="none"/>
          <w:u w:val="single"/>
        </w:rPr>
        <w:t>（中型企业、</w:t>
      </w:r>
      <w:r>
        <w:rPr>
          <w:rFonts w:hint="eastAsia" w:ascii="宋体" w:hAnsi="宋体"/>
          <w:color w:val="auto"/>
          <w:szCs w:val="21"/>
          <w:highlight w:val="none"/>
          <w:u w:val="single"/>
        </w:rPr>
        <w:t>小型企业、微型企业）</w:t>
      </w:r>
      <w:r>
        <w:rPr>
          <w:rFonts w:hint="eastAsia" w:ascii="宋体" w:hAnsi="宋体"/>
          <w:color w:val="auto"/>
          <w:szCs w:val="21"/>
          <w:highlight w:val="none"/>
        </w:rPr>
        <w:t>；</w:t>
      </w:r>
    </w:p>
    <w:p w14:paraId="7E6F9F83">
      <w:pPr>
        <w:pStyle w:val="11"/>
        <w:spacing w:before="34" w:line="500" w:lineRule="exact"/>
        <w:ind w:right="142" w:firstLine="617" w:firstLineChars="294"/>
        <w:rPr>
          <w:rFonts w:ascii="宋体" w:hAnsi="宋体"/>
          <w:color w:val="auto"/>
          <w:szCs w:val="21"/>
          <w:highlight w:val="none"/>
        </w:rPr>
      </w:pPr>
      <w:r>
        <w:rPr>
          <w:rFonts w:ascii="宋体" w:hAnsi="宋体"/>
          <w:color w:val="auto"/>
          <w:szCs w:val="21"/>
          <w:highlight w:val="none"/>
        </w:rPr>
        <w:t xml:space="preserve">…… </w:t>
      </w:r>
    </w:p>
    <w:p w14:paraId="654B6F15">
      <w:pPr>
        <w:pStyle w:val="11"/>
        <w:spacing w:before="34" w:line="500" w:lineRule="exact"/>
        <w:ind w:right="142" w:firstLine="617" w:firstLineChars="294"/>
        <w:rPr>
          <w:rFonts w:ascii="宋体" w:hAnsi="宋体"/>
          <w:color w:val="auto"/>
          <w:szCs w:val="21"/>
          <w:highlight w:val="none"/>
        </w:rPr>
      </w:pPr>
      <w:r>
        <w:rPr>
          <w:rFonts w:ascii="宋体" w:hAnsi="宋体"/>
          <w:color w:val="auto"/>
          <w:szCs w:val="21"/>
          <w:highlight w:val="none"/>
        </w:rPr>
        <w:t>以上企业，不属于大企业的分支机构，不存在控股股东为大企业的情形，也不存在与大企业的负责人为同一人的情形。</w:t>
      </w:r>
    </w:p>
    <w:p w14:paraId="4B8CB948">
      <w:pPr>
        <w:pStyle w:val="11"/>
        <w:spacing w:before="25" w:line="500" w:lineRule="exact"/>
        <w:ind w:right="142" w:firstLine="617" w:firstLineChars="294"/>
        <w:rPr>
          <w:rFonts w:ascii="宋体" w:hAnsi="宋体"/>
          <w:color w:val="auto"/>
          <w:szCs w:val="21"/>
          <w:highlight w:val="none"/>
        </w:rPr>
      </w:pPr>
      <w:r>
        <w:rPr>
          <w:rFonts w:ascii="宋体" w:hAnsi="宋体"/>
          <w:color w:val="auto"/>
          <w:szCs w:val="21"/>
          <w:highlight w:val="none"/>
        </w:rPr>
        <w:t>本企业对上述声明内容的真实性负责。如有虚假，将依法承担相应责任。</w:t>
      </w:r>
    </w:p>
    <w:p w14:paraId="7D3DACE3">
      <w:pPr>
        <w:pStyle w:val="11"/>
        <w:spacing w:before="56" w:line="500" w:lineRule="exact"/>
        <w:ind w:right="1808" w:firstLine="617" w:firstLineChars="294"/>
        <w:rPr>
          <w:rFonts w:hint="eastAsia" w:ascii="宋体" w:hAnsi="宋体"/>
          <w:color w:val="auto"/>
          <w:szCs w:val="21"/>
          <w:highlight w:val="none"/>
        </w:rPr>
      </w:pPr>
    </w:p>
    <w:p w14:paraId="783D8731">
      <w:pPr>
        <w:pStyle w:val="11"/>
        <w:spacing w:before="56" w:line="500" w:lineRule="exact"/>
        <w:ind w:right="650" w:firstLine="4922" w:firstLineChars="2344"/>
        <w:rPr>
          <w:rFonts w:ascii="宋体" w:hAnsi="宋体"/>
          <w:color w:val="auto"/>
          <w:szCs w:val="21"/>
          <w:highlight w:val="none"/>
        </w:rPr>
      </w:pPr>
      <w:r>
        <w:rPr>
          <w:rFonts w:ascii="宋体" w:hAnsi="宋体"/>
          <w:color w:val="auto"/>
          <w:szCs w:val="21"/>
          <w:highlight w:val="none"/>
        </w:rPr>
        <w:t xml:space="preserve">企业名称（章）： </w:t>
      </w:r>
    </w:p>
    <w:p w14:paraId="34977D0A">
      <w:pPr>
        <w:pStyle w:val="11"/>
        <w:spacing w:before="56" w:line="500" w:lineRule="exact"/>
        <w:ind w:right="1808" w:firstLine="4922" w:firstLineChars="2344"/>
        <w:rPr>
          <w:rFonts w:ascii="宋体" w:hAnsi="宋体"/>
          <w:color w:val="auto"/>
          <w:szCs w:val="21"/>
          <w:highlight w:val="none"/>
        </w:rPr>
      </w:pPr>
      <w:r>
        <w:rPr>
          <w:rFonts w:ascii="宋体" w:hAnsi="宋体"/>
          <w:color w:val="auto"/>
          <w:szCs w:val="21"/>
          <w:highlight w:val="none"/>
        </w:rPr>
        <w:t>日 期：</w:t>
      </w:r>
    </w:p>
    <w:p w14:paraId="62B27CEE">
      <w:pPr>
        <w:spacing w:line="520" w:lineRule="exact"/>
        <w:jc w:val="left"/>
        <w:rPr>
          <w:rFonts w:hint="eastAsia" w:ascii="宋体" w:hAnsi="宋体" w:cs="仿宋_GB2312"/>
          <w:color w:val="auto"/>
          <w:szCs w:val="21"/>
          <w:highlight w:val="none"/>
        </w:rPr>
      </w:pPr>
      <w:r>
        <w:rPr>
          <w:rFonts w:hint="eastAsia" w:ascii="宋体" w:hAnsi="宋体" w:cs="仿宋_GB2312"/>
          <w:color w:val="auto"/>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6A16D58">
      <w:pPr>
        <w:spacing w:line="360" w:lineRule="auto"/>
        <w:rPr>
          <w:rFonts w:hint="eastAsia" w:ascii="宋体" w:hAnsi="宋体" w:eastAsia="宋体" w:cs="宋体"/>
          <w:color w:val="auto"/>
          <w:sz w:val="21"/>
          <w:szCs w:val="21"/>
          <w:highlight w:val="none"/>
        </w:rPr>
      </w:pPr>
    </w:p>
    <w:p w14:paraId="6A896863">
      <w:pPr>
        <w:pStyle w:val="5"/>
        <w:rPr>
          <w:rFonts w:hint="eastAsia" w:ascii="宋体" w:hAnsi="宋体" w:eastAsia="宋体" w:cs="宋体"/>
          <w:color w:val="auto"/>
          <w:sz w:val="21"/>
          <w:szCs w:val="21"/>
          <w:highlight w:val="none"/>
        </w:rPr>
      </w:pPr>
    </w:p>
    <w:p w14:paraId="47A02BD0">
      <w:pPr>
        <w:rPr>
          <w:rFonts w:hint="eastAsia" w:ascii="宋体" w:hAnsi="宋体" w:eastAsia="宋体" w:cs="宋体"/>
          <w:color w:val="auto"/>
          <w:sz w:val="21"/>
          <w:szCs w:val="21"/>
          <w:highlight w:val="none"/>
        </w:rPr>
      </w:pPr>
    </w:p>
    <w:p w14:paraId="319B3651">
      <w:pPr>
        <w:pStyle w:val="5"/>
        <w:rPr>
          <w:rFonts w:hint="eastAsia"/>
          <w:color w:val="auto"/>
          <w:highlight w:val="none"/>
        </w:rPr>
      </w:pPr>
    </w:p>
    <w:p w14:paraId="33FA81EA">
      <w:pPr>
        <w:pStyle w:val="5"/>
        <w:ind w:left="0" w:leftChars="0" w:firstLine="0" w:firstLineChars="0"/>
        <w:rPr>
          <w:rFonts w:hint="eastAsia"/>
          <w:color w:val="auto"/>
          <w:highlight w:val="none"/>
        </w:rPr>
      </w:pPr>
    </w:p>
    <w:p w14:paraId="09FB171A">
      <w:pPr>
        <w:spacing w:line="360" w:lineRule="auto"/>
        <w:jc w:val="both"/>
        <w:rPr>
          <w:rFonts w:hint="eastAsia" w:ascii="宋体" w:hAnsi="宋体" w:eastAsia="宋体" w:cs="宋体"/>
          <w:color w:val="auto"/>
          <w:sz w:val="36"/>
          <w:szCs w:val="36"/>
          <w:highlight w:val="none"/>
        </w:rPr>
      </w:pPr>
    </w:p>
    <w:p w14:paraId="02746A3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36"/>
          <w:szCs w:val="36"/>
          <w:highlight w:val="none"/>
        </w:rPr>
        <w:t>残疾人福利性单位声明函</w:t>
      </w:r>
    </w:p>
    <w:p w14:paraId="5F6E6F93">
      <w:pPr>
        <w:spacing w:line="360" w:lineRule="auto"/>
        <w:rPr>
          <w:rFonts w:hint="eastAsia" w:ascii="宋体" w:hAnsi="宋体" w:eastAsia="宋体" w:cs="宋体"/>
          <w:color w:val="auto"/>
          <w:sz w:val="24"/>
          <w:szCs w:val="24"/>
          <w:highlight w:val="none"/>
        </w:rPr>
      </w:pPr>
    </w:p>
    <w:p w14:paraId="60F909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单位的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2DCCE6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2B54EF9A">
      <w:pPr>
        <w:spacing w:line="360" w:lineRule="auto"/>
        <w:rPr>
          <w:rFonts w:hint="eastAsia" w:ascii="宋体" w:hAnsi="宋体" w:eastAsia="宋体" w:cs="宋体"/>
          <w:color w:val="auto"/>
          <w:sz w:val="21"/>
          <w:szCs w:val="21"/>
          <w:highlight w:val="none"/>
        </w:rPr>
      </w:pPr>
    </w:p>
    <w:p w14:paraId="13E03F81">
      <w:pPr>
        <w:spacing w:line="360" w:lineRule="auto"/>
        <w:rPr>
          <w:rFonts w:hint="eastAsia" w:ascii="宋体" w:hAnsi="宋体" w:eastAsia="宋体" w:cs="宋体"/>
          <w:color w:val="auto"/>
          <w:sz w:val="21"/>
          <w:szCs w:val="21"/>
          <w:highlight w:val="none"/>
        </w:rPr>
      </w:pPr>
    </w:p>
    <w:p w14:paraId="4F3E24F4">
      <w:pPr>
        <w:spacing w:line="360" w:lineRule="auto"/>
        <w:rPr>
          <w:rFonts w:hint="eastAsia" w:ascii="宋体" w:hAnsi="宋体" w:eastAsia="宋体" w:cs="宋体"/>
          <w:color w:val="auto"/>
          <w:sz w:val="21"/>
          <w:szCs w:val="21"/>
          <w:highlight w:val="none"/>
        </w:rPr>
      </w:pPr>
    </w:p>
    <w:p w14:paraId="38473D89">
      <w:pPr>
        <w:spacing w:line="360" w:lineRule="auto"/>
        <w:ind w:firstLine="2100" w:firstLineChars="1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单位名称（盖章）：</w:t>
      </w:r>
    </w:p>
    <w:p w14:paraId="2DFC7955">
      <w:pPr>
        <w:spacing w:line="360" w:lineRule="auto"/>
        <w:ind w:firstLine="3150" w:firstLine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516AB000">
      <w:pPr>
        <w:spacing w:line="360" w:lineRule="auto"/>
        <w:rPr>
          <w:rFonts w:hint="eastAsia" w:ascii="宋体" w:hAnsi="宋体" w:eastAsia="宋体" w:cs="宋体"/>
          <w:color w:val="auto"/>
          <w:sz w:val="21"/>
          <w:szCs w:val="21"/>
          <w:highlight w:val="none"/>
        </w:rPr>
      </w:pPr>
    </w:p>
    <w:p w14:paraId="18584768">
      <w:pPr>
        <w:spacing w:line="360" w:lineRule="auto"/>
        <w:rPr>
          <w:rFonts w:hint="eastAsia" w:ascii="宋体" w:hAnsi="宋体" w:eastAsia="宋体" w:cs="宋体"/>
          <w:color w:val="auto"/>
          <w:sz w:val="21"/>
          <w:szCs w:val="21"/>
          <w:highlight w:val="none"/>
        </w:rPr>
      </w:pPr>
    </w:p>
    <w:p w14:paraId="5169A0FD">
      <w:pPr>
        <w:spacing w:line="360" w:lineRule="auto"/>
        <w:rPr>
          <w:rFonts w:hint="eastAsia" w:ascii="宋体" w:hAnsi="宋体" w:eastAsia="宋体" w:cs="宋体"/>
          <w:color w:val="auto"/>
          <w:sz w:val="21"/>
          <w:szCs w:val="21"/>
          <w:highlight w:val="none"/>
        </w:rPr>
      </w:pPr>
    </w:p>
    <w:p w14:paraId="3C0A474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1DB3705">
      <w:pPr>
        <w:pStyle w:val="5"/>
        <w:rPr>
          <w:rFonts w:hint="eastAsia"/>
          <w:color w:val="auto"/>
          <w:highlight w:val="none"/>
        </w:rPr>
      </w:pPr>
    </w:p>
    <w:p w14:paraId="73CA706B">
      <w:pPr>
        <w:pStyle w:val="3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14:paraId="3E4A5C19">
      <w:pPr>
        <w:pStyle w:val="3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附件：</w:t>
      </w:r>
    </w:p>
    <w:p w14:paraId="3F5DF111">
      <w:pPr>
        <w:pStyle w:val="37"/>
        <w:jc w:val="center"/>
        <w:rPr>
          <w:rFonts w:hint="eastAsia"/>
          <w:b/>
          <w:bCs/>
          <w:color w:val="auto"/>
          <w:sz w:val="24"/>
          <w:szCs w:val="32"/>
          <w:highlight w:val="none"/>
          <w:lang w:eastAsia="zh-CN"/>
        </w:rPr>
      </w:pPr>
      <w:r>
        <w:rPr>
          <w:rFonts w:hint="eastAsia"/>
          <w:b/>
          <w:bCs/>
          <w:color w:val="auto"/>
          <w:sz w:val="24"/>
          <w:szCs w:val="32"/>
          <w:highlight w:val="none"/>
          <w:lang w:eastAsia="zh-CN"/>
        </w:rPr>
        <w:t>关于印发中小企业划型标准规定的通知(工信部联企业〔2011〕300号)</w:t>
      </w:r>
    </w:p>
    <w:p w14:paraId="7E6668B2">
      <w:pPr>
        <w:pStyle w:val="38"/>
        <w:rPr>
          <w:rFonts w:hint="eastAsia"/>
          <w:color w:val="auto"/>
          <w:highlight w:val="none"/>
          <w:lang w:eastAsia="zh-CN"/>
        </w:rPr>
      </w:pPr>
    </w:p>
    <w:p w14:paraId="37AA0635">
      <w:pPr>
        <w:pStyle w:val="37"/>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关于印发中小企业划型标准规定的通知</w:t>
      </w:r>
    </w:p>
    <w:p w14:paraId="47FA797F">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工信部联企业〔2011〕300号各省、自治区、直辖市人民政府，国务院各部委、各直属机构及有关单位：</w:t>
      </w:r>
    </w:p>
    <w:p w14:paraId="3F48E81B">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AE56BFA">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工业和信息化部　国家统计局</w:t>
      </w:r>
    </w:p>
    <w:p w14:paraId="3FE49BFD">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国家发展和改革委员会　财政部</w:t>
      </w:r>
    </w:p>
    <w:p w14:paraId="41E9B4E0">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二○一一年六月十八日中小企业划型标准规定　　一、根据《中华人民共和国中小企业促进法》和《国务院关于进一步促进中小企业发展的若干意见》(国发〔2009〕36号)，制定本规定。</w:t>
      </w:r>
    </w:p>
    <w:p w14:paraId="62764A86">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二、中小企业划分为中型、小型、微型三种类型，具体标准根据企业从业人员、营业收入、资产总额等指标，结合行业特点制定。</w:t>
      </w:r>
    </w:p>
    <w:p w14:paraId="4DC6F4C6">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1F4E066">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四、各行业划型标准为：</w:t>
      </w:r>
    </w:p>
    <w:p w14:paraId="7069B7FA">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5B9CAB5E">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6333569">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38EEFB8">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63D449E">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780572D">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22F3F9B">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7D0A29F">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2BD92E4">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406F7B">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1195568">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5F9633B">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6461826">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898D3AD">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A1C3277">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70F4C6E5">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五、企业类型的划分以统计部门的统计数据为依据。</w:t>
      </w:r>
    </w:p>
    <w:p w14:paraId="690FFA2E">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六、本规定适用于在中华人民共和国境内依法设立的各类所有制和各种组织形式的企业。个体工商户和本规定以外的行业，参照本规定进行划型。</w:t>
      </w:r>
    </w:p>
    <w:p w14:paraId="4B04FE95">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591E08FF">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八、本规定由工业和信息化部、国家统计局会同有关部门根据《国民经济行业分类》修订情况和企业发展变化情况适时修订。</w:t>
      </w:r>
    </w:p>
    <w:p w14:paraId="16A7D989">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九、本规定由工业和信息化部、国家统计局会同有关部门负责解释。</w:t>
      </w:r>
    </w:p>
    <w:p w14:paraId="09236C54">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十、本规定自发布之日起执行，原国家经贸委、原国家计委、财政部和国家统计局2003年颁布的《中小企业标准暂行规定》同时废止。</w:t>
      </w:r>
    </w:p>
    <w:p w14:paraId="7C7C5355">
      <w:pPr>
        <w:spacing w:line="360" w:lineRule="auto"/>
        <w:jc w:val="center"/>
        <w:rPr>
          <w:rFonts w:hint="eastAsia" w:ascii="宋体" w:hAnsi="宋体" w:eastAsia="宋体" w:cs="宋体"/>
          <w:b/>
          <w:bCs/>
          <w:color w:val="auto"/>
          <w:sz w:val="32"/>
          <w:szCs w:val="32"/>
          <w:highlight w:val="none"/>
        </w:rPr>
      </w:pPr>
    </w:p>
    <w:p w14:paraId="0273F638">
      <w:pPr>
        <w:spacing w:line="360" w:lineRule="auto"/>
        <w:jc w:val="center"/>
        <w:rPr>
          <w:rFonts w:hint="eastAsia" w:ascii="宋体" w:hAnsi="宋体" w:eastAsia="宋体" w:cs="宋体"/>
          <w:b/>
          <w:bCs/>
          <w:color w:val="auto"/>
          <w:sz w:val="32"/>
          <w:szCs w:val="32"/>
          <w:highlight w:val="none"/>
        </w:rPr>
      </w:pPr>
    </w:p>
    <w:p w14:paraId="2A9685B1">
      <w:pPr>
        <w:spacing w:line="360" w:lineRule="auto"/>
        <w:jc w:val="center"/>
        <w:rPr>
          <w:rFonts w:hint="eastAsia" w:ascii="宋体" w:hAnsi="宋体" w:eastAsia="宋体" w:cs="宋体"/>
          <w:b/>
          <w:bCs/>
          <w:color w:val="auto"/>
          <w:sz w:val="32"/>
          <w:szCs w:val="32"/>
          <w:highlight w:val="none"/>
        </w:rPr>
      </w:pPr>
    </w:p>
    <w:p w14:paraId="34C57C38">
      <w:pPr>
        <w:spacing w:line="360" w:lineRule="auto"/>
        <w:jc w:val="center"/>
        <w:rPr>
          <w:rFonts w:hint="eastAsia" w:ascii="宋体" w:hAnsi="宋体" w:eastAsia="宋体" w:cs="宋体"/>
          <w:b/>
          <w:bCs/>
          <w:color w:val="auto"/>
          <w:sz w:val="32"/>
          <w:szCs w:val="32"/>
          <w:highlight w:val="none"/>
        </w:rPr>
      </w:pPr>
    </w:p>
    <w:p w14:paraId="4D1A0CA5">
      <w:pPr>
        <w:spacing w:line="360" w:lineRule="auto"/>
        <w:jc w:val="center"/>
        <w:rPr>
          <w:rFonts w:hint="eastAsia" w:ascii="宋体" w:hAnsi="宋体" w:eastAsia="宋体" w:cs="宋体"/>
          <w:b/>
          <w:bCs/>
          <w:color w:val="auto"/>
          <w:sz w:val="32"/>
          <w:szCs w:val="32"/>
          <w:highlight w:val="none"/>
        </w:rPr>
      </w:pPr>
    </w:p>
    <w:p w14:paraId="366944EC">
      <w:pPr>
        <w:spacing w:line="360" w:lineRule="auto"/>
        <w:jc w:val="center"/>
        <w:rPr>
          <w:rFonts w:hint="eastAsia" w:ascii="宋体" w:hAnsi="宋体" w:eastAsia="宋体" w:cs="宋体"/>
          <w:b/>
          <w:bCs/>
          <w:color w:val="auto"/>
          <w:sz w:val="32"/>
          <w:szCs w:val="32"/>
          <w:highlight w:val="none"/>
        </w:rPr>
      </w:pPr>
    </w:p>
    <w:p w14:paraId="43D5BD5F">
      <w:pPr>
        <w:spacing w:line="360" w:lineRule="auto"/>
        <w:jc w:val="center"/>
        <w:rPr>
          <w:rFonts w:hint="eastAsia" w:ascii="宋体" w:hAnsi="宋体" w:eastAsia="宋体" w:cs="宋体"/>
          <w:b/>
          <w:bCs/>
          <w:color w:val="auto"/>
          <w:sz w:val="32"/>
          <w:szCs w:val="32"/>
          <w:highlight w:val="none"/>
        </w:rPr>
      </w:pPr>
    </w:p>
    <w:p w14:paraId="3C07838D">
      <w:pPr>
        <w:spacing w:line="360" w:lineRule="auto"/>
        <w:jc w:val="center"/>
        <w:rPr>
          <w:rFonts w:hint="eastAsia" w:ascii="宋体" w:hAnsi="宋体" w:eastAsia="宋体" w:cs="宋体"/>
          <w:b/>
          <w:bCs/>
          <w:color w:val="auto"/>
          <w:sz w:val="32"/>
          <w:szCs w:val="32"/>
          <w:highlight w:val="none"/>
        </w:rPr>
      </w:pPr>
    </w:p>
    <w:p w14:paraId="066A978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5E15DA94">
      <w:pPr>
        <w:pStyle w:val="14"/>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一、质疑供应商基本信息：</w:t>
      </w:r>
    </w:p>
    <w:p w14:paraId="12953B40">
      <w:pPr>
        <w:pStyle w:val="14"/>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质疑供应商：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15A060EA">
      <w:pPr>
        <w:pStyle w:val="14"/>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76C285C8">
      <w:pPr>
        <w:pStyle w:val="14"/>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0F34206C">
      <w:pPr>
        <w:pStyle w:val="14"/>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p>
    <w:p w14:paraId="6676ED1C">
      <w:pPr>
        <w:pStyle w:val="14"/>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277A88D4">
      <w:pPr>
        <w:pStyle w:val="14"/>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08E9E30B">
      <w:pPr>
        <w:pStyle w:val="14"/>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二、质疑项目基本情况：</w:t>
      </w:r>
    </w:p>
    <w:p w14:paraId="383C943D">
      <w:pPr>
        <w:pStyle w:val="14"/>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32E5BE6B">
      <w:pPr>
        <w:pStyle w:val="14"/>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37A28BEF">
      <w:pPr>
        <w:pStyle w:val="14"/>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14:paraId="4F3A6B79">
      <w:pPr>
        <w:pStyle w:val="14"/>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w:t>
      </w:r>
    </w:p>
    <w:p w14:paraId="6BB0ED0C">
      <w:pPr>
        <w:pStyle w:val="14"/>
        <w:spacing w:line="36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   采购文件获取日期：</w:t>
      </w:r>
      <w:r>
        <w:rPr>
          <w:rFonts w:hint="eastAsia" w:ascii="宋体" w:hAnsi="宋体" w:eastAsia="宋体" w:cs="宋体"/>
          <w:bCs/>
          <w:color w:val="auto"/>
          <w:sz w:val="21"/>
          <w:szCs w:val="21"/>
          <w:highlight w:val="none"/>
          <w:u w:val="single"/>
        </w:rPr>
        <w:t xml:space="preserve">                                   </w:t>
      </w:r>
    </w:p>
    <w:p w14:paraId="40E60888">
      <w:pPr>
        <w:pStyle w:val="14"/>
        <w:spacing w:line="36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□采购过程   </w:t>
      </w:r>
    </w:p>
    <w:p w14:paraId="39FE2953">
      <w:pPr>
        <w:pStyle w:val="14"/>
        <w:spacing w:line="36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□成交结果   </w:t>
      </w:r>
    </w:p>
    <w:p w14:paraId="2452136F">
      <w:pPr>
        <w:pStyle w:val="14"/>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三、质疑事项具体内容</w:t>
      </w:r>
    </w:p>
    <w:p w14:paraId="52A4FAB5">
      <w:pPr>
        <w:pStyle w:val="14"/>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质疑事项1：</w:t>
      </w:r>
      <w:r>
        <w:rPr>
          <w:rFonts w:hint="eastAsia" w:ascii="宋体" w:hAnsi="宋体" w:eastAsia="宋体" w:cs="宋体"/>
          <w:bCs/>
          <w:color w:val="auto"/>
          <w:sz w:val="21"/>
          <w:szCs w:val="21"/>
          <w:highlight w:val="none"/>
          <w:u w:val="single"/>
        </w:rPr>
        <w:t xml:space="preserve">                                                                    </w:t>
      </w:r>
    </w:p>
    <w:p w14:paraId="007CEF9B">
      <w:pPr>
        <w:pStyle w:val="14"/>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bCs/>
          <w:color w:val="auto"/>
          <w:sz w:val="21"/>
          <w:szCs w:val="21"/>
          <w:highlight w:val="none"/>
          <w:u w:val="single"/>
        </w:rPr>
        <w:t xml:space="preserve">                                                                      </w:t>
      </w:r>
    </w:p>
    <w:p w14:paraId="232D56A2">
      <w:pPr>
        <w:pStyle w:val="14"/>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p>
    <w:p w14:paraId="04AC4A58">
      <w:pPr>
        <w:pStyle w:val="14"/>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14:paraId="7574CB0C">
      <w:pPr>
        <w:pStyle w:val="14"/>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5FA4D3C">
      <w:pPr>
        <w:pStyle w:val="14"/>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14:paraId="10042030">
      <w:pPr>
        <w:pStyle w:val="14"/>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232C131B">
      <w:pPr>
        <w:pStyle w:val="14"/>
        <w:spacing w:line="360" w:lineRule="auto"/>
        <w:ind w:left="25" w:leftChars="12" w:firstLine="308" w:firstLineChars="147"/>
        <w:rPr>
          <w:rFonts w:hint="eastAsia" w:ascii="宋体" w:hAnsi="宋体" w:eastAsia="宋体" w:cs="宋体"/>
          <w:color w:val="auto"/>
          <w:sz w:val="21"/>
          <w:szCs w:val="21"/>
          <w:highlight w:val="none"/>
        </w:rPr>
      </w:pPr>
    </w:p>
    <w:p w14:paraId="29B4B688">
      <w:pPr>
        <w:pStyle w:val="14"/>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601432E8">
      <w:pPr>
        <w:pStyle w:val="14"/>
        <w:spacing w:line="360" w:lineRule="auto"/>
        <w:ind w:left="25" w:leftChars="12" w:firstLine="308" w:firstLineChars="147"/>
        <w:rPr>
          <w:rFonts w:hint="eastAsia" w:ascii="宋体" w:hAnsi="宋体" w:eastAsia="宋体" w:cs="宋体"/>
          <w:color w:val="auto"/>
          <w:sz w:val="21"/>
          <w:szCs w:val="21"/>
          <w:highlight w:val="none"/>
        </w:rPr>
      </w:pPr>
    </w:p>
    <w:p w14:paraId="30641060">
      <w:pPr>
        <w:pStyle w:val="14"/>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724FC1BE">
      <w:pPr>
        <w:pStyle w:val="14"/>
        <w:snapToGrid w:val="0"/>
        <w:spacing w:line="360" w:lineRule="auto"/>
        <w:rPr>
          <w:rFonts w:hint="eastAsia" w:ascii="宋体" w:hAnsi="宋体" w:eastAsia="宋体" w:cs="宋体"/>
          <w:b/>
          <w:color w:val="auto"/>
          <w:sz w:val="24"/>
          <w:szCs w:val="24"/>
          <w:highlight w:val="none"/>
        </w:rPr>
      </w:pPr>
    </w:p>
    <w:p w14:paraId="244ECB06">
      <w:pPr>
        <w:pStyle w:val="14"/>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1227FF57">
      <w:pPr>
        <w:pStyle w:val="14"/>
        <w:spacing w:line="36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1.供应商提出质疑时，应提交质疑函和必要的证明材料</w:t>
      </w:r>
      <w:r>
        <w:rPr>
          <w:rFonts w:hint="eastAsia" w:ascii="宋体" w:hAnsi="宋体" w:eastAsia="宋体" w:cs="宋体"/>
          <w:b/>
          <w:bCs/>
          <w:color w:val="auto"/>
          <w:sz w:val="21"/>
          <w:szCs w:val="21"/>
          <w:highlight w:val="none"/>
        </w:rPr>
        <w:t>。</w:t>
      </w:r>
    </w:p>
    <w:p w14:paraId="07436C37">
      <w:pPr>
        <w:pStyle w:val="14"/>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0E4F64C">
      <w:pPr>
        <w:pStyle w:val="14"/>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3.质疑函的质疑事项应具体、明确，并有必要的事实依据和法律依据。</w:t>
      </w:r>
    </w:p>
    <w:p w14:paraId="26328D25">
      <w:pPr>
        <w:pStyle w:val="14"/>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4.质疑函的质疑请求应与质疑事项相关。</w:t>
      </w:r>
    </w:p>
    <w:p w14:paraId="61FCC38E">
      <w:pPr>
        <w:pStyle w:val="14"/>
        <w:spacing w:line="360" w:lineRule="auto"/>
        <w:ind w:left="25" w:leftChars="12" w:firstLine="310" w:firstLineChars="147"/>
        <w:rPr>
          <w:rFonts w:hint="eastAsia" w:ascii="宋体" w:hAnsi="宋体" w:eastAsia="宋体" w:cs="宋体"/>
          <w:b/>
          <w:color w:val="auto"/>
          <w:sz w:val="16"/>
          <w:szCs w:val="18"/>
          <w:highlight w:val="none"/>
        </w:rPr>
      </w:pPr>
      <w:r>
        <w:rPr>
          <w:rFonts w:hint="eastAsia" w:ascii="宋体" w:hAnsi="宋体" w:eastAsia="宋体" w:cs="宋体"/>
          <w:b/>
          <w:color w:val="auto"/>
          <w:sz w:val="21"/>
          <w:szCs w:val="21"/>
          <w:highlight w:val="none"/>
        </w:rPr>
        <w:t>5.质疑供应商为法人或者其他组织的，质疑函应由法定代表人、主要负责人，或者其授权代表签字或者盖章，并加盖公章。</w:t>
      </w:r>
    </w:p>
    <w:p w14:paraId="696BA3F7">
      <w:pPr>
        <w:pStyle w:val="14"/>
        <w:snapToGrid w:val="0"/>
        <w:spacing w:line="360" w:lineRule="auto"/>
        <w:rPr>
          <w:rFonts w:hint="eastAsia" w:ascii="宋体" w:hAnsi="宋体" w:eastAsia="宋体" w:cs="宋体"/>
          <w:b/>
          <w:color w:val="auto"/>
          <w:sz w:val="21"/>
          <w:szCs w:val="21"/>
          <w:highlight w:val="none"/>
        </w:rPr>
      </w:pPr>
    </w:p>
    <w:p w14:paraId="2BFC9793">
      <w:pPr>
        <w:spacing w:line="360" w:lineRule="auto"/>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01CDE18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2D4C0961">
      <w:pPr>
        <w:pStyle w:val="14"/>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一、投诉相关主体基本情况：</w:t>
      </w:r>
    </w:p>
    <w:p w14:paraId="2DA09442">
      <w:pPr>
        <w:pStyle w:val="14"/>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4B67F59A">
      <w:pPr>
        <w:pStyle w:val="14"/>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7BE8EDA2">
      <w:pPr>
        <w:pStyle w:val="14"/>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法定代表人/主要负责人：</w:t>
      </w:r>
      <w:r>
        <w:rPr>
          <w:rFonts w:hint="eastAsia" w:ascii="宋体" w:hAnsi="宋体" w:eastAsia="宋体" w:cs="宋体"/>
          <w:bCs/>
          <w:color w:val="auto"/>
          <w:sz w:val="21"/>
          <w:szCs w:val="21"/>
          <w:highlight w:val="none"/>
          <w:u w:val="single"/>
        </w:rPr>
        <w:t xml:space="preserve">                                                         </w:t>
      </w:r>
    </w:p>
    <w:p w14:paraId="0F768CA1">
      <w:pPr>
        <w:pStyle w:val="14"/>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38E54D44">
      <w:pPr>
        <w:pStyle w:val="14"/>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1C25A1C4">
      <w:pPr>
        <w:pStyle w:val="14"/>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5A1B573B">
      <w:pPr>
        <w:pStyle w:val="14"/>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被投诉人1：</w:t>
      </w:r>
    </w:p>
    <w:p w14:paraId="3879E277">
      <w:pPr>
        <w:pStyle w:val="14"/>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7A59189A">
      <w:pPr>
        <w:pStyle w:val="14"/>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576F810A">
      <w:pPr>
        <w:pStyle w:val="14"/>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被投诉人2：</w:t>
      </w:r>
    </w:p>
    <w:p w14:paraId="5A5AC7E7">
      <w:pPr>
        <w:pStyle w:val="14"/>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50E7860D">
      <w:pPr>
        <w:pStyle w:val="14"/>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相关供应商：</w:t>
      </w:r>
      <w:r>
        <w:rPr>
          <w:rFonts w:hint="eastAsia" w:ascii="宋体" w:hAnsi="宋体" w:eastAsia="宋体" w:cs="宋体"/>
          <w:bCs/>
          <w:color w:val="auto"/>
          <w:sz w:val="21"/>
          <w:szCs w:val="21"/>
          <w:highlight w:val="none"/>
          <w:u w:val="single"/>
        </w:rPr>
        <w:t xml:space="preserve">                                                                       </w:t>
      </w:r>
    </w:p>
    <w:p w14:paraId="6C52B3BB">
      <w:pPr>
        <w:pStyle w:val="14"/>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p>
    <w:p w14:paraId="359748D3">
      <w:pPr>
        <w:pStyle w:val="14"/>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5F3E7252">
      <w:pPr>
        <w:pStyle w:val="14"/>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二、投诉项目基本情况：</w:t>
      </w:r>
    </w:p>
    <w:p w14:paraId="7D0E3C4C">
      <w:pPr>
        <w:pStyle w:val="14"/>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2A1E745A">
      <w:pPr>
        <w:pStyle w:val="14"/>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11B7E048">
      <w:pPr>
        <w:pStyle w:val="14"/>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14:paraId="7C02B097">
      <w:pPr>
        <w:pStyle w:val="14"/>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bCs/>
          <w:color w:val="auto"/>
          <w:sz w:val="21"/>
          <w:szCs w:val="21"/>
          <w:highlight w:val="none"/>
          <w:u w:val="single"/>
        </w:rPr>
        <w:t xml:space="preserve">                                                                      </w:t>
      </w:r>
    </w:p>
    <w:p w14:paraId="4F2A4568">
      <w:pPr>
        <w:pStyle w:val="14"/>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招标文件公告：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27DEE1C0">
      <w:pPr>
        <w:pStyle w:val="14"/>
        <w:spacing w:line="360" w:lineRule="auto"/>
        <w:ind w:left="25" w:leftChars="12" w:firstLine="413" w:firstLineChars="197"/>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采购结果公告：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48E01C44">
      <w:pPr>
        <w:pStyle w:val="14"/>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三、质疑基本情况</w:t>
      </w:r>
    </w:p>
    <w:p w14:paraId="4041B42D">
      <w:pPr>
        <w:pStyle w:val="14"/>
        <w:spacing w:line="360" w:lineRule="auto"/>
        <w:ind w:left="25" w:leftChars="12" w:firstLine="833" w:firstLineChars="3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提出质疑，质疑事项为：</w:t>
      </w:r>
    </w:p>
    <w:p w14:paraId="2E0BCFE7">
      <w:pPr>
        <w:pStyle w:val="14"/>
        <w:spacing w:line="36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42FB2C2F">
      <w:pPr>
        <w:pStyle w:val="14"/>
        <w:spacing w:line="36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46CB2E8C">
      <w:pPr>
        <w:pStyle w:val="14"/>
        <w:spacing w:line="360" w:lineRule="auto"/>
        <w:ind w:firstLine="241"/>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采购人/代理机构</w:t>
      </w:r>
      <w:r>
        <w:rPr>
          <w:rFonts w:hint="eastAsia" w:ascii="宋体" w:hAnsi="宋体" w:eastAsia="宋体" w:cs="宋体"/>
          <w:bCs/>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t xml:space="preserve">就质疑事项作出了答复/没有在法定期限内作出答复。                                                                                             </w:t>
      </w:r>
    </w:p>
    <w:p w14:paraId="65FCD0D2">
      <w:pPr>
        <w:pStyle w:val="14"/>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四、投诉事项具体内容</w:t>
      </w:r>
    </w:p>
    <w:p w14:paraId="10FA16C0">
      <w:pPr>
        <w:pStyle w:val="14"/>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投诉事项1：</w:t>
      </w:r>
      <w:r>
        <w:rPr>
          <w:rFonts w:hint="eastAsia" w:ascii="宋体" w:hAnsi="宋体" w:eastAsia="宋体" w:cs="宋体"/>
          <w:bCs/>
          <w:color w:val="auto"/>
          <w:sz w:val="21"/>
          <w:szCs w:val="21"/>
          <w:highlight w:val="none"/>
          <w:u w:val="single"/>
        </w:rPr>
        <w:t xml:space="preserve">                                                                           </w:t>
      </w:r>
    </w:p>
    <w:p w14:paraId="1AD5C00A">
      <w:pPr>
        <w:pStyle w:val="14"/>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事实依据：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6A340E31">
      <w:pPr>
        <w:pStyle w:val="14"/>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 xml:space="preserve">                                                                                        </w:t>
      </w:r>
    </w:p>
    <w:p w14:paraId="1D8FEB2F">
      <w:pPr>
        <w:pStyle w:val="14"/>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法律依据：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728ACEE4">
      <w:pPr>
        <w:pStyle w:val="14"/>
        <w:spacing w:line="36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54F96E57">
      <w:pPr>
        <w:pStyle w:val="14"/>
        <w:spacing w:line="36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投诉事项2  </w:t>
      </w:r>
      <w:r>
        <w:rPr>
          <w:rFonts w:hint="eastAsia" w:ascii="宋体" w:hAnsi="宋体" w:eastAsia="宋体" w:cs="宋体"/>
          <w:bCs/>
          <w:color w:val="auto"/>
          <w:sz w:val="21"/>
          <w:szCs w:val="21"/>
          <w:highlight w:val="none"/>
        </w:rPr>
        <w:t xml:space="preserve">   </w:t>
      </w:r>
    </w:p>
    <w:p w14:paraId="2D44A394">
      <w:pPr>
        <w:pStyle w:val="14"/>
        <w:spacing w:line="36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1E0F6F25">
      <w:pPr>
        <w:pStyle w:val="14"/>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五、与投诉事项相关的投诉请求：</w:t>
      </w:r>
    </w:p>
    <w:p w14:paraId="106550B6">
      <w:pPr>
        <w:pStyle w:val="14"/>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5EA4EAA7">
      <w:pPr>
        <w:pStyle w:val="14"/>
        <w:spacing w:line="360" w:lineRule="auto"/>
        <w:ind w:left="25" w:leftChars="12" w:firstLine="308" w:firstLineChars="147"/>
        <w:rPr>
          <w:rFonts w:hint="eastAsia" w:ascii="宋体" w:hAnsi="宋体" w:eastAsia="宋体" w:cs="宋体"/>
          <w:color w:val="auto"/>
          <w:sz w:val="21"/>
          <w:szCs w:val="21"/>
          <w:highlight w:val="none"/>
        </w:rPr>
      </w:pPr>
    </w:p>
    <w:p w14:paraId="2F4D5469">
      <w:pPr>
        <w:pStyle w:val="14"/>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1862815D">
      <w:pPr>
        <w:pStyle w:val="14"/>
        <w:spacing w:line="360" w:lineRule="auto"/>
        <w:ind w:left="25" w:leftChars="12" w:firstLine="308" w:firstLineChars="147"/>
        <w:rPr>
          <w:rFonts w:hint="eastAsia" w:ascii="宋体" w:hAnsi="宋体" w:eastAsia="宋体" w:cs="宋体"/>
          <w:color w:val="auto"/>
          <w:sz w:val="21"/>
          <w:szCs w:val="21"/>
          <w:highlight w:val="none"/>
        </w:rPr>
      </w:pPr>
    </w:p>
    <w:p w14:paraId="0CF75C33">
      <w:pPr>
        <w:pStyle w:val="14"/>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19BCCA0">
      <w:pPr>
        <w:pStyle w:val="14"/>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w:t>
      </w:r>
    </w:p>
    <w:p w14:paraId="3C09E63C">
      <w:pPr>
        <w:pStyle w:val="14"/>
        <w:snapToGrid w:val="0"/>
        <w:spacing w:line="360" w:lineRule="auto"/>
        <w:rPr>
          <w:rFonts w:hint="eastAsia" w:ascii="宋体" w:hAnsi="宋体" w:eastAsia="宋体" w:cs="宋体"/>
          <w:b/>
          <w:color w:val="auto"/>
          <w:sz w:val="21"/>
          <w:szCs w:val="21"/>
          <w:highlight w:val="none"/>
        </w:rPr>
      </w:pPr>
    </w:p>
    <w:p w14:paraId="71F53975">
      <w:pPr>
        <w:pStyle w:val="14"/>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5633F14A">
      <w:pPr>
        <w:pStyle w:val="14"/>
        <w:spacing w:line="36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1"/>
          <w:szCs w:val="21"/>
          <w:highlight w:val="none"/>
        </w:rPr>
        <w:t>。</w:t>
      </w:r>
    </w:p>
    <w:p w14:paraId="7355A4A4">
      <w:pPr>
        <w:pStyle w:val="14"/>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20E3351">
      <w:pPr>
        <w:pStyle w:val="14"/>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3.投诉书应简要列明质疑事项，质疑函、质疑答复等作为附件材料提供。</w:t>
      </w:r>
    </w:p>
    <w:p w14:paraId="09A12507">
      <w:pPr>
        <w:pStyle w:val="14"/>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4.投诉书的投诉事项应具体、明确，并有必要的事实依据和法律依据。</w:t>
      </w:r>
    </w:p>
    <w:p w14:paraId="7641D140">
      <w:pPr>
        <w:pStyle w:val="14"/>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5.投诉书的投诉请求应与投诉事项相关。</w:t>
      </w:r>
    </w:p>
    <w:p w14:paraId="5CCB9D5D">
      <w:pPr>
        <w:pStyle w:val="14"/>
        <w:spacing w:line="360" w:lineRule="auto"/>
        <w:ind w:left="25" w:leftChars="12" w:firstLine="310" w:firstLineChars="147"/>
        <w:rPr>
          <w:rFonts w:hint="eastAsia" w:ascii="宋体" w:hAnsi="宋体" w:eastAsia="宋体" w:cs="宋体"/>
          <w:color w:val="auto"/>
          <w:sz w:val="32"/>
          <w:szCs w:val="32"/>
          <w:highlight w:val="none"/>
        </w:rPr>
      </w:pPr>
      <w:r>
        <w:rPr>
          <w:rFonts w:hint="eastAsia" w:ascii="宋体" w:hAnsi="宋体" w:eastAsia="宋体" w:cs="宋体"/>
          <w:b/>
          <w:color w:val="auto"/>
          <w:sz w:val="21"/>
          <w:szCs w:val="21"/>
          <w:highlight w:val="none"/>
        </w:rPr>
        <w:t>6.投诉人为法人或者其他组织的，投诉书应由法定代表人、主要负责人，或者其授权代表签字或者盖章，并加盖公章。</w:t>
      </w:r>
    </w:p>
    <w:p w14:paraId="7B733179">
      <w:pPr>
        <w:autoSpaceDE w:val="0"/>
        <w:autoSpaceDN w:val="0"/>
        <w:spacing w:line="360" w:lineRule="auto"/>
        <w:rPr>
          <w:rFonts w:hint="eastAsia" w:ascii="宋体" w:hAnsi="宋体" w:eastAsia="宋体" w:cs="宋体"/>
          <w:color w:val="auto"/>
          <w:szCs w:val="21"/>
          <w:highlight w:val="none"/>
        </w:rPr>
      </w:pPr>
    </w:p>
    <w:p w14:paraId="119C1589">
      <w:pPr>
        <w:pStyle w:val="3"/>
        <w:spacing w:line="360" w:lineRule="auto"/>
        <w:jc w:val="center"/>
        <w:rPr>
          <w:rFonts w:hint="eastAsia" w:ascii="宋体" w:hAnsi="宋体" w:eastAsia="宋体" w:cs="宋体"/>
          <w:b w:val="0"/>
          <w:color w:val="auto"/>
          <w:sz w:val="32"/>
          <w:szCs w:val="32"/>
          <w:highlight w:val="none"/>
        </w:rPr>
      </w:pPr>
      <w:r>
        <w:rPr>
          <w:rFonts w:hint="eastAsia" w:ascii="宋体" w:hAnsi="宋体" w:eastAsia="宋体" w:cs="宋体"/>
          <w:color w:val="auto"/>
          <w:highlight w:val="none"/>
        </w:rPr>
        <w:br w:type="page"/>
      </w:r>
      <w:bookmarkStart w:id="184" w:name="_Toc25377"/>
      <w:r>
        <w:rPr>
          <w:rFonts w:hint="eastAsia" w:ascii="宋体" w:hAnsi="宋体" w:eastAsia="宋体" w:cs="宋体"/>
          <w:color w:val="auto"/>
          <w:highlight w:val="none"/>
        </w:rPr>
        <w:t>第六章 合同文本</w:t>
      </w:r>
      <w:bookmarkEnd w:id="184"/>
    </w:p>
    <w:p w14:paraId="211489F2">
      <w:pPr>
        <w:pStyle w:val="14"/>
        <w:spacing w:line="360" w:lineRule="auto"/>
        <w:jc w:val="center"/>
        <w:rPr>
          <w:rFonts w:hint="eastAsia" w:asciiTheme="majorEastAsia" w:hAnsiTheme="majorEastAsia" w:eastAsiaTheme="majorEastAsia" w:cstheme="majorEastAsia"/>
          <w:b/>
          <w:color w:val="auto"/>
          <w:sz w:val="24"/>
          <w:szCs w:val="24"/>
          <w:highlight w:val="none"/>
        </w:rPr>
      </w:pPr>
    </w:p>
    <w:p w14:paraId="199FC728">
      <w:pPr>
        <w:pStyle w:val="14"/>
        <w:spacing w:line="360" w:lineRule="auto"/>
        <w:jc w:val="center"/>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lang w:eastAsia="zh-CN"/>
        </w:rPr>
        <w:t>宁明县2024年整县推进兽医社会化服务项目</w:t>
      </w:r>
      <w:r>
        <w:rPr>
          <w:rFonts w:hint="eastAsia" w:asciiTheme="majorEastAsia" w:hAnsiTheme="majorEastAsia" w:eastAsiaTheme="majorEastAsia" w:cstheme="majorEastAsia"/>
          <w:b/>
          <w:color w:val="auto"/>
          <w:sz w:val="36"/>
          <w:szCs w:val="36"/>
          <w:highlight w:val="none"/>
        </w:rPr>
        <w:t>协议书</w:t>
      </w:r>
    </w:p>
    <w:p w14:paraId="0236A5DC">
      <w:pPr>
        <w:pStyle w:val="14"/>
        <w:spacing w:line="360" w:lineRule="auto"/>
        <w:rPr>
          <w:rFonts w:hint="eastAsia" w:asciiTheme="majorEastAsia" w:hAnsiTheme="majorEastAsia" w:eastAsiaTheme="majorEastAsia" w:cstheme="majorEastAsia"/>
          <w:color w:val="auto"/>
          <w:sz w:val="24"/>
          <w:szCs w:val="24"/>
          <w:highlight w:val="none"/>
        </w:rPr>
      </w:pPr>
    </w:p>
    <w:p w14:paraId="60F305D5">
      <w:pPr>
        <w:pStyle w:val="15"/>
        <w:rPr>
          <w:rFonts w:hint="eastAsia" w:asciiTheme="majorEastAsia" w:hAnsiTheme="majorEastAsia" w:eastAsiaTheme="majorEastAsia" w:cstheme="majorEastAsia"/>
          <w:color w:val="auto"/>
          <w:sz w:val="24"/>
          <w:szCs w:val="24"/>
          <w:highlight w:val="none"/>
        </w:rPr>
      </w:pPr>
    </w:p>
    <w:p w14:paraId="64F6970C">
      <w:pPr>
        <w:rPr>
          <w:rFonts w:hint="eastAsia" w:asciiTheme="majorEastAsia" w:hAnsiTheme="majorEastAsia" w:eastAsiaTheme="majorEastAsia" w:cstheme="majorEastAsia"/>
          <w:color w:val="auto"/>
          <w:sz w:val="24"/>
          <w:szCs w:val="24"/>
          <w:highlight w:val="none"/>
        </w:rPr>
      </w:pPr>
    </w:p>
    <w:p w14:paraId="7815378D">
      <w:pPr>
        <w:pStyle w:val="11"/>
        <w:rPr>
          <w:rFonts w:hint="eastAsia" w:asciiTheme="majorEastAsia" w:hAnsiTheme="majorEastAsia" w:eastAsiaTheme="majorEastAsia" w:cstheme="majorEastAsia"/>
          <w:color w:val="auto"/>
          <w:sz w:val="24"/>
          <w:szCs w:val="24"/>
          <w:highlight w:val="none"/>
        </w:rPr>
      </w:pPr>
    </w:p>
    <w:p w14:paraId="3B9FA968">
      <w:pPr>
        <w:pStyle w:val="19"/>
        <w:rPr>
          <w:rFonts w:hint="eastAsia" w:asciiTheme="majorEastAsia" w:hAnsiTheme="majorEastAsia" w:eastAsiaTheme="majorEastAsia" w:cstheme="majorEastAsia"/>
          <w:color w:val="auto"/>
          <w:sz w:val="24"/>
          <w:szCs w:val="24"/>
          <w:highlight w:val="none"/>
        </w:rPr>
      </w:pPr>
    </w:p>
    <w:p w14:paraId="3E5E949A">
      <w:pPr>
        <w:rPr>
          <w:rFonts w:hint="eastAsia" w:asciiTheme="majorEastAsia" w:hAnsiTheme="majorEastAsia" w:eastAsiaTheme="majorEastAsia" w:cstheme="majorEastAsia"/>
          <w:color w:val="auto"/>
          <w:sz w:val="24"/>
          <w:szCs w:val="24"/>
          <w:highlight w:val="none"/>
        </w:rPr>
      </w:pPr>
    </w:p>
    <w:p w14:paraId="4BD6C284">
      <w:pPr>
        <w:pStyle w:val="11"/>
        <w:rPr>
          <w:rFonts w:hint="eastAsia" w:asciiTheme="majorEastAsia" w:hAnsiTheme="majorEastAsia" w:eastAsiaTheme="majorEastAsia" w:cstheme="majorEastAsia"/>
          <w:color w:val="auto"/>
          <w:sz w:val="24"/>
          <w:szCs w:val="24"/>
          <w:highlight w:val="none"/>
        </w:rPr>
      </w:pPr>
    </w:p>
    <w:p w14:paraId="4CC5B1E1">
      <w:pPr>
        <w:pStyle w:val="19"/>
        <w:rPr>
          <w:rFonts w:hint="eastAsia"/>
          <w:color w:val="auto"/>
          <w:sz w:val="40"/>
          <w:szCs w:val="40"/>
          <w:highlight w:val="none"/>
        </w:rPr>
      </w:pPr>
    </w:p>
    <w:p w14:paraId="4E3407EE">
      <w:pPr>
        <w:pStyle w:val="14"/>
        <w:spacing w:line="360" w:lineRule="auto"/>
        <w:jc w:val="left"/>
        <w:rPr>
          <w:rFonts w:hint="eastAsia" w:asciiTheme="majorEastAsia" w:hAnsiTheme="majorEastAsia" w:eastAsiaTheme="majorEastAsia" w:cstheme="majorEastAsia"/>
          <w:b/>
          <w:color w:val="auto"/>
          <w:sz w:val="24"/>
          <w:szCs w:val="24"/>
          <w:highlight w:val="none"/>
        </w:rPr>
      </w:pPr>
    </w:p>
    <w:p w14:paraId="30CB3B51">
      <w:pPr>
        <w:pStyle w:val="14"/>
        <w:spacing w:line="360" w:lineRule="auto"/>
        <w:ind w:left="1606" w:hanging="1205" w:hangingChars="500"/>
        <w:jc w:val="left"/>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rPr>
        <w:t>项目名称：</w:t>
      </w:r>
      <w:r>
        <w:rPr>
          <w:rFonts w:hint="eastAsia" w:asciiTheme="majorEastAsia" w:hAnsiTheme="majorEastAsia" w:eastAsiaTheme="majorEastAsia" w:cstheme="majorEastAsia"/>
          <w:b/>
          <w:color w:val="auto"/>
          <w:sz w:val="24"/>
          <w:szCs w:val="24"/>
          <w:highlight w:val="none"/>
          <w:u w:val="single"/>
          <w:lang w:eastAsia="zh-CN"/>
        </w:rPr>
        <w:t>宁明县2024年整县推进兽医社会化服务项目</w:t>
      </w:r>
    </w:p>
    <w:p w14:paraId="05445A14">
      <w:pPr>
        <w:pStyle w:val="14"/>
        <w:spacing w:line="360" w:lineRule="auto"/>
        <w:jc w:val="left"/>
        <w:rPr>
          <w:rFonts w:hint="eastAsia" w:asciiTheme="majorEastAsia" w:hAnsiTheme="majorEastAsia" w:eastAsiaTheme="majorEastAsia" w:cstheme="majorEastAsia"/>
          <w:b/>
          <w:color w:val="auto"/>
          <w:sz w:val="24"/>
          <w:szCs w:val="24"/>
          <w:highlight w:val="none"/>
        </w:rPr>
      </w:pPr>
    </w:p>
    <w:p w14:paraId="6022B8BA">
      <w:pPr>
        <w:pStyle w:val="14"/>
        <w:spacing w:line="360" w:lineRule="auto"/>
        <w:jc w:val="left"/>
        <w:rPr>
          <w:rFonts w:hint="eastAsia" w:asciiTheme="majorEastAsia" w:hAnsiTheme="majorEastAsia" w:eastAsiaTheme="majorEastAsia" w:cstheme="majorEastAsia"/>
          <w:b/>
          <w:color w:val="auto"/>
          <w:sz w:val="24"/>
          <w:szCs w:val="24"/>
          <w:highlight w:val="none"/>
          <w:u w:val="single"/>
        </w:rPr>
      </w:pPr>
      <w:r>
        <w:rPr>
          <w:rFonts w:hint="eastAsia" w:asciiTheme="majorEastAsia" w:hAnsiTheme="majorEastAsia" w:eastAsiaTheme="majorEastAsia" w:cstheme="majorEastAsia"/>
          <w:b/>
          <w:color w:val="auto"/>
          <w:sz w:val="24"/>
          <w:szCs w:val="24"/>
          <w:highlight w:val="none"/>
        </w:rPr>
        <w:t>委托单位（甲方）：</w:t>
      </w:r>
      <w:r>
        <w:rPr>
          <w:rFonts w:hint="eastAsia" w:asciiTheme="majorEastAsia" w:hAnsiTheme="majorEastAsia" w:eastAsiaTheme="majorEastAsia" w:cstheme="majorEastAsia"/>
          <w:b/>
          <w:color w:val="auto"/>
          <w:sz w:val="24"/>
          <w:szCs w:val="24"/>
          <w:highlight w:val="none"/>
          <w:u w:val="single"/>
          <w:lang w:eastAsia="zh-CN"/>
        </w:rPr>
        <w:t>宁明县动物疫病预防控制中心</w:t>
      </w:r>
    </w:p>
    <w:p w14:paraId="1B433802">
      <w:pPr>
        <w:pStyle w:val="14"/>
        <w:spacing w:line="360" w:lineRule="auto"/>
        <w:jc w:val="left"/>
        <w:rPr>
          <w:rFonts w:hint="eastAsia" w:asciiTheme="majorEastAsia" w:hAnsiTheme="majorEastAsia" w:eastAsiaTheme="majorEastAsia" w:cstheme="majorEastAsia"/>
          <w:b/>
          <w:color w:val="auto"/>
          <w:sz w:val="24"/>
          <w:szCs w:val="24"/>
          <w:highlight w:val="none"/>
        </w:rPr>
      </w:pPr>
    </w:p>
    <w:p w14:paraId="25240D32">
      <w:pPr>
        <w:spacing w:line="360" w:lineRule="auto"/>
        <w:jc w:val="left"/>
        <w:rPr>
          <w:rFonts w:hint="eastAsia" w:asciiTheme="majorEastAsia" w:hAnsiTheme="majorEastAsia" w:eastAsiaTheme="majorEastAsia" w:cstheme="majorEastAsia"/>
          <w:b/>
          <w:color w:val="auto"/>
          <w:sz w:val="24"/>
          <w:szCs w:val="24"/>
          <w:highlight w:val="none"/>
          <w:u w:val="single"/>
          <w:lang w:eastAsia="zh-CN"/>
        </w:rPr>
      </w:pPr>
      <w:r>
        <w:rPr>
          <w:rFonts w:hint="eastAsia" w:asciiTheme="majorEastAsia" w:hAnsiTheme="majorEastAsia" w:eastAsiaTheme="majorEastAsia" w:cstheme="majorEastAsia"/>
          <w:b/>
          <w:color w:val="auto"/>
          <w:sz w:val="24"/>
          <w:szCs w:val="24"/>
          <w:highlight w:val="none"/>
        </w:rPr>
        <w:t>服务商（乙方）：</w:t>
      </w:r>
    </w:p>
    <w:p w14:paraId="21CA145A">
      <w:pPr>
        <w:pStyle w:val="14"/>
        <w:spacing w:line="360" w:lineRule="auto"/>
        <w:jc w:val="left"/>
        <w:rPr>
          <w:rFonts w:hint="eastAsia" w:asciiTheme="majorEastAsia" w:hAnsiTheme="majorEastAsia" w:eastAsiaTheme="majorEastAsia" w:cstheme="majorEastAsia"/>
          <w:color w:val="auto"/>
          <w:sz w:val="24"/>
          <w:szCs w:val="24"/>
          <w:highlight w:val="none"/>
        </w:rPr>
      </w:pPr>
    </w:p>
    <w:p w14:paraId="52F6508E">
      <w:pPr>
        <w:pStyle w:val="14"/>
        <w:spacing w:line="360" w:lineRule="auto"/>
        <w:jc w:val="left"/>
        <w:rPr>
          <w:rFonts w:hint="eastAsia" w:asciiTheme="majorEastAsia" w:hAnsiTheme="majorEastAsia" w:eastAsiaTheme="majorEastAsia" w:cstheme="majorEastAsia"/>
          <w:b/>
          <w:color w:val="auto"/>
          <w:sz w:val="24"/>
          <w:szCs w:val="24"/>
          <w:highlight w:val="none"/>
          <w:u w:val="single"/>
        </w:rPr>
      </w:pPr>
      <w:r>
        <w:rPr>
          <w:rFonts w:hint="eastAsia" w:asciiTheme="majorEastAsia" w:hAnsiTheme="majorEastAsia" w:eastAsiaTheme="majorEastAsia" w:cstheme="majorEastAsia"/>
          <w:b/>
          <w:color w:val="auto"/>
          <w:sz w:val="24"/>
          <w:szCs w:val="24"/>
          <w:highlight w:val="none"/>
        </w:rPr>
        <w:t>签订协议地点：</w:t>
      </w:r>
      <w:r>
        <w:rPr>
          <w:rFonts w:hint="eastAsia" w:asciiTheme="majorEastAsia" w:hAnsiTheme="majorEastAsia" w:eastAsiaTheme="majorEastAsia" w:cstheme="majorEastAsia"/>
          <w:b/>
          <w:color w:val="auto"/>
          <w:sz w:val="24"/>
          <w:szCs w:val="24"/>
          <w:highlight w:val="none"/>
          <w:u w:val="single"/>
        </w:rPr>
        <w:t>广西崇左市</w:t>
      </w:r>
      <w:r>
        <w:rPr>
          <w:rFonts w:hint="eastAsia" w:asciiTheme="majorEastAsia" w:hAnsiTheme="majorEastAsia" w:eastAsiaTheme="majorEastAsia" w:cstheme="majorEastAsia"/>
          <w:b/>
          <w:color w:val="auto"/>
          <w:sz w:val="24"/>
          <w:szCs w:val="24"/>
          <w:highlight w:val="none"/>
          <w:u w:val="single"/>
          <w:lang w:eastAsia="zh-CN"/>
        </w:rPr>
        <w:t>宁明</w:t>
      </w:r>
      <w:r>
        <w:rPr>
          <w:rFonts w:hint="eastAsia" w:asciiTheme="majorEastAsia" w:hAnsiTheme="majorEastAsia" w:eastAsiaTheme="majorEastAsia" w:cstheme="majorEastAsia"/>
          <w:b/>
          <w:color w:val="auto"/>
          <w:sz w:val="24"/>
          <w:szCs w:val="24"/>
          <w:highlight w:val="none"/>
          <w:u w:val="single"/>
        </w:rPr>
        <w:t>县</w:t>
      </w:r>
    </w:p>
    <w:p w14:paraId="300683BC">
      <w:pPr>
        <w:pStyle w:val="14"/>
        <w:spacing w:line="360" w:lineRule="auto"/>
        <w:jc w:val="left"/>
        <w:rPr>
          <w:rFonts w:hint="eastAsia" w:asciiTheme="majorEastAsia" w:hAnsiTheme="majorEastAsia" w:eastAsiaTheme="majorEastAsia" w:cstheme="majorEastAsia"/>
          <w:b/>
          <w:color w:val="auto"/>
          <w:sz w:val="24"/>
          <w:szCs w:val="24"/>
          <w:highlight w:val="none"/>
        </w:rPr>
      </w:pPr>
    </w:p>
    <w:p w14:paraId="142D2258">
      <w:pPr>
        <w:pStyle w:val="14"/>
        <w:spacing w:line="360" w:lineRule="auto"/>
        <w:jc w:val="left"/>
        <w:rPr>
          <w:rFonts w:hint="eastAsia" w:asciiTheme="majorEastAsia" w:hAnsiTheme="majorEastAsia" w:eastAsiaTheme="majorEastAsia" w:cstheme="majorEastAsia"/>
          <w:b/>
          <w:color w:val="auto"/>
          <w:sz w:val="24"/>
          <w:szCs w:val="24"/>
          <w:highlight w:val="none"/>
          <w:u w:val="single"/>
        </w:rPr>
      </w:pPr>
      <w:r>
        <w:rPr>
          <w:rFonts w:hint="eastAsia" w:asciiTheme="majorEastAsia" w:hAnsiTheme="majorEastAsia" w:eastAsiaTheme="majorEastAsia" w:cstheme="majorEastAsia"/>
          <w:b/>
          <w:color w:val="auto"/>
          <w:sz w:val="24"/>
          <w:szCs w:val="24"/>
          <w:highlight w:val="none"/>
        </w:rPr>
        <w:t>签订协议日期：</w:t>
      </w:r>
      <w:r>
        <w:rPr>
          <w:rFonts w:hint="eastAsia" w:asciiTheme="majorEastAsia" w:hAnsiTheme="majorEastAsia" w:eastAsiaTheme="majorEastAsia" w:cstheme="majorEastAsia"/>
          <w:b/>
          <w:color w:val="auto"/>
          <w:sz w:val="24"/>
          <w:szCs w:val="24"/>
          <w:highlight w:val="none"/>
          <w:u w:val="single"/>
        </w:rPr>
        <w:t xml:space="preserve">  202</w:t>
      </w:r>
      <w:r>
        <w:rPr>
          <w:rFonts w:hint="eastAsia" w:asciiTheme="majorEastAsia" w:hAnsiTheme="majorEastAsia" w:eastAsiaTheme="majorEastAsia" w:cstheme="majorEastAsia"/>
          <w:b/>
          <w:color w:val="auto"/>
          <w:sz w:val="24"/>
          <w:szCs w:val="24"/>
          <w:highlight w:val="none"/>
          <w:u w:val="single"/>
          <w:lang w:val="en-US" w:eastAsia="zh-CN"/>
        </w:rPr>
        <w:t>4</w:t>
      </w:r>
      <w:r>
        <w:rPr>
          <w:rFonts w:hint="eastAsia" w:asciiTheme="majorEastAsia" w:hAnsiTheme="majorEastAsia" w:eastAsiaTheme="majorEastAsia" w:cstheme="majorEastAsia"/>
          <w:b/>
          <w:color w:val="auto"/>
          <w:sz w:val="24"/>
          <w:szCs w:val="24"/>
          <w:highlight w:val="none"/>
          <w:u w:val="single"/>
        </w:rPr>
        <w:t>年  月  日</w:t>
      </w:r>
    </w:p>
    <w:p w14:paraId="2E64D119">
      <w:pPr>
        <w:pStyle w:val="14"/>
        <w:spacing w:line="360" w:lineRule="auto"/>
        <w:jc w:val="center"/>
        <w:rPr>
          <w:rFonts w:hint="eastAsia" w:asciiTheme="majorEastAsia" w:hAnsiTheme="majorEastAsia" w:eastAsiaTheme="majorEastAsia" w:cstheme="majorEastAsia"/>
          <w:color w:val="auto"/>
          <w:sz w:val="24"/>
          <w:szCs w:val="24"/>
          <w:highlight w:val="none"/>
        </w:rPr>
      </w:pPr>
    </w:p>
    <w:p w14:paraId="5FE09769">
      <w:pPr>
        <w:pStyle w:val="14"/>
        <w:spacing w:line="360" w:lineRule="auto"/>
        <w:jc w:val="center"/>
        <w:rPr>
          <w:rFonts w:hint="eastAsia" w:asciiTheme="majorEastAsia" w:hAnsiTheme="majorEastAsia" w:eastAsiaTheme="majorEastAsia" w:cstheme="majorEastAsia"/>
          <w:color w:val="auto"/>
          <w:sz w:val="24"/>
          <w:szCs w:val="24"/>
          <w:highlight w:val="none"/>
        </w:rPr>
      </w:pPr>
    </w:p>
    <w:p w14:paraId="563275DC">
      <w:pPr>
        <w:spacing w:line="360" w:lineRule="auto"/>
        <w:rPr>
          <w:rFonts w:hint="eastAsia" w:asciiTheme="majorEastAsia" w:hAnsiTheme="majorEastAsia" w:eastAsiaTheme="majorEastAsia" w:cstheme="majorEastAsia"/>
          <w:bCs/>
          <w:color w:val="auto"/>
          <w:sz w:val="24"/>
          <w:szCs w:val="24"/>
          <w:highlight w:val="none"/>
        </w:rPr>
        <w:sectPr>
          <w:footerReference r:id="rId7" w:type="default"/>
          <w:pgSz w:w="11906" w:h="16838"/>
          <w:pgMar w:top="2098" w:right="1587" w:bottom="1361" w:left="1587" w:header="851" w:footer="992" w:gutter="0"/>
          <w:pgNumType w:fmt="decimal"/>
          <w:cols w:space="0" w:num="1"/>
          <w:docGrid w:type="lines" w:linePitch="312" w:charSpace="0"/>
        </w:sectPr>
      </w:pPr>
    </w:p>
    <w:p w14:paraId="1B0BB5C7">
      <w:pPr>
        <w:spacing w:line="360" w:lineRule="auto"/>
        <w:jc w:val="center"/>
        <w:rPr>
          <w:rFonts w:hint="eastAsia" w:asciiTheme="majorEastAsia" w:hAnsiTheme="majorEastAsia" w:eastAsiaTheme="majorEastAsia" w:cstheme="majorEastAsia"/>
          <w:b/>
          <w:bCs w:val="0"/>
          <w:color w:val="auto"/>
          <w:sz w:val="24"/>
          <w:szCs w:val="24"/>
          <w:highlight w:val="none"/>
        </w:rPr>
      </w:pPr>
      <w:r>
        <w:rPr>
          <w:rFonts w:hint="eastAsia" w:asciiTheme="majorEastAsia" w:hAnsiTheme="majorEastAsia" w:eastAsiaTheme="majorEastAsia" w:cstheme="majorEastAsia"/>
          <w:b/>
          <w:bCs w:val="0"/>
          <w:color w:val="auto"/>
          <w:sz w:val="24"/>
          <w:szCs w:val="24"/>
          <w:highlight w:val="none"/>
          <w:lang w:eastAsia="zh-CN"/>
        </w:rPr>
        <w:t>宁明县2024年整县推进兽医社会化服务项目</w:t>
      </w:r>
      <w:r>
        <w:rPr>
          <w:rFonts w:hint="eastAsia" w:asciiTheme="majorEastAsia" w:hAnsiTheme="majorEastAsia" w:eastAsiaTheme="majorEastAsia" w:cstheme="majorEastAsia"/>
          <w:b/>
          <w:bCs w:val="0"/>
          <w:color w:val="auto"/>
          <w:sz w:val="24"/>
          <w:szCs w:val="24"/>
          <w:highlight w:val="none"/>
        </w:rPr>
        <w:t>委托服务协议书</w:t>
      </w:r>
    </w:p>
    <w:p w14:paraId="05AF7B76">
      <w:pPr>
        <w:kinsoku/>
        <w:wordWrap/>
        <w:overflowPunct/>
        <w:topLinePunct w:val="0"/>
        <w:bidi w:val="0"/>
        <w:spacing w:line="360" w:lineRule="auto"/>
        <w:ind w:right="8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采购计划号：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5F668C9">
      <w:pPr>
        <w:kinsoku/>
        <w:wordWrap/>
        <w:overflowPunct/>
        <w:topLinePunct w:val="0"/>
        <w:bidi w:val="0"/>
        <w:spacing w:line="360" w:lineRule="auto"/>
        <w:ind w:right="800"/>
        <w:outlineLvl w:val="9"/>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合同编号：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EE541F4">
      <w:pPr>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23451D58">
      <w:pPr>
        <w:kinsoku/>
        <w:wordWrap/>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p w14:paraId="73E91DE3">
      <w:pPr>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36D1587F">
      <w:pPr>
        <w:kinsoku/>
        <w:wordWrap/>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86B0A20">
      <w:pPr>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本合同为中小企业预留合同：</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sym w:font="Wingdings" w:char="00FE"/>
      </w:r>
      <w:r>
        <w:rPr>
          <w:rFonts w:hint="eastAsia" w:ascii="宋体" w:hAnsi="宋体" w:eastAsia="宋体" w:cs="宋体"/>
          <w:color w:val="auto"/>
          <w:sz w:val="21"/>
          <w:szCs w:val="21"/>
          <w:highlight w:val="none"/>
          <w:u w:val="single"/>
        </w:rPr>
        <w:t>是</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sym w:font="Wingdings" w:char="00A8"/>
      </w:r>
      <w:r>
        <w:rPr>
          <w:rFonts w:hint="eastAsia" w:ascii="宋体" w:hAnsi="宋体" w:eastAsia="宋体" w:cs="宋体"/>
          <w:color w:val="auto"/>
          <w:sz w:val="21"/>
          <w:szCs w:val="21"/>
          <w:highlight w:val="none"/>
          <w:u w:val="single"/>
        </w:rPr>
        <w:t>否）</w:t>
      </w:r>
      <w:r>
        <w:rPr>
          <w:rFonts w:hint="eastAsia" w:ascii="宋体" w:hAnsi="宋体" w:eastAsia="宋体" w:cs="宋体"/>
          <w:color w:val="auto"/>
          <w:sz w:val="21"/>
          <w:szCs w:val="21"/>
          <w:highlight w:val="none"/>
          <w:u w:val="single"/>
          <w:lang w:eastAsia="zh-CN"/>
        </w:rPr>
        <w:t>预留份额</w:t>
      </w:r>
      <w:r>
        <w:rPr>
          <w:rFonts w:hint="eastAsia" w:ascii="宋体" w:hAnsi="宋体" w:eastAsia="宋体" w:cs="宋体"/>
          <w:color w:val="auto"/>
          <w:sz w:val="21"/>
          <w:szCs w:val="21"/>
          <w:highlight w:val="none"/>
          <w:u w:val="single"/>
          <w:lang w:val="en-US" w:eastAsia="zh-CN"/>
        </w:rPr>
        <w:t>100%</w:t>
      </w:r>
      <w:r>
        <w:rPr>
          <w:rFonts w:hint="eastAsia" w:ascii="宋体" w:hAnsi="宋体" w:eastAsia="宋体" w:cs="宋体"/>
          <w:color w:val="auto"/>
          <w:sz w:val="21"/>
          <w:szCs w:val="21"/>
          <w:highlight w:val="none"/>
        </w:rPr>
        <w:t>。</w:t>
      </w:r>
    </w:p>
    <w:p w14:paraId="4BF8CA29">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根据《中华人民共和国政府采购法》、《中华人民共和国民法典》等法律、法规规定，按照磋商文件规定条款和乙方响应文件及其承诺，甲乙双方签订本合同。</w:t>
      </w:r>
    </w:p>
    <w:p w14:paraId="1F10E894">
      <w:pPr>
        <w:kinsoku/>
        <w:wordWrap/>
        <w:overflowPunct/>
        <w:topLinePunct w:val="0"/>
        <w:bidi w:val="0"/>
        <w:spacing w:line="360" w:lineRule="auto"/>
        <w:ind w:firstLine="422" w:firstLineChars="200"/>
        <w:outlineLvl w:val="1"/>
        <w:rPr>
          <w:rFonts w:hint="eastAsia" w:ascii="宋体" w:hAnsi="宋体" w:eastAsia="宋体" w:cs="宋体"/>
          <w:b/>
          <w:color w:val="auto"/>
          <w:sz w:val="21"/>
          <w:szCs w:val="21"/>
          <w:highlight w:val="none"/>
        </w:rPr>
      </w:pPr>
      <w:bookmarkStart w:id="185" w:name="_Toc22044"/>
      <w:bookmarkStart w:id="186" w:name="_Toc25435"/>
      <w:r>
        <w:rPr>
          <w:rFonts w:hint="eastAsia" w:ascii="宋体" w:hAnsi="宋体" w:eastAsia="宋体" w:cs="宋体"/>
          <w:b/>
          <w:color w:val="auto"/>
          <w:sz w:val="21"/>
          <w:szCs w:val="21"/>
          <w:highlight w:val="none"/>
        </w:rPr>
        <w:t>第一条　合同标的</w:t>
      </w:r>
      <w:bookmarkEnd w:id="185"/>
      <w:bookmarkEnd w:id="186"/>
    </w:p>
    <w:p w14:paraId="1E7A5512">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1、项目一览表</w:t>
      </w:r>
    </w:p>
    <w:tbl>
      <w:tblPr>
        <w:tblStyle w:val="2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549C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68BF4794">
            <w:pPr>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415A6C71">
            <w:pPr>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vAlign w:val="center"/>
          </w:tcPr>
          <w:p w14:paraId="2C91E0FD">
            <w:pPr>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14:paraId="0B8EA232">
            <w:pPr>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7650D2FE">
            <w:pPr>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3BC29177">
            <w:pPr>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  价</w:t>
            </w:r>
          </w:p>
          <w:p w14:paraId="164171AD">
            <w:pPr>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c>
          <w:tcPr>
            <w:tcW w:w="1207" w:type="dxa"/>
            <w:tcBorders>
              <w:top w:val="single" w:color="auto" w:sz="4" w:space="0"/>
              <w:left w:val="single" w:color="auto" w:sz="4" w:space="0"/>
              <w:bottom w:val="single" w:color="auto" w:sz="4" w:space="0"/>
              <w:right w:val="single" w:color="auto" w:sz="4" w:space="0"/>
            </w:tcBorders>
            <w:vAlign w:val="center"/>
          </w:tcPr>
          <w:p w14:paraId="10DFC52A">
            <w:pPr>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  价</w:t>
            </w:r>
          </w:p>
          <w:p w14:paraId="09DCCC44">
            <w:pPr>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r>
      <w:tr w14:paraId="0251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44B34B38">
            <w:pPr>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vAlign w:val="center"/>
          </w:tcPr>
          <w:p w14:paraId="665EE13D">
            <w:pPr>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p>
        </w:tc>
        <w:tc>
          <w:tcPr>
            <w:tcW w:w="2400" w:type="dxa"/>
            <w:tcBorders>
              <w:top w:val="single" w:color="auto" w:sz="4" w:space="0"/>
              <w:left w:val="single" w:color="auto" w:sz="4" w:space="0"/>
              <w:bottom w:val="single" w:color="auto" w:sz="4" w:space="0"/>
              <w:right w:val="single" w:color="auto" w:sz="4" w:space="0"/>
            </w:tcBorders>
            <w:vAlign w:val="center"/>
          </w:tcPr>
          <w:p w14:paraId="6B09585C">
            <w:pPr>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6EDF2AD3">
            <w:pPr>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1D067847">
            <w:pPr>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14:paraId="10DF14F3">
            <w:pPr>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14:paraId="75F90ED3">
            <w:pPr>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p>
        </w:tc>
      </w:tr>
      <w:tr w14:paraId="648C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2A1E99D5">
            <w:pPr>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vAlign w:val="center"/>
          </w:tcPr>
          <w:p w14:paraId="54EB7B73">
            <w:pPr>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p>
        </w:tc>
        <w:tc>
          <w:tcPr>
            <w:tcW w:w="2400" w:type="dxa"/>
            <w:tcBorders>
              <w:top w:val="single" w:color="auto" w:sz="4" w:space="0"/>
              <w:left w:val="single" w:color="auto" w:sz="4" w:space="0"/>
              <w:bottom w:val="single" w:color="auto" w:sz="4" w:space="0"/>
              <w:right w:val="single" w:color="auto" w:sz="4" w:space="0"/>
            </w:tcBorders>
            <w:vAlign w:val="center"/>
          </w:tcPr>
          <w:p w14:paraId="492CD4B4">
            <w:pPr>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48979D78">
            <w:pPr>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0843FD42">
            <w:pPr>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14:paraId="6DD2DD8E">
            <w:pPr>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14:paraId="449F1F02">
            <w:pPr>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p>
        </w:tc>
      </w:tr>
      <w:tr w14:paraId="5F8D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4CC58669">
            <w:pPr>
              <w:kinsoku/>
              <w:wordWrap/>
              <w:overflowPunct/>
              <w:topLinePunct w:val="0"/>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人民币合计金额（大写）：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元</w:t>
            </w:r>
            <w:r>
              <w:rPr>
                <w:rFonts w:hint="eastAsia" w:ascii="宋体" w:hAnsi="宋体" w:eastAsia="宋体" w:cs="宋体"/>
                <w:color w:val="auto"/>
                <w:sz w:val="21"/>
                <w:szCs w:val="21"/>
                <w:highlight w:val="none"/>
              </w:rPr>
              <w:t xml:space="preserve">）       </w:t>
            </w:r>
          </w:p>
        </w:tc>
      </w:tr>
      <w:tr w14:paraId="4C5D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7D0464CB">
            <w:pPr>
              <w:kinsoku/>
              <w:wordWrap/>
              <w:overflowPunct/>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合同履行期限：</w:t>
            </w:r>
          </w:p>
        </w:tc>
      </w:tr>
    </w:tbl>
    <w:p w14:paraId="47A6F529">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2832277F">
      <w:pPr>
        <w:kinsoku/>
        <w:wordWrap/>
        <w:overflowPunct/>
        <w:topLinePunct w:val="0"/>
        <w:bidi w:val="0"/>
        <w:spacing w:line="360" w:lineRule="auto"/>
        <w:ind w:firstLine="422" w:firstLineChars="200"/>
        <w:outlineLvl w:val="1"/>
        <w:rPr>
          <w:rFonts w:hint="eastAsia" w:ascii="宋体" w:hAnsi="宋体" w:eastAsia="宋体" w:cs="宋体"/>
          <w:b/>
          <w:color w:val="auto"/>
          <w:sz w:val="21"/>
          <w:szCs w:val="21"/>
          <w:highlight w:val="none"/>
        </w:rPr>
      </w:pPr>
      <w:bookmarkStart w:id="187" w:name="_Toc29342"/>
      <w:bookmarkStart w:id="188" w:name="_Toc7866"/>
      <w:r>
        <w:rPr>
          <w:rFonts w:hint="eastAsia" w:ascii="宋体" w:hAnsi="宋体" w:eastAsia="宋体" w:cs="宋体"/>
          <w:b/>
          <w:color w:val="auto"/>
          <w:sz w:val="21"/>
          <w:szCs w:val="21"/>
          <w:highlight w:val="none"/>
        </w:rPr>
        <w:t>第二条　质量保证</w:t>
      </w:r>
      <w:bookmarkEnd w:id="187"/>
      <w:bookmarkEnd w:id="188"/>
    </w:p>
    <w:p w14:paraId="7669C215">
      <w:pPr>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1A22785D">
      <w:pPr>
        <w:kinsoku/>
        <w:wordWrap/>
        <w:overflowPunct/>
        <w:topLinePunct w:val="0"/>
        <w:bidi w:val="0"/>
        <w:spacing w:line="360" w:lineRule="auto"/>
        <w:ind w:firstLine="422" w:firstLineChars="200"/>
        <w:outlineLvl w:val="1"/>
        <w:rPr>
          <w:rFonts w:hint="eastAsia" w:ascii="宋体" w:hAnsi="宋体" w:eastAsia="宋体" w:cs="宋体"/>
          <w:color w:val="auto"/>
          <w:sz w:val="21"/>
          <w:szCs w:val="21"/>
          <w:highlight w:val="none"/>
        </w:rPr>
      </w:pPr>
      <w:bookmarkStart w:id="189" w:name="_Toc29375"/>
      <w:bookmarkStart w:id="190" w:name="_Toc29827"/>
      <w:r>
        <w:rPr>
          <w:rFonts w:hint="eastAsia" w:ascii="宋体" w:hAnsi="宋体" w:eastAsia="宋体" w:cs="宋体"/>
          <w:b/>
          <w:color w:val="auto"/>
          <w:sz w:val="21"/>
          <w:szCs w:val="21"/>
          <w:highlight w:val="none"/>
        </w:rPr>
        <w:t>第三条　权利保证</w:t>
      </w:r>
      <w:bookmarkEnd w:id="189"/>
      <w:bookmarkEnd w:id="190"/>
    </w:p>
    <w:p w14:paraId="37D4F4F9">
      <w:pPr>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1、乙方应保证所提供服务在使用时不会侵犯任何第三方的专利权、商标权、工业设计权等知识产权及其他合法权利，且所有权、处分权等没有受到任何限制。</w:t>
      </w:r>
    </w:p>
    <w:p w14:paraId="65B8F3C5">
      <w:pPr>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5A93EB04">
      <w:pPr>
        <w:kinsoku/>
        <w:wordWrap/>
        <w:overflowPunct/>
        <w:topLinePunct w:val="0"/>
        <w:bidi w:val="0"/>
        <w:spacing w:line="360" w:lineRule="auto"/>
        <w:ind w:firstLine="422" w:firstLineChars="200"/>
        <w:outlineLvl w:val="1"/>
        <w:rPr>
          <w:rFonts w:hint="eastAsia" w:ascii="宋体" w:hAnsi="宋体" w:eastAsia="宋体" w:cs="宋体"/>
          <w:color w:val="auto"/>
          <w:sz w:val="21"/>
          <w:szCs w:val="21"/>
          <w:highlight w:val="none"/>
        </w:rPr>
      </w:pPr>
      <w:bookmarkStart w:id="191" w:name="_Toc15478"/>
      <w:bookmarkStart w:id="192" w:name="_Toc19205"/>
      <w:r>
        <w:rPr>
          <w:rFonts w:hint="eastAsia" w:ascii="宋体" w:hAnsi="宋体" w:eastAsia="宋体" w:cs="宋体"/>
          <w:b/>
          <w:color w:val="auto"/>
          <w:sz w:val="21"/>
          <w:szCs w:val="21"/>
          <w:highlight w:val="none"/>
        </w:rPr>
        <w:t>第四条　交付和验收</w:t>
      </w:r>
      <w:bookmarkEnd w:id="191"/>
      <w:bookmarkEnd w:id="192"/>
    </w:p>
    <w:p w14:paraId="214606A1">
      <w:pPr>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1、服务期限：</w:t>
      </w:r>
      <w:r>
        <w:rPr>
          <w:rFonts w:hint="eastAsia" w:ascii="宋体" w:hAnsi="宋体" w:cs="宋体"/>
          <w:color w:val="auto"/>
          <w:highlight w:val="none"/>
          <w:u w:val="single"/>
          <w:lang w:val="en-US" w:eastAsia="zh-CN"/>
        </w:rPr>
        <w:t>自合同签订之日起12个月完成本项目需求中明确的各项服务内容并通过验收</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崇左市</w:t>
      </w:r>
      <w:r>
        <w:rPr>
          <w:rFonts w:hint="eastAsia" w:ascii="宋体" w:hAnsi="宋体" w:cs="宋体"/>
          <w:color w:val="auto"/>
          <w:sz w:val="21"/>
          <w:szCs w:val="21"/>
          <w:highlight w:val="none"/>
          <w:u w:val="single"/>
          <w:lang w:eastAsia="zh-CN"/>
        </w:rPr>
        <w:t>宁明</w:t>
      </w:r>
      <w:r>
        <w:rPr>
          <w:rFonts w:hint="eastAsia" w:ascii="宋体" w:hAnsi="宋体" w:eastAsia="宋体" w:cs="宋体"/>
          <w:color w:val="auto"/>
          <w:sz w:val="21"/>
          <w:szCs w:val="21"/>
          <w:highlight w:val="none"/>
          <w:u w:val="single"/>
          <w:lang w:val="en-US" w:eastAsia="zh-CN"/>
        </w:rPr>
        <w:t>县</w:t>
      </w:r>
      <w:r>
        <w:rPr>
          <w:rFonts w:hint="eastAsia" w:ascii="宋体" w:hAnsi="宋体" w:cs="宋体"/>
          <w:color w:val="auto"/>
          <w:sz w:val="21"/>
          <w:szCs w:val="21"/>
          <w:highlight w:val="none"/>
          <w:u w:val="single"/>
          <w:lang w:val="en-US" w:eastAsia="zh-CN"/>
        </w:rPr>
        <w:t>，采购人指定地点</w:t>
      </w:r>
      <w:r>
        <w:rPr>
          <w:rFonts w:hint="eastAsia" w:ascii="宋体" w:hAnsi="宋体" w:eastAsia="宋体" w:cs="宋体"/>
          <w:color w:val="auto"/>
          <w:sz w:val="21"/>
          <w:szCs w:val="21"/>
          <w:highlight w:val="none"/>
        </w:rPr>
        <w:t>。</w:t>
      </w:r>
    </w:p>
    <w:p w14:paraId="16AC4EFD">
      <w:pPr>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2、乙方应按响应文件的承诺向甲方提供相应的服务，并提供所服务内容的相关技术资料。</w:t>
      </w:r>
    </w:p>
    <w:p w14:paraId="4D4BCD0E">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3、乙方提供不符合响应文件和本合同规定的服务成果，甲方有权拒绝接受。</w:t>
      </w:r>
    </w:p>
    <w:p w14:paraId="6B805BC0">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7A2D7C51">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5、甲乙双方应按照《广西壮族自治区政府采购项目履约验收管理办法》、双方合同、响应文件验收。</w:t>
      </w:r>
    </w:p>
    <w:p w14:paraId="6D05BC3D">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18822B5C">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7、甲方验收时以书面形式提出异议的，乙方应自收到甲方书面异议后五个工作日内及时予以解决，否则甲方有权不出具服务验收合格单。</w:t>
      </w:r>
    </w:p>
    <w:p w14:paraId="0F5EADC1">
      <w:pPr>
        <w:kinsoku/>
        <w:wordWrap/>
        <w:overflowPunct/>
        <w:topLinePunct w:val="0"/>
        <w:bidi w:val="0"/>
        <w:snapToGrid w:val="0"/>
        <w:spacing w:line="360" w:lineRule="auto"/>
        <w:ind w:firstLine="422" w:firstLineChars="200"/>
        <w:outlineLvl w:val="1"/>
        <w:rPr>
          <w:rFonts w:hint="eastAsia" w:ascii="宋体" w:hAnsi="宋体" w:eastAsia="宋体" w:cs="宋体"/>
          <w:b/>
          <w:color w:val="auto"/>
          <w:sz w:val="21"/>
          <w:szCs w:val="21"/>
          <w:highlight w:val="none"/>
        </w:rPr>
      </w:pPr>
      <w:bookmarkStart w:id="193" w:name="_Toc9641"/>
      <w:bookmarkStart w:id="194" w:name="_Toc27495"/>
    </w:p>
    <w:p w14:paraId="6E091C72">
      <w:pPr>
        <w:kinsoku/>
        <w:wordWrap/>
        <w:overflowPunct/>
        <w:topLinePunct w:val="0"/>
        <w:bidi w:val="0"/>
        <w:snapToGrid w:val="0"/>
        <w:spacing w:line="360" w:lineRule="auto"/>
        <w:ind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售后服务及培训</w:t>
      </w:r>
      <w:bookmarkEnd w:id="193"/>
      <w:bookmarkEnd w:id="194"/>
    </w:p>
    <w:p w14:paraId="4402350A">
      <w:pPr>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1、乙方应按照国家有关法律法规和本合同所附的《售后服务承诺》要求为甲方提供相应的售后服务。</w:t>
      </w:r>
    </w:p>
    <w:p w14:paraId="678E5087">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2、甲方应提供必要测试条件（如场地、电源、水源等）。</w:t>
      </w:r>
    </w:p>
    <w:p w14:paraId="4D9E8A34">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3、乙方负责甲方有关人员的培训。</w:t>
      </w:r>
    </w:p>
    <w:p w14:paraId="03E19ABD">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培训时间</w:t>
      </w:r>
      <w:r>
        <w:rPr>
          <w:rFonts w:hint="eastAsia" w:ascii="宋体" w:hAnsi="宋体" w:eastAsia="宋体" w:cs="宋体"/>
          <w:color w:val="auto"/>
          <w:sz w:val="21"/>
          <w:szCs w:val="21"/>
          <w:highlight w:val="none"/>
          <w:lang w:eastAsia="zh-CN"/>
        </w:rPr>
        <w:t>：</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sz w:val="21"/>
          <w:szCs w:val="21"/>
          <w:highlight w:val="none"/>
        </w:rPr>
        <w:t>。</w:t>
      </w:r>
    </w:p>
    <w:p w14:paraId="2A1CC566">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崇左市</w:t>
      </w:r>
      <w:r>
        <w:rPr>
          <w:rFonts w:hint="eastAsia" w:ascii="宋体" w:hAnsi="宋体" w:cs="宋体"/>
          <w:color w:val="auto"/>
          <w:sz w:val="21"/>
          <w:szCs w:val="21"/>
          <w:highlight w:val="none"/>
          <w:u w:val="single"/>
          <w:lang w:eastAsia="zh-CN"/>
        </w:rPr>
        <w:t>宁明</w:t>
      </w:r>
      <w:r>
        <w:rPr>
          <w:rFonts w:hint="eastAsia" w:ascii="宋体" w:hAnsi="宋体" w:eastAsia="宋体" w:cs="宋体"/>
          <w:color w:val="auto"/>
          <w:sz w:val="21"/>
          <w:szCs w:val="21"/>
          <w:highlight w:val="none"/>
          <w:u w:val="single"/>
          <w:lang w:val="en-US" w:eastAsia="zh-CN"/>
        </w:rPr>
        <w:t>县</w:t>
      </w:r>
      <w:r>
        <w:rPr>
          <w:rFonts w:hint="eastAsia" w:ascii="宋体" w:hAnsi="宋体" w:cs="宋体"/>
          <w:color w:val="auto"/>
          <w:sz w:val="21"/>
          <w:szCs w:val="21"/>
          <w:highlight w:val="none"/>
          <w:u w:val="single"/>
          <w:lang w:val="en-US" w:eastAsia="zh-CN"/>
        </w:rPr>
        <w:t>，采购人指定地点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D0D48B9">
      <w:pPr>
        <w:kinsoku/>
        <w:wordWrap/>
        <w:overflowPunct/>
        <w:topLinePunct w:val="0"/>
        <w:bidi w:val="0"/>
        <w:snapToGrid w:val="0"/>
        <w:spacing w:line="360" w:lineRule="auto"/>
        <w:ind w:firstLine="422" w:firstLineChars="200"/>
        <w:outlineLvl w:val="1"/>
        <w:rPr>
          <w:rFonts w:hint="eastAsia" w:ascii="宋体" w:hAnsi="宋体" w:eastAsia="宋体" w:cs="宋体"/>
          <w:b/>
          <w:color w:val="auto"/>
          <w:sz w:val="21"/>
          <w:szCs w:val="21"/>
          <w:highlight w:val="none"/>
        </w:rPr>
      </w:pPr>
      <w:bookmarkStart w:id="195" w:name="_Toc26909"/>
      <w:bookmarkStart w:id="196" w:name="_Toc23571"/>
      <w:r>
        <w:rPr>
          <w:rFonts w:hint="eastAsia" w:ascii="宋体" w:hAnsi="宋体" w:eastAsia="宋体" w:cs="宋体"/>
          <w:b/>
          <w:color w:val="auto"/>
          <w:sz w:val="21"/>
          <w:szCs w:val="21"/>
          <w:highlight w:val="none"/>
        </w:rPr>
        <w:t>第六条　付款方式</w:t>
      </w:r>
      <w:bookmarkEnd w:id="195"/>
      <w:bookmarkEnd w:id="196"/>
    </w:p>
    <w:p w14:paraId="63FF5DF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420" w:firstLineChars="200"/>
        <w:jc w:val="both"/>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sz w:val="21"/>
          <w:szCs w:val="21"/>
          <w:highlight w:val="none"/>
          <w:lang w:val="en-US" w:eastAsia="zh-CN"/>
        </w:rPr>
        <w:t>自合同</w:t>
      </w:r>
      <w:r>
        <w:rPr>
          <w:rFonts w:hint="eastAsia" w:ascii="宋体" w:hAnsi="宋体" w:eastAsia="宋体" w:cs="宋体"/>
          <w:color w:val="auto"/>
          <w:sz w:val="21"/>
          <w:szCs w:val="21"/>
          <w:highlight w:val="none"/>
        </w:rPr>
        <w:t>签订后</w:t>
      </w:r>
      <w:r>
        <w:rPr>
          <w:rFonts w:hint="eastAsia" w:ascii="宋体" w:hAnsi="宋体" w:eastAsia="宋体" w:cs="宋体"/>
          <w:color w:val="auto"/>
          <w:sz w:val="21"/>
          <w:szCs w:val="21"/>
          <w:highlight w:val="none"/>
          <w:lang w:eastAsia="zh-CN"/>
        </w:rPr>
        <w:t>采购人在供应商开具增值税等额发票后</w:t>
      </w:r>
      <w:r>
        <w:rPr>
          <w:rFonts w:hint="eastAsia" w:ascii="宋体" w:hAnsi="宋体" w:eastAsia="宋体" w:cs="宋体"/>
          <w:color w:val="auto"/>
          <w:sz w:val="21"/>
          <w:szCs w:val="21"/>
          <w:highlight w:val="none"/>
        </w:rPr>
        <w:t>支付</w:t>
      </w:r>
      <w:r>
        <w:rPr>
          <w:rFonts w:hint="eastAsia" w:ascii="宋体" w:hAnsi="宋体" w:cs="宋体"/>
          <w:color w:val="auto"/>
          <w:sz w:val="21"/>
          <w:szCs w:val="21"/>
          <w:highlight w:val="none"/>
          <w:lang w:val="en-US" w:eastAsia="zh-CN"/>
        </w:rPr>
        <w:t>合同价</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做完</w:t>
      </w:r>
      <w:r>
        <w:rPr>
          <w:rFonts w:hint="eastAsia" w:ascii="宋体" w:hAnsi="宋体" w:eastAsia="宋体" w:cs="宋体"/>
          <w:color w:val="auto"/>
          <w:sz w:val="21"/>
          <w:szCs w:val="21"/>
          <w:highlight w:val="none"/>
          <w:lang w:eastAsia="zh-CN"/>
        </w:rPr>
        <w:t>所有</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验收项目合格后</w:t>
      </w:r>
      <w:r>
        <w:rPr>
          <w:rFonts w:hint="eastAsia" w:ascii="宋体" w:hAnsi="宋体" w:eastAsia="宋体" w:cs="宋体"/>
          <w:color w:val="auto"/>
          <w:sz w:val="21"/>
          <w:szCs w:val="21"/>
          <w:highlight w:val="none"/>
          <w:lang w:eastAsia="zh-CN"/>
        </w:rPr>
        <w:t>在供应商开具增值税等额发票后</w:t>
      </w:r>
      <w:r>
        <w:rPr>
          <w:rFonts w:hint="eastAsia" w:ascii="宋体" w:hAnsi="宋体" w:eastAsia="宋体" w:cs="宋体"/>
          <w:color w:val="auto"/>
          <w:sz w:val="21"/>
          <w:szCs w:val="21"/>
          <w:highlight w:val="none"/>
        </w:rPr>
        <w:t>支付</w:t>
      </w:r>
      <w:r>
        <w:rPr>
          <w:rFonts w:hint="eastAsia" w:ascii="宋体" w:hAnsi="宋体" w:cs="宋体"/>
          <w:color w:val="auto"/>
          <w:sz w:val="21"/>
          <w:szCs w:val="21"/>
          <w:highlight w:val="none"/>
          <w:lang w:val="en-US" w:eastAsia="zh-CN"/>
        </w:rPr>
        <w:t>合同价</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w:t>
      </w:r>
    </w:p>
    <w:p w14:paraId="7BBCD4AC">
      <w:pPr>
        <w:kinsoku/>
        <w:wordWrap/>
        <w:overflowPunct/>
        <w:topLinePunct w:val="0"/>
        <w:bidi w:val="0"/>
        <w:snapToGrid w:val="0"/>
        <w:spacing w:line="360" w:lineRule="auto"/>
        <w:ind w:firstLine="422" w:firstLineChars="200"/>
        <w:outlineLvl w:val="1"/>
        <w:rPr>
          <w:rFonts w:hint="eastAsia" w:ascii="宋体" w:hAnsi="宋体" w:eastAsia="宋体" w:cs="宋体"/>
          <w:b/>
          <w:color w:val="auto"/>
          <w:sz w:val="21"/>
          <w:szCs w:val="21"/>
          <w:highlight w:val="none"/>
        </w:rPr>
      </w:pPr>
      <w:bookmarkStart w:id="197" w:name="_Toc27721"/>
      <w:r>
        <w:rPr>
          <w:rFonts w:hint="eastAsia" w:ascii="宋体" w:hAnsi="宋体" w:eastAsia="宋体" w:cs="宋体"/>
          <w:b/>
          <w:color w:val="auto"/>
          <w:sz w:val="21"/>
          <w:szCs w:val="21"/>
          <w:highlight w:val="none"/>
        </w:rPr>
        <w:t>第七条</w:t>
      </w:r>
      <w:r>
        <w:rPr>
          <w:rFonts w:hint="eastAsia" w:ascii="宋体" w:hAnsi="宋体" w:eastAsia="宋体" w:cs="宋体"/>
          <w:color w:val="auto"/>
          <w:kern w:val="0"/>
          <w:sz w:val="21"/>
          <w:szCs w:val="21"/>
          <w:highlight w:val="none"/>
          <w:lang w:val="en-US" w:eastAsia="zh-CN"/>
        </w:rPr>
        <w:t>、</w:t>
      </w:r>
      <w:bookmarkEnd w:id="197"/>
      <w:bookmarkStart w:id="198" w:name="_Toc19947"/>
      <w:bookmarkStart w:id="199" w:name="_Toc6915"/>
      <w:r>
        <w:rPr>
          <w:rFonts w:hint="eastAsia" w:ascii="宋体" w:hAnsi="宋体" w:eastAsia="宋体" w:cs="宋体"/>
          <w:b/>
          <w:color w:val="auto"/>
          <w:sz w:val="21"/>
          <w:szCs w:val="21"/>
          <w:highlight w:val="none"/>
        </w:rPr>
        <w:t>履约保证金</w:t>
      </w:r>
      <w:bookmarkEnd w:id="198"/>
      <w:bookmarkEnd w:id="199"/>
    </w:p>
    <w:p w14:paraId="23278A9B">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履约保证金金额：</w:t>
      </w:r>
      <w:r>
        <w:rPr>
          <w:rFonts w:hint="eastAsia" w:ascii="宋体" w:hAnsi="宋体" w:eastAsia="宋体" w:cs="宋体"/>
          <w:color w:val="auto"/>
          <w:sz w:val="21"/>
          <w:szCs w:val="21"/>
          <w:highlight w:val="none"/>
          <w:lang w:eastAsia="zh-CN"/>
        </w:rPr>
        <w:t>无</w:t>
      </w:r>
    </w:p>
    <w:p w14:paraId="0247D348">
      <w:pPr>
        <w:kinsoku/>
        <w:wordWrap/>
        <w:overflowPunct/>
        <w:topLinePunct w:val="0"/>
        <w:bidi w:val="0"/>
        <w:spacing w:line="360" w:lineRule="auto"/>
        <w:ind w:firstLine="422" w:firstLineChars="200"/>
        <w:outlineLvl w:val="1"/>
        <w:rPr>
          <w:rFonts w:hint="eastAsia" w:ascii="宋体" w:hAnsi="宋体" w:eastAsia="宋体" w:cs="宋体"/>
          <w:b/>
          <w:color w:val="auto"/>
          <w:sz w:val="21"/>
          <w:szCs w:val="21"/>
          <w:highlight w:val="none"/>
        </w:rPr>
      </w:pPr>
      <w:bookmarkStart w:id="200" w:name="_Toc25663"/>
      <w:bookmarkStart w:id="201" w:name="_Toc1897"/>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八</w:t>
      </w:r>
      <w:r>
        <w:rPr>
          <w:rFonts w:hint="eastAsia" w:ascii="宋体" w:hAnsi="宋体" w:eastAsia="宋体" w:cs="宋体"/>
          <w:b/>
          <w:color w:val="auto"/>
          <w:sz w:val="21"/>
          <w:szCs w:val="21"/>
          <w:highlight w:val="none"/>
        </w:rPr>
        <w:t>条  税费</w:t>
      </w:r>
      <w:bookmarkEnd w:id="200"/>
      <w:bookmarkEnd w:id="201"/>
    </w:p>
    <w:p w14:paraId="4F4E1761">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本合同执行中相关的一切税费均由乙方负担，合同另有约定的除外。</w:t>
      </w:r>
    </w:p>
    <w:p w14:paraId="5C3D989A">
      <w:pPr>
        <w:kinsoku/>
        <w:wordWrap/>
        <w:overflowPunct/>
        <w:topLinePunct w:val="0"/>
        <w:bidi w:val="0"/>
        <w:spacing w:line="360" w:lineRule="auto"/>
        <w:ind w:firstLine="422" w:firstLineChars="200"/>
        <w:outlineLvl w:val="1"/>
        <w:rPr>
          <w:rFonts w:hint="eastAsia" w:ascii="宋体" w:hAnsi="宋体" w:eastAsia="宋体" w:cs="宋体"/>
          <w:b/>
          <w:color w:val="auto"/>
          <w:sz w:val="21"/>
          <w:szCs w:val="21"/>
          <w:highlight w:val="none"/>
        </w:rPr>
      </w:pPr>
      <w:bookmarkStart w:id="202" w:name="_Toc12469"/>
      <w:bookmarkStart w:id="203" w:name="_Toc16430"/>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九</w:t>
      </w:r>
      <w:r>
        <w:rPr>
          <w:rFonts w:hint="eastAsia" w:ascii="宋体" w:hAnsi="宋体" w:eastAsia="宋体" w:cs="宋体"/>
          <w:b/>
          <w:color w:val="auto"/>
          <w:sz w:val="21"/>
          <w:szCs w:val="21"/>
          <w:highlight w:val="none"/>
        </w:rPr>
        <w:t>条　违约责任</w:t>
      </w:r>
      <w:bookmarkEnd w:id="202"/>
      <w:bookmarkEnd w:id="203"/>
    </w:p>
    <w:p w14:paraId="54895873">
      <w:pPr>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1、除不可抗力原因外，乙方没有按照合同规定的时间提供服务的，甲方可要求乙方支付违约金。每推迟一天按合同金额的3‰支付违约金，该违约金累计不超过合同金额的10%。                                  </w:t>
      </w:r>
    </w:p>
    <w:p w14:paraId="6E17DF1A">
      <w:pPr>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2、乙方提供的服务如侵犯了第三方合法权益而引发的任何纠纷或者诉讼，均由乙方负责交涉并承担全部责任。</w:t>
      </w:r>
    </w:p>
    <w:p w14:paraId="154762AF">
      <w:pPr>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3、甲方延期付款的，每天向乙方偿付延期款额3‰滞纳金，但滞纳金累计不得超过延期款额5%。</w:t>
      </w:r>
    </w:p>
    <w:p w14:paraId="717D9DBE">
      <w:pPr>
        <w:kinsoku/>
        <w:wordWrap/>
        <w:overflowPunct/>
        <w:topLinePunct w:val="0"/>
        <w:bidi w:val="0"/>
        <w:spacing w:line="360" w:lineRule="auto"/>
        <w:ind w:firstLine="422" w:firstLineChars="200"/>
        <w:outlineLvl w:val="1"/>
        <w:rPr>
          <w:rFonts w:hint="eastAsia" w:ascii="宋体" w:hAnsi="宋体" w:eastAsia="宋体" w:cs="宋体"/>
          <w:b/>
          <w:color w:val="auto"/>
          <w:sz w:val="21"/>
          <w:szCs w:val="21"/>
          <w:highlight w:val="none"/>
        </w:rPr>
      </w:pPr>
      <w:bookmarkStart w:id="204" w:name="_Toc9425"/>
      <w:bookmarkStart w:id="205" w:name="_Toc17411"/>
      <w:r>
        <w:rPr>
          <w:rFonts w:hint="eastAsia" w:ascii="宋体" w:hAnsi="宋体" w:eastAsia="宋体" w:cs="宋体"/>
          <w:b/>
          <w:color w:val="auto"/>
          <w:sz w:val="21"/>
          <w:szCs w:val="21"/>
          <w:highlight w:val="none"/>
        </w:rPr>
        <w:t>第十条  不可抗力事件处理</w:t>
      </w:r>
      <w:bookmarkEnd w:id="204"/>
      <w:bookmarkEnd w:id="205"/>
    </w:p>
    <w:p w14:paraId="681E941E">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14:paraId="36B0AE10">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14:paraId="313DFBBC">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3、不可抗力事件延续一百二十天以上，双方应通过友好协商，确定是否继续履行合同。</w:t>
      </w:r>
    </w:p>
    <w:p w14:paraId="035209D9">
      <w:pPr>
        <w:kinsoku/>
        <w:wordWrap/>
        <w:overflowPunct/>
        <w:topLinePunct w:val="0"/>
        <w:bidi w:val="0"/>
        <w:spacing w:line="360" w:lineRule="auto"/>
        <w:ind w:firstLine="422" w:firstLineChars="200"/>
        <w:outlineLvl w:val="1"/>
        <w:rPr>
          <w:rFonts w:hint="eastAsia" w:ascii="宋体" w:hAnsi="宋体" w:eastAsia="宋体" w:cs="宋体"/>
          <w:color w:val="auto"/>
          <w:sz w:val="21"/>
          <w:szCs w:val="21"/>
          <w:highlight w:val="none"/>
        </w:rPr>
      </w:pPr>
      <w:bookmarkStart w:id="206" w:name="_Toc3193"/>
      <w:bookmarkStart w:id="207" w:name="_Toc19973"/>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eastAsia="zh-CN"/>
        </w:rPr>
        <w:t>一</w:t>
      </w:r>
      <w:r>
        <w:rPr>
          <w:rFonts w:hint="eastAsia" w:ascii="宋体" w:hAnsi="宋体" w:eastAsia="宋体" w:cs="宋体"/>
          <w:b/>
          <w:color w:val="auto"/>
          <w:sz w:val="21"/>
          <w:szCs w:val="21"/>
          <w:highlight w:val="none"/>
        </w:rPr>
        <w:t>条  合同争议解决</w:t>
      </w:r>
      <w:bookmarkEnd w:id="206"/>
      <w:bookmarkEnd w:id="207"/>
    </w:p>
    <w:p w14:paraId="73335109">
      <w:pPr>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1、因服务质量问题发生争议的，应邀请国家认可的质量检测机构进行鉴定。服务符合标准的，鉴定费由甲方承担；服务不符合标准的，鉴定费由乙方承担。</w:t>
      </w:r>
    </w:p>
    <w:p w14:paraId="6FCA6706">
      <w:pPr>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2、因履行本合同引起的或者与本合同有关的争议，甲乙双方应首先通过友好协商解决，如果协商不能解决，可向甲方所在地有管辖权的人民法院提起诉讼。</w:t>
      </w:r>
    </w:p>
    <w:p w14:paraId="3612A67A">
      <w:pPr>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3、诉讼期间，本合同继续履行。</w:t>
      </w:r>
    </w:p>
    <w:p w14:paraId="6B12A0A9">
      <w:pPr>
        <w:kinsoku/>
        <w:wordWrap/>
        <w:overflowPunct/>
        <w:topLinePunct w:val="0"/>
        <w:bidi w:val="0"/>
        <w:spacing w:line="360" w:lineRule="auto"/>
        <w:ind w:firstLine="422" w:firstLineChars="200"/>
        <w:outlineLvl w:val="1"/>
        <w:rPr>
          <w:rFonts w:hint="eastAsia" w:ascii="宋体" w:hAnsi="宋体" w:eastAsia="宋体" w:cs="宋体"/>
          <w:b/>
          <w:color w:val="auto"/>
          <w:sz w:val="21"/>
          <w:szCs w:val="21"/>
          <w:highlight w:val="none"/>
        </w:rPr>
      </w:pPr>
      <w:bookmarkStart w:id="208" w:name="_Toc9896"/>
      <w:bookmarkStart w:id="209" w:name="_Toc316"/>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eastAsia="zh-CN"/>
        </w:rPr>
        <w:t>二</w:t>
      </w:r>
      <w:r>
        <w:rPr>
          <w:rFonts w:hint="eastAsia" w:ascii="宋体" w:hAnsi="宋体" w:eastAsia="宋体" w:cs="宋体"/>
          <w:b/>
          <w:color w:val="auto"/>
          <w:sz w:val="21"/>
          <w:szCs w:val="21"/>
          <w:highlight w:val="none"/>
        </w:rPr>
        <w:t>条  合同生效及其它</w:t>
      </w:r>
      <w:bookmarkEnd w:id="208"/>
      <w:bookmarkEnd w:id="209"/>
    </w:p>
    <w:p w14:paraId="110B97DF">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1、合同经双方法定代表人或者授权代表签字并加盖单位公章后生效（委托代理人签字的需后附法定代表人授权委托书，格式自拟）。</w:t>
      </w:r>
    </w:p>
    <w:p w14:paraId="3B8BFE0C">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2、合同执行中涉及采购资金和采购内容修改或者补充的，须经财政部门审批，并签书面补充协议报财政部门备案，方可作为主合同不可分割的一部分。</w:t>
      </w:r>
    </w:p>
    <w:p w14:paraId="0AD5CECE">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3、本合同未尽事宜，遵照《中华人民共和国民法典》有关条文执行。</w:t>
      </w:r>
    </w:p>
    <w:p w14:paraId="7F2FD607">
      <w:pPr>
        <w:kinsoku/>
        <w:wordWrap/>
        <w:overflowPunct/>
        <w:topLinePunct w:val="0"/>
        <w:bidi w:val="0"/>
        <w:spacing w:line="360" w:lineRule="auto"/>
        <w:ind w:firstLine="422" w:firstLineChars="200"/>
        <w:outlineLvl w:val="1"/>
        <w:rPr>
          <w:rFonts w:hint="eastAsia" w:ascii="宋体" w:hAnsi="宋体" w:eastAsia="宋体" w:cs="宋体"/>
          <w:b/>
          <w:color w:val="auto"/>
          <w:sz w:val="21"/>
          <w:szCs w:val="21"/>
          <w:highlight w:val="none"/>
        </w:rPr>
      </w:pPr>
      <w:bookmarkStart w:id="210" w:name="_Toc32403"/>
      <w:bookmarkStart w:id="211" w:name="_Toc19795"/>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eastAsia="zh-CN"/>
        </w:rPr>
        <w:t>三</w:t>
      </w:r>
      <w:r>
        <w:rPr>
          <w:rFonts w:hint="eastAsia" w:ascii="宋体" w:hAnsi="宋体" w:eastAsia="宋体" w:cs="宋体"/>
          <w:b/>
          <w:color w:val="auto"/>
          <w:sz w:val="21"/>
          <w:szCs w:val="21"/>
          <w:highlight w:val="none"/>
        </w:rPr>
        <w:t>条　合同的变更、终止与转让</w:t>
      </w:r>
      <w:bookmarkEnd w:id="210"/>
      <w:bookmarkEnd w:id="211"/>
    </w:p>
    <w:p w14:paraId="2B8B2CD4">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1、除《中华人民共和国政府采购法》第五十条规定的情形外，本合同一经签订，甲乙双方不得擅自变更、中止或者终止。</w:t>
      </w:r>
    </w:p>
    <w:p w14:paraId="43569878">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2、乙方不得擅自转让其应履行的合同义务。</w:t>
      </w:r>
    </w:p>
    <w:p w14:paraId="1AE705F5">
      <w:pPr>
        <w:kinsoku/>
        <w:wordWrap/>
        <w:overflowPunct/>
        <w:topLinePunct w:val="0"/>
        <w:bidi w:val="0"/>
        <w:spacing w:line="360" w:lineRule="auto"/>
        <w:ind w:firstLine="422" w:firstLineChars="200"/>
        <w:outlineLvl w:val="1"/>
        <w:rPr>
          <w:rFonts w:hint="eastAsia" w:ascii="宋体" w:hAnsi="宋体" w:eastAsia="宋体" w:cs="宋体"/>
          <w:b/>
          <w:color w:val="auto"/>
          <w:sz w:val="21"/>
          <w:szCs w:val="21"/>
          <w:highlight w:val="none"/>
        </w:rPr>
      </w:pPr>
      <w:bookmarkStart w:id="212" w:name="_Toc5969"/>
      <w:bookmarkStart w:id="213" w:name="_Toc18911"/>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eastAsia="zh-CN"/>
        </w:rPr>
        <w:t>四</w:t>
      </w:r>
      <w:r>
        <w:rPr>
          <w:rFonts w:hint="eastAsia" w:ascii="宋体" w:hAnsi="宋体" w:eastAsia="宋体" w:cs="宋体"/>
          <w:b/>
          <w:color w:val="auto"/>
          <w:sz w:val="21"/>
          <w:szCs w:val="21"/>
          <w:highlight w:val="none"/>
        </w:rPr>
        <w:t>条　签订本合同依据</w:t>
      </w:r>
      <w:bookmarkEnd w:id="212"/>
      <w:bookmarkEnd w:id="213"/>
    </w:p>
    <w:p w14:paraId="3A2CA853">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1、成交通知书；</w:t>
      </w:r>
    </w:p>
    <w:p w14:paraId="30ACCE52">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2、竞标报价表；</w:t>
      </w:r>
    </w:p>
    <w:p w14:paraId="7048848D">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3、商务条款偏离表和服务需求偏离表；</w:t>
      </w:r>
    </w:p>
    <w:p w14:paraId="05FFC0C7">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4、服务方案；</w:t>
      </w:r>
    </w:p>
    <w:p w14:paraId="5619639F">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5、响应文件中的其他相关文件。</w:t>
      </w:r>
    </w:p>
    <w:p w14:paraId="2836BC29">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6、上述合同文件互相补充和解释。如果合同文件之间存在矛盾或者不一致之处，以上述文件的排列顺序在先者为准。</w:t>
      </w:r>
    </w:p>
    <w:p w14:paraId="525F07DA">
      <w:pPr>
        <w:kinsoku/>
        <w:wordWrap/>
        <w:overflowPunct/>
        <w:topLinePunct w:val="0"/>
        <w:bidi w:val="0"/>
        <w:spacing w:line="360" w:lineRule="auto"/>
        <w:ind w:firstLine="422" w:firstLineChars="200"/>
        <w:outlineLvl w:val="1"/>
        <w:rPr>
          <w:rFonts w:hint="eastAsia" w:ascii="宋体" w:hAnsi="宋体" w:eastAsia="宋体" w:cs="宋体"/>
          <w:color w:val="auto"/>
          <w:sz w:val="21"/>
          <w:szCs w:val="21"/>
          <w:highlight w:val="none"/>
        </w:rPr>
      </w:pPr>
      <w:bookmarkStart w:id="214" w:name="_Toc22974"/>
      <w:bookmarkStart w:id="215" w:name="_Toc20996"/>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eastAsia="zh-CN"/>
        </w:rPr>
        <w:t>五</w:t>
      </w:r>
      <w:r>
        <w:rPr>
          <w:rFonts w:hint="eastAsia" w:ascii="宋体" w:hAnsi="宋体" w:eastAsia="宋体" w:cs="宋体"/>
          <w:b/>
          <w:color w:val="auto"/>
          <w:sz w:val="21"/>
          <w:szCs w:val="21"/>
          <w:highlight w:val="none"/>
        </w:rPr>
        <w:t>条　</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lang w:val="en-US" w:eastAsia="zh-CN"/>
        </w:rPr>
        <w:t>陆</w:t>
      </w:r>
      <w:r>
        <w:rPr>
          <w:rFonts w:hint="eastAsia" w:ascii="宋体" w:hAnsi="宋体" w:eastAsia="宋体" w:cs="宋体"/>
          <w:color w:val="auto"/>
          <w:sz w:val="21"/>
          <w:szCs w:val="21"/>
          <w:highlight w:val="none"/>
        </w:rPr>
        <w:t>份，具有同等法律效力，财政部门（政府采购监管部门）、采购代理机构各一份，甲乙双方各</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份（可根据需要另增加）。</w:t>
      </w:r>
      <w:bookmarkEnd w:id="214"/>
      <w:bookmarkEnd w:id="215"/>
    </w:p>
    <w:p w14:paraId="7BABEC30">
      <w:pPr>
        <w:kinsoku/>
        <w:wordWrap/>
        <w:overflowPunct/>
        <w:topLinePunct w:val="0"/>
        <w:bidi w:val="0"/>
        <w:spacing w:line="360" w:lineRule="auto"/>
        <w:ind w:firstLine="422" w:firstLineChars="200"/>
        <w:outlineLvl w:val="1"/>
        <w:rPr>
          <w:rFonts w:hint="eastAsia" w:ascii="宋体" w:hAnsi="宋体" w:eastAsia="宋体" w:cs="宋体"/>
          <w:color w:val="auto"/>
          <w:sz w:val="21"/>
          <w:szCs w:val="21"/>
          <w:highlight w:val="none"/>
        </w:rPr>
      </w:pPr>
      <w:bookmarkStart w:id="216" w:name="_Toc17804"/>
      <w:bookmarkStart w:id="217" w:name="_Toc4585"/>
      <w:bookmarkStart w:id="218" w:name="_Toc28593"/>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合同的生效及其他</w:t>
      </w:r>
      <w:bookmarkEnd w:id="216"/>
      <w:bookmarkEnd w:id="217"/>
      <w:bookmarkEnd w:id="218"/>
    </w:p>
    <w:p w14:paraId="7BB09BF7">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本合同甲乙双方签字盖章后生效，自签订之日起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个工作日内，甲方应当将合同副本报同级财政部门备案。</w:t>
      </w:r>
    </w:p>
    <w:p w14:paraId="372E1683">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本合同自签订之日起2个工作日内，甲方应当将采购合同在广西壮族自治区财政厅指定的媒体上公告。</w:t>
      </w:r>
    </w:p>
    <w:p w14:paraId="754ECAF1">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3、下列文件为本合同的附件：</w:t>
      </w:r>
    </w:p>
    <w:p w14:paraId="28345AA1">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（1）成交通知书</w:t>
      </w:r>
    </w:p>
    <w:p w14:paraId="0F47F732">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（2）服务需求一览表</w:t>
      </w:r>
    </w:p>
    <w:p w14:paraId="1C4715EF">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（3）竞标报价表</w:t>
      </w:r>
    </w:p>
    <w:p w14:paraId="056F8052">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（4）技术服务需求偏离表 </w:t>
      </w:r>
    </w:p>
    <w:p w14:paraId="4C7A606D">
      <w:pP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（5）商务条款偏离表</w:t>
      </w:r>
    </w:p>
    <w:tbl>
      <w:tblPr>
        <w:tblStyle w:val="23"/>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8"/>
        <w:gridCol w:w="4897"/>
      </w:tblGrid>
      <w:tr w14:paraId="711D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268" w:type="dxa"/>
            <w:tcBorders>
              <w:top w:val="single" w:color="auto" w:sz="4" w:space="0"/>
              <w:left w:val="single" w:color="auto" w:sz="4" w:space="0"/>
              <w:bottom w:val="single" w:color="auto" w:sz="4" w:space="0"/>
              <w:right w:val="single" w:color="auto" w:sz="4" w:space="0"/>
            </w:tcBorders>
            <w:vAlign w:val="center"/>
          </w:tcPr>
          <w:p w14:paraId="66180486">
            <w:pPr>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甲方：（章）</w:t>
            </w:r>
          </w:p>
          <w:p w14:paraId="33BB978E">
            <w:pPr>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p>
        </w:tc>
        <w:tc>
          <w:tcPr>
            <w:tcW w:w="4897" w:type="dxa"/>
            <w:tcBorders>
              <w:top w:val="single" w:color="auto" w:sz="4" w:space="0"/>
              <w:left w:val="single" w:color="auto" w:sz="4" w:space="0"/>
              <w:bottom w:val="single" w:color="auto" w:sz="4" w:space="0"/>
              <w:right w:val="single" w:color="auto" w:sz="4" w:space="0"/>
            </w:tcBorders>
            <w:vAlign w:val="center"/>
          </w:tcPr>
          <w:p w14:paraId="474CBFA8">
            <w:pPr>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乙方：（章）</w:t>
            </w:r>
          </w:p>
          <w:p w14:paraId="0E018B31">
            <w:pPr>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14:paraId="00C0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268" w:type="dxa"/>
            <w:tcBorders>
              <w:top w:val="single" w:color="auto" w:sz="4" w:space="0"/>
              <w:left w:val="single" w:color="auto" w:sz="4" w:space="0"/>
              <w:bottom w:val="single" w:color="auto" w:sz="4" w:space="0"/>
              <w:right w:val="single" w:color="auto" w:sz="4" w:space="0"/>
            </w:tcBorders>
            <w:vAlign w:val="center"/>
          </w:tcPr>
          <w:p w14:paraId="28E9A61A">
            <w:pPr>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单位地址： </w:t>
            </w:r>
          </w:p>
        </w:tc>
        <w:tc>
          <w:tcPr>
            <w:tcW w:w="4897" w:type="dxa"/>
            <w:tcBorders>
              <w:top w:val="single" w:color="auto" w:sz="4" w:space="0"/>
              <w:left w:val="single" w:color="auto" w:sz="4" w:space="0"/>
              <w:bottom w:val="single" w:color="auto" w:sz="4" w:space="0"/>
              <w:right w:val="single" w:color="auto" w:sz="4" w:space="0"/>
            </w:tcBorders>
            <w:vAlign w:val="center"/>
          </w:tcPr>
          <w:p w14:paraId="6EDC4CE5">
            <w:pPr>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r>
      <w:tr w14:paraId="42F8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268" w:type="dxa"/>
            <w:tcBorders>
              <w:top w:val="single" w:color="auto" w:sz="4" w:space="0"/>
              <w:left w:val="single" w:color="auto" w:sz="4" w:space="0"/>
              <w:bottom w:val="single" w:color="auto" w:sz="4" w:space="0"/>
              <w:right w:val="single" w:color="auto" w:sz="4" w:space="0"/>
            </w:tcBorders>
            <w:vAlign w:val="center"/>
          </w:tcPr>
          <w:p w14:paraId="5571EE04">
            <w:pPr>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4897" w:type="dxa"/>
            <w:tcBorders>
              <w:top w:val="single" w:color="auto" w:sz="4" w:space="0"/>
              <w:left w:val="single" w:color="auto" w:sz="4" w:space="0"/>
              <w:bottom w:val="single" w:color="auto" w:sz="4" w:space="0"/>
              <w:right w:val="single" w:color="auto" w:sz="4" w:space="0"/>
            </w:tcBorders>
            <w:vAlign w:val="center"/>
          </w:tcPr>
          <w:p w14:paraId="61EA2F98">
            <w:pPr>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r>
      <w:tr w14:paraId="497C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268" w:type="dxa"/>
            <w:tcBorders>
              <w:top w:val="single" w:color="auto" w:sz="4" w:space="0"/>
              <w:left w:val="single" w:color="auto" w:sz="4" w:space="0"/>
              <w:bottom w:val="single" w:color="auto" w:sz="4" w:space="0"/>
              <w:right w:val="single" w:color="auto" w:sz="4" w:space="0"/>
            </w:tcBorders>
            <w:vAlign w:val="center"/>
          </w:tcPr>
          <w:p w14:paraId="6C58C74C">
            <w:pPr>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c>
          <w:tcPr>
            <w:tcW w:w="4897" w:type="dxa"/>
            <w:tcBorders>
              <w:top w:val="single" w:color="auto" w:sz="4" w:space="0"/>
              <w:left w:val="single" w:color="auto" w:sz="4" w:space="0"/>
              <w:bottom w:val="single" w:color="auto" w:sz="4" w:space="0"/>
              <w:right w:val="single" w:color="auto" w:sz="4" w:space="0"/>
            </w:tcBorders>
            <w:vAlign w:val="center"/>
          </w:tcPr>
          <w:p w14:paraId="1732AF1B">
            <w:pPr>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r>
      <w:tr w14:paraId="4833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268" w:type="dxa"/>
            <w:tcBorders>
              <w:top w:val="single" w:color="auto" w:sz="4" w:space="0"/>
              <w:left w:val="single" w:color="auto" w:sz="4" w:space="0"/>
              <w:bottom w:val="single" w:color="auto" w:sz="4" w:space="0"/>
              <w:right w:val="single" w:color="auto" w:sz="4" w:space="0"/>
            </w:tcBorders>
            <w:vAlign w:val="center"/>
          </w:tcPr>
          <w:p w14:paraId="66BA9C21">
            <w:pPr>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897" w:type="dxa"/>
            <w:tcBorders>
              <w:top w:val="single" w:color="auto" w:sz="4" w:space="0"/>
              <w:left w:val="single" w:color="auto" w:sz="4" w:space="0"/>
              <w:bottom w:val="single" w:color="auto" w:sz="4" w:space="0"/>
              <w:right w:val="single" w:color="auto" w:sz="4" w:space="0"/>
            </w:tcBorders>
            <w:vAlign w:val="center"/>
          </w:tcPr>
          <w:p w14:paraId="263771D4">
            <w:pPr>
              <w:kinsoku/>
              <w:wordWrap/>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p>
        </w:tc>
      </w:tr>
      <w:tr w14:paraId="594A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268" w:type="dxa"/>
            <w:tcBorders>
              <w:top w:val="single" w:color="auto" w:sz="4" w:space="0"/>
              <w:left w:val="single" w:color="auto" w:sz="4" w:space="0"/>
              <w:bottom w:val="single" w:color="auto" w:sz="4" w:space="0"/>
              <w:right w:val="single" w:color="auto" w:sz="4" w:space="0"/>
            </w:tcBorders>
            <w:vAlign w:val="center"/>
          </w:tcPr>
          <w:p w14:paraId="446C7899">
            <w:pPr>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p>
        </w:tc>
        <w:tc>
          <w:tcPr>
            <w:tcW w:w="4897" w:type="dxa"/>
            <w:tcBorders>
              <w:top w:val="single" w:color="auto" w:sz="4" w:space="0"/>
              <w:left w:val="single" w:color="auto" w:sz="4" w:space="0"/>
              <w:bottom w:val="single" w:color="auto" w:sz="4" w:space="0"/>
              <w:right w:val="single" w:color="auto" w:sz="4" w:space="0"/>
            </w:tcBorders>
            <w:vAlign w:val="center"/>
          </w:tcPr>
          <w:p w14:paraId="7431050D">
            <w:pPr>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14:paraId="328A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268" w:type="dxa"/>
            <w:tcBorders>
              <w:top w:val="single" w:color="auto" w:sz="4" w:space="0"/>
              <w:left w:val="single" w:color="auto" w:sz="4" w:space="0"/>
              <w:bottom w:val="single" w:color="auto" w:sz="4" w:space="0"/>
              <w:right w:val="single" w:color="auto" w:sz="4" w:space="0"/>
            </w:tcBorders>
            <w:vAlign w:val="center"/>
          </w:tcPr>
          <w:p w14:paraId="3D6CBFB8">
            <w:pPr>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4897" w:type="dxa"/>
            <w:tcBorders>
              <w:top w:val="single" w:color="auto" w:sz="4" w:space="0"/>
              <w:left w:val="single" w:color="auto" w:sz="4" w:space="0"/>
              <w:bottom w:val="single" w:color="auto" w:sz="4" w:space="0"/>
              <w:right w:val="single" w:color="auto" w:sz="4" w:space="0"/>
            </w:tcBorders>
            <w:vAlign w:val="center"/>
          </w:tcPr>
          <w:p w14:paraId="2043CB9A">
            <w:pPr>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14:paraId="2815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268" w:type="dxa"/>
            <w:tcBorders>
              <w:top w:val="single" w:color="auto" w:sz="4" w:space="0"/>
              <w:left w:val="single" w:color="auto" w:sz="4" w:space="0"/>
              <w:bottom w:val="single" w:color="auto" w:sz="4" w:space="0"/>
              <w:right w:val="single" w:color="auto" w:sz="4" w:space="0"/>
            </w:tcBorders>
            <w:vAlign w:val="center"/>
          </w:tcPr>
          <w:p w14:paraId="2DADB142">
            <w:pPr>
              <w:kinsoku/>
              <w:wordWrap/>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邮政编码：</w:t>
            </w:r>
          </w:p>
        </w:tc>
        <w:tc>
          <w:tcPr>
            <w:tcW w:w="4897" w:type="dxa"/>
            <w:tcBorders>
              <w:top w:val="single" w:color="auto" w:sz="4" w:space="0"/>
              <w:left w:val="single" w:color="auto" w:sz="4" w:space="0"/>
              <w:bottom w:val="single" w:color="auto" w:sz="4" w:space="0"/>
              <w:right w:val="single" w:color="auto" w:sz="4" w:space="0"/>
            </w:tcBorders>
            <w:vAlign w:val="center"/>
          </w:tcPr>
          <w:p w14:paraId="11194489">
            <w:pPr>
              <w:kinsoku/>
              <w:wordWrap/>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邮政编码：</w:t>
            </w:r>
          </w:p>
        </w:tc>
      </w:tr>
    </w:tbl>
    <w:p w14:paraId="1B228CAA">
      <w:pPr>
        <w:rPr>
          <w:rFonts w:hint="eastAsia" w:ascii="宋体" w:hAnsi="宋体" w:eastAsia="宋体" w:cs="宋体"/>
          <w:color w:val="auto"/>
          <w:sz w:val="21"/>
          <w:szCs w:val="21"/>
          <w:highlight w:val="none"/>
        </w:rPr>
      </w:pPr>
    </w:p>
    <w:p w14:paraId="20210FCC">
      <w:pPr>
        <w:rPr>
          <w:color w:val="auto"/>
          <w:highlight w:val="none"/>
        </w:rPr>
      </w:pPr>
    </w:p>
    <w:sectPr>
      <w:headerReference r:id="rId8" w:type="default"/>
      <w:footerReference r:id="rId9" w:type="default"/>
      <w:pgSz w:w="11906" w:h="16838"/>
      <w:pgMar w:top="1440" w:right="1279" w:bottom="1440" w:left="13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金山简黑体">
    <w:altName w:val="黑体"/>
    <w:panose1 w:val="00000000000000000000"/>
    <w:charset w:val="86"/>
    <w:family w:val="roman"/>
    <w:pitch w:val="default"/>
    <w:sig w:usb0="00000000" w:usb1="00000000" w:usb2="00000000"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4601F">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EEE9D">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AEEE9D">
                    <w:pPr>
                      <w:pStyle w:val="16"/>
                    </w:pPr>
                    <w:r>
                      <w:fldChar w:fldCharType="begin"/>
                    </w:r>
                    <w:r>
                      <w:instrText xml:space="preserve"> PAGE  \* MERGEFORMAT </w:instrText>
                    </w:r>
                    <w:r>
                      <w:fldChar w:fldCharType="separate"/>
                    </w:r>
                    <w:r>
                      <w:t>2</w:t>
                    </w:r>
                    <w:r>
                      <w:fldChar w:fldCharType="end"/>
                    </w:r>
                  </w:p>
                </w:txbxContent>
              </v:textbox>
            </v:shape>
          </w:pict>
        </mc:Fallback>
      </mc:AlternateContent>
    </w:r>
  </w:p>
  <w:p w14:paraId="4F86050B">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02425">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D02F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9D02F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F9686">
    <w:pPr>
      <w:pStyle w:val="16"/>
      <w:ind w:left="3711" w:leftChars="1767" w:firstLine="2700" w:firstLineChars="900"/>
      <w:rPr>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5D76C">
                          <w:pPr>
                            <w:pStyle w:val="1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A05D76C">
                    <w:pPr>
                      <w:pStyle w:val="1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67164">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1ECA4">
                          <w:pPr>
                            <w:pStyle w:val="16"/>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2F1ECA4">
                    <w:pPr>
                      <w:pStyle w:val="16"/>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B8D91">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EAF06">
    <w:pPr>
      <w:pStyle w:val="11"/>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93276">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63661"/>
    <w:multiLevelType w:val="singleLevel"/>
    <w:tmpl w:val="8CA63661"/>
    <w:lvl w:ilvl="0" w:tentative="0">
      <w:start w:val="1"/>
      <w:numFmt w:val="decimal"/>
      <w:suff w:val="nothing"/>
      <w:lvlText w:val="（%1）"/>
      <w:lvlJc w:val="left"/>
    </w:lvl>
  </w:abstractNum>
  <w:abstractNum w:abstractNumId="1">
    <w:nsid w:val="AA53A741"/>
    <w:multiLevelType w:val="singleLevel"/>
    <w:tmpl w:val="AA53A741"/>
    <w:lvl w:ilvl="0" w:tentative="0">
      <w:start w:val="4"/>
      <w:numFmt w:val="decimal"/>
      <w:lvlText w:val="%1."/>
      <w:lvlJc w:val="left"/>
      <w:pPr>
        <w:tabs>
          <w:tab w:val="left" w:pos="312"/>
        </w:tabs>
      </w:pPr>
    </w:lvl>
  </w:abstractNum>
  <w:abstractNum w:abstractNumId="2">
    <w:nsid w:val="EA500484"/>
    <w:multiLevelType w:val="singleLevel"/>
    <w:tmpl w:val="EA500484"/>
    <w:lvl w:ilvl="0" w:tentative="0">
      <w:start w:val="1"/>
      <w:numFmt w:val="decimal"/>
      <w:pStyle w:val="6"/>
      <w:lvlText w:val="%1."/>
      <w:lvlJc w:val="left"/>
      <w:pPr>
        <w:tabs>
          <w:tab w:val="left" w:pos="360"/>
        </w:tabs>
        <w:ind w:left="360" w:hanging="360"/>
      </w:pPr>
    </w:lvl>
  </w:abstractNum>
  <w:abstractNum w:abstractNumId="3">
    <w:nsid w:val="EB8CEB78"/>
    <w:multiLevelType w:val="singleLevel"/>
    <w:tmpl w:val="EB8CEB78"/>
    <w:lvl w:ilvl="0" w:tentative="0">
      <w:start w:val="3"/>
      <w:numFmt w:val="chineseCounting"/>
      <w:suff w:val="space"/>
      <w:lvlText w:val="第%1章"/>
      <w:lvlJc w:val="left"/>
      <w:rPr>
        <w:rFonts w:hint="eastAsia"/>
      </w:rPr>
    </w:lvl>
  </w:abstractNum>
  <w:abstractNum w:abstractNumId="4">
    <w:nsid w:val="2F9CD2C3"/>
    <w:multiLevelType w:val="singleLevel"/>
    <w:tmpl w:val="2F9CD2C3"/>
    <w:lvl w:ilvl="0" w:tentative="0">
      <w:start w:val="2"/>
      <w:numFmt w:val="decimal"/>
      <w:lvlText w:val="%1."/>
      <w:lvlJc w:val="left"/>
      <w:pPr>
        <w:tabs>
          <w:tab w:val="left" w:pos="312"/>
        </w:tabs>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formatting="1" w:enforcement="1" w:cryptProviderType="rsaFull" w:cryptAlgorithmClass="hash" w:cryptAlgorithmType="typeAny" w:cryptAlgorithmSid="4" w:cryptSpinCount="0" w:hash="H6QG+qo/HDowYtnDAMk8TbbQL/s=" w:salt="ZxXKGU6rqq0yIyvaeQ5+2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N2Q2N2Q5ZGNhOWFlMDAwOWM1NjNjZjA2MzQ0ZGUifQ=="/>
  </w:docVars>
  <w:rsids>
    <w:rsidRoot w:val="00000000"/>
    <w:rsid w:val="030671D3"/>
    <w:rsid w:val="12A2247E"/>
    <w:rsid w:val="27FF7858"/>
    <w:rsid w:val="34595109"/>
    <w:rsid w:val="3E7806BD"/>
    <w:rsid w:val="44930199"/>
    <w:rsid w:val="4FAB7FA4"/>
    <w:rsid w:val="5C7F13AD"/>
    <w:rsid w:val="5E272947"/>
    <w:rsid w:val="5EB81ADB"/>
    <w:rsid w:val="67A42261"/>
    <w:rsid w:val="7EC226EB"/>
    <w:rsid w:val="7F41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40" w:lineRule="exact"/>
      <w:outlineLvl w:val="0"/>
    </w:pPr>
    <w:rPr>
      <w:b/>
      <w:bCs/>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ind w:firstLine="680"/>
      <w:outlineLvl w:val="3"/>
    </w:pPr>
    <w:rPr>
      <w:rFonts w:ascii="宋体"/>
      <w:sz w:val="28"/>
      <w:szCs w:val="20"/>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next w:val="9"/>
    <w:qFormat/>
    <w:uiPriority w:val="0"/>
    <w:pPr>
      <w:jc w:val="left"/>
    </w:pPr>
  </w:style>
  <w:style w:type="paragraph" w:styleId="9">
    <w:name w:val="toc 1"/>
    <w:basedOn w:val="1"/>
    <w:next w:val="1"/>
    <w:unhideWhenUsed/>
    <w:qFormat/>
    <w:uiPriority w:val="39"/>
  </w:style>
  <w:style w:type="paragraph" w:styleId="10">
    <w:name w:val="Body Text 3"/>
    <w:basedOn w:val="1"/>
    <w:unhideWhenUsed/>
    <w:qFormat/>
    <w:uiPriority w:val="99"/>
    <w:pPr>
      <w:spacing w:after="120"/>
    </w:pPr>
    <w:rPr>
      <w:sz w:val="16"/>
      <w:szCs w:val="16"/>
    </w:rPr>
  </w:style>
  <w:style w:type="paragraph" w:styleId="11">
    <w:name w:val="Body Text"/>
    <w:basedOn w:val="1"/>
    <w:unhideWhenUsed/>
    <w:qFormat/>
    <w:uiPriority w:val="0"/>
    <w:pPr>
      <w:spacing w:after="120"/>
    </w:pPr>
  </w:style>
  <w:style w:type="paragraph" w:styleId="12">
    <w:name w:val="Body Text Indent"/>
    <w:basedOn w:val="1"/>
    <w:qFormat/>
    <w:uiPriority w:val="0"/>
    <w:pPr>
      <w:ind w:firstLine="830" w:firstLineChars="352"/>
    </w:pPr>
    <w:rPr>
      <w:rFonts w:ascii="仿宋_GB2312" w:eastAsia="仿宋_GB2312"/>
      <w:kern w:val="0"/>
      <w:sz w:val="32"/>
      <w:szCs w:val="20"/>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next w:val="15"/>
    <w:qFormat/>
    <w:uiPriority w:val="0"/>
    <w:rPr>
      <w:rFonts w:ascii="宋体" w:hAnsi="Courier New"/>
      <w:kern w:val="0"/>
      <w:sz w:val="20"/>
      <w:szCs w:val="21"/>
    </w:rPr>
  </w:style>
  <w:style w:type="paragraph" w:styleId="15">
    <w:name w:val="Date"/>
    <w:basedOn w:val="1"/>
    <w:next w:val="1"/>
    <w:unhideWhenUsed/>
    <w:qFormat/>
    <w:uiPriority w:val="99"/>
    <w:pPr>
      <w:ind w:left="100" w:leftChars="2500"/>
    </w:p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able of figures"/>
    <w:basedOn w:val="1"/>
    <w:next w:val="1"/>
    <w:unhideWhenUsed/>
    <w:qFormat/>
    <w:uiPriority w:val="99"/>
    <w:pPr>
      <w:ind w:left="200" w:leftChars="200" w:hanging="200" w:hangingChars="200"/>
    </w:pPr>
  </w:style>
  <w:style w:type="paragraph" w:styleId="19">
    <w:name w:val="toc 2"/>
    <w:basedOn w:val="1"/>
    <w:next w:val="1"/>
    <w:unhideWhenUsed/>
    <w:qFormat/>
    <w:uiPriority w:val="39"/>
    <w:pPr>
      <w:tabs>
        <w:tab w:val="right" w:leader="dot" w:pos="8296"/>
      </w:tabs>
      <w:ind w:left="420" w:leftChars="200"/>
    </w:p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Body Text First Indent 2"/>
    <w:basedOn w:val="1"/>
    <w:qFormat/>
    <w:uiPriority w:val="0"/>
    <w:pPr>
      <w:spacing w:after="120" w:line="240" w:lineRule="auto"/>
      <w:ind w:left="420" w:leftChars="200" w:firstLine="420" w:firstLineChars="200"/>
    </w:pPr>
    <w:rPr>
      <w:rFonts w:ascii="宋体" w:hAnsi="Courier New"/>
      <w:spacing w:val="-4"/>
      <w:sz w:val="18"/>
    </w:rPr>
  </w:style>
  <w:style w:type="character" w:styleId="25">
    <w:name w:val="Strong"/>
    <w:basedOn w:val="24"/>
    <w:qFormat/>
    <w:uiPriority w:val="0"/>
    <w:rPr>
      <w:b/>
    </w:rPr>
  </w:style>
  <w:style w:type="character" w:styleId="26">
    <w:name w:val="FollowedHyperlink"/>
    <w:unhideWhenUsed/>
    <w:qFormat/>
    <w:uiPriority w:val="99"/>
    <w:rPr>
      <w:color w:val="800080"/>
      <w:u w:val="single"/>
    </w:rPr>
  </w:style>
  <w:style w:type="character" w:styleId="27">
    <w:name w:val="Hyperlink"/>
    <w:unhideWhenUsed/>
    <w:qFormat/>
    <w:uiPriority w:val="99"/>
    <w:rPr>
      <w:color w:val="0000FF"/>
      <w:u w:val="single"/>
    </w:rPr>
  </w:style>
  <w:style w:type="paragraph" w:customStyle="1" w:styleId="28">
    <w:name w:val="Default"/>
    <w:qFormat/>
    <w:uiPriority w:val="0"/>
    <w:pPr>
      <w:widowControl w:val="0"/>
      <w:autoSpaceDE w:val="0"/>
      <w:autoSpaceDN w:val="0"/>
      <w:adjustRightInd w:val="0"/>
      <w:jc w:val="both"/>
    </w:pPr>
    <w:rPr>
      <w:rFonts w:ascii="宋体" w:hAnsi="Times New Roman" w:eastAsia="宋体" w:cs="Times New Roman"/>
      <w:color w:val="000000"/>
      <w:kern w:val="2"/>
      <w:sz w:val="24"/>
      <w:szCs w:val="24"/>
      <w:lang w:val="en-US" w:eastAsia="zh-CN" w:bidi="ar-SA"/>
    </w:rPr>
  </w:style>
  <w:style w:type="paragraph" w:customStyle="1" w:styleId="29">
    <w:name w:val="BodyText1I2"/>
    <w:basedOn w:val="30"/>
    <w:qFormat/>
    <w:uiPriority w:val="0"/>
    <w:pPr>
      <w:ind w:firstLine="200" w:firstLineChars="200"/>
    </w:pPr>
  </w:style>
  <w:style w:type="paragraph" w:customStyle="1" w:styleId="30">
    <w:name w:val="BodyTextIndent"/>
    <w:basedOn w:val="1"/>
    <w:qFormat/>
    <w:uiPriority w:val="0"/>
    <w:pPr>
      <w:spacing w:after="120"/>
      <w:ind w:left="420" w:leftChars="200"/>
    </w:pPr>
  </w:style>
  <w:style w:type="paragraph" w:customStyle="1" w:styleId="31">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32">
    <w:name w:val="表格文字"/>
    <w:basedOn w:val="12"/>
    <w:qFormat/>
    <w:uiPriority w:val="0"/>
    <w:pPr>
      <w:jc w:val="left"/>
    </w:pPr>
    <w:rPr>
      <w:bCs/>
      <w:spacing w:val="10"/>
      <w:sz w:val="24"/>
    </w:rPr>
  </w:style>
  <w:style w:type="paragraph" w:customStyle="1" w:styleId="33">
    <w:name w:val="目录 21"/>
    <w:basedOn w:val="1"/>
    <w:next w:val="1"/>
    <w:qFormat/>
    <w:uiPriority w:val="0"/>
    <w:pPr>
      <w:spacing w:before="100" w:beforeAutospacing="1" w:after="100" w:afterAutospacing="1"/>
      <w:ind w:left="420" w:leftChars="200"/>
    </w:pPr>
  </w:style>
  <w:style w:type="paragraph" w:customStyle="1" w:styleId="34">
    <w:name w:val="Table Paragraph"/>
    <w:basedOn w:val="1"/>
    <w:qFormat/>
    <w:uiPriority w:val="1"/>
  </w:style>
  <w:style w:type="paragraph" w:customStyle="1" w:styleId="35">
    <w:name w:val="List Paragraph"/>
    <w:basedOn w:val="1"/>
    <w:qFormat/>
    <w:uiPriority w:val="34"/>
    <w:pPr>
      <w:ind w:firstLine="420" w:firstLineChars="200"/>
    </w:pPr>
  </w:style>
  <w:style w:type="character" w:customStyle="1" w:styleId="36">
    <w:name w:val="NormalCharacter"/>
    <w:qFormat/>
    <w:uiPriority w:val="0"/>
  </w:style>
  <w:style w:type="paragraph" w:customStyle="1" w:styleId="37">
    <w:name w:val="正文1"/>
    <w:next w:val="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文本1"/>
    <w:basedOn w:val="37"/>
    <w:next w:val="37"/>
    <w:qFormat/>
    <w:uiPriority w:val="0"/>
    <w:rPr>
      <w:rFonts w:ascii="金山简黑体" w:hAnsi="金山简黑体" w:eastAsia="金山简黑体"/>
      <w:b/>
      <w:spacing w:val="-8"/>
      <w:sz w:val="44"/>
      <w:szCs w:val="20"/>
    </w:rPr>
  </w:style>
  <w:style w:type="paragraph" w:customStyle="1" w:styleId="39">
    <w:name w:val="正文2"/>
    <w:basedOn w:val="1"/>
    <w:next w:val="1"/>
    <w:qFormat/>
    <w:uiPriority w:val="0"/>
    <w:pPr>
      <w:adjustRightInd w:val="0"/>
      <w:spacing w:before="156" w:line="360" w:lineRule="auto"/>
      <w:ind w:firstLine="510" w:firstLineChars="200"/>
    </w:pPr>
    <w:rPr>
      <w:kern w:val="0"/>
      <w:sz w:val="24"/>
      <w:szCs w:val="20"/>
    </w:rPr>
  </w:style>
  <w:style w:type="paragraph" w:customStyle="1" w:styleId="40">
    <w:name w:val="NormalIndent"/>
    <w:basedOn w:val="1"/>
    <w:qFormat/>
    <w:uiPriority w:val="0"/>
    <w:pPr>
      <w:ind w:firstLine="420" w:firstLineChars="200"/>
    </w:pPr>
    <w:rPr>
      <w:szCs w:val="21"/>
    </w:rPr>
  </w:style>
  <w:style w:type="paragraph" w:customStyle="1" w:styleId="41">
    <w:name w:val="仿宋正文"/>
    <w:basedOn w:val="1"/>
    <w:qFormat/>
    <w:uiPriority w:val="0"/>
    <w:pPr>
      <w:spacing w:line="600" w:lineRule="exact"/>
      <w:ind w:firstLine="420" w:firstLineChars="200"/>
    </w:pPr>
    <w:rPr>
      <w:rFonts w:eastAsia="方正仿宋简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41576</Words>
  <Characters>44057</Characters>
  <Lines>0</Lines>
  <Paragraphs>0</Paragraphs>
  <TotalTime>0</TotalTime>
  <ScaleCrop>false</ScaleCrop>
  <LinksUpToDate>false</LinksUpToDate>
  <CharactersWithSpaces>49827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2022-05-31T16:15:00Z</dcterms:created>
  <dc:creator>吴先森</dc:creator>
  <cp:lastModifiedBy>何艳</cp:lastModifiedBy>
  <dcterms:modified xsi:type="dcterms:W3CDTF">2024-08-30T08:22:11Z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BE39EEE832AC4369ACCCD5E32E991C29_13</vt:lpwstr>
  </property>
</Properties>
</file>