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C5A3">
      <w:pPr>
        <w:pBdr>
          <w:bottom w:val="thinThickThinMediumGap" w:color="auto" w:sz="18" w:space="0"/>
        </w:pBdr>
        <w:spacing w:line="240" w:lineRule="auto"/>
        <w:jc w:val="center"/>
        <w:rPr>
          <w:rFonts w:hint="eastAsia"/>
          <w:color w:val="auto"/>
          <w:sz w:val="72"/>
          <w:szCs w:val="72"/>
          <w:highlight w:val="none"/>
          <w:lang w:eastAsia="zh-CN"/>
        </w:rPr>
      </w:pPr>
      <w:bookmarkStart w:id="0" w:name="_Hlk9544796"/>
      <w:r>
        <w:rPr>
          <w:rFonts w:hint="eastAsia"/>
          <w:color w:val="auto"/>
          <w:sz w:val="72"/>
          <w:szCs w:val="72"/>
          <w:highlight w:val="none"/>
          <w:lang w:eastAsia="zh-CN"/>
        </w:rPr>
        <w:t>2025年宁明县峙浪乡派台村派台屯旺流至枯龙屯路口甘蔗特色产业配套道路硬化建设项目</w:t>
      </w:r>
    </w:p>
    <w:p w14:paraId="459B893B">
      <w:pPr>
        <w:spacing w:line="300" w:lineRule="auto"/>
        <w:jc w:val="center"/>
        <w:rPr>
          <w:rFonts w:hint="default"/>
          <w:color w:val="auto"/>
          <w:sz w:val="72"/>
          <w:szCs w:val="72"/>
          <w:highlight w:val="none"/>
          <w:lang w:val="en-US" w:eastAsia="zh-CN"/>
        </w:rPr>
      </w:pPr>
    </w:p>
    <w:p w14:paraId="6A16659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宋体" w:hAnsi="宋体" w:eastAsia="宋体" w:cs="宋体"/>
          <w:b/>
          <w:bCs/>
          <w:color w:val="auto"/>
          <w:spacing w:val="10"/>
          <w:sz w:val="28"/>
          <w:highlight w:val="none"/>
          <w:lang w:val="en-US" w:eastAsia="zh-CN"/>
        </w:rPr>
      </w:pPr>
      <w:bookmarkStart w:id="1" w:name="_Toc28606"/>
      <w:bookmarkStart w:id="2" w:name="_Toc8734"/>
      <w:bookmarkStart w:id="3" w:name="_Toc22637"/>
      <w:r>
        <w:rPr>
          <w:rFonts w:hint="eastAsia" w:ascii="宋体" w:hAnsi="宋体" w:cs="宋体"/>
          <w:color w:val="auto"/>
          <w:sz w:val="72"/>
          <w:highlight w:val="none"/>
        </w:rPr>
        <w:cr/>
      </w:r>
      <w:r>
        <w:rPr>
          <w:rStyle w:val="34"/>
          <w:rFonts w:hint="eastAsia"/>
          <w:b w:val="0"/>
          <w:bCs w:val="0"/>
          <w:color w:val="auto"/>
          <w:sz w:val="96"/>
          <w:szCs w:val="96"/>
          <w:highlight w:val="none"/>
          <w:lang w:val="en-US" w:eastAsia="zh-CN"/>
        </w:rPr>
        <w:t>竞争性</w:t>
      </w:r>
      <w:r>
        <w:rPr>
          <w:rStyle w:val="34"/>
          <w:rFonts w:hint="eastAsia"/>
          <w:b w:val="0"/>
          <w:bCs w:val="0"/>
          <w:color w:val="auto"/>
          <w:sz w:val="96"/>
          <w:szCs w:val="96"/>
          <w:highlight w:val="none"/>
          <w:lang w:eastAsia="zh-CN"/>
        </w:rPr>
        <w:t>磋商文件</w:t>
      </w:r>
      <w:bookmarkEnd w:id="1"/>
      <w:bookmarkEnd w:id="2"/>
      <w:bookmarkEnd w:id="3"/>
    </w:p>
    <w:p w14:paraId="45E01EBB">
      <w:pPr>
        <w:shd w:val="clear" w:color="auto" w:fill="auto"/>
        <w:spacing w:line="300" w:lineRule="auto"/>
        <w:jc w:val="center"/>
        <w:rPr>
          <w:rFonts w:hint="eastAsia" w:ascii="宋体" w:hAnsi="宋体" w:eastAsia="宋体" w:cs="宋体"/>
          <w:color w:val="auto"/>
          <w:sz w:val="21"/>
          <w:szCs w:val="22"/>
          <w:highlight w:val="none"/>
          <w:lang w:eastAsia="zh-CN"/>
        </w:rPr>
      </w:pPr>
      <w:r>
        <w:rPr>
          <w:rFonts w:hint="eastAsia" w:ascii="宋体" w:hAnsi="宋体" w:cs="宋体"/>
          <w:b w:val="0"/>
          <w:bCs w:val="0"/>
          <w:color w:val="auto"/>
          <w:spacing w:val="10"/>
          <w:sz w:val="28"/>
          <w:szCs w:val="22"/>
          <w:highlight w:val="none"/>
        </w:rPr>
        <w:t>项目编号：</w:t>
      </w:r>
      <w:r>
        <w:rPr>
          <w:rFonts w:hint="eastAsia" w:ascii="宋体" w:hAnsi="宋体" w:cs="宋体"/>
          <w:b w:val="0"/>
          <w:bCs w:val="0"/>
          <w:color w:val="auto"/>
          <w:spacing w:val="10"/>
          <w:sz w:val="28"/>
          <w:szCs w:val="22"/>
          <w:highlight w:val="none"/>
          <w:lang w:eastAsia="zh-CN"/>
        </w:rPr>
        <w:t>CZZC2025-C2-220025-GXLT</w:t>
      </w:r>
    </w:p>
    <w:p w14:paraId="054772BB">
      <w:pPr>
        <w:spacing w:line="300" w:lineRule="auto"/>
        <w:ind w:firstLine="1050" w:firstLineChars="500"/>
        <w:jc w:val="center"/>
        <w:rPr>
          <w:rFonts w:ascii="宋体" w:hAnsi="宋体" w:cs="宋体"/>
          <w:color w:val="auto"/>
          <w:highlight w:val="none"/>
        </w:rPr>
      </w:pPr>
    </w:p>
    <w:p w14:paraId="65644184">
      <w:pPr>
        <w:pStyle w:val="8"/>
        <w:spacing w:line="300" w:lineRule="auto"/>
        <w:rPr>
          <w:rFonts w:ascii="宋体" w:hAnsi="宋体" w:cs="宋体"/>
          <w:color w:val="auto"/>
          <w:highlight w:val="none"/>
        </w:rPr>
      </w:pPr>
    </w:p>
    <w:p w14:paraId="663C1DBF">
      <w:pPr>
        <w:pStyle w:val="8"/>
        <w:spacing w:line="300" w:lineRule="auto"/>
        <w:rPr>
          <w:rFonts w:ascii="宋体" w:hAnsi="宋体" w:cs="宋体"/>
          <w:color w:val="auto"/>
          <w:highlight w:val="none"/>
        </w:rPr>
      </w:pPr>
    </w:p>
    <w:p w14:paraId="63970397">
      <w:pPr>
        <w:pStyle w:val="8"/>
        <w:spacing w:line="300" w:lineRule="auto"/>
        <w:rPr>
          <w:rFonts w:ascii="宋体" w:hAnsi="宋体" w:cs="宋体"/>
          <w:color w:val="auto"/>
          <w:highlight w:val="none"/>
        </w:rPr>
      </w:pPr>
    </w:p>
    <w:p w14:paraId="072CC48B">
      <w:pPr>
        <w:pStyle w:val="8"/>
        <w:spacing w:line="300" w:lineRule="auto"/>
        <w:ind w:firstLine="0"/>
        <w:rPr>
          <w:rFonts w:ascii="宋体" w:hAnsi="宋体" w:cs="宋体"/>
          <w:color w:val="auto"/>
          <w:highlight w:val="none"/>
        </w:rPr>
      </w:pPr>
    </w:p>
    <w:p w14:paraId="5EB963E7">
      <w:pPr>
        <w:pStyle w:val="8"/>
        <w:spacing w:line="300" w:lineRule="auto"/>
        <w:ind w:firstLine="0"/>
        <w:rPr>
          <w:rFonts w:ascii="宋体" w:hAnsi="宋体" w:cs="宋体"/>
          <w:color w:val="auto"/>
          <w:highlight w:val="none"/>
        </w:rPr>
      </w:pPr>
    </w:p>
    <w:p w14:paraId="69B45145">
      <w:pPr>
        <w:pStyle w:val="8"/>
        <w:spacing w:line="300" w:lineRule="auto"/>
        <w:ind w:firstLine="0"/>
        <w:rPr>
          <w:rFonts w:ascii="宋体" w:hAnsi="宋体" w:cs="宋体"/>
          <w:color w:val="auto"/>
          <w:highlight w:val="none"/>
        </w:rPr>
      </w:pPr>
    </w:p>
    <w:p w14:paraId="00715237">
      <w:pPr>
        <w:pStyle w:val="8"/>
        <w:spacing w:line="300" w:lineRule="auto"/>
        <w:ind w:firstLine="0"/>
        <w:rPr>
          <w:rFonts w:ascii="宋体" w:hAnsi="宋体" w:cs="宋体"/>
          <w:color w:val="auto"/>
          <w:highlight w:val="none"/>
        </w:rPr>
      </w:pPr>
    </w:p>
    <w:p w14:paraId="137418BA">
      <w:pPr>
        <w:pStyle w:val="8"/>
        <w:spacing w:line="300" w:lineRule="auto"/>
        <w:ind w:firstLine="0"/>
        <w:rPr>
          <w:rFonts w:ascii="宋体" w:hAnsi="宋体" w:cs="宋体"/>
          <w:color w:val="auto"/>
          <w:highlight w:val="none"/>
        </w:rPr>
      </w:pPr>
    </w:p>
    <w:p w14:paraId="0A712717">
      <w:pPr>
        <w:pStyle w:val="8"/>
        <w:spacing w:line="300" w:lineRule="auto"/>
        <w:ind w:firstLine="0"/>
        <w:rPr>
          <w:rFonts w:ascii="宋体" w:hAnsi="宋体" w:cs="宋体"/>
          <w:color w:val="auto"/>
          <w:highlight w:val="none"/>
        </w:rPr>
      </w:pPr>
    </w:p>
    <w:p w14:paraId="7D4CC0FE">
      <w:pPr>
        <w:pStyle w:val="8"/>
        <w:pBdr>
          <w:bottom w:val="thinThickThinMediumGap" w:color="auto" w:sz="18" w:space="0"/>
        </w:pBdr>
        <w:spacing w:line="300" w:lineRule="auto"/>
        <w:ind w:firstLine="0"/>
        <w:rPr>
          <w:rFonts w:ascii="宋体" w:hAnsi="宋体" w:cs="宋体"/>
          <w:color w:val="auto"/>
          <w:highlight w:val="none"/>
        </w:rPr>
      </w:pPr>
    </w:p>
    <w:p w14:paraId="4B3AAC08">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26"/>
          <w:kern w:val="0"/>
          <w:sz w:val="44"/>
          <w:szCs w:val="44"/>
          <w:highlight w:val="none"/>
          <w:fitText w:val="1920" w:id="1472014353"/>
        </w:rPr>
        <w:t>采购单</w:t>
      </w:r>
      <w:r>
        <w:rPr>
          <w:rFonts w:hint="eastAsia" w:ascii="宋体" w:hAnsi="宋体" w:cs="宋体"/>
          <w:b w:val="0"/>
          <w:bCs w:val="0"/>
          <w:color w:val="auto"/>
          <w:spacing w:val="2"/>
          <w:kern w:val="0"/>
          <w:sz w:val="44"/>
          <w:szCs w:val="44"/>
          <w:highlight w:val="none"/>
          <w:fitText w:val="1920" w:id="1472014353"/>
        </w:rPr>
        <w:t>位</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 xml:space="preserve">宁明县民族宗教服务中心 </w:t>
      </w:r>
    </w:p>
    <w:p w14:paraId="7D10D8D6">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1"/>
          <w:w w:val="73"/>
          <w:kern w:val="0"/>
          <w:sz w:val="44"/>
          <w:szCs w:val="44"/>
          <w:highlight w:val="none"/>
          <w:fitText w:val="1929" w:id="1874871068"/>
        </w:rPr>
        <w:t>采购代理机</w:t>
      </w:r>
      <w:r>
        <w:rPr>
          <w:rFonts w:hint="eastAsia" w:ascii="宋体" w:hAnsi="宋体" w:cs="宋体"/>
          <w:b w:val="0"/>
          <w:bCs w:val="0"/>
          <w:color w:val="auto"/>
          <w:spacing w:val="0"/>
          <w:w w:val="73"/>
          <w:kern w:val="0"/>
          <w:sz w:val="44"/>
          <w:szCs w:val="44"/>
          <w:highlight w:val="none"/>
          <w:fitText w:val="1929" w:id="1874871068"/>
        </w:rPr>
        <w:t>构</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广西隆泰招标代理有限公司</w:t>
      </w:r>
    </w:p>
    <w:p w14:paraId="54A1E639">
      <w:pPr>
        <w:spacing w:line="360" w:lineRule="auto"/>
        <w:rPr>
          <w:rFonts w:ascii="宋体" w:hAnsi="宋体" w:cs="宋体"/>
          <w:color w:val="auto"/>
          <w:sz w:val="44"/>
          <w:szCs w:val="44"/>
          <w:highlight w:val="none"/>
          <w:lang w:val="zh-CN"/>
        </w:rPr>
      </w:pPr>
      <w:r>
        <w:rPr>
          <w:rFonts w:hint="eastAsia" w:ascii="宋体" w:hAnsi="宋体" w:cs="宋体"/>
          <w:b w:val="0"/>
          <w:bCs w:val="0"/>
          <w:color w:val="auto"/>
          <w:spacing w:val="524"/>
          <w:kern w:val="0"/>
          <w:sz w:val="44"/>
          <w:szCs w:val="44"/>
          <w:highlight w:val="none"/>
          <w:fitText w:val="1929" w:id="1939305514"/>
        </w:rPr>
        <w:t>日</w:t>
      </w:r>
      <w:r>
        <w:rPr>
          <w:rFonts w:hint="eastAsia" w:ascii="宋体" w:hAnsi="宋体" w:cs="宋体"/>
          <w:b w:val="0"/>
          <w:bCs w:val="0"/>
          <w:color w:val="auto"/>
          <w:spacing w:val="0"/>
          <w:kern w:val="0"/>
          <w:sz w:val="44"/>
          <w:szCs w:val="44"/>
          <w:highlight w:val="none"/>
          <w:fitText w:val="1929" w:id="1939305514"/>
        </w:rPr>
        <w:t>期</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2025年04月30日</w:t>
      </w:r>
      <w:r>
        <w:rPr>
          <w:rFonts w:hint="eastAsia" w:ascii="宋体" w:hAnsi="宋体" w:cs="宋体"/>
          <w:b w:val="0"/>
          <w:bCs w:val="0"/>
          <w:color w:val="auto"/>
          <w:sz w:val="44"/>
          <w:szCs w:val="44"/>
          <w:highlight w:val="none"/>
        </w:rPr>
        <w:t xml:space="preserve"> </w:t>
      </w:r>
    </w:p>
    <w:p w14:paraId="37040661">
      <w:pPr>
        <w:pStyle w:val="46"/>
        <w:spacing w:line="300" w:lineRule="auto"/>
        <w:jc w:val="center"/>
        <w:rPr>
          <w:rFonts w:ascii="宋体" w:hAnsi="宋体" w:cs="宋体"/>
          <w:color w:val="auto"/>
          <w:sz w:val="44"/>
          <w:szCs w:val="44"/>
          <w:highlight w:val="none"/>
          <w:lang w:val="zh-CN"/>
        </w:rPr>
        <w:sectPr>
          <w:headerReference r:id="rId4" w:type="default"/>
          <w:footnotePr>
            <w:numFmt w:val="decimalEnclosedCircleChinese"/>
          </w:footnotePr>
          <w:pgSz w:w="11911" w:h="16838"/>
          <w:pgMar w:top="1134" w:right="1134" w:bottom="1134" w:left="1134" w:header="879" w:footer="856" w:gutter="0"/>
          <w:pgNumType w:fmt="numberInDash" w:start="1"/>
          <w:cols w:space="720" w:num="1"/>
          <w:rtlGutter w:val="0"/>
          <w:docGrid w:linePitch="1" w:charSpace="0"/>
        </w:sectPr>
      </w:pPr>
    </w:p>
    <w:bookmarkEnd w:id="0"/>
    <w:p w14:paraId="1E92BB1A">
      <w:pPr>
        <w:spacing w:before="0" w:beforeLines="0" w:after="0" w:afterLines="0" w:line="360" w:lineRule="auto"/>
        <w:ind w:left="0" w:leftChars="0" w:right="0" w:rightChars="0" w:firstLine="0" w:firstLineChars="0"/>
        <w:jc w:val="center"/>
        <w:rPr>
          <w:color w:val="auto"/>
          <w:sz w:val="52"/>
          <w:szCs w:val="56"/>
          <w:highlight w:val="none"/>
        </w:rPr>
      </w:pPr>
      <w:r>
        <w:rPr>
          <w:rFonts w:ascii="宋体" w:hAnsi="宋体" w:eastAsia="宋体"/>
          <w:color w:val="auto"/>
          <w:sz w:val="52"/>
          <w:szCs w:val="56"/>
          <w:highlight w:val="none"/>
        </w:rPr>
        <w:t>目录</w:t>
      </w:r>
    </w:p>
    <w:sdt>
      <w:sdtPr>
        <w:rPr>
          <w:rFonts w:ascii="宋体" w:hAnsi="宋体" w:eastAsia="宋体" w:cs="Times New Roman"/>
          <w:color w:val="auto"/>
          <w:kern w:val="2"/>
          <w:sz w:val="21"/>
          <w:szCs w:val="22"/>
          <w:highlight w:val="none"/>
          <w:lang w:val="en-US" w:eastAsia="zh-CN" w:bidi="ar-SA"/>
        </w:rPr>
        <w:id w:val="147470524"/>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14:paraId="4A2183A1">
          <w:pPr>
            <w:spacing w:before="0" w:beforeLines="0" w:after="0" w:afterLines="0" w:line="240" w:lineRule="auto"/>
            <w:ind w:left="0" w:leftChars="0" w:right="0" w:rightChars="0" w:firstLine="0" w:firstLineChars="0"/>
            <w:jc w:val="center"/>
            <w:rPr>
              <w:color w:val="auto"/>
              <w:highlight w:val="none"/>
            </w:rPr>
          </w:pPr>
          <w:bookmarkStart w:id="4" w:name="_Toc60608825"/>
          <w:bookmarkStart w:id="5" w:name="_Toc20292"/>
          <w:bookmarkStart w:id="6" w:name="_Toc20435"/>
          <w:bookmarkStart w:id="7" w:name="_Toc12305"/>
          <w:bookmarkStart w:id="8" w:name="_Toc6984"/>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2A1C956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B5002B">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45D30">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D8F13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97CAF6">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0E2F7">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8C5EEA">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15A378">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第八章 “政采贷”相关信息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000E94">
          <w:pPr>
            <w:rPr>
              <w:color w:val="auto"/>
              <w:highlight w:val="none"/>
            </w:rPr>
          </w:pPr>
          <w:r>
            <w:rPr>
              <w:color w:val="auto"/>
              <w:highlight w:val="none"/>
            </w:rPr>
            <w:fldChar w:fldCharType="end"/>
          </w:r>
        </w:p>
      </w:sdtContent>
    </w:sdt>
    <w:p w14:paraId="540D0AF7">
      <w:pPr>
        <w:pStyle w:val="2"/>
        <w:snapToGrid w:val="0"/>
        <w:spacing w:line="360" w:lineRule="auto"/>
        <w:jc w:val="center"/>
        <w:rPr>
          <w:rFonts w:hint="eastAsia"/>
          <w:color w:val="auto"/>
          <w:highlight w:val="none"/>
        </w:rPr>
        <w:sectPr>
          <w:footerReference r:id="rId5" w:type="default"/>
          <w:footnotePr>
            <w:numFmt w:val="decimalEnclosedCircleChinese"/>
          </w:footnotePr>
          <w:pgSz w:w="11907" w:h="16840"/>
          <w:pgMar w:top="1134" w:right="1134" w:bottom="1134" w:left="1134" w:header="851" w:footer="851" w:gutter="0"/>
          <w:pgNumType w:fmt="numberInDash" w:start="1"/>
          <w:cols w:space="720" w:num="1"/>
          <w:docGrid w:linePitch="312" w:charSpace="0"/>
        </w:sectPr>
      </w:pPr>
      <w:bookmarkStart w:id="9" w:name="_Toc16759"/>
    </w:p>
    <w:p w14:paraId="24013496">
      <w:pPr>
        <w:pStyle w:val="2"/>
        <w:snapToGrid w:val="0"/>
        <w:spacing w:line="360" w:lineRule="auto"/>
        <w:jc w:val="center"/>
        <w:rPr>
          <w:rFonts w:hint="default"/>
          <w:color w:val="auto"/>
          <w:highlight w:val="none"/>
          <w:lang w:val="en-US" w:eastAsia="zh-CN"/>
        </w:rPr>
      </w:pPr>
      <w:r>
        <w:rPr>
          <w:rFonts w:hint="eastAsia"/>
          <w:color w:val="auto"/>
          <w:highlight w:val="none"/>
        </w:rPr>
        <w:t>第一章</w:t>
      </w:r>
      <w:bookmarkEnd w:id="4"/>
      <w:r>
        <w:rPr>
          <w:rFonts w:hint="eastAsia"/>
          <w:color w:val="auto"/>
          <w:highlight w:val="none"/>
          <w:lang w:val="en-US" w:eastAsia="zh-CN"/>
        </w:rPr>
        <w:t xml:space="preserve"> 竞争性磋商公告</w:t>
      </w:r>
      <w:bookmarkEnd w:id="5"/>
      <w:bookmarkEnd w:id="6"/>
      <w:bookmarkEnd w:id="7"/>
      <w:bookmarkEnd w:id="8"/>
      <w:bookmarkEnd w:id="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656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noWrap w:val="0"/>
            <w:vAlign w:val="top"/>
          </w:tcPr>
          <w:p w14:paraId="7FF07E3F">
            <w:pPr>
              <w:pageBreakBefore w:val="0"/>
              <w:widowControl w:val="0"/>
              <w:kinsoku/>
              <w:overflowPunct/>
              <w:autoSpaceDE/>
              <w:autoSpaceDN/>
              <w:bidi w:val="0"/>
              <w:spacing w:line="560" w:lineRule="atLeas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3342A2B2">
            <w:pPr>
              <w:pageBreakBefore w:val="0"/>
              <w:widowControl w:val="0"/>
              <w:kinsoku/>
              <w:wordWrap w:val="0"/>
              <w:overflowPunct/>
              <w:topLinePunct/>
              <w:autoSpaceDE/>
              <w:autoSpaceDN/>
              <w:bidi w:val="0"/>
              <w:adjustRightInd w:val="0"/>
              <w:snapToGrid w:val="0"/>
              <w:spacing w:line="560" w:lineRule="atLeast"/>
              <w:ind w:firstLine="482" w:firstLineChars="200"/>
              <w:textAlignment w:val="auto"/>
              <w:outlineLvl w:val="1"/>
              <w:rPr>
                <w:rFonts w:hint="eastAsia" w:ascii="宋体" w:hAnsi="宋体" w:cs="宋体"/>
                <w:b/>
                <w:bCs/>
                <w:color w:val="auto"/>
                <w:sz w:val="24"/>
                <w:szCs w:val="24"/>
                <w:highlight w:val="none"/>
                <w:vertAlign w:val="baseline"/>
              </w:rPr>
            </w:pPr>
            <w:r>
              <w:rPr>
                <w:rFonts w:hint="eastAsia" w:ascii="宋体" w:hAnsi="宋体" w:cs="宋体"/>
                <w:b/>
                <w:bCs/>
                <w:color w:val="auto"/>
                <w:sz w:val="24"/>
                <w:szCs w:val="24"/>
                <w:highlight w:val="none"/>
                <w:lang w:eastAsia="zh-CN"/>
              </w:rPr>
              <w:t>2025年宁明县峙浪乡派台村派台屯旺流至枯龙屯路口甘蔗特色产业配套道路硬化建设项目</w:t>
            </w:r>
            <w:r>
              <w:rPr>
                <w:rFonts w:hint="eastAsia" w:ascii="宋体" w:hAnsi="宋体" w:cs="宋体"/>
                <w:color w:val="auto"/>
                <w:sz w:val="24"/>
                <w:szCs w:val="24"/>
                <w:highlight w:val="none"/>
              </w:rPr>
              <w:t>的潜在供应商应在</w:t>
            </w:r>
            <w:r>
              <w:rPr>
                <w:rFonts w:hint="eastAsia" w:ascii="宋体" w:hAnsi="宋体" w:cs="宋体"/>
                <w:b/>
                <w:bCs/>
                <w:color w:val="auto"/>
                <w:sz w:val="24"/>
                <w:szCs w:val="24"/>
                <w:highlight w:val="none"/>
                <w:lang w:eastAsia="zh-CN"/>
              </w:rPr>
              <w:t>广西政府采购云平台</w:t>
            </w:r>
            <w:r>
              <w:rPr>
                <w:rFonts w:hint="eastAsia" w:ascii="宋体" w:hAnsi="宋体" w:cs="宋体"/>
                <w:b w:val="0"/>
                <w:bCs w:val="0"/>
                <w:color w:val="auto"/>
                <w:sz w:val="24"/>
                <w:szCs w:val="24"/>
                <w:highlight w:val="none"/>
                <w:shd w:val="clear" w:color="auto" w:fill="auto"/>
              </w:rPr>
              <w:t>获取采购文件，</w:t>
            </w:r>
            <w:r>
              <w:rPr>
                <w:rFonts w:hint="eastAsia" w:ascii="宋体" w:hAnsi="宋体" w:cs="宋体"/>
                <w:b/>
                <w:bCs/>
                <w:color w:val="auto"/>
                <w:sz w:val="24"/>
                <w:szCs w:val="24"/>
                <w:highlight w:val="none"/>
                <w:shd w:val="clear" w:color="auto" w:fill="auto"/>
              </w:rPr>
              <w:t>并于</w:t>
            </w:r>
            <w:r>
              <w:rPr>
                <w:rFonts w:hint="eastAsia" w:ascii="宋体" w:hAnsi="宋体" w:cs="宋体"/>
                <w:b/>
                <w:bCs/>
                <w:color w:val="auto"/>
                <w:sz w:val="24"/>
                <w:szCs w:val="24"/>
                <w:highlight w:val="none"/>
                <w:shd w:val="clear" w:color="auto" w:fill="auto"/>
                <w:lang w:val="en-US" w:eastAsia="zh-CN"/>
              </w:rPr>
              <w:t>2025</w:t>
            </w:r>
            <w:r>
              <w:rPr>
                <w:rFonts w:hint="eastAsia" w:ascii="宋体" w:hAnsi="宋体" w:cs="宋体"/>
                <w:b/>
                <w:bCs/>
                <w:color w:val="auto"/>
                <w:sz w:val="24"/>
                <w:szCs w:val="24"/>
                <w:highlight w:val="none"/>
                <w:shd w:val="clear" w:color="auto" w:fill="auto"/>
              </w:rPr>
              <w:t>年</w:t>
            </w:r>
            <w:r>
              <w:rPr>
                <w:rFonts w:hint="eastAsia" w:ascii="宋体" w:hAnsi="宋体" w:cs="宋体"/>
                <w:b/>
                <w:bCs/>
                <w:color w:val="auto"/>
                <w:sz w:val="24"/>
                <w:szCs w:val="24"/>
                <w:highlight w:val="none"/>
                <w:shd w:val="clear" w:color="auto" w:fill="auto"/>
                <w:lang w:val="en-US" w:eastAsia="zh-CN"/>
              </w:rPr>
              <w:t>05</w:t>
            </w:r>
            <w:r>
              <w:rPr>
                <w:rFonts w:hint="eastAsia" w:ascii="宋体" w:hAnsi="宋体" w:cs="宋体"/>
                <w:b/>
                <w:bCs/>
                <w:color w:val="auto"/>
                <w:sz w:val="24"/>
                <w:szCs w:val="24"/>
                <w:highlight w:val="none"/>
                <w:shd w:val="clear" w:color="auto" w:fill="auto"/>
              </w:rPr>
              <w:t>月</w:t>
            </w:r>
            <w:r>
              <w:rPr>
                <w:rFonts w:hint="eastAsia" w:ascii="宋体" w:hAnsi="宋体" w:cs="宋体"/>
                <w:b/>
                <w:bCs/>
                <w:color w:val="auto"/>
                <w:sz w:val="24"/>
                <w:szCs w:val="24"/>
                <w:highlight w:val="none"/>
                <w:shd w:val="clear" w:color="auto" w:fill="auto"/>
                <w:lang w:val="en-US" w:eastAsia="zh-CN"/>
              </w:rPr>
              <w:t>14</w:t>
            </w:r>
            <w:r>
              <w:rPr>
                <w:rFonts w:hint="eastAsia" w:ascii="宋体" w:hAnsi="宋体" w:cs="宋体"/>
                <w:b/>
                <w:bCs/>
                <w:color w:val="auto"/>
                <w:sz w:val="24"/>
                <w:szCs w:val="24"/>
                <w:highlight w:val="none"/>
                <w:shd w:val="clear" w:color="auto" w:fill="auto"/>
              </w:rPr>
              <w:t>日</w:t>
            </w:r>
            <w:r>
              <w:rPr>
                <w:rFonts w:hint="eastAsia" w:ascii="宋体" w:hAnsi="宋体" w:cs="宋体"/>
                <w:b/>
                <w:bCs/>
                <w:color w:val="auto"/>
                <w:sz w:val="24"/>
                <w:szCs w:val="24"/>
                <w:highlight w:val="none"/>
                <w:shd w:val="clear" w:color="auto" w:fill="auto"/>
                <w:lang w:val="en-US" w:eastAsia="zh-CN"/>
              </w:rPr>
              <w:t>9</w:t>
            </w:r>
            <w:r>
              <w:rPr>
                <w:rFonts w:hint="eastAsia" w:ascii="宋体" w:hAnsi="宋体" w:cs="宋体"/>
                <w:b/>
                <w:bCs/>
                <w:color w:val="auto"/>
                <w:sz w:val="24"/>
                <w:szCs w:val="24"/>
                <w:highlight w:val="none"/>
                <w:shd w:val="clear" w:color="auto" w:fill="auto"/>
              </w:rPr>
              <w:t>时</w:t>
            </w:r>
            <w:r>
              <w:rPr>
                <w:rFonts w:hint="eastAsia" w:ascii="宋体" w:hAnsi="宋体" w:cs="宋体"/>
                <w:b/>
                <w:bCs/>
                <w:color w:val="auto"/>
                <w:sz w:val="24"/>
                <w:szCs w:val="24"/>
                <w:highlight w:val="none"/>
                <w:shd w:val="clear" w:color="auto" w:fill="auto"/>
                <w:lang w:val="en-US" w:eastAsia="zh-CN"/>
              </w:rPr>
              <w:t>00</w:t>
            </w:r>
            <w:r>
              <w:rPr>
                <w:rFonts w:hint="eastAsia" w:ascii="宋体" w:hAnsi="宋体" w:cs="宋体"/>
                <w:b/>
                <w:bCs/>
                <w:color w:val="auto"/>
                <w:sz w:val="24"/>
                <w:szCs w:val="24"/>
                <w:highlight w:val="none"/>
                <w:shd w:val="clear" w:color="auto" w:fill="auto"/>
              </w:rPr>
              <w:t>分</w:t>
            </w:r>
            <w:r>
              <w:rPr>
                <w:rFonts w:hint="eastAsia" w:ascii="宋体" w:hAnsi="宋体" w:cs="宋体"/>
                <w:color w:val="auto"/>
                <w:sz w:val="24"/>
                <w:szCs w:val="24"/>
                <w:highlight w:val="none"/>
                <w:shd w:val="clear" w:color="auto" w:fill="auto"/>
              </w:rPr>
              <w:t>（北京时间）前提交响应文件。</w:t>
            </w:r>
          </w:p>
        </w:tc>
      </w:tr>
    </w:tbl>
    <w:p w14:paraId="75F6C48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0" w:name="_Toc28359089"/>
      <w:bookmarkStart w:id="11" w:name="_Toc9894"/>
      <w:bookmarkStart w:id="12" w:name="_Toc35393629"/>
      <w:bookmarkStart w:id="13" w:name="_Toc28359012"/>
      <w:bookmarkStart w:id="14" w:name="_Toc35393798"/>
      <w:bookmarkStart w:id="15" w:name="_Toc31172"/>
      <w:r>
        <w:rPr>
          <w:rFonts w:hint="eastAsia" w:ascii="Calibri" w:hAnsi="Calibri" w:eastAsia="宋体" w:cs="Times New Roman"/>
          <w:b/>
          <w:bCs w:val="0"/>
          <w:color w:val="auto"/>
          <w:sz w:val="24"/>
          <w:szCs w:val="24"/>
          <w:highlight w:val="none"/>
        </w:rPr>
        <w:t>项目基本情况</w:t>
      </w:r>
      <w:bookmarkEnd w:id="10"/>
      <w:bookmarkEnd w:id="11"/>
      <w:bookmarkEnd w:id="12"/>
      <w:bookmarkEnd w:id="13"/>
      <w:bookmarkEnd w:id="14"/>
      <w:bookmarkEnd w:id="15"/>
    </w:p>
    <w:p w14:paraId="25167A35">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lang w:eastAsia="zh-CN"/>
        </w:rPr>
        <w:t>CZZC2025-C2-220025-GXLT</w:t>
      </w:r>
    </w:p>
    <w:p w14:paraId="4B87DF96">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b w:val="0"/>
          <w:bCs/>
          <w:color w:val="auto"/>
          <w:sz w:val="24"/>
          <w:szCs w:val="24"/>
          <w:highlight w:val="none"/>
          <w:lang w:eastAsia="zh-CN"/>
        </w:rPr>
        <w:t>2025年宁明县峙浪乡派台村派台屯旺流至枯龙屯路口甘蔗特色产业配套道路硬化建设项目</w:t>
      </w: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 </w:t>
      </w:r>
    </w:p>
    <w:p w14:paraId="19DA149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采购方式：竞争性磋商</w:t>
      </w:r>
    </w:p>
    <w:p w14:paraId="7BC0C899">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r>
        <w:rPr>
          <w:rFonts w:hint="eastAsia" w:ascii="宋体" w:hAnsi="宋体" w:cs="宋体"/>
          <w:bCs/>
          <w:color w:val="auto"/>
          <w:sz w:val="24"/>
          <w:szCs w:val="24"/>
          <w:highlight w:val="none"/>
          <w:lang w:val="en-US" w:eastAsia="zh-CN"/>
        </w:rPr>
        <w:t>697765.66</w:t>
      </w:r>
      <w:r>
        <w:rPr>
          <w:rFonts w:hint="eastAsia" w:ascii="宋体" w:hAnsi="宋体" w:eastAsia="宋体" w:cs="宋体"/>
          <w:bCs/>
          <w:color w:val="auto"/>
          <w:sz w:val="24"/>
          <w:szCs w:val="24"/>
          <w:highlight w:val="none"/>
          <w:lang w:val="en-US" w:eastAsia="zh-CN"/>
        </w:rPr>
        <w:t>元</w:t>
      </w:r>
    </w:p>
    <w:p w14:paraId="0B7361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cs="宋体"/>
          <w:bCs/>
          <w:color w:val="auto"/>
          <w:sz w:val="24"/>
          <w:szCs w:val="24"/>
          <w:highlight w:val="none"/>
          <w:lang w:val="en-US" w:eastAsia="zh-CN"/>
        </w:rPr>
        <w:t>697765.66</w:t>
      </w:r>
      <w:r>
        <w:rPr>
          <w:rFonts w:hint="eastAsia" w:ascii="宋体" w:hAnsi="宋体" w:eastAsia="宋体" w:cs="宋体"/>
          <w:bCs/>
          <w:color w:val="auto"/>
          <w:sz w:val="24"/>
          <w:szCs w:val="24"/>
          <w:highlight w:val="none"/>
          <w:lang w:val="en-US" w:eastAsia="zh-CN"/>
        </w:rPr>
        <w:t>元</w:t>
      </w:r>
    </w:p>
    <w:p w14:paraId="7071B075">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r>
        <w:rPr>
          <w:rFonts w:hint="eastAsia" w:ascii="宋体" w:hAnsi="宋体" w:eastAsia="宋体" w:cs="宋体"/>
          <w:bCs/>
          <w:color w:val="auto"/>
          <w:sz w:val="24"/>
          <w:szCs w:val="24"/>
          <w:highlight w:val="none"/>
          <w:u w:val="none"/>
        </w:rPr>
        <w:t>施工设计图纸范围内及工程量清单包含的全部内容</w:t>
      </w:r>
    </w:p>
    <w:p w14:paraId="42095910">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日历天</w:t>
      </w:r>
    </w:p>
    <w:p w14:paraId="7EAC866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接受联合体。</w:t>
      </w:r>
    </w:p>
    <w:p w14:paraId="60DFEA4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6" w:name="_Toc35393630"/>
      <w:bookmarkStart w:id="17" w:name="_Toc7723"/>
      <w:bookmarkStart w:id="18" w:name="_Toc19665"/>
      <w:bookmarkStart w:id="19" w:name="_Toc35393799"/>
      <w:bookmarkStart w:id="20" w:name="_Toc28359013"/>
      <w:bookmarkStart w:id="21" w:name="_Toc28359090"/>
      <w:r>
        <w:rPr>
          <w:rFonts w:hint="eastAsia" w:ascii="Calibri" w:hAnsi="Calibri" w:eastAsia="宋体" w:cs="Times New Roman"/>
          <w:b/>
          <w:bCs w:val="0"/>
          <w:color w:val="auto"/>
          <w:sz w:val="24"/>
          <w:szCs w:val="24"/>
          <w:highlight w:val="none"/>
        </w:rPr>
        <w:t>申请人的资格要求</w:t>
      </w:r>
      <w:bookmarkEnd w:id="16"/>
      <w:bookmarkEnd w:id="17"/>
      <w:bookmarkEnd w:id="18"/>
      <w:bookmarkEnd w:id="19"/>
      <w:bookmarkEnd w:id="20"/>
      <w:bookmarkEnd w:id="21"/>
    </w:p>
    <w:p w14:paraId="34499E9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4EB85A48">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rPr>
      </w:pPr>
      <w:bookmarkStart w:id="22" w:name="_Toc28359014"/>
      <w:bookmarkStart w:id="23" w:name="_Toc28359091"/>
      <w:r>
        <w:rPr>
          <w:rFonts w:hint="eastAsia" w:ascii="宋体" w:hAnsi="宋体" w:eastAsia="宋体" w:cs="宋体"/>
          <w:b w:val="0"/>
          <w:bCs/>
          <w:color w:val="auto"/>
          <w:sz w:val="24"/>
          <w:szCs w:val="24"/>
          <w:highlight w:val="none"/>
        </w:rPr>
        <w:t>2.落实政府采购政策需满足的资格要求：</w:t>
      </w:r>
      <w:r>
        <w:rPr>
          <w:rFonts w:hint="eastAsia" w:ascii="宋体" w:hAnsi="宋体" w:eastAsia="宋体" w:cs="宋体"/>
          <w:b w:val="0"/>
          <w:bCs/>
          <w:i w:val="0"/>
          <w:iCs w:val="0"/>
          <w:caps w:val="0"/>
          <w:color w:val="auto"/>
          <w:spacing w:val="0"/>
          <w:sz w:val="24"/>
          <w:szCs w:val="24"/>
          <w:highlight w:val="none"/>
          <w:shd w:val="clear" w:color="auto" w:fill="auto"/>
        </w:rPr>
        <w:t>专门面向</w:t>
      </w:r>
      <w:r>
        <w:rPr>
          <w:rFonts w:hint="eastAsia" w:ascii="宋体" w:hAnsi="宋体" w:eastAsia="宋体" w:cs="宋体"/>
          <w:b w:val="0"/>
          <w:bCs/>
          <w:color w:val="auto"/>
          <w:sz w:val="24"/>
          <w:szCs w:val="24"/>
          <w:highlight w:val="none"/>
          <w:lang w:val="en-US" w:eastAsia="zh-CN"/>
        </w:rPr>
        <w:t>中小</w:t>
      </w:r>
      <w:r>
        <w:rPr>
          <w:rFonts w:hint="eastAsia" w:ascii="宋体" w:hAnsi="宋体" w:eastAsia="宋体" w:cs="宋体"/>
          <w:b w:val="0"/>
          <w:bCs/>
          <w:color w:val="auto"/>
          <w:sz w:val="24"/>
          <w:szCs w:val="24"/>
          <w:highlight w:val="none"/>
        </w:rPr>
        <w:t>企业</w:t>
      </w:r>
      <w:r>
        <w:rPr>
          <w:rFonts w:hint="eastAsia" w:ascii="宋体" w:hAnsi="宋体" w:eastAsia="宋体" w:cs="宋体"/>
          <w:b w:val="0"/>
          <w:bCs/>
          <w:i w:val="0"/>
          <w:iCs w:val="0"/>
          <w:caps w:val="0"/>
          <w:color w:val="auto"/>
          <w:spacing w:val="0"/>
          <w:sz w:val="24"/>
          <w:szCs w:val="24"/>
          <w:highlight w:val="none"/>
          <w:shd w:val="clear" w:color="auto" w:fill="auto"/>
        </w:rPr>
        <w:t>采购</w:t>
      </w:r>
      <w:r>
        <w:rPr>
          <w:rFonts w:hint="eastAsia" w:ascii="宋体" w:hAnsi="宋体" w:eastAsia="宋体" w:cs="宋体"/>
          <w:b w:val="0"/>
          <w:bCs/>
          <w:i w:val="0"/>
          <w:iCs w:val="0"/>
          <w:caps w:val="0"/>
          <w:color w:val="auto"/>
          <w:spacing w:val="0"/>
          <w:sz w:val="24"/>
          <w:szCs w:val="24"/>
          <w:highlight w:val="none"/>
          <w:shd w:val="clear" w:color="auto" w:fill="auto"/>
          <w:lang w:eastAsia="zh-CN"/>
        </w:rPr>
        <w:t>（</w:t>
      </w:r>
      <w:r>
        <w:rPr>
          <w:rFonts w:hint="eastAsia" w:ascii="宋体" w:hAnsi="宋体" w:eastAsia="宋体" w:cs="宋体"/>
          <w:b w:val="0"/>
          <w:bCs/>
          <w:i w:val="0"/>
          <w:iCs w:val="0"/>
          <w:caps w:val="0"/>
          <w:color w:val="auto"/>
          <w:spacing w:val="0"/>
          <w:sz w:val="24"/>
          <w:szCs w:val="24"/>
          <w:highlight w:val="none"/>
        </w:rPr>
        <w:t>供应商应为</w:t>
      </w:r>
      <w:r>
        <w:rPr>
          <w:rFonts w:hint="eastAsia" w:ascii="宋体" w:hAnsi="宋体" w:eastAsia="宋体" w:cs="宋体"/>
          <w:b w:val="0"/>
          <w:bCs/>
          <w:i w:val="0"/>
          <w:iCs w:val="0"/>
          <w:caps w:val="0"/>
          <w:color w:val="auto"/>
          <w:spacing w:val="0"/>
          <w:sz w:val="24"/>
          <w:szCs w:val="24"/>
          <w:highlight w:val="none"/>
          <w:lang w:val="en-US" w:eastAsia="zh-CN"/>
        </w:rPr>
        <w:t>中小</w:t>
      </w:r>
      <w:r>
        <w:rPr>
          <w:rFonts w:hint="eastAsia" w:ascii="宋体" w:hAnsi="宋体" w:eastAsia="宋体" w:cs="宋体"/>
          <w:b w:val="0"/>
          <w:bCs/>
          <w:i w:val="0"/>
          <w:iCs w:val="0"/>
          <w:caps w:val="0"/>
          <w:color w:val="auto"/>
          <w:spacing w:val="0"/>
          <w:sz w:val="24"/>
          <w:szCs w:val="24"/>
          <w:highlight w:val="none"/>
        </w:rPr>
        <w:t>企业或监狱企业或残疾人福利性单位</w:t>
      </w:r>
      <w:r>
        <w:rPr>
          <w:rFonts w:hint="eastAsia" w:ascii="宋体" w:hAnsi="宋体" w:eastAsia="宋体" w:cs="宋体"/>
          <w:b w:val="0"/>
          <w:bCs/>
          <w:i w:val="0"/>
          <w:iCs w:val="0"/>
          <w:caps w:val="0"/>
          <w:color w:val="auto"/>
          <w:spacing w:val="0"/>
          <w:sz w:val="24"/>
          <w:szCs w:val="24"/>
          <w:highlight w:val="none"/>
          <w:shd w:val="clear" w:color="auto" w:fill="auto"/>
          <w:lang w:eastAsia="zh-CN"/>
        </w:rPr>
        <w:t>）；</w:t>
      </w:r>
    </w:p>
    <w:p w14:paraId="6D66C2C1">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3.本项目的特定资格要求：</w:t>
      </w:r>
      <w:bookmarkStart w:id="24" w:name="_Toc35393631"/>
      <w:bookmarkStart w:id="25" w:name="_Toc35393800"/>
      <w:r>
        <w:rPr>
          <w:rFonts w:hint="eastAsia" w:ascii="宋体" w:hAnsi="宋体" w:eastAsia="宋体" w:cs="宋体"/>
          <w:b w:val="0"/>
          <w:bCs/>
          <w:color w:val="auto"/>
          <w:sz w:val="24"/>
          <w:szCs w:val="24"/>
          <w:highlight w:val="none"/>
        </w:rPr>
        <w:t>供应商须具备</w:t>
      </w:r>
      <w:r>
        <w:rPr>
          <w:rFonts w:hint="eastAsia" w:ascii="宋体" w:hAnsi="宋体" w:cs="宋体"/>
          <w:b w:val="0"/>
          <w:bCs/>
          <w:color w:val="auto"/>
          <w:sz w:val="24"/>
          <w:szCs w:val="24"/>
          <w:highlight w:val="none"/>
          <w:lang w:val="en-US" w:eastAsia="zh-CN"/>
        </w:rPr>
        <w:t>公路</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施工总承包叁级以上（含叁级）</w:t>
      </w:r>
      <w:r>
        <w:rPr>
          <w:rFonts w:hint="eastAsia" w:ascii="宋体" w:hAnsi="宋体" w:cs="宋体"/>
          <w:b w:val="0"/>
          <w:bCs/>
          <w:color w:val="auto"/>
          <w:sz w:val="24"/>
          <w:szCs w:val="24"/>
          <w:highlight w:val="none"/>
          <w:lang w:val="en-US" w:eastAsia="zh-CN"/>
        </w:rPr>
        <w:t>或市政公用工程</w:t>
      </w:r>
      <w:r>
        <w:rPr>
          <w:rFonts w:hint="eastAsia" w:ascii="宋体" w:hAnsi="宋体" w:eastAsia="宋体" w:cs="宋体"/>
          <w:b w:val="0"/>
          <w:bCs/>
          <w:color w:val="auto"/>
          <w:sz w:val="24"/>
          <w:szCs w:val="24"/>
          <w:highlight w:val="none"/>
        </w:rPr>
        <w:t>施工总承包叁级以上（含叁级）资质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i w:val="0"/>
          <w:iCs w:val="0"/>
          <w:caps w:val="0"/>
          <w:color w:val="auto"/>
          <w:spacing w:val="0"/>
          <w:sz w:val="24"/>
          <w:szCs w:val="24"/>
          <w:highlight w:val="none"/>
        </w:rPr>
        <w:t>具备有效的企业安全生产许可证</w:t>
      </w:r>
      <w:r>
        <w:rPr>
          <w:rFonts w:hint="eastAsia" w:ascii="宋体" w:hAnsi="宋体" w:eastAsia="宋体" w:cs="宋体"/>
          <w:b w:val="0"/>
          <w:bCs/>
          <w:color w:val="auto"/>
          <w:sz w:val="24"/>
          <w:szCs w:val="24"/>
          <w:highlight w:val="none"/>
        </w:rPr>
        <w:t>；拟派项目经理具备</w:t>
      </w:r>
      <w:r>
        <w:rPr>
          <w:rFonts w:hint="eastAsia" w:ascii="宋体" w:hAnsi="宋体" w:cs="宋体"/>
          <w:b w:val="0"/>
          <w:bCs/>
          <w:color w:val="auto"/>
          <w:sz w:val="24"/>
          <w:szCs w:val="24"/>
          <w:highlight w:val="none"/>
          <w:lang w:val="en-US" w:eastAsia="zh-CN"/>
        </w:rPr>
        <w:t>公路</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w:t>
      </w:r>
      <w:r>
        <w:rPr>
          <w:rFonts w:hint="eastAsia" w:ascii="宋体" w:hAnsi="宋体" w:cs="宋体"/>
          <w:b w:val="0"/>
          <w:bCs/>
          <w:color w:val="auto"/>
          <w:sz w:val="24"/>
          <w:szCs w:val="24"/>
          <w:highlight w:val="none"/>
          <w:lang w:val="en-US" w:eastAsia="zh-CN"/>
        </w:rPr>
        <w:t>或市政公用</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专业贰级以上(含贰级)的注册建造师执业资格，具备有效的安全生产考核合格证书（B类）</w:t>
      </w:r>
      <w:r>
        <w:rPr>
          <w:rFonts w:hint="eastAsia" w:ascii="宋体" w:hAnsi="宋体" w:eastAsia="宋体" w:cs="宋体"/>
          <w:b w:val="0"/>
          <w:bCs/>
          <w:color w:val="auto"/>
          <w:sz w:val="24"/>
          <w:szCs w:val="24"/>
          <w:highlight w:val="none"/>
          <w:lang w:eastAsia="zh-CN"/>
        </w:rPr>
        <w:t>。</w:t>
      </w:r>
    </w:p>
    <w:p w14:paraId="3B1199E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26" w:name="_Toc5133"/>
      <w:bookmarkStart w:id="27" w:name="_Toc15544"/>
      <w:r>
        <w:rPr>
          <w:rFonts w:hint="eastAsia" w:ascii="Calibri" w:hAnsi="Calibri" w:eastAsia="宋体" w:cs="Times New Roman"/>
          <w:b/>
          <w:bCs w:val="0"/>
          <w:color w:val="auto"/>
          <w:sz w:val="24"/>
          <w:szCs w:val="24"/>
          <w:highlight w:val="none"/>
        </w:rPr>
        <w:t>获取采购文件</w:t>
      </w:r>
      <w:bookmarkEnd w:id="22"/>
      <w:bookmarkEnd w:id="23"/>
      <w:bookmarkEnd w:id="24"/>
      <w:bookmarkEnd w:id="25"/>
      <w:bookmarkEnd w:id="26"/>
      <w:bookmarkEnd w:id="27"/>
    </w:p>
    <w:p w14:paraId="4A79B4B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bCs w:val="0"/>
          <w:color w:val="auto"/>
          <w:sz w:val="24"/>
          <w:szCs w:val="24"/>
          <w:highlight w:val="none"/>
          <w:u w:val="none"/>
        </w:rPr>
      </w:pPr>
      <w:bookmarkStart w:id="28" w:name="_Toc28359092"/>
      <w:bookmarkStart w:id="29" w:name="_Toc35393632"/>
      <w:bookmarkStart w:id="30" w:name="_Toc28359015"/>
      <w:bookmarkStart w:id="31" w:name="_Toc35393801"/>
      <w:bookmarkStart w:id="32" w:name="_Toc35393635"/>
      <w:bookmarkStart w:id="33" w:name="_Toc35393804"/>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04</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日至</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05</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12</w:t>
      </w:r>
      <w:r>
        <w:rPr>
          <w:rFonts w:hint="eastAsia" w:ascii="宋体" w:hAnsi="宋体" w:eastAsia="宋体" w:cs="宋体"/>
          <w:b/>
          <w:bCs w:val="0"/>
          <w:color w:val="auto"/>
          <w:sz w:val="24"/>
          <w:szCs w:val="24"/>
          <w:highlight w:val="none"/>
          <w:u w:val="none"/>
        </w:rPr>
        <w:t>日，每天上午</w:t>
      </w:r>
      <w:r>
        <w:rPr>
          <w:rFonts w:hint="eastAsia" w:ascii="宋体" w:hAnsi="宋体" w:eastAsia="宋体" w:cs="宋体"/>
          <w:b/>
          <w:bCs w:val="0"/>
          <w:color w:val="auto"/>
          <w:sz w:val="24"/>
          <w:szCs w:val="24"/>
          <w:highlight w:val="none"/>
          <w:u w:val="none"/>
          <w:lang w:val="en-US" w:eastAsia="zh-CN"/>
        </w:rPr>
        <w:t>8</w:t>
      </w:r>
      <w:r>
        <w:rPr>
          <w:rFonts w:hint="eastAsia" w:ascii="宋体" w:hAnsi="宋体" w:eastAsia="宋体" w:cs="宋体"/>
          <w:b/>
          <w:bCs w:val="0"/>
          <w:color w:val="auto"/>
          <w:sz w:val="24"/>
          <w:szCs w:val="24"/>
          <w:highlight w:val="none"/>
          <w:u w:val="none"/>
        </w:rPr>
        <w:t>:00至12:00，下午15:00至</w:t>
      </w:r>
      <w:r>
        <w:rPr>
          <w:rFonts w:hint="eastAsia" w:ascii="宋体" w:hAnsi="宋体" w:eastAsia="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w:t>
      </w:r>
      <w:r>
        <w:rPr>
          <w:rFonts w:hint="eastAsia" w:ascii="宋体" w:hAnsi="宋体" w:eastAsia="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（北京时间，法定节假日除外 ）</w:t>
      </w:r>
    </w:p>
    <w:p w14:paraId="6F3A56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广西政府采购云平台线上获取</w:t>
      </w:r>
    </w:p>
    <w:p w14:paraId="3D1E16A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w:t>
      </w:r>
      <w:r>
        <w:rPr>
          <w:rFonts w:hint="eastAsia" w:ascii="宋体" w:hAnsi="宋体" w:eastAsia="宋体" w:cs="宋体"/>
          <w:bCs/>
          <w:color w:val="auto"/>
          <w:sz w:val="24"/>
          <w:szCs w:val="24"/>
          <w:highlight w:val="none"/>
          <w:lang w:val="en-US" w:eastAsia="zh-CN"/>
        </w:rPr>
        <w:t>供应商登录广西政府采购云平台https://www.gcy.zfcg.gxzf.gov.cn/在线申请获取采购文件（进入“项目采购”应用，在获取采购文件菜单中选择项目，申请获取采购文件）。</w:t>
      </w:r>
    </w:p>
    <w:p w14:paraId="73DA0B4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售价：￥0.00元。</w:t>
      </w:r>
    </w:p>
    <w:p w14:paraId="790608C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4" w:name="_Toc27542"/>
      <w:bookmarkStart w:id="35" w:name="_Toc22071"/>
      <w:r>
        <w:rPr>
          <w:rFonts w:hint="eastAsia" w:ascii="Calibri" w:hAnsi="Calibri" w:eastAsia="宋体" w:cs="Times New Roman"/>
          <w:b/>
          <w:bCs w:val="0"/>
          <w:color w:val="auto"/>
          <w:sz w:val="24"/>
          <w:szCs w:val="24"/>
          <w:highlight w:val="none"/>
        </w:rPr>
        <w:t>响应文件提交</w:t>
      </w:r>
      <w:bookmarkEnd w:id="28"/>
      <w:bookmarkEnd w:id="29"/>
      <w:bookmarkEnd w:id="30"/>
      <w:bookmarkEnd w:id="31"/>
      <w:bookmarkEnd w:id="34"/>
      <w:bookmarkEnd w:id="35"/>
    </w:p>
    <w:p w14:paraId="68F15337">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Cs/>
          <w:color w:val="auto"/>
          <w:sz w:val="24"/>
          <w:szCs w:val="24"/>
          <w:highlight w:val="none"/>
          <w:u w:val="none"/>
        </w:rPr>
        <w:t>截止时间：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05</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14</w:t>
      </w:r>
      <w:r>
        <w:rPr>
          <w:rFonts w:hint="eastAsia" w:ascii="宋体" w:hAnsi="宋体" w:eastAsia="宋体" w:cs="宋体"/>
          <w:b/>
          <w:bCs w:val="0"/>
          <w:color w:val="auto"/>
          <w:sz w:val="24"/>
          <w:szCs w:val="24"/>
          <w:highlight w:val="none"/>
          <w:u w:val="none"/>
        </w:rPr>
        <w:t>日</w:t>
      </w:r>
      <w:r>
        <w:rPr>
          <w:rFonts w:hint="eastAsia" w:ascii="宋体" w:hAnsi="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分（北京时间）</w:t>
      </w:r>
    </w:p>
    <w:p w14:paraId="2542311D">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地点：请登录</w:t>
      </w:r>
      <w:r>
        <w:rPr>
          <w:rFonts w:hint="eastAsia" w:ascii="宋体" w:hAnsi="宋体" w:eastAsia="宋体" w:cs="宋体"/>
          <w:bCs/>
          <w:color w:val="auto"/>
          <w:sz w:val="24"/>
          <w:szCs w:val="24"/>
          <w:highlight w:val="none"/>
          <w:u w:val="none"/>
          <w:lang w:eastAsia="zh-CN"/>
        </w:rPr>
        <w:t>广西政府采购云平台</w:t>
      </w:r>
      <w:r>
        <w:rPr>
          <w:rFonts w:hint="eastAsia" w:ascii="宋体" w:hAnsi="宋体" w:eastAsia="宋体" w:cs="宋体"/>
          <w:bCs/>
          <w:color w:val="auto"/>
          <w:sz w:val="24"/>
          <w:szCs w:val="24"/>
          <w:highlight w:val="none"/>
          <w:u w:val="none"/>
        </w:rPr>
        <w:t>投标客户端投标</w:t>
      </w:r>
    </w:p>
    <w:p w14:paraId="3188761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6" w:name="_Toc35393802"/>
      <w:bookmarkStart w:id="37" w:name="_Toc28359093"/>
      <w:bookmarkStart w:id="38" w:name="_Toc23759"/>
      <w:bookmarkStart w:id="39" w:name="_Toc28359016"/>
      <w:bookmarkStart w:id="40" w:name="_Toc35393633"/>
      <w:bookmarkStart w:id="41" w:name="_Toc21023"/>
      <w:r>
        <w:rPr>
          <w:rFonts w:hint="eastAsia" w:ascii="Calibri" w:hAnsi="Calibri" w:eastAsia="宋体" w:cs="Times New Roman"/>
          <w:b/>
          <w:bCs w:val="0"/>
          <w:color w:val="auto"/>
          <w:sz w:val="24"/>
          <w:szCs w:val="24"/>
          <w:highlight w:val="none"/>
        </w:rPr>
        <w:t>开启</w:t>
      </w:r>
      <w:bookmarkEnd w:id="36"/>
      <w:bookmarkEnd w:id="37"/>
      <w:bookmarkEnd w:id="38"/>
      <w:bookmarkEnd w:id="39"/>
      <w:bookmarkEnd w:id="40"/>
      <w:bookmarkEnd w:id="41"/>
    </w:p>
    <w:p w14:paraId="57F1D6BA">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05</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14</w:t>
      </w:r>
      <w:r>
        <w:rPr>
          <w:rFonts w:hint="eastAsia" w:ascii="宋体" w:hAnsi="宋体" w:eastAsia="宋体" w:cs="宋体"/>
          <w:b/>
          <w:bCs w:val="0"/>
          <w:color w:val="auto"/>
          <w:sz w:val="24"/>
          <w:szCs w:val="24"/>
          <w:highlight w:val="none"/>
          <w:u w:val="none"/>
        </w:rPr>
        <w:t>日</w:t>
      </w:r>
      <w:r>
        <w:rPr>
          <w:rFonts w:hint="eastAsia" w:ascii="宋体" w:hAnsi="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分（北京时间）</w:t>
      </w:r>
    </w:p>
    <w:p w14:paraId="42CB98D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u w:val="none"/>
        </w:rPr>
        <w:t>地点：</w:t>
      </w:r>
      <w:r>
        <w:rPr>
          <w:rFonts w:hint="eastAsia" w:ascii="宋体" w:hAnsi="宋体" w:eastAsia="宋体" w:cs="宋体"/>
          <w:b/>
          <w:bCs w:val="0"/>
          <w:color w:val="auto"/>
          <w:sz w:val="24"/>
          <w:szCs w:val="24"/>
          <w:highlight w:val="none"/>
          <w:lang w:eastAsia="zh-CN"/>
        </w:rPr>
        <w:t>广西政府采购云平台</w:t>
      </w:r>
      <w:r>
        <w:rPr>
          <w:rFonts w:hint="eastAsia" w:ascii="宋体" w:hAnsi="宋体" w:cs="宋体"/>
          <w:b/>
          <w:bCs w:val="0"/>
          <w:color w:val="auto"/>
          <w:sz w:val="24"/>
          <w:szCs w:val="24"/>
          <w:highlight w:val="none"/>
          <w:lang w:val="en-US" w:eastAsia="zh-CN"/>
        </w:rPr>
        <w:t>【本项目采用远程异地全流程电子评标。主会场地址：崇左市江州区嘉苑小区R-8号；分会场地址：灵山县三海街道江南路247号。】</w:t>
      </w:r>
      <w:r>
        <w:rPr>
          <w:rFonts w:hint="eastAsia" w:ascii="宋体" w:hAnsi="宋体" w:cs="宋体"/>
          <w:bCs/>
          <w:color w:val="auto"/>
          <w:sz w:val="24"/>
          <w:szCs w:val="24"/>
          <w:highlight w:val="none"/>
          <w:lang w:val="en-US" w:eastAsia="zh-CN"/>
        </w:rPr>
        <w:t> </w:t>
      </w:r>
      <w:bookmarkStart w:id="1043" w:name="_GoBack"/>
      <w:bookmarkEnd w:id="1043"/>
    </w:p>
    <w:p w14:paraId="60BFB1FC">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2" w:name="_Toc35393634"/>
      <w:bookmarkStart w:id="43" w:name="_Toc19717"/>
      <w:bookmarkStart w:id="44" w:name="_Toc25531"/>
      <w:bookmarkStart w:id="45" w:name="_Toc35393803"/>
      <w:bookmarkStart w:id="46" w:name="_Toc28359017"/>
      <w:bookmarkStart w:id="47" w:name="_Toc28359094"/>
      <w:r>
        <w:rPr>
          <w:rFonts w:hint="eastAsia" w:ascii="Calibri" w:hAnsi="Calibri" w:eastAsia="宋体" w:cs="Times New Roman"/>
          <w:b/>
          <w:bCs w:val="0"/>
          <w:color w:val="auto"/>
          <w:sz w:val="24"/>
          <w:szCs w:val="24"/>
          <w:highlight w:val="none"/>
        </w:rPr>
        <w:t>公告期限</w:t>
      </w:r>
      <w:bookmarkEnd w:id="42"/>
      <w:bookmarkEnd w:id="43"/>
      <w:bookmarkEnd w:id="44"/>
      <w:bookmarkEnd w:id="45"/>
      <w:bookmarkEnd w:id="46"/>
      <w:bookmarkEnd w:id="47"/>
    </w:p>
    <w:p w14:paraId="799DA356">
      <w:pPr>
        <w:pageBreakBefore w:val="0"/>
        <w:widowControl w:val="0"/>
        <w:kinsoku/>
        <w:overflowPunct/>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3D4DF34">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8" w:name="_Toc780"/>
      <w:bookmarkStart w:id="49" w:name="_Toc12030"/>
      <w:r>
        <w:rPr>
          <w:rFonts w:hint="eastAsia" w:ascii="Calibri" w:hAnsi="Calibri" w:eastAsia="宋体" w:cs="Times New Roman"/>
          <w:b/>
          <w:bCs w:val="0"/>
          <w:color w:val="auto"/>
          <w:sz w:val="24"/>
          <w:szCs w:val="24"/>
          <w:highlight w:val="none"/>
        </w:rPr>
        <w:t>其他补充事宜</w:t>
      </w:r>
      <w:bookmarkEnd w:id="32"/>
      <w:bookmarkEnd w:id="33"/>
      <w:bookmarkEnd w:id="48"/>
      <w:bookmarkEnd w:id="49"/>
    </w:p>
    <w:p w14:paraId="35330869">
      <w:pPr>
        <w:numPr>
          <w:ilvl w:val="-1"/>
          <w:numId w:val="0"/>
        </w:numPr>
        <w:adjustRightInd w:val="0"/>
        <w:snapToGrid w:val="0"/>
        <w:spacing w:line="560" w:lineRule="atLeas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单位负责人为同一人或者存在直接控股、管理关系的不同供应商，不得参加同一合同项下的采购活动；</w:t>
      </w:r>
    </w:p>
    <w:p w14:paraId="4D60F821">
      <w:pPr>
        <w:numPr>
          <w:ilvl w:val="-1"/>
          <w:numId w:val="0"/>
        </w:numPr>
        <w:adjustRightInd w:val="0"/>
        <w:snapToGrid w:val="0"/>
        <w:spacing w:line="560" w:lineRule="atLeas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color w:val="auto"/>
          <w:sz w:val="24"/>
          <w:lang w:val="en-US" w:eastAsia="zh-CN"/>
        </w:rPr>
        <w:t>2.</w:t>
      </w:r>
      <w:r>
        <w:rPr>
          <w:rFonts w:hint="eastAsia" w:ascii="宋体" w:hAnsi="宋体" w:cs="宋体"/>
          <w:color w:val="auto"/>
          <w:sz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E1DFA46">
      <w:pPr>
        <w:numPr>
          <w:ilvl w:val="0"/>
          <w:numId w:val="0"/>
        </w:numPr>
        <w:adjustRightInd w:val="0"/>
        <w:snapToGrid w:val="0"/>
        <w:spacing w:line="560" w:lineRule="atLeast"/>
        <w:ind w:firstLine="480" w:firstLineChars="200"/>
        <w:rPr>
          <w:rFonts w:hint="eastAsia"/>
          <w:color w:val="auto"/>
          <w:lang w:val="en-US" w:eastAsia="zh-CN"/>
        </w:rPr>
      </w:pPr>
      <w:r>
        <w:rPr>
          <w:rFonts w:hint="eastAsia" w:ascii="宋体" w:hAnsi="宋体" w:cs="宋体"/>
          <w:b w:val="0"/>
          <w:bCs/>
          <w:color w:val="auto"/>
          <w:sz w:val="24"/>
          <w:szCs w:val="24"/>
          <w:highlight w:val="none"/>
          <w:lang w:val="en-US" w:eastAsia="zh-CN"/>
        </w:rPr>
        <w:t>3</w:t>
      </w:r>
      <w:r>
        <w:rPr>
          <w:rFonts w:hint="default" w:ascii="宋体" w:hAnsi="宋体" w:eastAsia="宋体" w:cs="宋体"/>
          <w:b w:val="0"/>
          <w:bCs/>
          <w:color w:val="auto"/>
          <w:sz w:val="24"/>
          <w:szCs w:val="24"/>
          <w:highlight w:val="none"/>
          <w:lang w:val="en-US" w:eastAsia="zh-CN"/>
        </w:rPr>
        <w:t>.磋商保证金：</w:t>
      </w:r>
      <w:r>
        <w:rPr>
          <w:rFonts w:hint="eastAsia" w:ascii="宋体" w:hAnsi="宋体" w:cs="宋体"/>
          <w:b w:val="0"/>
          <w:bCs/>
          <w:color w:val="auto"/>
          <w:sz w:val="24"/>
          <w:szCs w:val="24"/>
          <w:highlight w:val="none"/>
          <w:lang w:val="en-US" w:eastAsia="zh-CN"/>
        </w:rPr>
        <w:t>0元</w:t>
      </w:r>
      <w:r>
        <w:rPr>
          <w:rFonts w:hint="default" w:ascii="宋体" w:hAnsi="宋体" w:eastAsia="宋体" w:cs="宋体"/>
          <w:b w:val="0"/>
          <w:bCs/>
          <w:color w:val="auto"/>
          <w:sz w:val="24"/>
          <w:szCs w:val="24"/>
          <w:highlight w:val="none"/>
          <w:lang w:val="en-US" w:eastAsia="zh-CN"/>
        </w:rPr>
        <w:t>。</w:t>
      </w:r>
    </w:p>
    <w:p w14:paraId="73FE54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4.网上查询地址：</w:t>
      </w:r>
      <w:r>
        <w:rPr>
          <w:rFonts w:hint="default" w:ascii="宋体" w:hAnsi="宋体" w:eastAsia="宋体" w:cs="宋体"/>
          <w:bCs/>
          <w:color w:val="auto"/>
          <w:sz w:val="24"/>
          <w:szCs w:val="24"/>
          <w:highlight w:val="none"/>
        </w:rPr>
        <w:t>中国政府采购网、广西壮族自治区政府采购网</w:t>
      </w:r>
    </w:p>
    <w:p w14:paraId="3437A96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政</w:t>
      </w:r>
      <w:r>
        <w:rPr>
          <w:rFonts w:hint="eastAsia" w:ascii="宋体" w:hAnsi="宋体" w:cs="宋体"/>
          <w:b w:val="0"/>
          <w:bCs/>
          <w:color w:val="auto"/>
          <w:sz w:val="24"/>
          <w:szCs w:val="24"/>
          <w:highlight w:val="none"/>
          <w:lang w:val="en-US" w:eastAsia="zh-CN"/>
        </w:rPr>
        <w:t>采贷</w:t>
      </w:r>
      <w:r>
        <w:rPr>
          <w:rFonts w:hint="eastAsia" w:ascii="宋体" w:hAnsi="宋体" w:eastAsia="宋体" w:cs="宋体"/>
          <w:b w:val="0"/>
          <w:bCs/>
          <w:color w:val="auto"/>
          <w:sz w:val="24"/>
          <w:szCs w:val="24"/>
          <w:highlight w:val="none"/>
          <w:lang w:eastAsia="zh-CN"/>
        </w:rPr>
        <w:t>：如</w:t>
      </w:r>
      <w:r>
        <w:rPr>
          <w:rFonts w:hint="eastAsia" w:ascii="宋体" w:hAnsi="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lang w:eastAsia="zh-CN"/>
        </w:rPr>
        <w:t>供应商需要办理“政采贷”业务，</w:t>
      </w:r>
      <w:r>
        <w:rPr>
          <w:rFonts w:hint="eastAsia" w:ascii="宋体" w:hAnsi="宋体" w:eastAsia="宋体" w:cs="宋体"/>
          <w:b w:val="0"/>
          <w:bCs/>
          <w:color w:val="auto"/>
          <w:sz w:val="24"/>
          <w:szCs w:val="24"/>
          <w:highlight w:val="none"/>
          <w:lang w:val="en-US" w:eastAsia="zh-CN"/>
        </w:rPr>
        <w:t>可</w:t>
      </w:r>
      <w:r>
        <w:rPr>
          <w:rFonts w:hint="eastAsia" w:ascii="宋体" w:hAnsi="宋体" w:cs="宋体"/>
          <w:b w:val="0"/>
          <w:bCs/>
          <w:color w:val="auto"/>
          <w:sz w:val="24"/>
          <w:szCs w:val="24"/>
          <w:highlight w:val="none"/>
          <w:lang w:val="en-US" w:eastAsia="zh-CN"/>
        </w:rPr>
        <w:t>按</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崇左市财政局</w:t>
      </w:r>
      <w:r>
        <w:rPr>
          <w:rFonts w:hint="eastAsia" w:ascii="宋体" w:hAnsi="宋体" w:eastAsia="宋体" w:cs="宋体"/>
          <w:b w:val="0"/>
          <w:bCs/>
          <w:color w:val="auto"/>
          <w:sz w:val="24"/>
          <w:szCs w:val="24"/>
          <w:highlight w:val="none"/>
        </w:rPr>
        <w:t>关于进一步</w:t>
      </w:r>
      <w:r>
        <w:rPr>
          <w:rFonts w:hint="eastAsia" w:ascii="宋体" w:hAnsi="宋体" w:eastAsia="宋体" w:cs="宋体"/>
          <w:b w:val="0"/>
          <w:bCs/>
          <w:color w:val="auto"/>
          <w:sz w:val="24"/>
          <w:szCs w:val="24"/>
          <w:highlight w:val="none"/>
          <w:lang w:eastAsia="zh-CN"/>
        </w:rPr>
        <w:t>做好线上</w:t>
      </w:r>
      <w:r>
        <w:rPr>
          <w:rFonts w:hint="eastAsia" w:ascii="宋体" w:hAnsi="宋体" w:eastAsia="宋体" w:cs="宋体"/>
          <w:b w:val="0"/>
          <w:bCs/>
          <w:color w:val="auto"/>
          <w:sz w:val="24"/>
          <w:szCs w:val="24"/>
          <w:highlight w:val="none"/>
        </w:rPr>
        <w:t>“政采贷”</w:t>
      </w:r>
      <w:r>
        <w:rPr>
          <w:rFonts w:hint="eastAsia" w:ascii="宋体" w:hAnsi="宋体" w:eastAsia="宋体" w:cs="宋体"/>
          <w:b w:val="0"/>
          <w:bCs/>
          <w:color w:val="auto"/>
          <w:sz w:val="24"/>
          <w:szCs w:val="24"/>
          <w:highlight w:val="none"/>
          <w:lang w:eastAsia="zh-CN"/>
        </w:rPr>
        <w:t>融资</w:t>
      </w:r>
      <w:r>
        <w:rPr>
          <w:rFonts w:hint="eastAsia" w:ascii="宋体" w:hAnsi="宋体" w:eastAsia="宋体" w:cs="宋体"/>
          <w:b w:val="0"/>
          <w:bCs/>
          <w:color w:val="auto"/>
          <w:sz w:val="24"/>
          <w:szCs w:val="24"/>
          <w:highlight w:val="none"/>
        </w:rPr>
        <w:t>业务</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的通知</w:t>
      </w:r>
      <w:r>
        <w:rPr>
          <w:rFonts w:hint="eastAsia" w:ascii="宋体" w:hAnsi="宋体" w:eastAsia="宋体" w:cs="宋体"/>
          <w:b w:val="0"/>
          <w:bCs/>
          <w:color w:val="auto"/>
          <w:sz w:val="24"/>
          <w:szCs w:val="24"/>
          <w:highlight w:val="none"/>
          <w:lang w:val="en-US" w:eastAsia="zh-CN"/>
        </w:rPr>
        <w:t>》崇财采〔2023〕10号执行。</w:t>
      </w:r>
      <w:r>
        <w:rPr>
          <w:rFonts w:hint="eastAsia" w:ascii="宋体" w:hAnsi="宋体" w:eastAsia="宋体" w:cs="宋体"/>
          <w:b w:val="0"/>
          <w:bCs/>
          <w:color w:val="auto"/>
          <w:kern w:val="2"/>
          <w:sz w:val="24"/>
          <w:szCs w:val="24"/>
          <w:highlight w:val="none"/>
          <w:lang w:val="en-US" w:eastAsia="zh-CN" w:bidi="ar-SA"/>
        </w:rPr>
        <w:t>(具体详见采购文件中关于“政采贷”相关信息)。</w:t>
      </w:r>
    </w:p>
    <w:p w14:paraId="6A5F76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6.电子招投标的说明</w:t>
      </w:r>
    </w:p>
    <w:p w14:paraId="4EF2BA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cs="宋体"/>
          <w:b w:val="0"/>
          <w:bCs/>
          <w:color w:val="auto"/>
          <w:sz w:val="24"/>
          <w:szCs w:val="24"/>
          <w:highlight w:val="none"/>
          <w:lang w:val="en-US" w:eastAsia="zh-CN"/>
        </w:rPr>
        <w:t>本项目将依托“广西政府采购云平台（https://www.gcy.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4FDB1B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若对项目采购电子交易系统操作有疑问，可拨打广西政府采购云平台服务热线95763获取热线服务帮助。</w:t>
      </w:r>
    </w:p>
    <w:p w14:paraId="5A8E5F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供应商在“广西政府采购云平台”提交响应文件时，请填写参加远程开标活动经办人联系方式，以便及时联系。</w:t>
      </w:r>
    </w:p>
    <w:p w14:paraId="7F42102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50" w:name="_Toc35393636"/>
      <w:bookmarkStart w:id="51" w:name="_Toc28359018"/>
      <w:bookmarkStart w:id="52" w:name="_Toc26447"/>
      <w:bookmarkStart w:id="53" w:name="_Toc28359095"/>
      <w:bookmarkStart w:id="54" w:name="_Toc15432"/>
      <w:bookmarkStart w:id="55" w:name="_Toc35393805"/>
      <w:r>
        <w:rPr>
          <w:rFonts w:hint="eastAsia" w:ascii="Calibri" w:hAnsi="Calibri" w:eastAsia="宋体" w:cs="Times New Roman"/>
          <w:b/>
          <w:bCs w:val="0"/>
          <w:color w:val="auto"/>
          <w:sz w:val="24"/>
          <w:szCs w:val="24"/>
          <w:highlight w:val="none"/>
        </w:rPr>
        <w:t>凡对本次采购提出询问，请按以下方式联系。</w:t>
      </w:r>
      <w:bookmarkEnd w:id="50"/>
      <w:bookmarkEnd w:id="51"/>
      <w:bookmarkEnd w:id="52"/>
      <w:bookmarkEnd w:id="53"/>
      <w:bookmarkEnd w:id="54"/>
      <w:bookmarkEnd w:id="55"/>
    </w:p>
    <w:p w14:paraId="260E9CB0">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56" w:name="_Toc28359096"/>
      <w:bookmarkStart w:id="57" w:name="_Toc35393637"/>
      <w:bookmarkStart w:id="58" w:name="_Toc28359019"/>
      <w:bookmarkStart w:id="59" w:name="_Toc28860"/>
      <w:bookmarkStart w:id="60" w:name="_Toc20417"/>
      <w:bookmarkStart w:id="61" w:name="_Toc35393806"/>
      <w:r>
        <w:rPr>
          <w:rFonts w:hint="eastAsia" w:ascii="宋体" w:hAnsi="宋体" w:eastAsia="宋体" w:cs="宋体"/>
          <w:b w:val="0"/>
          <w:color w:val="auto"/>
          <w:sz w:val="24"/>
          <w:szCs w:val="24"/>
          <w:highlight w:val="none"/>
        </w:rPr>
        <w:t>1.采购人信息</w:t>
      </w:r>
      <w:bookmarkEnd w:id="56"/>
      <w:bookmarkEnd w:id="57"/>
      <w:bookmarkEnd w:id="58"/>
      <w:bookmarkEnd w:id="59"/>
      <w:bookmarkEnd w:id="60"/>
      <w:bookmarkEnd w:id="61"/>
    </w:p>
    <w:p w14:paraId="2BDD2D04">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bCs/>
          <w:color w:val="auto"/>
          <w:sz w:val="24"/>
          <w:szCs w:val="24"/>
          <w:highlight w:val="none"/>
          <w:lang w:eastAsia="zh-CN"/>
        </w:rPr>
        <w:t xml:space="preserve">宁明县民族宗教服务中心 </w:t>
      </w:r>
    </w:p>
    <w:p w14:paraId="23E5A84C">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bCs/>
          <w:color w:val="auto"/>
          <w:sz w:val="24"/>
          <w:szCs w:val="24"/>
          <w:highlight w:val="none"/>
          <w:lang w:eastAsia="zh-CN"/>
        </w:rPr>
        <w:t>宁明县城中镇兴宁大道东36号</w:t>
      </w:r>
    </w:p>
    <w:p w14:paraId="5ABB0A13">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shd w:val="clear" w:color="auto" w:fill="auto"/>
        </w:rPr>
        <w:t>联系方式：</w:t>
      </w:r>
      <w:r>
        <w:rPr>
          <w:rFonts w:hint="eastAsia" w:ascii="宋体" w:hAnsi="宋体" w:cs="宋体"/>
          <w:color w:val="auto"/>
          <w:sz w:val="24"/>
          <w:szCs w:val="24"/>
          <w:highlight w:val="none"/>
          <w:shd w:val="clear" w:color="auto" w:fill="auto"/>
          <w:lang w:val="en-US" w:eastAsia="zh-CN"/>
        </w:rPr>
        <w:t xml:space="preserve">韦工 </w:t>
      </w:r>
      <w:r>
        <w:rPr>
          <w:rFonts w:hint="eastAsia" w:ascii="宋体" w:hAnsi="宋体" w:cs="宋体"/>
          <w:color w:val="auto"/>
          <w:sz w:val="24"/>
          <w:szCs w:val="24"/>
          <w:highlight w:val="none"/>
          <w:shd w:val="clear" w:color="auto" w:fill="auto"/>
          <w:lang w:eastAsia="zh-CN"/>
        </w:rPr>
        <w:t>0771-8629791</w:t>
      </w:r>
    </w:p>
    <w:p w14:paraId="6A3A006F">
      <w:pPr>
        <w:pStyle w:val="3"/>
        <w:pageBreakBefore w:val="0"/>
        <w:widowControl w:val="0"/>
        <w:shd w:val="clear" w:color="auto" w:fill="auto"/>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2" w:name="_Toc28359097"/>
      <w:bookmarkStart w:id="63" w:name="_Toc474"/>
      <w:bookmarkStart w:id="64" w:name="_Toc28359020"/>
      <w:bookmarkStart w:id="65" w:name="_Toc35393807"/>
      <w:bookmarkStart w:id="66" w:name="_Toc35393638"/>
      <w:bookmarkStart w:id="67" w:name="_Toc29479"/>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.采购代理机构信息</w:t>
      </w:r>
      <w:bookmarkEnd w:id="62"/>
      <w:bookmarkEnd w:id="63"/>
      <w:bookmarkEnd w:id="64"/>
      <w:bookmarkEnd w:id="65"/>
      <w:bookmarkEnd w:id="66"/>
      <w:bookmarkEnd w:id="67"/>
    </w:p>
    <w:p w14:paraId="27DB557B">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广西隆泰招标代理有限公司</w:t>
      </w:r>
    </w:p>
    <w:p w14:paraId="5380113E">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址：崇左市花山路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嘉苑小区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R组团</w:t>
      </w:r>
      <w:r>
        <w:rPr>
          <w:rFonts w:hint="eastAsia" w:ascii="宋体" w:hAnsi="宋体" w:cs="宋体"/>
          <w:color w:val="auto"/>
          <w:sz w:val="24"/>
          <w:szCs w:val="24"/>
          <w:highlight w:val="none"/>
        </w:rPr>
        <w:t>R-08号</w:t>
      </w:r>
    </w:p>
    <w:p w14:paraId="5B81C439">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联系方式：0771-</w:t>
      </w:r>
      <w:r>
        <w:rPr>
          <w:rFonts w:hint="eastAsia" w:ascii="宋体" w:hAnsi="宋体" w:cs="宋体"/>
          <w:color w:val="auto"/>
          <w:sz w:val="24"/>
          <w:szCs w:val="24"/>
          <w:highlight w:val="none"/>
          <w:lang w:eastAsia="zh-CN"/>
        </w:rPr>
        <w:t>7883434</w:t>
      </w:r>
    </w:p>
    <w:p w14:paraId="5DFA1CA1">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8" w:name="_Toc5695"/>
      <w:bookmarkStart w:id="69" w:name="_Toc35393808"/>
      <w:bookmarkStart w:id="70" w:name="_Toc28359098"/>
      <w:bookmarkStart w:id="71" w:name="_Toc28359021"/>
      <w:bookmarkStart w:id="72" w:name="_Toc19252"/>
      <w:bookmarkStart w:id="73" w:name="_Toc35393639"/>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.项目联系方式</w:t>
      </w:r>
      <w:bookmarkEnd w:id="68"/>
      <w:bookmarkEnd w:id="69"/>
      <w:bookmarkEnd w:id="70"/>
      <w:bookmarkEnd w:id="71"/>
      <w:bookmarkEnd w:id="72"/>
      <w:bookmarkEnd w:id="73"/>
    </w:p>
    <w:p w14:paraId="183A1ED8">
      <w:pPr>
        <w:pStyle w:val="13"/>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黄工</w:t>
      </w:r>
    </w:p>
    <w:p w14:paraId="5819C2C2">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　　 话：0771-</w:t>
      </w:r>
      <w:r>
        <w:rPr>
          <w:rFonts w:hint="eastAsia" w:ascii="宋体" w:hAnsi="宋体" w:cs="宋体"/>
          <w:color w:val="auto"/>
          <w:sz w:val="24"/>
          <w:szCs w:val="24"/>
          <w:highlight w:val="none"/>
          <w:lang w:eastAsia="zh-CN"/>
        </w:rPr>
        <w:t>7883434</w:t>
      </w:r>
    </w:p>
    <w:p w14:paraId="46C1D2FF">
      <w:pPr>
        <w:adjustRightInd w:val="0"/>
        <w:snapToGrid w:val="0"/>
        <w:spacing w:beforeLines="0" w:afterLines="0" w:line="520" w:lineRule="exact"/>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5631DA01">
      <w:pPr>
        <w:pStyle w:val="38"/>
        <w:rPr>
          <w:rFonts w:hint="eastAsia" w:ascii="宋体" w:hAnsi="宋体" w:cs="宋体"/>
          <w:bCs/>
          <w:color w:val="auto"/>
          <w:sz w:val="24"/>
          <w:szCs w:val="24"/>
          <w:highlight w:val="none"/>
        </w:rPr>
      </w:pPr>
    </w:p>
    <w:p w14:paraId="0452BC4D">
      <w:pPr>
        <w:spacing w:line="360" w:lineRule="auto"/>
        <w:jc w:val="center"/>
        <w:outlineLvl w:val="0"/>
        <w:rPr>
          <w:rFonts w:hint="eastAsia" w:ascii="Calibri" w:hAnsi="Calibri" w:eastAsia="宋体" w:cs="Times New Roman"/>
          <w:b/>
          <w:color w:val="auto"/>
          <w:sz w:val="44"/>
          <w:highlight w:val="none"/>
        </w:rPr>
      </w:pPr>
      <w:r>
        <w:rPr>
          <w:color w:val="auto"/>
          <w:sz w:val="24"/>
          <w:szCs w:val="18"/>
          <w:highlight w:val="none"/>
        </w:rPr>
        <w:br w:type="page"/>
      </w:r>
      <w:bookmarkStart w:id="74" w:name="_Toc7210"/>
      <w:bookmarkStart w:id="75" w:name="_Toc17146"/>
      <w:bookmarkStart w:id="76" w:name="_Toc60608826"/>
      <w:bookmarkStart w:id="77" w:name="_Toc14196"/>
      <w:bookmarkStart w:id="78" w:name="_Toc8523"/>
      <w:bookmarkStart w:id="79" w:name="_Toc30777"/>
      <w:r>
        <w:rPr>
          <w:rFonts w:hint="eastAsia" w:ascii="Calibri" w:hAnsi="Calibri" w:eastAsia="宋体" w:cs="Times New Roman"/>
          <w:b/>
          <w:color w:val="auto"/>
          <w:sz w:val="44"/>
          <w:highlight w:val="none"/>
        </w:rPr>
        <w:t>第二章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供应商须知</w:t>
      </w:r>
      <w:bookmarkEnd w:id="74"/>
      <w:bookmarkEnd w:id="75"/>
      <w:bookmarkEnd w:id="76"/>
      <w:bookmarkEnd w:id="77"/>
      <w:bookmarkEnd w:id="78"/>
      <w:bookmarkEnd w:id="79"/>
    </w:p>
    <w:p w14:paraId="307828EB">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一、供应商</w:t>
      </w:r>
      <w:r>
        <w:rPr>
          <w:rFonts w:ascii="宋体" w:hAnsi="宋体" w:eastAsia="宋体"/>
          <w:b/>
          <w:color w:val="auto"/>
          <w:sz w:val="24"/>
          <w:highlight w:val="none"/>
        </w:rPr>
        <w:t>须知前附表</w:t>
      </w:r>
    </w:p>
    <w:p w14:paraId="495DB574">
      <w:pPr>
        <w:spacing w:line="360" w:lineRule="auto"/>
        <w:ind w:firstLine="0"/>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2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187"/>
        <w:gridCol w:w="6700"/>
      </w:tblGrid>
      <w:tr w14:paraId="6F8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2EF197D">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条款号</w:t>
            </w:r>
          </w:p>
        </w:tc>
        <w:tc>
          <w:tcPr>
            <w:tcW w:w="1111" w:type="pct"/>
            <w:noWrap w:val="0"/>
            <w:vAlign w:val="center"/>
          </w:tcPr>
          <w:p w14:paraId="60E65BFF">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条款名称</w:t>
            </w:r>
          </w:p>
        </w:tc>
        <w:tc>
          <w:tcPr>
            <w:tcW w:w="3405" w:type="pct"/>
            <w:noWrap w:val="0"/>
            <w:vAlign w:val="center"/>
          </w:tcPr>
          <w:p w14:paraId="0488B465">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内容、说明与要求</w:t>
            </w:r>
          </w:p>
        </w:tc>
      </w:tr>
      <w:tr w14:paraId="334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304CB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w:t>
            </w:r>
          </w:p>
        </w:tc>
        <w:tc>
          <w:tcPr>
            <w:tcW w:w="1111" w:type="pct"/>
            <w:noWrap w:val="0"/>
            <w:vAlign w:val="center"/>
          </w:tcPr>
          <w:p w14:paraId="2AD2944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采购人</w:t>
            </w:r>
          </w:p>
        </w:tc>
        <w:tc>
          <w:tcPr>
            <w:tcW w:w="3405" w:type="pct"/>
            <w:noWrap w:val="0"/>
            <w:vAlign w:val="center"/>
          </w:tcPr>
          <w:p w14:paraId="24D0DF7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sz w:val="24"/>
                <w:szCs w:val="24"/>
                <w:highlight w:val="none"/>
                <w:u w:val="none"/>
                <w:lang w:eastAsia="zh-CN"/>
              </w:rPr>
              <w:t>宁明县民族宗教服务中心</w:t>
            </w:r>
            <w:r>
              <w:rPr>
                <w:rFonts w:hint="eastAsia" w:ascii="宋体" w:hAnsi="宋体" w:eastAsia="宋体" w:cs="宋体"/>
                <w:b w:val="0"/>
                <w:bCs w:val="0"/>
                <w:color w:val="auto"/>
                <w:sz w:val="24"/>
                <w:szCs w:val="24"/>
                <w:highlight w:val="none"/>
                <w:u w:val="none"/>
                <w:lang w:eastAsia="zh-CN"/>
              </w:rPr>
              <w:t xml:space="preserve"> </w:t>
            </w:r>
          </w:p>
        </w:tc>
      </w:tr>
      <w:tr w14:paraId="00A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51FC9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w:t>
            </w:r>
          </w:p>
        </w:tc>
        <w:tc>
          <w:tcPr>
            <w:tcW w:w="1111" w:type="pct"/>
            <w:noWrap w:val="0"/>
            <w:vAlign w:val="center"/>
          </w:tcPr>
          <w:p w14:paraId="73B4C32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采购代理机构</w:t>
            </w:r>
          </w:p>
        </w:tc>
        <w:tc>
          <w:tcPr>
            <w:tcW w:w="3405" w:type="pct"/>
            <w:noWrap w:val="0"/>
            <w:vAlign w:val="center"/>
          </w:tcPr>
          <w:p w14:paraId="00DEE7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eastAsia="zh-CN"/>
              </w:rPr>
              <w:t>广西隆泰招标代理有限公司</w:t>
            </w:r>
          </w:p>
        </w:tc>
      </w:tr>
      <w:tr w14:paraId="78F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EF1F6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3.3</w:t>
            </w:r>
          </w:p>
        </w:tc>
        <w:tc>
          <w:tcPr>
            <w:tcW w:w="1111" w:type="pct"/>
            <w:noWrap w:val="0"/>
            <w:vAlign w:val="center"/>
          </w:tcPr>
          <w:p w14:paraId="0DE0DD0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highlight w:val="none"/>
              </w:rPr>
              <w:t>政府采购监督管理部门</w:t>
            </w:r>
          </w:p>
        </w:tc>
        <w:tc>
          <w:tcPr>
            <w:tcW w:w="3405" w:type="pct"/>
            <w:shd w:val="clear" w:color="auto" w:fill="auto"/>
            <w:noWrap w:val="0"/>
            <w:vAlign w:val="center"/>
          </w:tcPr>
          <w:p w14:paraId="311ED69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cs="宋体"/>
                <w:b w:val="0"/>
                <w:bCs w:val="0"/>
                <w:color w:val="auto"/>
                <w:sz w:val="24"/>
                <w:szCs w:val="24"/>
                <w:highlight w:val="none"/>
                <w:u w:val="none"/>
                <w:lang w:val="en-US" w:eastAsia="zh-CN"/>
              </w:rPr>
              <w:t>宁明县财政局政府采购监督管理股</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eastAsia="zh-CN"/>
              </w:rPr>
              <w:t>0771-8636488</w:t>
            </w:r>
          </w:p>
        </w:tc>
      </w:tr>
      <w:tr w14:paraId="059A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89B8F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3.4.4</w:t>
            </w:r>
          </w:p>
        </w:tc>
        <w:tc>
          <w:tcPr>
            <w:tcW w:w="1111" w:type="pct"/>
            <w:noWrap w:val="0"/>
            <w:vAlign w:val="center"/>
          </w:tcPr>
          <w:p w14:paraId="4BBD037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是否为专门面向中小企业</w:t>
            </w:r>
            <w:r>
              <w:rPr>
                <w:rFonts w:hint="eastAsia" w:ascii="宋体" w:hAnsi="宋体" w:eastAsia="宋体" w:cs="宋体"/>
                <w:b w:val="0"/>
                <w:color w:val="auto"/>
                <w:sz w:val="24"/>
                <w:szCs w:val="24"/>
                <w:highlight w:val="none"/>
                <w:u w:val="none"/>
                <w:lang w:val="en-US" w:eastAsia="zh-CN"/>
              </w:rPr>
              <w:t>/</w:t>
            </w:r>
            <w:r>
              <w:rPr>
                <w:rFonts w:hint="eastAsia" w:ascii="宋体" w:hAnsi="宋体" w:eastAsia="宋体" w:cs="宋体"/>
                <w:b w:val="0"/>
                <w:color w:val="auto"/>
                <w:sz w:val="24"/>
                <w:szCs w:val="24"/>
                <w:highlight w:val="none"/>
              </w:rPr>
              <w:t>小微企业</w:t>
            </w:r>
            <w:r>
              <w:rPr>
                <w:rFonts w:hint="eastAsia" w:ascii="宋体" w:hAnsi="宋体" w:eastAsia="宋体" w:cs="宋体"/>
                <w:b w:val="0"/>
                <w:color w:val="auto"/>
                <w:sz w:val="24"/>
                <w:szCs w:val="24"/>
                <w:highlight w:val="none"/>
                <w:u w:val="none"/>
              </w:rPr>
              <w:t>采购</w:t>
            </w:r>
          </w:p>
        </w:tc>
        <w:tc>
          <w:tcPr>
            <w:tcW w:w="3405" w:type="pct"/>
            <w:noWrap w:val="0"/>
            <w:vAlign w:val="center"/>
          </w:tcPr>
          <w:p w14:paraId="50B8ED8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是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本项目只接受中小企业。</w:t>
            </w:r>
            <w:r>
              <w:rPr>
                <w:rFonts w:hint="eastAsia" w:ascii="宋体" w:hAnsi="宋体" w:eastAsia="宋体" w:cs="宋体"/>
                <w:b w:val="0"/>
                <w:color w:val="auto"/>
                <w:sz w:val="24"/>
                <w:szCs w:val="24"/>
                <w:highlight w:val="none"/>
              </w:rPr>
              <w:t xml:space="preserve">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否</w:t>
            </w:r>
          </w:p>
        </w:tc>
      </w:tr>
      <w:tr w14:paraId="13C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A67E23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w:t>
            </w:r>
          </w:p>
        </w:tc>
        <w:tc>
          <w:tcPr>
            <w:tcW w:w="1111" w:type="pct"/>
            <w:noWrap w:val="0"/>
            <w:vAlign w:val="center"/>
          </w:tcPr>
          <w:p w14:paraId="0031761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现场踏勘</w:t>
            </w:r>
          </w:p>
        </w:tc>
        <w:tc>
          <w:tcPr>
            <w:tcW w:w="3405" w:type="pct"/>
            <w:noWrap w:val="0"/>
            <w:vAlign w:val="center"/>
          </w:tcPr>
          <w:p w14:paraId="3504BB2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Cs/>
                <w:color w:val="auto"/>
                <w:kern w:val="2"/>
                <w:sz w:val="24"/>
                <w:szCs w:val="24"/>
                <w:highlight w:val="none"/>
              </w:rPr>
              <w:t>自行踏勘</w:t>
            </w:r>
          </w:p>
          <w:p w14:paraId="0CB2718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rPr>
              <w:t>集中组织</w:t>
            </w:r>
          </w:p>
          <w:p w14:paraId="5DF45EAA">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时间：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时</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分</w:t>
            </w:r>
          </w:p>
          <w:p w14:paraId="0A9BB7BE">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地点：</w:t>
            </w:r>
            <w:r>
              <w:rPr>
                <w:rFonts w:hint="eastAsia" w:ascii="宋体" w:hAnsi="宋体" w:eastAsia="宋体" w:cs="宋体"/>
                <w:bCs/>
                <w:color w:val="auto"/>
                <w:kern w:val="2"/>
                <w:sz w:val="24"/>
                <w:szCs w:val="24"/>
                <w:highlight w:val="none"/>
                <w:u w:val="single"/>
              </w:rPr>
              <w:t xml:space="preserve">                       </w:t>
            </w:r>
          </w:p>
          <w:p w14:paraId="083DC0A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现场踏勘联系人及联系电话：</w:t>
            </w:r>
            <w:r>
              <w:rPr>
                <w:rFonts w:hint="eastAsia" w:ascii="宋体" w:hAnsi="宋体" w:eastAsia="宋体" w:cs="宋体"/>
                <w:bCs/>
                <w:color w:val="auto"/>
                <w:kern w:val="2"/>
                <w:sz w:val="24"/>
                <w:szCs w:val="24"/>
                <w:highlight w:val="none"/>
                <w:u w:val="single"/>
              </w:rPr>
              <w:t xml:space="preserve">           </w:t>
            </w:r>
          </w:p>
          <w:p w14:paraId="3FF736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2"/>
                <w:sz w:val="24"/>
                <w:szCs w:val="24"/>
                <w:highlight w:val="none"/>
              </w:rPr>
              <w:t>备注：如供应商未参加采购人统一组织的现场踏勘，视同放弃现场踏勘，由此引起的一切责任由供应商自行承担。</w:t>
            </w:r>
          </w:p>
        </w:tc>
      </w:tr>
      <w:tr w14:paraId="2DD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797F9C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w:t>
            </w:r>
          </w:p>
        </w:tc>
        <w:tc>
          <w:tcPr>
            <w:tcW w:w="1111" w:type="pct"/>
            <w:noWrap w:val="0"/>
            <w:vAlign w:val="center"/>
          </w:tcPr>
          <w:p w14:paraId="15AAE7E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405" w:type="pct"/>
            <w:noWrap w:val="0"/>
            <w:vAlign w:val="center"/>
          </w:tcPr>
          <w:p w14:paraId="16DE729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 xml:space="preserve">不分包     </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分为  个包</w:t>
            </w:r>
          </w:p>
          <w:p w14:paraId="3E5B983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p>
        </w:tc>
      </w:tr>
      <w:tr w14:paraId="603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202E6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w:t>
            </w:r>
          </w:p>
        </w:tc>
        <w:tc>
          <w:tcPr>
            <w:tcW w:w="1111" w:type="pct"/>
            <w:noWrap w:val="0"/>
            <w:vAlign w:val="center"/>
          </w:tcPr>
          <w:p w14:paraId="2AAE025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405" w:type="pct"/>
            <w:noWrap w:val="0"/>
            <w:vAlign w:val="center"/>
          </w:tcPr>
          <w:p w14:paraId="7384A6AE">
            <w:pPr>
              <w:adjustRightInd w:val="0"/>
              <w:snapToGrid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不收取</w:t>
            </w:r>
          </w:p>
        </w:tc>
      </w:tr>
      <w:tr w14:paraId="45A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35AA9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w:t>
            </w:r>
          </w:p>
        </w:tc>
        <w:tc>
          <w:tcPr>
            <w:tcW w:w="1111" w:type="pct"/>
            <w:noWrap w:val="0"/>
            <w:vAlign w:val="center"/>
          </w:tcPr>
          <w:p w14:paraId="6A588A0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405" w:type="pct"/>
            <w:noWrap w:val="0"/>
            <w:vAlign w:val="center"/>
          </w:tcPr>
          <w:p w14:paraId="48BCB72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60</w:t>
            </w:r>
            <w:r>
              <w:rPr>
                <w:rFonts w:hint="eastAsia" w:ascii="宋体" w:hAnsi="宋体" w:eastAsia="宋体" w:cs="宋体"/>
                <w:b/>
                <w:bCs w:val="0"/>
                <w:color w:val="auto"/>
                <w:sz w:val="24"/>
                <w:szCs w:val="24"/>
                <w:highlight w:val="none"/>
                <w:u w:val="none"/>
              </w:rPr>
              <w:t>日历</w:t>
            </w:r>
            <w:r>
              <w:rPr>
                <w:rFonts w:hint="eastAsia" w:ascii="宋体" w:hAnsi="宋体" w:eastAsia="宋体" w:cs="宋体"/>
                <w:b/>
                <w:bCs w:val="0"/>
                <w:color w:val="auto"/>
                <w:sz w:val="24"/>
                <w:szCs w:val="24"/>
                <w:highlight w:val="none"/>
                <w:u w:val="none"/>
                <w:lang w:val="en-US" w:eastAsia="zh-CN"/>
              </w:rPr>
              <w:t>天</w:t>
            </w:r>
          </w:p>
        </w:tc>
      </w:tr>
      <w:tr w14:paraId="7B7B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A1C5D7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w:t>
            </w:r>
          </w:p>
        </w:tc>
        <w:tc>
          <w:tcPr>
            <w:tcW w:w="1111" w:type="pct"/>
            <w:noWrap w:val="0"/>
            <w:vAlign w:val="center"/>
          </w:tcPr>
          <w:p w14:paraId="14DEA2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响应文件要求</w:t>
            </w:r>
          </w:p>
        </w:tc>
        <w:tc>
          <w:tcPr>
            <w:tcW w:w="3405" w:type="pct"/>
            <w:shd w:val="clear" w:color="auto" w:fill="auto"/>
            <w:noWrap w:val="0"/>
            <w:vAlign w:val="center"/>
          </w:tcPr>
          <w:p w14:paraId="6F5EB96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不加密的电子投标文件份数：投标文件应通过投标文件制作软件进行制作，并通过数字证书认证和加密，最终同时生成</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份文件</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份加密的投标文件，格式为项目名称(加密).</w:t>
            </w:r>
            <w:r>
              <w:rPr>
                <w:rFonts w:hint="eastAsia" w:ascii="宋体" w:hAnsi="宋体" w:eastAsia="宋体" w:cs="宋体"/>
                <w:color w:val="auto"/>
                <w:sz w:val="24"/>
                <w:szCs w:val="24"/>
                <w:highlight w:val="none"/>
                <w:u w:val="none"/>
                <w:lang w:val="en-US" w:eastAsia="zh-CN"/>
              </w:rPr>
              <w:t>jmbs</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份不加密的投标文件，格式分别为项目名称.</w:t>
            </w:r>
            <w:r>
              <w:rPr>
                <w:rFonts w:hint="eastAsia" w:ascii="宋体" w:hAnsi="宋体" w:eastAsia="宋体" w:cs="宋体"/>
                <w:color w:val="auto"/>
                <w:sz w:val="24"/>
                <w:szCs w:val="24"/>
                <w:highlight w:val="none"/>
                <w:u w:val="none"/>
                <w:lang w:val="en-US" w:eastAsia="zh-CN"/>
              </w:rPr>
              <w:t>bfbs</w:t>
            </w:r>
            <w:r>
              <w:rPr>
                <w:rFonts w:hint="eastAsia" w:ascii="宋体" w:hAnsi="宋体" w:eastAsia="宋体" w:cs="宋体"/>
                <w:color w:val="auto"/>
                <w:sz w:val="24"/>
                <w:szCs w:val="24"/>
                <w:highlight w:val="none"/>
                <w:u w:val="none"/>
              </w:rPr>
              <w:t>。</w:t>
            </w:r>
          </w:p>
          <w:p w14:paraId="5EF50818">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其他要求：不加密的电子投标文件应为上传至“电子交易平台”的加密电子投标文件同一时间生成的不加密的电子投标文件。未采用“现场递交”方式递交不加密的电子投标文件的,视为放弃因加密电子投标文件上传失败、解密失败或解密后无法正常读取或者导入电子开标评标系统时进行补救的权利。如采用网上招标(不见面方式),不需要提供。</w:t>
            </w:r>
          </w:p>
        </w:tc>
      </w:tr>
      <w:tr w14:paraId="566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9407D7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15.2</w:t>
            </w:r>
          </w:p>
        </w:tc>
        <w:tc>
          <w:tcPr>
            <w:tcW w:w="1111" w:type="pct"/>
            <w:noWrap w:val="0"/>
            <w:vAlign w:val="center"/>
          </w:tcPr>
          <w:p w14:paraId="0084F7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构成响应文件的材料</w:t>
            </w:r>
          </w:p>
        </w:tc>
        <w:tc>
          <w:tcPr>
            <w:tcW w:w="3405" w:type="pct"/>
            <w:noWrap w:val="0"/>
            <w:vAlign w:val="center"/>
          </w:tcPr>
          <w:p w14:paraId="2170F04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响应文件的组成部分：资格证明文件、报价文件和商务技术文件</w:t>
            </w:r>
          </w:p>
          <w:p w14:paraId="6EF52E8B">
            <w:pPr>
              <w:pStyle w:val="40"/>
              <w:keepNext w:val="0"/>
              <w:keepLines w:val="0"/>
              <w:pageBreakBefore w:val="0"/>
              <w:widowControl w:val="0"/>
              <w:numPr>
                <w:ilvl w:val="0"/>
                <w:numId w:val="0"/>
              </w:numPr>
              <w:tabs>
                <w:tab w:val="left" w:pos="248"/>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资格证明文件</w:t>
            </w:r>
          </w:p>
          <w:p w14:paraId="1C6ADD3E">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崇左市政府采购供应商信用承诺函；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9001D7A">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37BA524">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项目经理注册建造师执业资格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7F46990">
            <w:pPr>
              <w:pStyle w:val="8"/>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108737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供应商参与政府采购活动前三年在经营活动中没有重大违法记录的书面声明；</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D3DBB4B">
            <w:pPr>
              <w:numPr>
                <w:ilvl w:val="0"/>
                <w:numId w:val="2"/>
              </w:numPr>
              <w:shd w:val="clear" w:color="auto" w:fill="auto"/>
              <w:adjustRightInd w:val="0"/>
              <w:snapToGrid w:val="0"/>
              <w:spacing w:line="360" w:lineRule="auto"/>
              <w:ind w:left="0" w:leftChars="0"/>
              <w:rPr>
                <w:rFonts w:hint="eastAsia"/>
                <w:color w:val="auto"/>
                <w:lang w:val="en-US" w:eastAsia="zh-CN"/>
              </w:rPr>
            </w:pPr>
            <w:r>
              <w:rPr>
                <w:rFonts w:hint="eastAsia" w:ascii="宋体" w:hAnsi="宋体" w:eastAsia="宋体" w:cs="宋体"/>
                <w:color w:val="auto"/>
                <w:szCs w:val="24"/>
                <w:highlight w:val="none"/>
              </w:rPr>
              <w:t>中小企业声明函或者残疾人福利性单位声明函或者供应商属于监狱企业的证明材料</w:t>
            </w:r>
            <w:r>
              <w:rPr>
                <w:rFonts w:hint="eastAsia" w:ascii="宋体" w:hAnsi="宋体" w:eastAsia="宋体" w:cs="宋体"/>
                <w:b w:val="0"/>
                <w:bCs w:val="0"/>
                <w:color w:val="auto"/>
                <w:szCs w:val="24"/>
                <w:highlight w:val="none"/>
                <w:lang w:val="en-US" w:eastAsia="zh-CN"/>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91FE907">
            <w:pPr>
              <w:numPr>
                <w:ilvl w:val="0"/>
                <w:numId w:val="2"/>
              </w:numPr>
              <w:shd w:val="clear" w:color="auto" w:fill="auto"/>
              <w:adjustRightInd w:val="0"/>
              <w:snapToGrid w:val="0"/>
              <w:spacing w:line="360" w:lineRule="auto"/>
              <w:ind w:left="0" w:leftChars="0"/>
              <w:rPr>
                <w:rFonts w:hint="eastAsia"/>
                <w:color w:val="auto"/>
                <w:lang w:val="en-US" w:eastAsia="zh-CN"/>
              </w:rPr>
            </w:pPr>
            <w:r>
              <w:rPr>
                <w:rFonts w:hint="eastAsia" w:ascii="宋体" w:hAnsi="宋体" w:cs="宋体"/>
                <w:b w:val="0"/>
                <w:bCs/>
                <w:color w:val="auto"/>
                <w:sz w:val="24"/>
                <w:highlight w:val="none"/>
              </w:rPr>
              <w:t>投标人直接控股、管理关系信息表（格式后附）</w:t>
            </w:r>
            <w:r>
              <w:rPr>
                <w:rFonts w:hint="eastAsia" w:ascii="宋体" w:hAnsi="宋体" w:cs="宋体"/>
                <w:b w:val="0"/>
                <w:bCs/>
                <w:color w:val="auto"/>
                <w:sz w:val="24"/>
                <w:highlight w:val="none"/>
                <w:lang w:val="en-US" w:eastAsia="zh-CN"/>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6A1D57B">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57250C3">
            <w:pPr>
              <w:numPr>
                <w:ilvl w:val="0"/>
                <w:numId w:val="2"/>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1EEDB259">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报价文件</w:t>
            </w:r>
          </w:p>
          <w:p w14:paraId="2862CCBC">
            <w:pPr>
              <w:pStyle w:val="13"/>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函；</w:t>
            </w:r>
          </w:p>
          <w:p w14:paraId="27E60D95">
            <w:pPr>
              <w:pStyle w:val="13"/>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工程量清单报价</w:t>
            </w:r>
            <w:r>
              <w:rPr>
                <w:rFonts w:hint="eastAsia" w:ascii="宋体" w:hAnsi="宋体" w:eastAsia="宋体" w:cs="宋体"/>
                <w:color w:val="auto"/>
                <w:sz w:val="24"/>
                <w:szCs w:val="24"/>
                <w:highlight w:val="none"/>
                <w:u w:val="none"/>
                <w:lang w:val="en-US" w:eastAsia="zh-CN"/>
              </w:rPr>
              <w:t>书</w:t>
            </w:r>
            <w:r>
              <w:rPr>
                <w:rFonts w:hint="eastAsia" w:ascii="宋体" w:hAnsi="宋体" w:eastAsia="宋体" w:cs="宋体"/>
                <w:color w:val="auto"/>
                <w:sz w:val="24"/>
                <w:szCs w:val="24"/>
                <w:highlight w:val="none"/>
                <w:u w:val="none"/>
              </w:rPr>
              <w:t>；</w:t>
            </w:r>
          </w:p>
          <w:p w14:paraId="43B36C46">
            <w:pPr>
              <w:pStyle w:val="13"/>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2F5AC17B">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商务技术文件</w:t>
            </w:r>
          </w:p>
          <w:p w14:paraId="658A0233">
            <w:pPr>
              <w:numPr>
                <w:ilvl w:val="-1"/>
                <w:numId w:val="0"/>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（1）施工组织设计；</w:t>
            </w:r>
          </w:p>
          <w:p w14:paraId="6F36AC32">
            <w:pPr>
              <w:pStyle w:val="40"/>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（2）近年来施工企业承建的项目工程情况表（如有，请提供）</w:t>
            </w:r>
          </w:p>
          <w:p w14:paraId="51DC3D25">
            <w:pPr>
              <w:pStyle w:val="40"/>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供应商认为与磋商有关的其他资料。</w:t>
            </w:r>
          </w:p>
        </w:tc>
      </w:tr>
      <w:tr w14:paraId="21A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381AD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15.3</w:t>
            </w:r>
          </w:p>
        </w:tc>
        <w:tc>
          <w:tcPr>
            <w:tcW w:w="1111" w:type="pct"/>
            <w:noWrap w:val="0"/>
            <w:vAlign w:val="center"/>
          </w:tcPr>
          <w:p w14:paraId="5CAE8F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磋商现场提交的其他材料要求</w:t>
            </w:r>
          </w:p>
        </w:tc>
        <w:tc>
          <w:tcPr>
            <w:tcW w:w="3405" w:type="pct"/>
            <w:noWrap w:val="0"/>
            <w:vAlign w:val="center"/>
          </w:tcPr>
          <w:p w14:paraId="00D6174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tc>
      </w:tr>
      <w:tr w14:paraId="6D8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0B5676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w:t>
            </w:r>
          </w:p>
        </w:tc>
        <w:tc>
          <w:tcPr>
            <w:tcW w:w="1111" w:type="pct"/>
            <w:noWrap w:val="0"/>
            <w:vAlign w:val="center"/>
          </w:tcPr>
          <w:p w14:paraId="42531A4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响应文件提交截止时间</w:t>
            </w:r>
          </w:p>
        </w:tc>
        <w:tc>
          <w:tcPr>
            <w:tcW w:w="3405" w:type="pct"/>
            <w:noWrap w:val="0"/>
            <w:vAlign w:val="center"/>
          </w:tcPr>
          <w:p w14:paraId="2C8C0A5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679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64AF068D">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17.3</w:t>
            </w:r>
          </w:p>
        </w:tc>
        <w:tc>
          <w:tcPr>
            <w:tcW w:w="1111" w:type="pct"/>
            <w:noWrap w:val="0"/>
            <w:vAlign w:val="center"/>
          </w:tcPr>
          <w:p w14:paraId="06DDF4C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405" w:type="pct"/>
            <w:noWrap w:val="0"/>
            <w:vAlign w:val="center"/>
          </w:tcPr>
          <w:p w14:paraId="4554BACA">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响应文件提交截止时间后，采购代理机构将通过广西政府采购</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向供应商发出响应文件【开始解密】指令，供应商应在规定时间内使用数字证书（CA证书）登录广西政府采购网</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对其响应文件进行解密，解密操作时长以平台倒计时时间（30分钟）为准。</w:t>
            </w:r>
          </w:p>
          <w:p w14:paraId="3519953F">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color w:val="auto"/>
                <w:sz w:val="24"/>
                <w:szCs w:val="24"/>
                <w:highlight w:val="none"/>
                <w:lang w:val="en-US" w:eastAsia="zh-CN"/>
              </w:rPr>
              <w:t>若供应商在规定时间内无法解密或解密失败，可以以电子备份响应文件作为依据【在接到无法解密或解密失败的通知后，供应商可根据自身实际情况按通知时要求的时间提交电子备份响应文件】，若电子备份响应文件与</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14:paraId="418F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6E019E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19.1</w:t>
            </w:r>
          </w:p>
        </w:tc>
        <w:tc>
          <w:tcPr>
            <w:tcW w:w="1111" w:type="pct"/>
            <w:noWrap w:val="0"/>
            <w:vAlign w:val="center"/>
          </w:tcPr>
          <w:p w14:paraId="0B6CC8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磋商时间</w:t>
            </w:r>
          </w:p>
        </w:tc>
        <w:tc>
          <w:tcPr>
            <w:tcW w:w="3405" w:type="pct"/>
            <w:noWrap w:val="0"/>
            <w:vAlign w:val="center"/>
          </w:tcPr>
          <w:p w14:paraId="39E040B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15F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556F18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157680F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磋商地点</w:t>
            </w:r>
          </w:p>
        </w:tc>
        <w:tc>
          <w:tcPr>
            <w:tcW w:w="3405" w:type="pct"/>
            <w:noWrap w:val="0"/>
            <w:vAlign w:val="center"/>
          </w:tcPr>
          <w:p w14:paraId="0D0AD11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480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BD134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19.3</w:t>
            </w:r>
          </w:p>
        </w:tc>
        <w:tc>
          <w:tcPr>
            <w:tcW w:w="1111" w:type="pct"/>
            <w:noWrap w:val="0"/>
            <w:vAlign w:val="center"/>
          </w:tcPr>
          <w:p w14:paraId="360FEE5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405" w:type="pct"/>
            <w:noWrap w:val="0"/>
            <w:vAlign w:val="center"/>
          </w:tcPr>
          <w:p w14:paraId="6190F1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sym w:font="Wingdings" w:char="F0FE"/>
            </w:r>
            <w:r>
              <w:rPr>
                <w:rFonts w:hint="eastAsia" w:ascii="宋体" w:hAnsi="宋体" w:eastAsia="宋体" w:cs="宋体"/>
                <w:b w:val="0"/>
                <w:color w:val="auto"/>
                <w:sz w:val="24"/>
                <w:szCs w:val="24"/>
                <w:highlight w:val="none"/>
                <w:u w:val="none"/>
              </w:rPr>
              <w:t>综合评分法</w:t>
            </w:r>
          </w:p>
        </w:tc>
      </w:tr>
      <w:tr w14:paraId="4470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273A8A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22.4</w:t>
            </w:r>
          </w:p>
        </w:tc>
        <w:tc>
          <w:tcPr>
            <w:tcW w:w="1111" w:type="pct"/>
            <w:noWrap w:val="0"/>
            <w:vAlign w:val="center"/>
          </w:tcPr>
          <w:p w14:paraId="0FB92FF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p w14:paraId="16B5C5D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5677B527">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小型和微型企业价格扣除：</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w:t>
            </w:r>
          </w:p>
          <w:p w14:paraId="4728D48C">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监狱企业价格扣除：同小型和微型企业。</w:t>
            </w:r>
          </w:p>
          <w:p w14:paraId="621A24E1">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残疾人福利性单位价格扣除：同小型和微型企业。</w:t>
            </w:r>
          </w:p>
          <w:p w14:paraId="293803A7">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符合条件的联合体价格扣除：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p>
          <w:p w14:paraId="521DD510">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i w:val="0"/>
                <w:iCs/>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符合条件的向小微企业分包的大中型企业价格扣除：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r>
              <w:rPr>
                <w:rFonts w:hint="eastAsia" w:ascii="宋体" w:hAnsi="宋体" w:eastAsia="宋体" w:cs="宋体"/>
                <w:b w:val="0"/>
                <w:i w:val="0"/>
                <w:iCs/>
                <w:color w:val="auto"/>
                <w:sz w:val="24"/>
                <w:szCs w:val="24"/>
                <w:highlight w:val="none"/>
                <w:u w:val="none"/>
              </w:rPr>
              <w:t>（允许大中型企业向小微企业分包的项目适用）</w:t>
            </w:r>
          </w:p>
          <w:p w14:paraId="3F0231A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i w:val="0"/>
                <w:iCs/>
                <w:color w:val="auto"/>
                <w:sz w:val="24"/>
                <w:szCs w:val="24"/>
                <w:highlight w:val="none"/>
                <w:lang w:val="en-US" w:eastAsia="zh-CN"/>
              </w:rPr>
            </w:pPr>
            <w:r>
              <w:rPr>
                <w:rFonts w:hint="eastAsia" w:ascii="宋体" w:hAnsi="宋体" w:eastAsia="宋体" w:cs="宋体"/>
                <w:b/>
                <w:bCs w:val="0"/>
                <w:i w:val="0"/>
                <w:iCs/>
                <w:color w:val="auto"/>
                <w:sz w:val="24"/>
                <w:szCs w:val="24"/>
                <w:highlight w:val="none"/>
                <w:lang w:val="en-US" w:eastAsia="zh-CN"/>
              </w:rPr>
              <w:t>注：如本项目专门面向中小型企业采购，不再进行报价评审优惠。</w:t>
            </w:r>
          </w:p>
        </w:tc>
      </w:tr>
      <w:tr w14:paraId="58A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258DDE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24.1</w:t>
            </w:r>
          </w:p>
        </w:tc>
        <w:tc>
          <w:tcPr>
            <w:tcW w:w="1111" w:type="pct"/>
            <w:vMerge w:val="restart"/>
            <w:noWrap w:val="0"/>
            <w:vAlign w:val="center"/>
          </w:tcPr>
          <w:p w14:paraId="05573A8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405" w:type="pct"/>
            <w:noWrap w:val="0"/>
            <w:vAlign w:val="center"/>
          </w:tcPr>
          <w:p w14:paraId="59A9DD7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磋商小组推荐成交候选供应商的数量：</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u w:val="none"/>
                <w:lang w:val="en-US" w:eastAsia="zh-CN"/>
              </w:rPr>
              <w:t>3名</w:t>
            </w:r>
            <w:r>
              <w:rPr>
                <w:rFonts w:hint="eastAsia" w:ascii="宋体" w:hAnsi="宋体" w:eastAsia="宋体" w:cs="宋体"/>
                <w:b w:val="0"/>
                <w:bCs w:val="0"/>
                <w:color w:val="auto"/>
                <w:sz w:val="24"/>
                <w:szCs w:val="24"/>
                <w:highlight w:val="none"/>
                <w:u w:val="none"/>
              </w:rPr>
              <w:t xml:space="preserve"> </w:t>
            </w:r>
          </w:p>
        </w:tc>
      </w:tr>
      <w:tr w14:paraId="75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20DE805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vMerge w:val="continue"/>
            <w:noWrap w:val="0"/>
            <w:vAlign w:val="center"/>
          </w:tcPr>
          <w:p w14:paraId="4A23824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643F30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73926F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□采购人委托磋商小组确定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029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34FBA2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28.1</w:t>
            </w:r>
          </w:p>
        </w:tc>
        <w:tc>
          <w:tcPr>
            <w:tcW w:w="1111" w:type="pct"/>
            <w:noWrap w:val="0"/>
            <w:vAlign w:val="center"/>
          </w:tcPr>
          <w:p w14:paraId="0DDB2B4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405" w:type="pct"/>
            <w:noWrap w:val="0"/>
            <w:vAlign w:val="center"/>
          </w:tcPr>
          <w:p w14:paraId="4681D6D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数据电文</w:t>
            </w:r>
          </w:p>
        </w:tc>
      </w:tr>
      <w:tr w14:paraId="094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AEEE97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29.1</w:t>
            </w:r>
          </w:p>
        </w:tc>
        <w:tc>
          <w:tcPr>
            <w:tcW w:w="1111" w:type="pct"/>
            <w:noWrap w:val="0"/>
            <w:vAlign w:val="center"/>
          </w:tcPr>
          <w:p w14:paraId="04F250D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405" w:type="pct"/>
            <w:noWrap w:val="0"/>
            <w:vAlign w:val="center"/>
          </w:tcPr>
          <w:p w14:paraId="6524D28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bCs w:val="0"/>
                <w:color w:val="auto"/>
                <w:sz w:val="24"/>
                <w:szCs w:val="24"/>
                <w:highlight w:val="none"/>
              </w:rPr>
              <w:t>供应商自行登录电子服务系统查看</w:t>
            </w:r>
          </w:p>
          <w:p w14:paraId="19CCCBA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5F9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4BB00C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30.1</w:t>
            </w:r>
          </w:p>
        </w:tc>
        <w:tc>
          <w:tcPr>
            <w:tcW w:w="1111" w:type="pct"/>
            <w:noWrap w:val="0"/>
            <w:vAlign w:val="center"/>
          </w:tcPr>
          <w:p w14:paraId="3D7479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405" w:type="pct"/>
            <w:noWrap w:val="0"/>
            <w:vAlign w:val="center"/>
          </w:tcPr>
          <w:p w14:paraId="12E2E7D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不收取</w:t>
            </w:r>
          </w:p>
        </w:tc>
      </w:tr>
      <w:tr w14:paraId="53B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41395F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31.1</w:t>
            </w:r>
          </w:p>
        </w:tc>
        <w:tc>
          <w:tcPr>
            <w:tcW w:w="1111" w:type="pct"/>
            <w:noWrap w:val="0"/>
            <w:vAlign w:val="center"/>
          </w:tcPr>
          <w:p w14:paraId="1BB173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成交服务费</w:t>
            </w:r>
          </w:p>
        </w:tc>
        <w:tc>
          <w:tcPr>
            <w:tcW w:w="3405" w:type="pct"/>
            <w:noWrap w:val="0"/>
            <w:vAlign w:val="center"/>
          </w:tcPr>
          <w:p w14:paraId="15D9AD5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本项目采购代理服务费按《招标代理服务收费管理暂行办法》（计价格[2002]1980号）、《国家发展改革委关于降低部分建设项目收费标准规范收费行为等有关问题的通知》（发改价格[2011]534号）规定计取。</w:t>
            </w:r>
          </w:p>
        </w:tc>
      </w:tr>
      <w:tr w14:paraId="2BDD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67DB97D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5ED9DB9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代理服务费收款账户信息</w:t>
            </w:r>
          </w:p>
        </w:tc>
        <w:tc>
          <w:tcPr>
            <w:tcW w:w="3405" w:type="pct"/>
            <w:shd w:val="clear" w:color="auto" w:fill="auto"/>
            <w:noWrap w:val="0"/>
            <w:vAlign w:val="center"/>
          </w:tcPr>
          <w:p w14:paraId="3D5D22E6">
            <w:pPr>
              <w:pStyle w:val="13"/>
              <w:snapToGrid w:val="0"/>
              <w:spacing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eastAsia="宋体" w:cs="宋体"/>
                <w:color w:val="auto"/>
                <w:sz w:val="24"/>
                <w:szCs w:val="24"/>
                <w:highlight w:val="none"/>
                <w:vertAlign w:val="baseline"/>
                <w:lang w:val="en-US" w:eastAsia="zh-CN"/>
              </w:rPr>
              <w:t>广西隆泰招标代理有限公司</w:t>
            </w:r>
            <w:r>
              <w:rPr>
                <w:rFonts w:hint="eastAsia" w:ascii="宋体" w:hAnsi="宋体" w:eastAsia="宋体" w:cs="宋体"/>
                <w:color w:val="auto"/>
                <w:sz w:val="24"/>
                <w:szCs w:val="24"/>
                <w:highlight w:val="none"/>
              </w:rPr>
              <w:t xml:space="preserve"> </w:t>
            </w:r>
          </w:p>
          <w:p w14:paraId="050B202D">
            <w:pPr>
              <w:pStyle w:val="13"/>
              <w:snapToGrid w:val="0"/>
              <w:spacing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vertAlign w:val="baseline"/>
                <w:lang w:val="en-US" w:eastAsia="zh-CN"/>
              </w:rPr>
              <w:t>建行崇左友谊大道支行</w:t>
            </w:r>
            <w:r>
              <w:rPr>
                <w:rFonts w:hint="eastAsia" w:ascii="宋体" w:hAnsi="宋体" w:eastAsia="宋体" w:cs="宋体"/>
                <w:color w:val="auto"/>
                <w:sz w:val="24"/>
                <w:szCs w:val="24"/>
                <w:highlight w:val="none"/>
              </w:rPr>
              <w:t xml:space="preserve"> </w:t>
            </w:r>
          </w:p>
          <w:p w14:paraId="5823BC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vertAlign w:val="baseline"/>
                <w:lang w:val="en-US" w:eastAsia="zh-CN"/>
              </w:rPr>
              <w:t>4505 0159 8054 0000 0668</w:t>
            </w:r>
            <w:r>
              <w:rPr>
                <w:rFonts w:hint="eastAsia" w:ascii="宋体" w:hAnsi="宋体" w:eastAsia="宋体" w:cs="宋体"/>
                <w:b w:val="0"/>
                <w:bCs w:val="0"/>
                <w:color w:val="auto"/>
                <w:sz w:val="24"/>
                <w:szCs w:val="24"/>
                <w:highlight w:val="none"/>
              </w:rPr>
              <w:t xml:space="preserve"> </w:t>
            </w:r>
          </w:p>
        </w:tc>
      </w:tr>
      <w:tr w14:paraId="490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940146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34.3</w:t>
            </w:r>
          </w:p>
        </w:tc>
        <w:tc>
          <w:tcPr>
            <w:tcW w:w="1111" w:type="pct"/>
            <w:noWrap w:val="0"/>
            <w:vAlign w:val="center"/>
          </w:tcPr>
          <w:p w14:paraId="6BE82AF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405" w:type="pct"/>
            <w:shd w:val="clear" w:color="auto" w:fill="auto"/>
            <w:noWrap w:val="0"/>
            <w:vAlign w:val="center"/>
          </w:tcPr>
          <w:p w14:paraId="051640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递交方式：书面形式</w:t>
            </w:r>
          </w:p>
          <w:p w14:paraId="508491B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接收部门：</w:t>
            </w:r>
            <w:r>
              <w:rPr>
                <w:rFonts w:hint="eastAsia" w:ascii="宋体" w:hAnsi="宋体" w:eastAsia="宋体" w:cs="宋体"/>
                <w:b w:val="0"/>
                <w:color w:val="auto"/>
                <w:sz w:val="24"/>
                <w:szCs w:val="24"/>
                <w:highlight w:val="none"/>
                <w:u w:val="none"/>
                <w:lang w:eastAsia="zh-CN"/>
              </w:rPr>
              <w:t>广西隆泰招标代理有限公司</w:t>
            </w:r>
          </w:p>
          <w:p w14:paraId="4BCEB3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联系电话：</w:t>
            </w:r>
            <w:r>
              <w:rPr>
                <w:rFonts w:hint="eastAsia" w:ascii="宋体" w:hAnsi="宋体" w:eastAsia="宋体" w:cs="宋体"/>
                <w:b w:val="0"/>
                <w:bCs w:val="0"/>
                <w:color w:val="auto"/>
                <w:sz w:val="24"/>
                <w:szCs w:val="24"/>
                <w:highlight w:val="none"/>
                <w:u w:val="none"/>
                <w:lang w:val="en-US" w:eastAsia="zh-CN"/>
              </w:rPr>
              <w:t>0771-7883434</w:t>
            </w:r>
          </w:p>
          <w:p w14:paraId="64DA938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通讯地址：</w:t>
            </w:r>
            <w:r>
              <w:rPr>
                <w:rFonts w:hint="eastAsia" w:ascii="宋体" w:hAnsi="宋体" w:eastAsia="宋体" w:cs="宋体"/>
                <w:b w:val="0"/>
                <w:color w:val="auto"/>
                <w:sz w:val="24"/>
                <w:szCs w:val="24"/>
                <w:highlight w:val="none"/>
                <w:u w:val="none"/>
                <w:lang w:eastAsia="zh-CN"/>
              </w:rPr>
              <w:t>崇左市花山路（嘉苑小区）R组团R-08号</w:t>
            </w:r>
            <w:r>
              <w:rPr>
                <w:rFonts w:hint="eastAsia" w:ascii="宋体" w:hAnsi="宋体" w:eastAsia="宋体" w:cs="宋体"/>
                <w:b w:val="0"/>
                <w:bCs/>
                <w:color w:val="auto"/>
                <w:sz w:val="24"/>
                <w:szCs w:val="24"/>
                <w:highlight w:val="none"/>
                <w:u w:val="none"/>
                <w:lang w:val="en-US" w:eastAsia="zh-CN"/>
              </w:rPr>
              <w:t xml:space="preserve"> </w:t>
            </w:r>
          </w:p>
        </w:tc>
      </w:tr>
      <w:tr w14:paraId="3D9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50D6D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w:t>
            </w:r>
          </w:p>
        </w:tc>
        <w:tc>
          <w:tcPr>
            <w:tcW w:w="1111" w:type="pct"/>
            <w:noWrap w:val="0"/>
            <w:vAlign w:val="center"/>
          </w:tcPr>
          <w:p w14:paraId="3CFCD51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405" w:type="pct"/>
            <w:shd w:val="clear" w:color="auto" w:fill="auto"/>
            <w:noWrap w:val="0"/>
            <w:vAlign w:val="center"/>
          </w:tcPr>
          <w:p w14:paraId="1633C9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r>
      <w:tr w14:paraId="49B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E44F14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w:t>
            </w:r>
          </w:p>
        </w:tc>
        <w:tc>
          <w:tcPr>
            <w:tcW w:w="1111" w:type="pct"/>
            <w:noWrap w:val="0"/>
            <w:vAlign w:val="center"/>
          </w:tcPr>
          <w:p w14:paraId="16E16D6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405" w:type="pct"/>
            <w:shd w:val="clear" w:color="auto" w:fill="auto"/>
            <w:noWrap w:val="0"/>
            <w:vAlign w:val="center"/>
          </w:tcPr>
          <w:p w14:paraId="3D94573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施工总承包  □专业承包</w:t>
            </w:r>
          </w:p>
        </w:tc>
      </w:tr>
      <w:tr w14:paraId="17D6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8E0D0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35.2</w:t>
            </w:r>
          </w:p>
        </w:tc>
        <w:tc>
          <w:tcPr>
            <w:tcW w:w="1111" w:type="pct"/>
            <w:noWrap w:val="0"/>
            <w:vAlign w:val="center"/>
          </w:tcPr>
          <w:p w14:paraId="270C7B7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405" w:type="pct"/>
            <w:shd w:val="clear" w:color="auto" w:fill="auto"/>
            <w:noWrap w:val="0"/>
            <w:vAlign w:val="center"/>
          </w:tcPr>
          <w:p w14:paraId="2B0D9DA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工程量清单综合单价报价法</w:t>
            </w:r>
          </w:p>
        </w:tc>
      </w:tr>
      <w:tr w14:paraId="69FE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101D7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35.3</w:t>
            </w:r>
          </w:p>
        </w:tc>
        <w:tc>
          <w:tcPr>
            <w:tcW w:w="1111" w:type="pct"/>
            <w:noWrap w:val="0"/>
            <w:vAlign w:val="center"/>
          </w:tcPr>
          <w:p w14:paraId="00F9AE7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405" w:type="pct"/>
            <w:shd w:val="clear" w:color="auto" w:fill="auto"/>
            <w:noWrap w:val="0"/>
            <w:vAlign w:val="center"/>
          </w:tcPr>
          <w:p w14:paraId="2227091A">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u w:val="single"/>
              </w:rPr>
              <w:t xml:space="preserve"> </w:t>
            </w:r>
            <w:r>
              <w:rPr>
                <w:rFonts w:hint="eastAsia" w:ascii="宋体" w:hAnsi="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日历天</w:t>
            </w:r>
          </w:p>
          <w:p w14:paraId="42B96BA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bookmarkStart w:id="80" w:name="EB2a2e1a22d449405a860670c095486ab8"/>
            <w:r>
              <w:rPr>
                <w:rFonts w:hint="eastAsia" w:ascii="宋体" w:hAnsi="宋体" w:eastAsia="宋体" w:cs="宋体"/>
                <w:b w:val="0"/>
                <w:color w:val="auto"/>
                <w:sz w:val="24"/>
                <w:szCs w:val="24"/>
                <w:highlight w:val="none"/>
              </w:rPr>
              <w:t>具体开工时间以开工令为准。</w:t>
            </w:r>
            <w:bookmarkEnd w:id="80"/>
          </w:p>
        </w:tc>
      </w:tr>
      <w:tr w14:paraId="220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631980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35.4</w:t>
            </w:r>
          </w:p>
        </w:tc>
        <w:tc>
          <w:tcPr>
            <w:tcW w:w="1111" w:type="pct"/>
            <w:noWrap w:val="0"/>
            <w:vAlign w:val="center"/>
          </w:tcPr>
          <w:p w14:paraId="053DA96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405" w:type="pct"/>
            <w:noWrap w:val="0"/>
            <w:vAlign w:val="center"/>
          </w:tcPr>
          <w:p w14:paraId="558DB4D2">
            <w:pPr>
              <w:pStyle w:val="42"/>
              <w:keepNext w:val="0"/>
              <w:keepLines w:val="0"/>
              <w:pageBreakBefore w:val="0"/>
              <w:tabs>
                <w:tab w:val="left" w:pos="1152"/>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质量标准：合格</w:t>
            </w:r>
          </w:p>
        </w:tc>
      </w:tr>
      <w:tr w14:paraId="7E96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CC91E3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35.7</w:t>
            </w:r>
          </w:p>
        </w:tc>
        <w:tc>
          <w:tcPr>
            <w:tcW w:w="1111" w:type="pct"/>
            <w:noWrap w:val="0"/>
            <w:vAlign w:val="center"/>
          </w:tcPr>
          <w:p w14:paraId="798A2B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405" w:type="pct"/>
            <w:noWrap w:val="0"/>
            <w:vAlign w:val="center"/>
          </w:tcPr>
          <w:p w14:paraId="46CE4D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必须确保安全文明施工，符合国家和项目所在地现行相关规定</w:t>
            </w:r>
            <w:r>
              <w:rPr>
                <w:rFonts w:hint="eastAsia" w:ascii="宋体" w:hAnsi="宋体" w:eastAsia="宋体" w:cs="宋体"/>
                <w:color w:val="auto"/>
                <w:sz w:val="24"/>
                <w:szCs w:val="24"/>
                <w:highlight w:val="none"/>
                <w:lang w:eastAsia="zh-CN"/>
              </w:rPr>
              <w:t>。</w:t>
            </w:r>
          </w:p>
        </w:tc>
      </w:tr>
      <w:tr w14:paraId="7AA9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C1DE01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35.8</w:t>
            </w:r>
          </w:p>
        </w:tc>
        <w:tc>
          <w:tcPr>
            <w:tcW w:w="1111" w:type="pct"/>
            <w:noWrap w:val="0"/>
            <w:vAlign w:val="center"/>
          </w:tcPr>
          <w:p w14:paraId="07C70F3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405" w:type="pct"/>
            <w:noWrap w:val="0"/>
            <w:vAlign w:val="center"/>
          </w:tcPr>
          <w:p w14:paraId="20DD594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供应商不得在成交后将工程转包给其它施工单位。</w:t>
            </w:r>
          </w:p>
          <w:p w14:paraId="593DD12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分包情况</w:t>
            </w:r>
          </w:p>
          <w:p w14:paraId="70C59F4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□允许专业分包，分包项目、内容及分包商须经采购人及监理单位同意和认可</w:t>
            </w:r>
          </w:p>
          <w:p w14:paraId="2CA417B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不允许</w:t>
            </w:r>
          </w:p>
        </w:tc>
      </w:tr>
      <w:tr w14:paraId="6517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5131F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35.9</w:t>
            </w:r>
          </w:p>
        </w:tc>
        <w:tc>
          <w:tcPr>
            <w:tcW w:w="1111" w:type="pct"/>
            <w:noWrap w:val="0"/>
            <w:vAlign w:val="center"/>
          </w:tcPr>
          <w:p w14:paraId="4DCE2E5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405" w:type="pct"/>
            <w:noWrap w:val="0"/>
            <w:vAlign w:val="center"/>
          </w:tcPr>
          <w:p w14:paraId="0F85451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具备开工条件</w:t>
            </w:r>
          </w:p>
        </w:tc>
      </w:tr>
      <w:tr w14:paraId="6B88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1F48EE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35.10</w:t>
            </w:r>
          </w:p>
        </w:tc>
        <w:tc>
          <w:tcPr>
            <w:tcW w:w="1111" w:type="pct"/>
            <w:noWrap w:val="0"/>
            <w:vAlign w:val="center"/>
          </w:tcPr>
          <w:p w14:paraId="1C08BE1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405" w:type="pct"/>
            <w:noWrap w:val="0"/>
            <w:vAlign w:val="center"/>
          </w:tcPr>
          <w:p w14:paraId="419ACFC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186D610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5D2D768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最高投标限价（控制价）</w:t>
            </w:r>
          </w:p>
          <w:p w14:paraId="42A0791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34E32F6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获得方式：</w:t>
            </w:r>
          </w:p>
          <w:p w14:paraId="73B60EA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上述资料请供应商在获取磋商文件后，自行登录电子交易系统下载本项目附件。</w:t>
            </w:r>
          </w:p>
        </w:tc>
      </w:tr>
      <w:tr w14:paraId="5558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D982A6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35.13</w:t>
            </w:r>
          </w:p>
        </w:tc>
        <w:tc>
          <w:tcPr>
            <w:tcW w:w="1111" w:type="pct"/>
            <w:noWrap w:val="0"/>
            <w:vAlign w:val="center"/>
          </w:tcPr>
          <w:p w14:paraId="0AB2997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关于联合体参加磋商的相关约定</w:t>
            </w:r>
          </w:p>
        </w:tc>
        <w:tc>
          <w:tcPr>
            <w:tcW w:w="3405" w:type="pct"/>
            <w:noWrap w:val="0"/>
            <w:vAlign w:val="center"/>
          </w:tcPr>
          <w:p w14:paraId="48727E4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如接受联合体竞标，联合体竞标要求如下：</w:t>
            </w:r>
            <w:r>
              <w:rPr>
                <w:rFonts w:hint="eastAsia" w:ascii="宋体" w:hAnsi="宋体" w:eastAsia="宋体" w:cs="宋体"/>
                <w:b w:val="0"/>
                <w:color w:val="auto"/>
                <w:sz w:val="24"/>
                <w:szCs w:val="24"/>
                <w:highlight w:val="none"/>
                <w:lang w:val="en-US" w:eastAsia="zh-CN"/>
              </w:rPr>
              <w:t>无</w:t>
            </w:r>
          </w:p>
        </w:tc>
      </w:tr>
      <w:tr w14:paraId="7BA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7ADF3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35.14</w:t>
            </w:r>
          </w:p>
        </w:tc>
        <w:tc>
          <w:tcPr>
            <w:tcW w:w="1111" w:type="pct"/>
            <w:noWrap w:val="0"/>
            <w:vAlign w:val="center"/>
          </w:tcPr>
          <w:p w14:paraId="45FA6C7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是否允许大中型企业向小微企业分包</w:t>
            </w:r>
          </w:p>
        </w:tc>
        <w:tc>
          <w:tcPr>
            <w:tcW w:w="3405" w:type="pct"/>
            <w:noWrap w:val="0"/>
            <w:vAlign w:val="center"/>
          </w:tcPr>
          <w:p w14:paraId="0BABF03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 xml:space="preserve">□是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w:t>
            </w:r>
          </w:p>
        </w:tc>
      </w:tr>
      <w:tr w14:paraId="0A71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63097E6">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35.16</w:t>
            </w:r>
          </w:p>
        </w:tc>
        <w:tc>
          <w:tcPr>
            <w:tcW w:w="1111" w:type="pct"/>
            <w:noWrap w:val="0"/>
            <w:vAlign w:val="center"/>
          </w:tcPr>
          <w:p w14:paraId="06B56B1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重要提示</w:t>
            </w:r>
          </w:p>
        </w:tc>
        <w:tc>
          <w:tcPr>
            <w:tcW w:w="3405" w:type="pct"/>
            <w:noWrap w:val="0"/>
            <w:vAlign w:val="center"/>
          </w:tcPr>
          <w:p w14:paraId="345AEF5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（1）成交供应商应在规定期限内领取《成交通知书》，若成交供应商未在规定期限内领取《成交通知书》，采购人有权取消成交供应商成交资格，并将相关违约行为报送监管部门，实施信用惩戒；</w:t>
            </w:r>
          </w:p>
          <w:p w14:paraId="264D986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14:paraId="031E510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（3）合同签订后，成交供应商存在规定时间内不组织人员进场开工，不履行合同义务等情况，采购人有权解除合同，并追究违约责任，同时将相关违约行为报送监管部门，记不良行为记录，实施信用惩戒；</w:t>
            </w:r>
          </w:p>
          <w:p w14:paraId="56974B2F">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（4）成交供应商成交后被监管部门查实存在违法行为，不满足成交条件的，由采购人取消其成交资格，并做好项目后续工作；</w:t>
            </w:r>
          </w:p>
          <w:p w14:paraId="05246AB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（5）成交供应商在成交项目发生投诉、信访举报案件、履约存在争议时，拒绝协助配合执法部门调查案件的，采购人可以取消其成交资格或解除合同，并追究其违约责任。</w:t>
            </w:r>
          </w:p>
        </w:tc>
      </w:tr>
      <w:tr w14:paraId="077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F0BC8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35.17</w:t>
            </w:r>
          </w:p>
        </w:tc>
        <w:tc>
          <w:tcPr>
            <w:tcW w:w="1111" w:type="pct"/>
            <w:noWrap w:val="0"/>
            <w:vAlign w:val="center"/>
          </w:tcPr>
          <w:p w14:paraId="708B372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解释权</w:t>
            </w:r>
          </w:p>
        </w:tc>
        <w:tc>
          <w:tcPr>
            <w:tcW w:w="3405" w:type="pct"/>
            <w:noWrap w:val="0"/>
            <w:vAlign w:val="center"/>
          </w:tcPr>
          <w:p w14:paraId="3B5FE1F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0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8C369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35.21</w:t>
            </w:r>
          </w:p>
        </w:tc>
        <w:tc>
          <w:tcPr>
            <w:tcW w:w="1111" w:type="pct"/>
            <w:noWrap w:val="0"/>
            <w:vAlign w:val="center"/>
          </w:tcPr>
          <w:p w14:paraId="471D381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其它内容</w:t>
            </w:r>
          </w:p>
        </w:tc>
        <w:tc>
          <w:tcPr>
            <w:tcW w:w="3405" w:type="pct"/>
            <w:noWrap w:val="0"/>
            <w:vAlign w:val="center"/>
          </w:tcPr>
          <w:p w14:paraId="6AF39E0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A3E7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u w:val="none"/>
                <w:lang w:val="en-US" w:eastAsia="zh-CN"/>
              </w:rPr>
              <w:t>磋商文件规定加盖公章的，可采用CA签章或线下盖章后扫描件上传。</w:t>
            </w:r>
          </w:p>
          <w:p w14:paraId="3118AC7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Cs/>
                <w:color w:val="auto"/>
                <w:sz w:val="24"/>
                <w:szCs w:val="24"/>
                <w:highlight w:val="none"/>
                <w:lang w:val="en-US" w:eastAsia="zh-CN"/>
              </w:rPr>
              <w:t>供应商为其他组织时，本磋商文件规定的法定代表人指负责人。本磋商文件所称负责人是指参加竞标的其他组织营业执照上的负责人。</w:t>
            </w:r>
          </w:p>
          <w:p w14:paraId="537D484C">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(4)</w:t>
            </w:r>
            <w:r>
              <w:rPr>
                <w:rFonts w:hint="eastAsia" w:ascii="宋体" w:hAnsi="宋体" w:eastAsia="宋体" w:cs="宋体"/>
                <w:b/>
                <w:bCs w:val="0"/>
                <w:color w:val="auto"/>
                <w:sz w:val="24"/>
                <w:szCs w:val="24"/>
                <w:highlight w:val="none"/>
                <w:lang w:val="en-US" w:eastAsia="zh-CN"/>
              </w:rPr>
              <w:t>本文件中描述供应商的“签字”是指供应商的法定代表人或者委托代理人亲自在文件规定签署处亲笔写上个人的名字</w:t>
            </w:r>
            <w:r>
              <w:rPr>
                <w:rFonts w:hint="eastAsia" w:ascii="宋体" w:hAnsi="宋体" w:cs="宋体"/>
                <w:b/>
                <w:bCs w:val="0"/>
                <w:color w:val="auto"/>
                <w:sz w:val="24"/>
                <w:szCs w:val="24"/>
                <w:highlight w:val="none"/>
                <w:lang w:val="en-US" w:eastAsia="zh-CN"/>
              </w:rPr>
              <w:t>或者电子签名</w:t>
            </w:r>
            <w:r>
              <w:rPr>
                <w:rFonts w:hint="eastAsia" w:ascii="宋体" w:hAnsi="宋体" w:eastAsia="宋体" w:cs="宋体"/>
                <w:b/>
                <w:bCs w:val="0"/>
                <w:color w:val="auto"/>
                <w:sz w:val="24"/>
                <w:szCs w:val="24"/>
                <w:highlight w:val="none"/>
                <w:lang w:val="en-US" w:eastAsia="zh-CN"/>
              </w:rPr>
              <w:t>的行为。</w:t>
            </w:r>
          </w:p>
          <w:p w14:paraId="1998E52D">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single"/>
              </w:rPr>
            </w:pPr>
            <w:r>
              <w:rPr>
                <w:rFonts w:hint="default" w:ascii="宋体" w:hAnsi="宋体" w:eastAsia="宋体" w:cs="宋体"/>
                <w:b w:val="0"/>
                <w:bCs w:val="0"/>
                <w:color w:val="auto"/>
                <w:kern w:val="2"/>
                <w:sz w:val="24"/>
                <w:szCs w:val="24"/>
                <w:lang w:val="en-US" w:eastAsia="zh-CN" w:bidi="ar-SA"/>
              </w:rPr>
              <w:t>(5)</w:t>
            </w:r>
            <w:r>
              <w:rPr>
                <w:rFonts w:hint="eastAsia" w:ascii="宋体" w:hAnsi="宋体" w:eastAsia="宋体" w:cs="宋体"/>
                <w:b w:val="0"/>
                <w:color w:val="auto"/>
                <w:sz w:val="24"/>
                <w:szCs w:val="24"/>
                <w:highlight w:val="none"/>
                <w:lang w:val="en-US" w:eastAsia="zh-CN"/>
              </w:rPr>
              <w:t>本磋商文件所称的“以上”“以下”“以内”“届满”，包括本数；所称的“不满”“超过”“以外”，不包括本数。</w:t>
            </w:r>
          </w:p>
        </w:tc>
      </w:tr>
    </w:tbl>
    <w:p w14:paraId="508992DF">
      <w:pPr>
        <w:spacing w:line="60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r>
        <w:rPr>
          <w:rStyle w:val="36"/>
          <w:rFonts w:hint="eastAsia"/>
          <w:color w:val="auto"/>
          <w:highlight w:val="none"/>
        </w:rPr>
        <w:t>二、供应商</w:t>
      </w:r>
      <w:r>
        <w:rPr>
          <w:rStyle w:val="36"/>
          <w:color w:val="auto"/>
          <w:highlight w:val="none"/>
        </w:rPr>
        <w:t>须知</w:t>
      </w:r>
      <w:r>
        <w:rPr>
          <w:rStyle w:val="36"/>
          <w:rFonts w:hint="eastAsia"/>
          <w:color w:val="auto"/>
          <w:highlight w:val="none"/>
        </w:rPr>
        <w:t>正文</w:t>
      </w:r>
    </w:p>
    <w:p w14:paraId="6CDB0BFD">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适用范围</w:t>
      </w:r>
    </w:p>
    <w:p w14:paraId="0875C21D">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本磋商文件仅适用于本次磋商所述的工程项目采购。</w:t>
      </w:r>
    </w:p>
    <w:p w14:paraId="660930F6">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定义</w:t>
      </w:r>
    </w:p>
    <w:p w14:paraId="5DC7A13D">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18A03F7E">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时限（年份、月份等）计算：系指从磋商之日向前追溯X年/月（“X”为“一”及以后整数）起算。</w:t>
      </w:r>
    </w:p>
    <w:p w14:paraId="4AC57197">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业绩系指符合本磋商文件规定的与最终用户签订的合同或磋商文件要求的相关证明。供应商与其关联公司（如母公司、控股公司、分公司、子公司、同一法定代表人的公司等）之间签订的合同，均不予认可。</w:t>
      </w:r>
    </w:p>
    <w:p w14:paraId="1D6A4C7E">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采购人、采购代理机构及供应商</w:t>
      </w:r>
    </w:p>
    <w:p w14:paraId="4287ABDB">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采购人：是指依法开展政府采购活动的国家机关、事业单位、团体组织。本项目的采购人见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12460745">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采购代理机构：是指集中采购机构或从事采购代理业务的社会中介机构。本项目的采购代理机构见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4279F37C">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政府采购监督管理部门：各级人民政府指定的有关部门依法履行与政府采购活动有关的监督管理职责。本项目的政府采购监督管理部门见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8D30DA9">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供应商：是指向采购人提供货物、工程或者服务的法人、非法人组织或者自然人。分支机构不得参加政府采购活动，但银行、保险、石油石化、电力、电信等特殊行业除外。本项目的供应商须满足以下条件：</w:t>
      </w:r>
    </w:p>
    <w:p w14:paraId="3BBD4508">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66E168EE">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具备《中华人民共和国政府采购法》第二十二条关于供应商条件的规定，遵守本项目采购人本级和上级财政部门政府采购的有关规定。</w:t>
      </w:r>
    </w:p>
    <w:p w14:paraId="2A442524">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以采购代理机构认可的方式获得了本项目的磋商文件。</w:t>
      </w:r>
    </w:p>
    <w:p w14:paraId="0535E39A">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中规定专门面向中小企业采购的，如供应商提供的工程非中小企业承建的，其响应文件将被认定为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2966B2">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若竞争性磋商公告中允许联合体参加磋商，对联合体规定如下：</w:t>
      </w:r>
    </w:p>
    <w:p w14:paraId="5BDAF52D">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两个以上供应商可以组成一个磋商联合体，以一个供应商的身份磋商。</w:t>
      </w:r>
    </w:p>
    <w:p w14:paraId="46425C79">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联合体各方均应符合《中华人民共和国政府采购法》第二十二条规定的条件。</w:t>
      </w:r>
    </w:p>
    <w:p w14:paraId="33179F5A">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采购人根据采购项目对供应商的特殊要求，联合体中至少应当有一方符合相关规定。</w:t>
      </w:r>
    </w:p>
    <w:p w14:paraId="3695C655">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联合体各方应签订联合协议，明确约定联合体各方承担的工作和相应的责任，并将联合协议作为响应文件的一部分提交。</w:t>
      </w:r>
    </w:p>
    <w:p w14:paraId="0EBCB37F">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大中型企业、其他自然人、法人或者非法人组织与小型、微型企业组成联合体共同参加磋商，联合协议中应写明小型、微型企业的协议合同金额占到联合协议合同总金额的比例。</w:t>
      </w:r>
    </w:p>
    <w:p w14:paraId="03A1AF89">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p>
    <w:p w14:paraId="0DFC3C96">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F5471AB">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对联合体参加磋商的其他资格要求见供应商资格。</w:t>
      </w:r>
    </w:p>
    <w:p w14:paraId="544E7F11">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单位负责人为同一人或者存在直接控股、管理关系的不同供应商，不得参加同一合同项下的政府采购活动。否则其相关响应文件将被认定为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64EE970">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002BF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资金来源</w:t>
      </w:r>
    </w:p>
    <w:p w14:paraId="4FFE39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4.1本项目的采购人已获得足以支付本次磋商后所签订的合同项下的资金。</w:t>
      </w:r>
    </w:p>
    <w:p w14:paraId="5DCC7B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4.2项目预算金额或分项（或分包）预算金额见</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w:t>
      </w:r>
    </w:p>
    <w:p w14:paraId="6781D504">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磋商费用</w:t>
      </w:r>
    </w:p>
    <w:p w14:paraId="3CA8179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不论磋商的结果如何，供应商应承担其所有与准备和参加磋商有关的费用。</w:t>
      </w:r>
    </w:p>
    <w:p w14:paraId="71780F01">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适用法律</w:t>
      </w:r>
    </w:p>
    <w:p w14:paraId="666F8E2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3555450">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磋商文件构成</w:t>
      </w:r>
    </w:p>
    <w:p w14:paraId="1A99C7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7.1磋商文件包括下列内容：</w:t>
      </w:r>
    </w:p>
    <w:p w14:paraId="4395B5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竞争性磋商公告</w:t>
      </w:r>
    </w:p>
    <w:p w14:paraId="6C0FFC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1971A40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5AE3F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评审方法和标准</w:t>
      </w:r>
    </w:p>
    <w:p w14:paraId="31B0C3C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政府采购合同</w:t>
      </w:r>
    </w:p>
    <w:p w14:paraId="4A008B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63DC51F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  政府采购供应商质疑函范本</w:t>
      </w:r>
    </w:p>
    <w:p w14:paraId="0FDAAF6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7.2磋商文件中有不一致的，有澄清的部分以最终的澄清更正内容为准。</w:t>
      </w:r>
    </w:p>
    <w:p w14:paraId="742E6C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7.3现场踏勘及相关事项见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2AC0054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7.4供应商应认真阅读磋商文件所有的事项、格式、条款和技术规范等。</w:t>
      </w:r>
    </w:p>
    <w:p w14:paraId="261C571C">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磋商文件的澄清与修改</w:t>
      </w:r>
    </w:p>
    <w:p w14:paraId="1EC0F01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8.1供应商如对磋商文件内容有疑问，必须在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磋商文件提交</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向</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p w14:paraId="4EEEB0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8.2采购人可主动或在解答供应商提出的问题时对磋商文件进行澄清或者修改。采购代理机构将在</w:t>
      </w:r>
      <w:r>
        <w:rPr>
          <w:rFonts w:hint="eastAsia" w:ascii="宋体" w:hAnsi="宋体" w:eastAsia="宋体" w:cs="宋体"/>
          <w:color w:val="auto"/>
          <w:sz w:val="24"/>
          <w:szCs w:val="24"/>
          <w:highlight w:val="none"/>
          <w:lang w:val="en-US" w:eastAsia="zh-CN"/>
        </w:rPr>
        <w:t>原公告发布网址</w:t>
      </w:r>
      <w:r>
        <w:rPr>
          <w:rFonts w:hint="eastAsia" w:ascii="宋体" w:hAnsi="宋体" w:eastAsia="宋体" w:cs="宋体"/>
          <w:color w:val="auto"/>
          <w:sz w:val="24"/>
          <w:szCs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6CA3FA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2DC8C2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8.4对于没有提出询问又参与了本项目磋商的供应商将被视为完全认同本磋商文件（含更正公告的内容）</w:t>
      </w:r>
      <w:r>
        <w:rPr>
          <w:rFonts w:hint="eastAsia" w:ascii="宋体" w:hAnsi="宋体" w:eastAsia="宋体" w:cs="宋体"/>
          <w:i/>
          <w:color w:val="auto"/>
          <w:sz w:val="24"/>
          <w:szCs w:val="24"/>
          <w:highlight w:val="none"/>
        </w:rPr>
        <w:t>。</w:t>
      </w:r>
    </w:p>
    <w:p w14:paraId="1A482512">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磋商范围及响应文件中标准和计量单位的使用</w:t>
      </w:r>
    </w:p>
    <w:p w14:paraId="3DBFA3A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9.1项目有分包的，供应商可参与其中某一个或多个分包的磋商，成交包数详见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w:t>
      </w:r>
    </w:p>
    <w:p w14:paraId="69BCDA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9.2无论磋商文件中是否要求，供应商所承担工程及伴随的货物和服务均应符合国家强制性标准。</w:t>
      </w:r>
    </w:p>
    <w:p w14:paraId="44F08DE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64C3D5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9.4除磋商文件中有特殊要求外，响应文件中所使用的计量单位，应采用中华人民共和国法定计量单位。</w:t>
      </w:r>
    </w:p>
    <w:p w14:paraId="04563A2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响应文件构成</w:t>
      </w:r>
    </w:p>
    <w:p w14:paraId="5A3FEE7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10.1响应文件由资格证明文件、报价</w:t>
      </w:r>
      <w:r>
        <w:rPr>
          <w:rFonts w:hint="eastAsia" w:ascii="宋体" w:hAnsi="宋体" w:eastAsia="宋体" w:cs="宋体"/>
          <w:color w:val="auto"/>
          <w:sz w:val="24"/>
          <w:szCs w:val="24"/>
          <w:highlight w:val="none"/>
          <w:lang w:val="en-US" w:eastAsia="zh-CN"/>
        </w:rPr>
        <w:t>文件和</w:t>
      </w:r>
      <w:r>
        <w:rPr>
          <w:rFonts w:hint="eastAsia" w:ascii="宋体" w:hAnsi="宋体" w:eastAsia="宋体" w:cs="宋体"/>
          <w:color w:val="auto"/>
          <w:sz w:val="24"/>
          <w:szCs w:val="24"/>
          <w:highlight w:val="none"/>
        </w:rPr>
        <w:t>商务技术文件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部分组成</w:t>
      </w:r>
    </w:p>
    <w:p w14:paraId="7D6D3D23">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资格证明文件：详见须知前附表</w:t>
      </w:r>
    </w:p>
    <w:p w14:paraId="0DB36878">
      <w:pPr>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报价文件：详见须知前附表</w:t>
      </w:r>
    </w:p>
    <w:p w14:paraId="1B0727E5">
      <w:pPr>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商务技术文件：详见须知前附表</w:t>
      </w:r>
    </w:p>
    <w:p w14:paraId="24B1978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10.2 </w:t>
      </w:r>
      <w:r>
        <w:rPr>
          <w:rFonts w:hint="eastAsia" w:ascii="宋体" w:hAnsi="宋体" w:eastAsia="宋体" w:cs="宋体"/>
          <w:color w:val="auto"/>
          <w:sz w:val="24"/>
          <w:szCs w:val="24"/>
          <w:highlight w:val="none"/>
        </w:rPr>
        <w:t>供应商应完整地按磋商文件提供的响应文件格式及要求编写响应文件，具体内容详见第六章响应文件格式的相关内容。</w:t>
      </w:r>
    </w:p>
    <w:p w14:paraId="39C166B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上述文件应按照磋商文件规定的格式填写、签署和盖章。</w:t>
      </w:r>
    </w:p>
    <w:p w14:paraId="1EBDECAF">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证明标的的合格性和符合磋商文件规定的技术文件</w:t>
      </w:r>
    </w:p>
    <w:p w14:paraId="50F23E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11.1供应商应提交磋商文件要求的证明文件，证明其响应内容符合磋商文件规定。该证明文件是响应文件的一部分。</w:t>
      </w:r>
    </w:p>
    <w:p w14:paraId="7CFCB0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11.2上款所述的证明文件，可以是文字资料、图纸和数据</w:t>
      </w:r>
      <w:bookmarkStart w:id="81" w:name="_Hlk11703583"/>
      <w:r>
        <w:rPr>
          <w:rFonts w:hint="eastAsia" w:ascii="宋体" w:hAnsi="宋体" w:eastAsia="宋体" w:cs="宋体"/>
          <w:color w:val="auto"/>
          <w:sz w:val="24"/>
          <w:szCs w:val="24"/>
          <w:highlight w:val="none"/>
        </w:rPr>
        <w:t>。</w:t>
      </w:r>
    </w:p>
    <w:bookmarkEnd w:id="81"/>
    <w:p w14:paraId="4853303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11.3本条所指证明文件不包括对磋商文件相关部分的文字、图标的复制。</w:t>
      </w:r>
    </w:p>
    <w:p w14:paraId="392B817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11.4为保证公平公正，除非磋商文件另有规定或说明，供应商对同一项目磋商时，不得同时提供备选磋商方案。</w:t>
      </w:r>
    </w:p>
    <w:p w14:paraId="3D01869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5A0C15E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12.1供应商的报价应当包括满足本次磋商全部内容。所有报价均应以人民币报价，供应商的磋商报价应遵守《中华人民共和国价格法》。</w:t>
      </w:r>
    </w:p>
    <w:p w14:paraId="33F1652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12.2供应商应在分项报价表上标明磋商工程的单价（如适用）和总价，未标明的视同包含在磋商报价中。</w:t>
      </w:r>
    </w:p>
    <w:p w14:paraId="4EB21A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12.3最后报价均不得高于磋商文件（公告）列明的项目预算、最高投标限价（控制价），否则其响应文件将被认定为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242F2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12.4报价在合同履行过程中是固定不变的，不得以任何理由予以变更。任何包含价格调整要求的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80A1A0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12.5 如最终报价与首次报价不一致，需提供修改后工程量清单报价书，否则竞标无效。</w:t>
      </w:r>
    </w:p>
    <w:p w14:paraId="77A94AA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采购人不接受具有附加条件的报价</w:t>
      </w:r>
    </w:p>
    <w:p w14:paraId="6551F9C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p w14:paraId="1355AD5F">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磋商保证金</w:t>
      </w:r>
    </w:p>
    <w:p w14:paraId="414E4F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p w14:paraId="01E627D1">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磋商有效期</w:t>
      </w:r>
    </w:p>
    <w:p w14:paraId="7CDA46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14.1磋商有效期为从响应文件提交截止之日算起的日历天数，磋商有效期详见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CC46AB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285F9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708EC8C">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响应文件的制作</w:t>
      </w:r>
    </w:p>
    <w:p w14:paraId="278454B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15.1本项目要求提供加密电子响应文件，响应文件的制作应满足以下规定：</w:t>
      </w:r>
    </w:p>
    <w:p w14:paraId="2C160E0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响应文件由供应商使用电子交易系统提供的“投标文件制作工具”制作生成。“投标文件制作工具”可以通过电子交易系统中下载。供应商应当在互联网络通畅状态下启用最新版投标文件制作工具制作响应文件。</w:t>
      </w:r>
    </w:p>
    <w:p w14:paraId="560890AB">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第六章“响应文件格式”中要求加盖供应商电子签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63D7A781">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2282444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响应文件制作的具体方法详见“投标文件制作工具”中的帮助文档。</w:t>
      </w:r>
    </w:p>
    <w:p w14:paraId="11A0C837">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供应商应按磋商文件要求制作响应文件，若供应商投多个分标时，每个分标须独立制作一套电子响应文件。</w:t>
      </w:r>
    </w:p>
    <w:p w14:paraId="511958D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15.2因供应商自身原因而导致响应文件无法导入电子交易系统电子开标、评标系统的，该响应文件视为无效响应文件，供应商自行承担由此导致的全部责任。（该响应文件是指解密后的响应文件）。</w:t>
      </w:r>
    </w:p>
    <w:p w14:paraId="22C5009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15.3磋商现场提交的其他材料要求详见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78C2673">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响应文件提交截止时间</w:t>
      </w:r>
    </w:p>
    <w:p w14:paraId="12B3E33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中规定的响应文件提交截止时间前，在网上提交加密电子响应文件。</w:t>
      </w:r>
    </w:p>
    <w:p w14:paraId="6F09310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16.2供应商在磋商文件规定的响应文件提交截止时间前上传了网上加密电子响应文件，但未在规定时间内进行解密的，</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F7BD7E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16.3采购人和采购代理机构延迟响应文件提交截止时间的。在此情况下，采购人、采购代理机构和供应商受响应文件提交截止时间制约的所有权利和义务均应延长至新的截止时间。</w:t>
      </w:r>
    </w:p>
    <w:p w14:paraId="2A67724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响应文件的提交、修改与撤回</w:t>
      </w:r>
    </w:p>
    <w:p w14:paraId="69547DF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17.1供应商应当在第一章“</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”规定的响应文件提交截止时间前，将加密的响应文件在电子交易系统上传。</w:t>
      </w:r>
    </w:p>
    <w:p w14:paraId="512433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8BEFA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规定的解密时间前（以电子交易系统解密倒计时为准）对本单位的响应文件进行解密，采购代理机构工作人员在监督员监督下解密所有响应文件。</w:t>
      </w:r>
    </w:p>
    <w:p w14:paraId="0DB3ED5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785DDA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磋商小组</w:t>
      </w:r>
    </w:p>
    <w:p w14:paraId="403EDB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18.1本项目将依法组建磋商小组，磋商小组成员由3人以上单数组成，磋商小组及其成员应当依照政府采购的有关规定履行相关职责和义务。</w:t>
      </w:r>
    </w:p>
    <w:p w14:paraId="13C49C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18.2磋商小组依法对响应文件进行评审，并根据磋商文件规定的程序、评定成交的标准等事项与实质性响应磋商文件要求的供应商进行磋商。</w:t>
      </w:r>
    </w:p>
    <w:p w14:paraId="0A268BA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18.3磋商小组应当从质量和服务均能满足磋商文件实质性响应要求的供应商中，按照评审方法和标准推荐成交候选供应商，并编写评审报告。</w:t>
      </w:r>
    </w:p>
    <w:p w14:paraId="3F842894">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响应文件的评审与磋商</w:t>
      </w:r>
    </w:p>
    <w:p w14:paraId="1560106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19.1采购人和采购代理机构将在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规定的时间和地点组织磋商。</w:t>
      </w:r>
    </w:p>
    <w:p w14:paraId="71FD56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19.2竞争性磋商活动采用综合评分法评审。</w:t>
      </w:r>
    </w:p>
    <w:p w14:paraId="08D7C52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综合评分法，是指响应文件满足磋商文件全部实质性要求且按评审因素的量化指标评审得分最高的供应商为成交候选供应商的评审方法。</w:t>
      </w:r>
    </w:p>
    <w:p w14:paraId="7CE4BD2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19.3磋商小组将按照磋商文件规定的评审方法和标准对供应商独立进行评审。评审程序如下：</w:t>
      </w:r>
    </w:p>
    <w:p w14:paraId="02988728">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初审</w:t>
      </w:r>
      <w:r>
        <w:rPr>
          <w:rFonts w:hint="eastAsia" w:ascii="宋体" w:hAnsi="宋体" w:eastAsia="宋体" w:cs="宋体"/>
          <w:color w:val="auto"/>
          <w:sz w:val="24"/>
          <w:szCs w:val="24"/>
          <w:highlight w:val="none"/>
        </w:rPr>
        <w:t>。磋商小组对供应商必须满足和实质性响应的内容进行评审，供应商未实质性响应磋商文件要求导致响应无效的，</w:t>
      </w:r>
      <w:r>
        <w:rPr>
          <w:rFonts w:hint="eastAsia" w:ascii="宋体" w:hAnsi="宋体" w:eastAsia="宋体" w:cs="宋体"/>
          <w:b/>
          <w:bCs/>
          <w:color w:val="auto"/>
          <w:sz w:val="24"/>
          <w:szCs w:val="24"/>
          <w:highlight w:val="none"/>
        </w:rPr>
        <w:t>磋商小组将以书面询标的方式告知有关供应商</w:t>
      </w:r>
      <w:r>
        <w:rPr>
          <w:rFonts w:hint="eastAsia" w:ascii="宋体" w:hAnsi="宋体" w:eastAsia="宋体" w:cs="宋体"/>
          <w:color w:val="auto"/>
          <w:sz w:val="24"/>
          <w:szCs w:val="24"/>
          <w:highlight w:val="none"/>
        </w:rPr>
        <w:t>。</w:t>
      </w:r>
    </w:p>
    <w:p w14:paraId="74B6B7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评审结束前查询供应商的信用记录。供应商存在不良信用记录的，其响应文件将被认定为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0A23777">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供应商被人民法院列入失信被执行人；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供应商被税务部门列入重大税收违法案件当事人名单；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供应商被政府采购监管部门列入政府采购严重违法失信行为记录名单，以及存在《中华人民共和国政府采购法实施条例》第十九条规定的行政处罚记录。</w:t>
      </w:r>
    </w:p>
    <w:p w14:paraId="0086D7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以联合体形式参加磋商的，联合体任何成员存在以上不良信用记录的，联合体磋商将被认定为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15CAFC3">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信用信息查询渠道：中国政府采购网（www.ccgp.gov.cn）、“信用中国”网站（www.creditchina.gov.cn）。</w:t>
      </w:r>
    </w:p>
    <w:p w14:paraId="060B0DE5">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信用信息记录方式：采购人或采购代理机构工作人员将查询网页打印、签字并存档备查。供应商不良信用记录以采购人或采购代理机构查询结果为准。</w:t>
      </w:r>
    </w:p>
    <w:p w14:paraId="3272E1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在本磋商文件规定的查询时间之外，网站信息发生的任何变更均不作为初审依据。</w:t>
      </w:r>
    </w:p>
    <w:p w14:paraId="302D0FE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供应商自行提供的与网站信息不一致的其他证明材料亦不作为资格审查依据。</w:t>
      </w:r>
    </w:p>
    <w:p w14:paraId="2EFAEC74">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w:t>
      </w:r>
      <w:r>
        <w:rPr>
          <w:rFonts w:hint="eastAsia" w:ascii="宋体" w:hAnsi="宋体" w:eastAsia="宋体" w:cs="宋体"/>
          <w:color w:val="auto"/>
          <w:sz w:val="24"/>
          <w:szCs w:val="24"/>
          <w:highlight w:val="none"/>
        </w:rPr>
        <w:t>。初审合格后，磋商小组将按网上加密电子响应文件提交顺序集中与单一供应商分别进行磋商，并给予所有参加磋商的供应商平等的磋商机会。</w:t>
      </w:r>
    </w:p>
    <w:p w14:paraId="7BA215ED">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w:t>
      </w:r>
      <w:r>
        <w:rPr>
          <w:rFonts w:hint="eastAsia" w:ascii="宋体" w:hAnsi="宋体" w:eastAsia="宋体" w:cs="宋体"/>
          <w:color w:val="auto"/>
          <w:sz w:val="24"/>
          <w:szCs w:val="24"/>
          <w:highlight w:val="none"/>
        </w:rPr>
        <w:t>。磋商结束后，磋商小组应当要求所有实质性响应的供应商在规定时间内提交最后报价。</w:t>
      </w:r>
    </w:p>
    <w:p w14:paraId="030A1F11">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综合评分</w:t>
      </w:r>
      <w:r>
        <w:rPr>
          <w:rFonts w:hint="eastAsia" w:ascii="宋体" w:hAnsi="宋体" w:eastAsia="宋体" w:cs="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47B0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19.4相关说明。</w:t>
      </w:r>
    </w:p>
    <w:p w14:paraId="0CBE58BB">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为保证磋商活动顺利进行，供应商可派相关技术人员进行网上答疑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6D03449">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3BC2A02C">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6263CD25">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无论何种原因，即使供应商磋商时携带了证书材料的原件，但响应文件中未提供与之内容完全一致的扫描件或影印件的，磋商小组可以视同其未提供。</w:t>
      </w:r>
    </w:p>
    <w:p w14:paraId="5D3DCF12">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磋商小组决定响应文件的响应性及符合性只根据响应文件本身的内容，而不寻求其他外部证据。</w:t>
      </w:r>
    </w:p>
    <w:p w14:paraId="5C33476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19.5供应商授权代表对磋商过程有疑义，以及认为采购人、采购代理机构相关工作人员有需要回避的情形的，应当场提出询问或者回避申请，并说明理由。 </w:t>
      </w:r>
    </w:p>
    <w:p w14:paraId="50705D4A">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终止竞争性磋商</w:t>
      </w:r>
    </w:p>
    <w:p w14:paraId="1DD604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20.1出现下列情况之一时，采购人和采购代理机构有权宣布终止竞争性磋商采购，并将理由通知所有供应商：</w:t>
      </w:r>
    </w:p>
    <w:p w14:paraId="75FDDEA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（1）有效供应商数量不足，导致本次磋商缺乏竞争的；</w:t>
      </w:r>
    </w:p>
    <w:p w14:paraId="610828F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A2072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E79D4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（4）政府采购法律法规规定的其他情形。</w:t>
      </w:r>
    </w:p>
    <w:p w14:paraId="0300948B">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响应文件的澄清、说明或更正</w:t>
      </w:r>
    </w:p>
    <w:p w14:paraId="0FB172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718F1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21.2磋商小组要求供应商澄清、说明或者更正响应文件应当以书面形式（询标）作出。供应商的澄清、说明或者更正应当由法定代表人或其授权代表签字或者加盖公章。</w:t>
      </w:r>
    </w:p>
    <w:p w14:paraId="02D72B8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szCs w:val="24"/>
          <w:highlight w:val="none"/>
        </w:rPr>
        <w:t>、没有及时登录系统等情形</w:t>
      </w:r>
      <w:r>
        <w:rPr>
          <w:rFonts w:hint="eastAsia" w:ascii="宋体" w:hAnsi="宋体" w:eastAsia="宋体" w:cs="宋体"/>
          <w:b/>
          <w:color w:val="auto"/>
          <w:sz w:val="24"/>
          <w:szCs w:val="24"/>
          <w:highlight w:val="none"/>
        </w:rPr>
        <w:t>而无法接受磋商小组询标的，供应商自行承担相关风险。</w:t>
      </w:r>
    </w:p>
    <w:p w14:paraId="402CF238">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最后报价</w:t>
      </w:r>
    </w:p>
    <w:p w14:paraId="297E990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22.1磋商并不限定只进行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轮报价，如果磋商小组认为有必要，可以要求供应商进行多轮报价。</w:t>
      </w:r>
    </w:p>
    <w:p w14:paraId="0B7C1E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22.2在磋商内容不做实质性变更或重大调整的前提下，供应商下轮报价不得高于上一轮报价。</w:t>
      </w:r>
    </w:p>
    <w:p w14:paraId="336A768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22.3供应商未在规定时间内提交最后报价的，视为退出磋商，其响应文件作无效处理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最后报价是供应商响应文件的有效组成部分，最后报价也是签订合同的依据。</w:t>
      </w:r>
    </w:p>
    <w:p w14:paraId="5998AAB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2" w:name="_Hlk60607655"/>
      <w:r>
        <w:rPr>
          <w:rFonts w:hint="eastAsia" w:ascii="宋体" w:hAnsi="宋体" w:eastAsia="宋体" w:cs="宋体"/>
          <w:color w:val="auto"/>
          <w:sz w:val="24"/>
          <w:szCs w:val="24"/>
          <w:highlight w:val="none"/>
        </w:rPr>
        <w:t>22.4根据《政府采购促进中小企业发展管理办法》（财库〔2020〕46号）、《财政部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中规定的标准扣除后的价格参与评审。对于同时属于小微企业、监狱企业或残疾人福利性单位的，不重复进行最后报价扣除。</w:t>
      </w:r>
    </w:p>
    <w:p w14:paraId="0C80C08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中规定的标准扣除后的价格参与评审。组成联合体或者接受分包的小微企业与联合体内其他企业、分包企业之间存在直接控股、管理关系的，不享受价格扣除优惠政策。</w:t>
      </w:r>
    </w:p>
    <w:p w14:paraId="20B7210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bookmarkEnd w:id="82"/>
    </w:p>
    <w:p w14:paraId="59E9771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22.5除国家政策性文件规定以外，供应商所报价格在合同实施期间不因市场变化因素而变动。 </w:t>
      </w:r>
    </w:p>
    <w:p w14:paraId="080D720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22.6供应商应当按照企业定额或项目所在地最新建设工程计价依据以及材料市场价格信息等，结合自身实力、施工经验、现场环境以及磋商文件的要求自主报价。</w:t>
      </w:r>
    </w:p>
    <w:p w14:paraId="5E04E4B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22.7供应商的报价应严格执行下列标准，不得降低标准进行竞标。</w:t>
      </w:r>
    </w:p>
    <w:p w14:paraId="6A22494F">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不可竞争费用：执行最新规定的按最新标准执行。</w:t>
      </w:r>
    </w:p>
    <w:p w14:paraId="56D93829">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其他项目费：</w:t>
      </w:r>
    </w:p>
    <w:p w14:paraId="55DC09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highlight w:val="none"/>
        </w:rPr>
        <w:t>暂列金额；</w:t>
      </w:r>
    </w:p>
    <w:p w14:paraId="271C05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highlight w:val="none"/>
        </w:rPr>
        <w:t>暂估价；</w:t>
      </w:r>
    </w:p>
    <w:p w14:paraId="2853D89C">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开具正规的增值税发票。</w:t>
      </w:r>
    </w:p>
    <w:p w14:paraId="2E46A9FB">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磋商文件中明确的由采购人自行采购的材料费。 </w:t>
      </w:r>
    </w:p>
    <w:p w14:paraId="62EC0914">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法规规章、上级文件规定的其他不可竞争费用。</w:t>
      </w:r>
    </w:p>
    <w:p w14:paraId="7B5A2D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22.8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43DD5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22.9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1F528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22.10工程材料</w:t>
      </w:r>
    </w:p>
    <w:p w14:paraId="191DEA19">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材料供应方式：本工程使用的材料由承包人采购供应；</w:t>
      </w:r>
    </w:p>
    <w:p w14:paraId="6579CA98">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价格：除甲供材和实行暂估价的材料及设备以外，由供应商自行采购的材料确定磋商最后报价时应充分考虑材料价格上涨等市场风险因素，成交后不作调整，综合单价中的材料费应包括材料运杂费、采保费及试验检验费。</w:t>
      </w:r>
    </w:p>
    <w:p w14:paraId="10B38BDD">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A09A07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前款所称暂估价，是指不能确定价格而由采购人在磋商文件中暂时估定的工程、货物、服务的金额。</w:t>
      </w:r>
    </w:p>
    <w:p w14:paraId="2AB6A57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22.11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46BC15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22.12工程造价的确定与控制</w:t>
      </w:r>
    </w:p>
    <w:p w14:paraId="6F7DECD5">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本工程经定标后，工程总造价在磋商范围内包定，除经批准的设计变更、经济签证外，其它工程造价增减均不予签证计价。</w:t>
      </w:r>
    </w:p>
    <w:p w14:paraId="527BA1C1">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磋商前，供应商应认真对照施工设计图纸等文件核对采购人提供的工程量清单，发现工程量存在项目划分误差、计量单位误差、数量误差、遗漏项目的，必须在</w:t>
      </w:r>
      <w:r>
        <w:rPr>
          <w:rFonts w:hint="eastAsia" w:ascii="宋体" w:hAnsi="宋体" w:eastAsia="宋体" w:cs="宋体"/>
          <w:color w:val="auto"/>
          <w:kern w:val="2"/>
          <w:sz w:val="24"/>
          <w:szCs w:val="24"/>
          <w:highlight w:val="none"/>
          <w:lang w:val="en-US" w:eastAsia="zh-CN"/>
        </w:rPr>
        <w:t>磋商文件提交</w:t>
      </w:r>
      <w:r>
        <w:rPr>
          <w:rFonts w:hint="eastAsia" w:ascii="宋体" w:hAnsi="宋体" w:eastAsia="宋体" w:cs="宋体"/>
          <w:color w:val="auto"/>
          <w:kern w:val="2"/>
          <w:sz w:val="24"/>
          <w:szCs w:val="24"/>
          <w:highlight w:val="none"/>
        </w:rPr>
        <w:t>截止时间前向采购人提出疑问，否则采购人可不予答复。</w:t>
      </w:r>
    </w:p>
    <w:p w14:paraId="299F4142">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对疑问应进行核实，确认工程量单项子目误差在±3%（含±3%）以内、且估算价不超过1000元的，采购人可不予调整工程量，供应商应将其误差考虑在综合单价内；若单项子目工程量误差在±3%（含±3%）以内，但估算价超过1000元或有遗漏项目或单项子目工程量误差超过±3%的，采购人应进行修正并重新公布准确的工程量清单。</w:t>
      </w:r>
    </w:p>
    <w:p w14:paraId="122BDF66">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827DA9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22.13成交供应商在工程量清单报价书中所报的综合单价一律不予调整。</w:t>
      </w:r>
    </w:p>
    <w:p w14:paraId="0AD5C98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22.14本工程不接受恶意不平衡报价，不保证最低价成交。</w:t>
      </w:r>
    </w:p>
    <w:p w14:paraId="09CB779C">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成交候选供应商的推荐原则及标准</w:t>
      </w:r>
    </w:p>
    <w:p w14:paraId="481CB65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819D10E">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确定成交候选供应商和成交供应商</w:t>
      </w:r>
    </w:p>
    <w:p w14:paraId="379E08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14:paraId="7CF98CF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编写评审报告</w:t>
      </w:r>
    </w:p>
    <w:p w14:paraId="6C8F5E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2B20003">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保密要求</w:t>
      </w:r>
    </w:p>
    <w:p w14:paraId="2CE52B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26.1评审将在严格保密的情况下进行。</w:t>
      </w:r>
    </w:p>
    <w:p w14:paraId="1174324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26.2有关人员应当遵守评审工作纪律，不得泄露评审文件、评审情况和评审中获悉的国家秘密、商业秘密。</w:t>
      </w:r>
    </w:p>
    <w:p w14:paraId="7F1C4B50">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成交结果公告</w:t>
      </w:r>
    </w:p>
    <w:p w14:paraId="4C6153D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27.1为体现“公开、公平、公正”的原则，磋商结束后，采购代理机构将在</w:t>
      </w:r>
      <w:r>
        <w:rPr>
          <w:rFonts w:hint="eastAsia" w:ascii="宋体" w:hAnsi="宋体" w:eastAsia="宋体" w:cs="宋体"/>
          <w:snapToGrid w:val="0"/>
          <w:color w:val="auto"/>
          <w:kern w:val="0"/>
          <w:sz w:val="24"/>
          <w:szCs w:val="24"/>
          <w:highlight w:val="none"/>
          <w:lang w:bidi="ar"/>
        </w:rPr>
        <w:t>中国政府采购网、广西壮族自治区政府采购网</w:t>
      </w:r>
      <w:r>
        <w:rPr>
          <w:rFonts w:hint="eastAsia" w:ascii="宋体" w:hAnsi="宋体" w:eastAsia="宋体" w:cs="宋体"/>
          <w:color w:val="auto"/>
          <w:sz w:val="24"/>
          <w:szCs w:val="24"/>
          <w:highlight w:val="none"/>
        </w:rPr>
        <w:t>上发布成交结果公告。</w:t>
      </w:r>
    </w:p>
    <w:p w14:paraId="7ACECD6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中约定进行公告的内容。</w:t>
      </w:r>
    </w:p>
    <w:p w14:paraId="3B3CAAF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成交通知书</w:t>
      </w:r>
    </w:p>
    <w:p w14:paraId="647CAE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28.1采购代理机构发布成交结果公告的同时以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规定的形式向成交供应商发出成交通知书。</w:t>
      </w:r>
    </w:p>
    <w:p w14:paraId="732015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28.2成交通知书对采购人和成交供应商具有同等法律效力。成交通知书发出以后，采购人改变成交结果或者成交供应商放弃成交资格，应当承担相应的法律责任。</w:t>
      </w:r>
    </w:p>
    <w:p w14:paraId="422D030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28.3成交通知书是合同的组成部分。</w:t>
      </w:r>
    </w:p>
    <w:p w14:paraId="284E0AB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告知磋商结果</w:t>
      </w:r>
    </w:p>
    <w:p w14:paraId="517EF4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规定的形式告知未成交供应商本人的评审得分和排序。</w:t>
      </w:r>
    </w:p>
    <w:p w14:paraId="602E348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29.2采购代理机构对未成交的供应商不做未成交原因的解释。</w:t>
      </w:r>
    </w:p>
    <w:p w14:paraId="50E054F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14:paraId="61D591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30.1成交供应商应按照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规定缴纳履约保证金。</w:t>
      </w:r>
    </w:p>
    <w:p w14:paraId="23F82E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30.2如果成交供应商没有按照上述履约保证金的规定执行，将视为放弃成交资格。在此情况下，采购人可确定下一成交候选供应商为成交供应商，也可以重新开展采购活动。</w:t>
      </w:r>
    </w:p>
    <w:p w14:paraId="60C1E852">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成交服务费</w:t>
      </w:r>
    </w:p>
    <w:p w14:paraId="128508C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31.1本项目成交服务费的收取按</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的规定执行。</w:t>
      </w:r>
    </w:p>
    <w:p w14:paraId="3759D100">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w:t>
      </w:r>
    </w:p>
    <w:p w14:paraId="7D9236D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32.1</w:t>
      </w:r>
      <w:r>
        <w:rPr>
          <w:rFonts w:hint="eastAsia" w:ascii="宋体" w:hAnsi="宋体" w:cs="宋体"/>
          <w:b/>
          <w:bCs/>
          <w:color w:val="auto"/>
          <w:sz w:val="24"/>
          <w:szCs w:val="24"/>
          <w:highlight w:val="none"/>
          <w:lang w:val="en-US" w:eastAsia="zh-CN"/>
        </w:rPr>
        <w:t>合同签订期：自成交通知书发出之日起15日内，因不可抗力原因延迟签订合同的，自不可抗力事由消除之日起5个工作日内完成合同签订事宜。</w:t>
      </w:r>
    </w:p>
    <w:p w14:paraId="7175536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32.2磋商文件、成交供应商的响应文件及其澄清文件等，均为签订合同的依据。</w:t>
      </w:r>
    </w:p>
    <w:p w14:paraId="5B96517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6860587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3" w:name="_Hlk60264926"/>
      <w:r>
        <w:rPr>
          <w:rFonts w:hint="eastAsia" w:ascii="宋体" w:hAnsi="宋体" w:eastAsia="宋体" w:cs="宋体"/>
          <w:color w:val="auto"/>
          <w:sz w:val="24"/>
          <w:szCs w:val="24"/>
          <w:highlight w:val="none"/>
        </w:rPr>
        <w:t>32.4依据《政府采购促进中小企业发展管理办法》（财库〔2020〕46号）规定享受扶持政策获得政府采购合同的，小微企业不得将合同分包给大中型企业，中型企业不得将合同分包给大型企业。</w:t>
      </w:r>
      <w:bookmarkEnd w:id="83"/>
    </w:p>
    <w:p w14:paraId="53456653">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廉洁自律规定</w:t>
      </w:r>
    </w:p>
    <w:p w14:paraId="214E61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33.1采购代理机构工作人员不得以不正当手段获取政府采购代理业务，不得与采购人、供应商恶意串通。</w:t>
      </w:r>
    </w:p>
    <w:p w14:paraId="21BAFFA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33.2采购代理机构工作人员不得接受采购人或者供应商组织的宴请、旅游、娱乐，不得收受礼品、现金、有价证券等，不得向采购人或者供应商报销应当由个人承担的费用。</w:t>
      </w:r>
    </w:p>
    <w:p w14:paraId="656EACB6">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质疑的提出与接收</w:t>
      </w:r>
    </w:p>
    <w:p w14:paraId="4DA4892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6C37C24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34.2质疑供应商应按照财政部制定的《政府采购质疑函范本》格式（详见磋商文件第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章）和《政府采购质疑和投诉办法》的要求，在法定质疑期内以书面形式提出质疑，超出法定质疑期提交的质疑将被拒绝。针对同一采购程序环节的质疑应一次性提出。</w:t>
      </w:r>
    </w:p>
    <w:p w14:paraId="3A1CBA5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超出法定质疑期的、重复提出的、分次提出的或内容、形式不符合《政府采购质疑和投诉办法》的，质疑供应商将依法承担不利后果。</w:t>
      </w:r>
    </w:p>
    <w:p w14:paraId="70D185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34.3采购代理机构质疑函接收部门、联系电话和通讯地址，见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1C0275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p w14:paraId="265E66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C76B19F">
      <w:pPr>
        <w:pStyle w:val="2"/>
        <w:pageBreakBefore w:val="0"/>
        <w:widowControl w:val="0"/>
        <w:kinsoku/>
        <w:wordWrap/>
        <w:overflowPunct/>
        <w:topLinePunct w:val="0"/>
        <w:autoSpaceDE/>
        <w:autoSpaceDN/>
        <w:bidi w:val="0"/>
        <w:snapToGrid w:val="0"/>
        <w:spacing w:before="0" w:after="0" w:line="560" w:lineRule="atLeast"/>
        <w:ind w:left="0" w:firstLine="0"/>
        <w:jc w:val="both"/>
        <w:textAlignment w:val="auto"/>
        <w:outlineLvl w:val="9"/>
        <w:rPr>
          <w:rFonts w:hint="eastAsia" w:ascii="宋体" w:hAnsi="宋体" w:eastAsia="宋体" w:cs="宋体"/>
          <w:b/>
          <w:color w:val="auto"/>
          <w:sz w:val="24"/>
          <w:szCs w:val="24"/>
          <w:highlight w:val="none"/>
        </w:rPr>
        <w:sectPr>
          <w:footerReference r:id="rId6" w:type="default"/>
          <w:footnotePr>
            <w:numFmt w:val="decimalEnclosedCircleChinese"/>
          </w:footnotePr>
          <w:pgSz w:w="11907" w:h="16840"/>
          <w:pgMar w:top="1134" w:right="1134" w:bottom="1134" w:left="1134" w:header="851" w:footer="851" w:gutter="0"/>
          <w:pgNumType w:fmt="decimal" w:start="1"/>
          <w:cols w:space="720" w:num="1"/>
          <w:docGrid w:linePitch="312" w:charSpace="0"/>
        </w:sectPr>
      </w:pPr>
      <w:bookmarkStart w:id="84" w:name="_Toc10640"/>
      <w:bookmarkStart w:id="85" w:name="_Toc23910"/>
      <w:bookmarkStart w:id="86" w:name="_Toc60608827"/>
      <w:bookmarkStart w:id="87" w:name="_Toc10252"/>
    </w:p>
    <w:p w14:paraId="02085713">
      <w:pPr>
        <w:pStyle w:val="2"/>
        <w:bidi w:val="0"/>
        <w:spacing w:line="360" w:lineRule="auto"/>
        <w:jc w:val="center"/>
        <w:rPr>
          <w:rFonts w:hint="eastAsia"/>
          <w:color w:val="auto"/>
          <w:highlight w:val="none"/>
        </w:rPr>
      </w:pPr>
      <w:bookmarkStart w:id="88" w:name="_Toc4220"/>
      <w:bookmarkStart w:id="89" w:name="_Toc13455"/>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采购需求</w:t>
      </w:r>
      <w:bookmarkEnd w:id="84"/>
      <w:bookmarkEnd w:id="85"/>
      <w:bookmarkEnd w:id="86"/>
      <w:bookmarkEnd w:id="87"/>
      <w:bookmarkEnd w:id="88"/>
      <w:bookmarkEnd w:id="89"/>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3"/>
        <w:gridCol w:w="7779"/>
      </w:tblGrid>
      <w:tr w14:paraId="3A53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2" w:type="pct"/>
            <w:noWrap w:val="0"/>
            <w:vAlign w:val="center"/>
          </w:tcPr>
          <w:p w14:paraId="363A2F24">
            <w:pPr>
              <w:spacing w:line="24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661" w:type="pct"/>
            <w:noWrap w:val="0"/>
            <w:vAlign w:val="center"/>
          </w:tcPr>
          <w:p w14:paraId="4E0C9A24">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946" w:type="pct"/>
            <w:noWrap w:val="0"/>
            <w:vAlign w:val="center"/>
          </w:tcPr>
          <w:p w14:paraId="71F36CF5">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3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3305DF20">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A4A945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人员到岗及履约要求</w:t>
            </w:r>
          </w:p>
        </w:tc>
        <w:tc>
          <w:tcPr>
            <w:tcW w:w="3946" w:type="pct"/>
            <w:noWrap w:val="0"/>
            <w:vAlign w:val="center"/>
          </w:tcPr>
          <w:p w14:paraId="1D875EAD">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36FCB73">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76B387A">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B0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5CFEDD3F">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5DF57A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材料要求</w:t>
            </w:r>
          </w:p>
        </w:tc>
        <w:tc>
          <w:tcPr>
            <w:tcW w:w="3946" w:type="pct"/>
            <w:noWrap w:val="0"/>
            <w:vAlign w:val="center"/>
          </w:tcPr>
          <w:p w14:paraId="50EB4C30">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2ABBC152">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如本项目采购人对工程质量有特殊需求的，对主要设备及材料提供不少于三个的参考品牌，对于采购人参考品牌的材料，供应商可选用参考品牌或不低于参考品牌质量标准的其它品牌</w:t>
            </w:r>
            <w:r>
              <w:rPr>
                <w:rFonts w:hint="eastAsia" w:ascii="宋体" w:hAnsi="宋体" w:eastAsia="宋体" w:cs="宋体"/>
                <w:color w:val="auto"/>
                <w:sz w:val="24"/>
                <w:szCs w:val="24"/>
                <w:highlight w:val="none"/>
              </w:rPr>
              <w:t>。</w:t>
            </w:r>
          </w:p>
          <w:p w14:paraId="0CD3748F">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对于采购人参考品牌的材料，供应商如认为参考品牌有限定性、唯一性、明显不在同一档次等级的或者其他异议的，应</w:t>
            </w:r>
            <w:r>
              <w:rPr>
                <w:rFonts w:hint="eastAsia" w:ascii="宋体" w:hAnsi="宋体" w:eastAsia="宋体" w:cs="宋体"/>
                <w:color w:val="auto"/>
                <w:sz w:val="24"/>
                <w:szCs w:val="24"/>
                <w:highlight w:val="none"/>
                <w:lang w:val="en-US" w:eastAsia="zh-CN"/>
              </w:rPr>
              <w:t>向采购人或采购代理机构提出</w:t>
            </w:r>
            <w:r>
              <w:rPr>
                <w:rFonts w:hint="eastAsia" w:ascii="宋体" w:hAnsi="宋体" w:eastAsia="宋体" w:cs="宋体"/>
                <w:color w:val="auto"/>
                <w:sz w:val="24"/>
                <w:szCs w:val="24"/>
                <w:highlight w:val="none"/>
              </w:rPr>
              <w:t>。</w:t>
            </w:r>
          </w:p>
        </w:tc>
      </w:tr>
      <w:tr w14:paraId="692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03F4030A">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30C40D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工程施工重点难点</w:t>
            </w:r>
          </w:p>
        </w:tc>
        <w:tc>
          <w:tcPr>
            <w:tcW w:w="3946" w:type="pct"/>
            <w:noWrap w:val="0"/>
            <w:vAlign w:val="center"/>
          </w:tcPr>
          <w:p w14:paraId="7816ED86">
            <w:pPr>
              <w:spacing w:line="360" w:lineRule="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w:t>
            </w:r>
          </w:p>
        </w:tc>
      </w:tr>
      <w:tr w14:paraId="064F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BAAD858">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28E7A641">
            <w:pPr>
              <w:spacing w:line="360" w:lineRule="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报价须知</w:t>
            </w:r>
          </w:p>
        </w:tc>
        <w:tc>
          <w:tcPr>
            <w:tcW w:w="3946" w:type="pct"/>
            <w:noWrap w:val="0"/>
            <w:vAlign w:val="center"/>
          </w:tcPr>
          <w:p w14:paraId="29DE8A8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供应商最后报价均不得高于磋商文件（公告）列明的项目预算、最高投标限价（控制价），否则其响应文件将被认定为响应无效。</w:t>
            </w:r>
          </w:p>
          <w:p w14:paraId="59550EB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rPr>
              <w:t>供应商未在规定时间内提交最后报价的，视为退出磋商，其响应文件作无效处理。</w:t>
            </w:r>
          </w:p>
          <w:p w14:paraId="1D0835DC">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磋商并不限定只进行</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轮报价，如果磋商小组认为有必要，可以要求供应商进行多轮报价。</w:t>
            </w:r>
          </w:p>
          <w:p w14:paraId="6360383A">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如最后报价与首次报价不一致，需提供修改后工程量清单报价书，否则</w:t>
            </w:r>
            <w:r>
              <w:rPr>
                <w:rFonts w:hint="eastAsia" w:ascii="宋体" w:hAnsi="宋体" w:cs="宋体"/>
                <w:b w:val="0"/>
                <w:bCs w:val="0"/>
                <w:color w:val="auto"/>
                <w:sz w:val="24"/>
                <w:szCs w:val="24"/>
                <w:highlight w:val="none"/>
                <w:lang w:val="en-US" w:eastAsia="zh-CN"/>
              </w:rPr>
              <w:t>其响应文件</w:t>
            </w:r>
            <w:r>
              <w:rPr>
                <w:rFonts w:hint="eastAsia" w:ascii="宋体" w:hAnsi="宋体" w:eastAsia="宋体" w:cs="宋体"/>
                <w:b w:val="0"/>
                <w:bCs w:val="0"/>
                <w:color w:val="auto"/>
                <w:sz w:val="24"/>
                <w:szCs w:val="24"/>
                <w:highlight w:val="none"/>
                <w:lang w:val="en-US" w:eastAsia="zh-CN"/>
              </w:rPr>
              <w:t>无效。</w:t>
            </w:r>
          </w:p>
          <w:p w14:paraId="56E3E7C3">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tc>
      </w:tr>
      <w:tr w14:paraId="4D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B93411E">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00B92804">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重要说明</w:t>
            </w:r>
          </w:p>
        </w:tc>
        <w:tc>
          <w:tcPr>
            <w:tcW w:w="3946" w:type="pct"/>
            <w:noWrap w:val="0"/>
            <w:vAlign w:val="center"/>
          </w:tcPr>
          <w:p w14:paraId="16FE6AA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本项目的磋商文件、工程量清单、最高投标限价（控制价）、澄清、修改、补充等相关资料均通过电子服务系统发布，请供应商自行从网上下载，供应商应当及时查看有无相关澄清、修改、补充等内容。</w:t>
            </w:r>
          </w:p>
          <w:p w14:paraId="0BA4FCF1">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承包人在工程实施过程中用工行为，必须严格执行国家及地方政府的有关规定，依法签订劳动合同，并按规定及时足额支付工资。</w:t>
            </w:r>
          </w:p>
          <w:p w14:paraId="38598AF4">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建设工程不可竞争费构成及计费标准按</w:t>
            </w:r>
            <w:r>
              <w:rPr>
                <w:rFonts w:hint="eastAsia" w:ascii="宋体" w:hAnsi="宋体" w:cs="宋体"/>
                <w:color w:val="auto"/>
                <w:kern w:val="2"/>
                <w:sz w:val="24"/>
                <w:szCs w:val="24"/>
                <w:highlight w:val="none"/>
                <w:lang w:val="en-US" w:eastAsia="zh-CN"/>
              </w:rPr>
              <w:t>国家相关规定</w:t>
            </w:r>
            <w:r>
              <w:rPr>
                <w:rFonts w:hint="eastAsia" w:ascii="宋体" w:hAnsi="宋体" w:eastAsia="宋体" w:cs="宋体"/>
                <w:color w:val="auto"/>
                <w:kern w:val="2"/>
                <w:sz w:val="24"/>
                <w:szCs w:val="24"/>
                <w:highlight w:val="none"/>
              </w:rPr>
              <w:t>执行，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w:t>
            </w:r>
          </w:p>
        </w:tc>
      </w:tr>
      <w:tr w14:paraId="1DE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5AB1EA5">
            <w:pPr>
              <w:numPr>
                <w:ilvl w:val="0"/>
                <w:numId w:val="20"/>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46D945C">
            <w:pPr>
              <w:spacing w:line="24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本项目采购标的所属行业</w:t>
            </w:r>
          </w:p>
        </w:tc>
        <w:tc>
          <w:tcPr>
            <w:tcW w:w="3946" w:type="pct"/>
            <w:noWrap w:val="0"/>
            <w:vAlign w:val="center"/>
          </w:tcPr>
          <w:p w14:paraId="6407503D">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建筑业</w:t>
            </w:r>
          </w:p>
        </w:tc>
      </w:tr>
      <w:tr w14:paraId="12E3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C52A05A">
            <w:pPr>
              <w:numPr>
                <w:ilvl w:val="0"/>
                <w:numId w:val="20"/>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33465BF1">
            <w:pPr>
              <w:spacing w:line="24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w:t>
            </w:r>
          </w:p>
        </w:tc>
        <w:tc>
          <w:tcPr>
            <w:tcW w:w="3946" w:type="pct"/>
            <w:noWrap w:val="0"/>
            <w:vAlign w:val="center"/>
          </w:tcPr>
          <w:p w14:paraId="2DC1F334">
            <w:pPr>
              <w:spacing w:line="360" w:lineRule="auto"/>
              <w:ind w:firstLine="435"/>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w:t>
            </w:r>
          </w:p>
        </w:tc>
      </w:tr>
    </w:tbl>
    <w:p w14:paraId="469C370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79E5F6DC">
      <w:pPr>
        <w:pStyle w:val="2"/>
        <w:snapToGrid w:val="0"/>
        <w:spacing w:line="240" w:lineRule="auto"/>
        <w:jc w:val="center"/>
        <w:rPr>
          <w:rFonts w:hint="eastAsia" w:ascii="Calibri" w:hAnsi="Calibri" w:eastAsia="宋体" w:cs="Times New Roman"/>
          <w:b/>
          <w:color w:val="auto"/>
          <w:sz w:val="44"/>
          <w:highlight w:val="none"/>
        </w:rPr>
      </w:pPr>
      <w:bookmarkStart w:id="90" w:name="_Toc32284"/>
      <w:bookmarkStart w:id="91" w:name="_Toc25565"/>
      <w:bookmarkStart w:id="92" w:name="_Toc23043"/>
      <w:bookmarkStart w:id="93" w:name="_Toc27024"/>
      <w:bookmarkStart w:id="94" w:name="_Toc20775"/>
      <w:bookmarkStart w:id="95" w:name="_Toc60608828"/>
      <w:r>
        <w:rPr>
          <w:rFonts w:hint="eastAsia" w:ascii="Calibri" w:hAnsi="Calibri" w:eastAsia="宋体" w:cs="Times New Roman"/>
          <w:b/>
          <w:color w:val="auto"/>
          <w:sz w:val="44"/>
          <w:highlight w:val="none"/>
        </w:rPr>
        <w:t>第四章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评审方法和标准</w:t>
      </w:r>
      <w:bookmarkEnd w:id="90"/>
      <w:bookmarkEnd w:id="91"/>
      <w:bookmarkEnd w:id="92"/>
      <w:bookmarkEnd w:id="93"/>
      <w:bookmarkEnd w:id="94"/>
      <w:bookmarkEnd w:id="95"/>
    </w:p>
    <w:p w14:paraId="4779865A">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一、总则</w:t>
      </w:r>
    </w:p>
    <w:p w14:paraId="58E7AE9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本项目将按照磋商文件第二章 供应商须知的相关要求</w:t>
      </w:r>
      <w:r>
        <w:rPr>
          <w:rFonts w:ascii="宋体" w:hAnsi="宋体" w:eastAsia="宋体"/>
          <w:color w:val="auto"/>
          <w:sz w:val="24"/>
          <w:highlight w:val="none"/>
        </w:rPr>
        <w:t>及本章的规定</w:t>
      </w:r>
      <w:r>
        <w:rPr>
          <w:rFonts w:hint="eastAsia" w:ascii="宋体" w:hAnsi="宋体" w:eastAsia="宋体"/>
          <w:color w:val="auto"/>
          <w:sz w:val="24"/>
          <w:highlight w:val="none"/>
        </w:rPr>
        <w:t>评审</w:t>
      </w:r>
      <w:r>
        <w:rPr>
          <w:rFonts w:ascii="宋体" w:hAnsi="宋体" w:eastAsia="宋体"/>
          <w:color w:val="auto"/>
          <w:sz w:val="24"/>
          <w:highlight w:val="none"/>
        </w:rPr>
        <w:t>。</w:t>
      </w:r>
    </w:p>
    <w:p w14:paraId="7C95A34B">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二、评审方法</w:t>
      </w:r>
    </w:p>
    <w:p w14:paraId="601627D5">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2"/>
        <w:rPr>
          <w:rFonts w:ascii="宋体" w:hAnsi="宋体" w:eastAsia="宋体"/>
          <w:color w:val="auto"/>
          <w:sz w:val="24"/>
          <w:highlight w:val="none"/>
        </w:rPr>
      </w:pPr>
      <w:r>
        <w:rPr>
          <w:rFonts w:hint="eastAsia" w:ascii="宋体" w:hAnsi="宋体" w:eastAsia="宋体"/>
          <w:color w:val="auto"/>
          <w:sz w:val="24"/>
          <w:highlight w:val="none"/>
        </w:rPr>
        <w:t>2.1初审</w:t>
      </w:r>
    </w:p>
    <w:p w14:paraId="075AF2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磋商小组对供应商的响应文件进行初审，以确定其是否满足磋商文件的实质性要求。</w:t>
      </w:r>
    </w:p>
    <w:p w14:paraId="61382B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初审表如下：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16"/>
        <w:gridCol w:w="7109"/>
      </w:tblGrid>
      <w:tr w14:paraId="6FD3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3"/>
            <w:tcBorders>
              <w:bottom w:val="single" w:color="auto" w:sz="4" w:space="0"/>
            </w:tcBorders>
            <w:noWrap w:val="0"/>
            <w:vAlign w:val="center"/>
          </w:tcPr>
          <w:p w14:paraId="29F1181E">
            <w:pPr>
              <w:adjustRightInd w:val="0"/>
              <w:snapToGrid w:val="0"/>
              <w:spacing w:line="360" w:lineRule="auto"/>
              <w:ind w:right="-10"/>
              <w:jc w:val="center"/>
              <w:rPr>
                <w:b/>
                <w:color w:val="auto"/>
                <w:sz w:val="24"/>
                <w:highlight w:val="none"/>
              </w:rPr>
            </w:pPr>
            <w:r>
              <w:rPr>
                <w:rFonts w:hint="eastAsia" w:cs="Times New Roman"/>
                <w:b/>
                <w:color w:val="auto"/>
                <w:sz w:val="24"/>
                <w:szCs w:val="22"/>
                <w:highlight w:val="none"/>
                <w:lang w:eastAsia="zh-CN"/>
              </w:rPr>
              <w:t>2025年宁明县峙浪乡派台村派台屯旺流至枯龙屯路口甘蔗特色产业配套道路硬化建设项目</w:t>
            </w:r>
            <w:r>
              <w:rPr>
                <w:rFonts w:hint="eastAsia" w:eastAsia="宋体" w:cs="Times New Roman"/>
                <w:b/>
                <w:color w:val="auto"/>
                <w:sz w:val="24"/>
                <w:szCs w:val="22"/>
                <w:highlight w:val="none"/>
                <w:lang w:eastAsia="zh-CN"/>
              </w:rPr>
              <w:t> </w:t>
            </w:r>
            <w:r>
              <w:rPr>
                <w:rFonts w:hint="eastAsia"/>
                <w:b/>
                <w:color w:val="auto"/>
                <w:sz w:val="24"/>
                <w:highlight w:val="none"/>
              </w:rPr>
              <w:t>初审表</w:t>
            </w:r>
          </w:p>
        </w:tc>
      </w:tr>
      <w:tr w14:paraId="36D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tcBorders>
              <w:bottom w:val="single" w:color="auto" w:sz="4" w:space="0"/>
            </w:tcBorders>
            <w:noWrap w:val="0"/>
            <w:vAlign w:val="center"/>
          </w:tcPr>
          <w:p w14:paraId="27C42CAC">
            <w:pPr>
              <w:adjustRightInd w:val="0"/>
              <w:snapToGrid w:val="0"/>
              <w:spacing w:line="240" w:lineRule="auto"/>
              <w:ind w:right="-10"/>
              <w:jc w:val="center"/>
              <w:rPr>
                <w:b/>
                <w:color w:val="auto"/>
                <w:sz w:val="24"/>
                <w:highlight w:val="none"/>
              </w:rPr>
            </w:pPr>
            <w:r>
              <w:rPr>
                <w:rFonts w:hint="eastAsia"/>
                <w:b/>
                <w:color w:val="auto"/>
                <w:sz w:val="24"/>
                <w:highlight w:val="none"/>
              </w:rPr>
              <w:t>序号</w:t>
            </w:r>
          </w:p>
        </w:tc>
        <w:tc>
          <w:tcPr>
            <w:tcW w:w="972" w:type="pct"/>
            <w:tcBorders>
              <w:bottom w:val="single" w:color="auto" w:sz="4" w:space="0"/>
            </w:tcBorders>
            <w:noWrap w:val="0"/>
            <w:vAlign w:val="center"/>
          </w:tcPr>
          <w:p w14:paraId="3492E8BA">
            <w:pPr>
              <w:pStyle w:val="41"/>
              <w:pBdr>
                <w:bottom w:val="none" w:color="auto" w:sz="0" w:space="0"/>
              </w:pBdr>
              <w:tabs>
                <w:tab w:val="clear" w:pos="4153"/>
                <w:tab w:val="clear" w:pos="8306"/>
              </w:tabs>
              <w:snapToGrid w:val="0"/>
              <w:spacing w:line="240" w:lineRule="auto"/>
              <w:ind w:right="-10"/>
              <w:textAlignment w:val="auto"/>
              <w:rPr>
                <w:b/>
                <w:color w:val="auto"/>
                <w:kern w:val="2"/>
                <w:szCs w:val="24"/>
                <w:highlight w:val="none"/>
              </w:rPr>
            </w:pPr>
            <w:r>
              <w:rPr>
                <w:rFonts w:hint="eastAsia"/>
                <w:b/>
                <w:color w:val="auto"/>
                <w:kern w:val="2"/>
                <w:szCs w:val="24"/>
                <w:highlight w:val="none"/>
              </w:rPr>
              <w:t>评审指标</w:t>
            </w:r>
          </w:p>
        </w:tc>
        <w:tc>
          <w:tcPr>
            <w:tcW w:w="3606" w:type="pct"/>
            <w:tcBorders>
              <w:bottom w:val="single" w:color="auto" w:sz="4" w:space="0"/>
            </w:tcBorders>
            <w:noWrap w:val="0"/>
            <w:vAlign w:val="center"/>
          </w:tcPr>
          <w:p w14:paraId="2CBF0FD0">
            <w:pPr>
              <w:adjustRightInd w:val="0"/>
              <w:snapToGrid w:val="0"/>
              <w:spacing w:line="240" w:lineRule="auto"/>
              <w:ind w:right="-10"/>
              <w:jc w:val="center"/>
              <w:rPr>
                <w:b/>
                <w:color w:val="auto"/>
                <w:sz w:val="24"/>
                <w:highlight w:val="none"/>
              </w:rPr>
            </w:pPr>
            <w:r>
              <w:rPr>
                <w:rFonts w:hint="eastAsia"/>
                <w:b/>
                <w:color w:val="auto"/>
                <w:sz w:val="24"/>
                <w:highlight w:val="none"/>
              </w:rPr>
              <w:t>合格条件</w:t>
            </w:r>
          </w:p>
        </w:tc>
      </w:tr>
      <w:tr w14:paraId="304A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bottom w:val="single" w:color="auto" w:sz="4" w:space="0"/>
            </w:tcBorders>
            <w:noWrap w:val="0"/>
            <w:vAlign w:val="center"/>
          </w:tcPr>
          <w:p w14:paraId="098C49B2">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一</w:t>
            </w:r>
          </w:p>
        </w:tc>
        <w:tc>
          <w:tcPr>
            <w:tcW w:w="972" w:type="pct"/>
            <w:tcBorders>
              <w:bottom w:val="single" w:color="auto" w:sz="4" w:space="0"/>
            </w:tcBorders>
            <w:noWrap w:val="0"/>
            <w:vAlign w:val="center"/>
          </w:tcPr>
          <w:p w14:paraId="33EAED61">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资格评审标准</w:t>
            </w:r>
          </w:p>
        </w:tc>
        <w:tc>
          <w:tcPr>
            <w:tcW w:w="3606" w:type="pct"/>
            <w:tcBorders>
              <w:bottom w:val="single" w:color="auto" w:sz="4" w:space="0"/>
            </w:tcBorders>
            <w:noWrap w:val="0"/>
            <w:vAlign w:val="center"/>
          </w:tcPr>
          <w:p w14:paraId="558CFB49">
            <w:pPr>
              <w:numPr>
                <w:ilvl w:val="0"/>
                <w:numId w:val="25"/>
              </w:numPr>
              <w:shd w:val="clear" w:color="auto" w:fill="auto"/>
              <w:adjustRightInd w:val="0"/>
              <w:snapToGrid w:val="0"/>
              <w:spacing w:line="520" w:lineRule="atLeast"/>
              <w:ind w:left="0" w:leftChars="0" w:firstLine="0" w:firstLineChars="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
              </w:rPr>
              <w:t>崇左市政府采购供应商信用承诺函；</w:t>
            </w:r>
          </w:p>
          <w:p w14:paraId="30C626AE">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p>
          <w:p w14:paraId="14A36DAE">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项目经理具备注册建造师执业资格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4ED4F7C7">
            <w:pPr>
              <w:numPr>
                <w:ilvl w:val="0"/>
                <w:numId w:val="25"/>
              </w:numPr>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CB36982">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16E081DE">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4E63693">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C6B9466">
            <w:pPr>
              <w:numPr>
                <w:ilvl w:val="0"/>
                <w:numId w:val="25"/>
              </w:numPr>
              <w:adjustRightInd w:val="0"/>
              <w:snapToGrid w:val="0"/>
              <w:spacing w:line="520" w:lineRule="atLeast"/>
              <w:ind w:left="0" w:leftChars="0" w:right="0" w:firstLine="0" w:firstLineChars="0"/>
              <w:jc w:val="left"/>
              <w:rPr>
                <w:color w:val="auto"/>
                <w:sz w:val="24"/>
                <w:highlight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tc>
      </w:tr>
      <w:tr w14:paraId="18F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restart"/>
            <w:noWrap w:val="0"/>
            <w:vAlign w:val="center"/>
          </w:tcPr>
          <w:p w14:paraId="386D70C6">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二</w:t>
            </w:r>
          </w:p>
        </w:tc>
        <w:tc>
          <w:tcPr>
            <w:tcW w:w="972" w:type="pct"/>
            <w:vMerge w:val="restart"/>
            <w:noWrap w:val="0"/>
            <w:vAlign w:val="center"/>
          </w:tcPr>
          <w:p w14:paraId="643387A8">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符合性审查标准</w:t>
            </w:r>
          </w:p>
        </w:tc>
        <w:tc>
          <w:tcPr>
            <w:tcW w:w="3606" w:type="pct"/>
            <w:noWrap w:val="0"/>
            <w:vAlign w:val="center"/>
          </w:tcPr>
          <w:p w14:paraId="3F180297">
            <w:pPr>
              <w:keepNext w:val="0"/>
              <w:keepLines w:val="0"/>
              <w:pageBreakBefore w:val="0"/>
              <w:widowControl w:val="0"/>
              <w:numPr>
                <w:ilvl w:val="0"/>
                <w:numId w:val="0"/>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kern w:val="0"/>
                <w:sz w:val="24"/>
                <w:szCs w:val="24"/>
                <w:highlight w:val="none"/>
                <w:lang w:val="en-US" w:eastAsia="zh-CN"/>
              </w:rPr>
              <w:t>报价审查</w:t>
            </w:r>
          </w:p>
          <w:p w14:paraId="06169CE6">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rPr>
              <w:t>投标报价未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中规定的项目/采购包预算金额或者项目/采购包最高限价</w:t>
            </w:r>
            <w:r>
              <w:rPr>
                <w:rFonts w:hint="eastAsia" w:ascii="宋体" w:hAnsi="宋体" w:eastAsia="宋体" w:cs="宋体"/>
                <w:color w:val="auto"/>
                <w:sz w:val="24"/>
                <w:szCs w:val="24"/>
                <w:highlight w:val="none"/>
                <w:lang w:eastAsia="zh-CN"/>
              </w:rPr>
              <w:t>。</w:t>
            </w:r>
          </w:p>
          <w:p w14:paraId="7CBCBE15">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报价唯一性：响应文件未出现可选择性或可调整的报价（采购文件另有规定的除外）。</w:t>
            </w:r>
          </w:p>
          <w:p w14:paraId="74F6C576">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报价合理性：报价合理或竞标人的报价明显低于其他通过符合性审查竞标人的报价，有可能影响产品质量或者不能诚信履约的，能够应磋商小组要求在规定时间内证明其报价合理性。</w:t>
            </w:r>
          </w:p>
          <w:p w14:paraId="5CAEA6D6">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报价的修正（如有）</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报价出现前后不一致时，</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对修正后的报价予以确认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（如有）</w:t>
            </w:r>
          </w:p>
          <w:p w14:paraId="1502E280">
            <w:pPr>
              <w:keepNext w:val="0"/>
              <w:keepLines w:val="0"/>
              <w:pageBreakBefore w:val="0"/>
              <w:widowControl w:val="0"/>
              <w:numPr>
                <w:ilvl w:val="0"/>
                <w:numId w:val="26"/>
              </w:numPr>
              <w:shd w:val="clear" w:color="auto" w:fill="auto"/>
              <w:kinsoku/>
              <w:wordWrap w:val="0"/>
              <w:overflowPunct/>
              <w:topLinePunct/>
              <w:autoSpaceDE/>
              <w:autoSpaceDN/>
              <w:bidi w:val="0"/>
              <w:adjustRightInd w:val="0"/>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投标完整性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分项报价响应完整，</w:t>
            </w:r>
            <w:r>
              <w:rPr>
                <w:rFonts w:hint="eastAsia" w:ascii="宋体" w:hAnsi="宋体" w:eastAsia="宋体" w:cs="宋体"/>
                <w:color w:val="auto"/>
                <w:sz w:val="24"/>
                <w:szCs w:val="24"/>
                <w:highlight w:val="none"/>
              </w:rPr>
              <w:t>未将一个采购包中的内容拆</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w:t>
            </w:r>
          </w:p>
        </w:tc>
      </w:tr>
      <w:tr w14:paraId="1C23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5AA634D4">
            <w:pPr>
              <w:shd w:val="clear" w:color="auto" w:fill="auto"/>
              <w:adjustRightInd w:val="0"/>
              <w:snapToGrid w:val="0"/>
              <w:spacing w:line="500" w:lineRule="atLeast"/>
              <w:ind w:leftChars="0" w:right="0" w:rightChars="0"/>
              <w:jc w:val="left"/>
              <w:rPr>
                <w:color w:val="auto"/>
              </w:rPr>
            </w:pPr>
          </w:p>
        </w:tc>
        <w:tc>
          <w:tcPr>
            <w:tcW w:w="972" w:type="pct"/>
            <w:vMerge w:val="continue"/>
            <w:noWrap w:val="0"/>
            <w:vAlign w:val="center"/>
          </w:tcPr>
          <w:p w14:paraId="1AB7E6CF">
            <w:pPr>
              <w:shd w:val="clear" w:color="auto" w:fill="auto"/>
              <w:adjustRightInd w:val="0"/>
              <w:snapToGrid w:val="0"/>
              <w:spacing w:line="500" w:lineRule="atLeast"/>
              <w:ind w:leftChars="0" w:right="0" w:rightChars="0"/>
              <w:jc w:val="left"/>
              <w:rPr>
                <w:color w:val="auto"/>
              </w:rPr>
            </w:pPr>
          </w:p>
        </w:tc>
        <w:tc>
          <w:tcPr>
            <w:tcW w:w="3606" w:type="pct"/>
            <w:noWrap w:val="0"/>
            <w:vAlign w:val="center"/>
          </w:tcPr>
          <w:p w14:paraId="71D35006">
            <w:pPr>
              <w:keepNext w:val="0"/>
              <w:keepLines w:val="0"/>
              <w:pageBreakBefore w:val="0"/>
              <w:widowControl w:val="0"/>
              <w:shd w:val="clear"/>
              <w:kinsoku/>
              <w:wordWrap w:val="0"/>
              <w:overflowPunct/>
              <w:topLinePunct/>
              <w:autoSpaceDE/>
              <w:autoSpaceDN/>
              <w:bidi w:val="0"/>
              <w:adjustRightInd/>
              <w:snapToGrid/>
              <w:spacing w:line="360" w:lineRule="auto"/>
              <w:ind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（二）</w:t>
            </w:r>
            <w:r>
              <w:rPr>
                <w:rFonts w:hint="eastAsia" w:ascii="宋体" w:hAnsi="宋体" w:eastAsia="宋体" w:cs="宋体"/>
                <w:color w:val="auto"/>
                <w:kern w:val="0"/>
                <w:sz w:val="24"/>
                <w:szCs w:val="24"/>
                <w:highlight w:val="none"/>
                <w:lang w:val="en-US" w:eastAsia="zh-CN"/>
              </w:rPr>
              <w:t>技术审查</w:t>
            </w:r>
          </w:p>
          <w:p w14:paraId="51255B5F">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2"/>
                <w:sz w:val="24"/>
                <w:szCs w:val="24"/>
                <w:highlight w:val="none"/>
                <w:lang w:val="en-US" w:eastAsia="zh-CN"/>
              </w:rPr>
              <w:t>工期：</w:t>
            </w:r>
            <w:r>
              <w:rPr>
                <w:rFonts w:hint="eastAsia" w:ascii="宋体" w:hAnsi="宋体" w:eastAsia="宋体" w:cs="宋体"/>
                <w:color w:val="auto"/>
                <w:kern w:val="0"/>
                <w:sz w:val="24"/>
                <w:szCs w:val="24"/>
                <w:highlight w:val="none"/>
                <w:lang w:val="en-US" w:eastAsia="zh-CN"/>
              </w:rPr>
              <w:t>符合磋商文件要求</w:t>
            </w:r>
          </w:p>
          <w:p w14:paraId="482FF488">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rPr>
              <w:t>工程质量：符合磋商文件要求</w:t>
            </w:r>
          </w:p>
          <w:p w14:paraId="5CCD9362">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snapToGrid w:val="0"/>
                <w:color w:val="auto"/>
                <w:kern w:val="0"/>
                <w:sz w:val="24"/>
                <w:szCs w:val="24"/>
                <w:highlight w:val="none"/>
              </w:rPr>
              <w:t>技术标准和要求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符合磋商文件要求</w:t>
            </w:r>
          </w:p>
          <w:p w14:paraId="211B01D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highlight w:val="none"/>
              </w:rPr>
              <w:t>串通投标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不存在串通投标的情形：</w:t>
            </w:r>
          </w:p>
          <w:p w14:paraId="25AB7D7F">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14:paraId="0415A53A">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委托同一单位或者个人办理投标事宜；</w:t>
            </w:r>
          </w:p>
          <w:p w14:paraId="0CED2541">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载明的项目管理成员或者联系人员为同一人；</w:t>
            </w:r>
          </w:p>
          <w:p w14:paraId="0C1AE8F1">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 性差异；</w:t>
            </w:r>
          </w:p>
          <w:p w14:paraId="3AE017E1">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相互混装</w:t>
            </w:r>
            <w:r>
              <w:rPr>
                <w:rFonts w:hint="eastAsia" w:ascii="宋体" w:hAnsi="宋体" w:eastAsia="宋体" w:cs="宋体"/>
                <w:color w:val="auto"/>
                <w:kern w:val="0"/>
                <w:sz w:val="24"/>
                <w:szCs w:val="24"/>
                <w:highlight w:val="none"/>
                <w:lang w:eastAsia="zh-CN"/>
              </w:rPr>
              <w:t>。</w:t>
            </w:r>
          </w:p>
          <w:p w14:paraId="32A710E4">
            <w:pPr>
              <w:pStyle w:val="41"/>
              <w:numPr>
                <w:ilvl w:val="0"/>
                <w:numId w:val="0"/>
              </w:numPr>
              <w:pBdr>
                <w:bottom w:val="none" w:color="auto" w:sz="0" w:space="0"/>
              </w:pBdr>
              <w:tabs>
                <w:tab w:val="clear" w:pos="4153"/>
                <w:tab w:val="clear" w:pos="8306"/>
              </w:tabs>
              <w:ind w:firstLine="0"/>
              <w:jc w:val="both"/>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highlight w:val="none"/>
              </w:rPr>
              <w:t>附加条件</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未含有采购人不能接受的附加条件</w:t>
            </w:r>
            <w:r>
              <w:rPr>
                <w:rFonts w:hint="eastAsia" w:ascii="宋体" w:hAnsi="宋体" w:eastAsia="宋体" w:cs="宋体"/>
                <w:color w:val="auto"/>
                <w:kern w:val="0"/>
                <w:sz w:val="24"/>
                <w:szCs w:val="24"/>
                <w:highlight w:val="none"/>
                <w:lang w:eastAsia="zh-CN"/>
              </w:rPr>
              <w:t>。</w:t>
            </w:r>
          </w:p>
        </w:tc>
      </w:tr>
      <w:tr w14:paraId="676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7786136B">
            <w:pPr>
              <w:shd w:val="clear" w:color="auto" w:fill="auto"/>
              <w:adjustRightInd w:val="0"/>
              <w:snapToGrid w:val="0"/>
              <w:spacing w:line="500" w:lineRule="atLeast"/>
              <w:ind w:leftChars="0" w:right="0" w:rightChars="0"/>
              <w:jc w:val="left"/>
              <w:rPr>
                <w:color w:val="auto"/>
                <w:sz w:val="24"/>
                <w:highlight w:val="none"/>
              </w:rPr>
            </w:pPr>
          </w:p>
        </w:tc>
        <w:tc>
          <w:tcPr>
            <w:tcW w:w="972" w:type="pct"/>
            <w:vMerge w:val="continue"/>
            <w:noWrap w:val="0"/>
            <w:vAlign w:val="center"/>
          </w:tcPr>
          <w:p w14:paraId="5C0DD198">
            <w:pPr>
              <w:shd w:val="clear" w:color="auto" w:fill="auto"/>
              <w:adjustRightInd w:val="0"/>
              <w:snapToGrid w:val="0"/>
              <w:spacing w:line="500" w:lineRule="atLeast"/>
              <w:ind w:leftChars="0" w:right="0" w:rightChars="0"/>
              <w:jc w:val="left"/>
              <w:rPr>
                <w:color w:val="auto"/>
                <w:sz w:val="24"/>
                <w:highlight w:val="none"/>
              </w:rPr>
            </w:pPr>
          </w:p>
        </w:tc>
        <w:tc>
          <w:tcPr>
            <w:tcW w:w="3606" w:type="pct"/>
            <w:noWrap w:val="0"/>
            <w:vAlign w:val="center"/>
          </w:tcPr>
          <w:p w14:paraId="28EE293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（三）商务审查</w:t>
            </w:r>
          </w:p>
          <w:p w14:paraId="7B76BE0E">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投标有效期</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中承诺的投标有效期满足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中载明的投标有效期</w:t>
            </w:r>
            <w:r>
              <w:rPr>
                <w:rFonts w:hint="eastAsia" w:ascii="宋体" w:hAnsi="宋体" w:eastAsia="宋体" w:cs="宋体"/>
                <w:color w:val="auto"/>
                <w:kern w:val="0"/>
                <w:sz w:val="24"/>
                <w:szCs w:val="24"/>
                <w:highlight w:val="none"/>
                <w:lang w:eastAsia="zh-CN"/>
              </w:rPr>
              <w:t>。</w:t>
            </w:r>
          </w:p>
          <w:p w14:paraId="02659BCA">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法定代表人资格证明书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要求提供法定代表人资格证明书</w:t>
            </w:r>
            <w:r>
              <w:rPr>
                <w:rFonts w:hint="eastAsia" w:ascii="宋体" w:hAnsi="宋体" w:eastAsia="宋体" w:cs="宋体"/>
                <w:color w:val="auto"/>
                <w:kern w:val="0"/>
                <w:sz w:val="24"/>
                <w:szCs w:val="24"/>
                <w:highlight w:val="none"/>
                <w:lang w:eastAsia="zh-CN"/>
              </w:rPr>
              <w:t>。</w:t>
            </w:r>
          </w:p>
          <w:p w14:paraId="757EC1E4">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法定代表人签署响应文件的不审查此项</w:t>
            </w:r>
            <w:r>
              <w:rPr>
                <w:rFonts w:hint="eastAsia" w:ascii="宋体" w:hAnsi="宋体" w:eastAsia="宋体" w:cs="宋体"/>
                <w:color w:val="auto"/>
                <w:kern w:val="0"/>
                <w:sz w:val="24"/>
                <w:szCs w:val="24"/>
                <w:highlight w:val="none"/>
                <w:lang w:eastAsia="zh-CN"/>
              </w:rPr>
              <w:t>）。</w:t>
            </w:r>
          </w:p>
          <w:p w14:paraId="53C5C91D">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公平竞争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遵循公平竞争的原则，不存在恶意串通，妨碍其他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的竞争行为，不存在损害采购人或者其他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的合法权益情形；</w:t>
            </w:r>
          </w:p>
          <w:p w14:paraId="50E3278E">
            <w:pPr>
              <w:keepNext w:val="0"/>
              <w:keepLines w:val="0"/>
              <w:pageBreakBefore w:val="0"/>
              <w:widowControl w:val="0"/>
              <w:numPr>
                <w:ilvl w:val="0"/>
                <w:numId w:val="28"/>
              </w:numPr>
              <w:shd w:val="clear" w:color="auto" w:fill="auto"/>
              <w:tabs>
                <w:tab w:val="clear" w:pos="0"/>
              </w:tabs>
              <w:kinsoku/>
              <w:wordWrap w:val="0"/>
              <w:overflowPunct/>
              <w:topLinePunct/>
              <w:autoSpaceDE/>
              <w:autoSpaceDN/>
              <w:bidi w:val="0"/>
              <w:adjustRightInd/>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其他无效情形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不存在不符合法律、法规和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tc>
      </w:tr>
      <w:tr w14:paraId="3FA0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bottom w:val="single" w:color="auto" w:sz="4" w:space="0"/>
            </w:tcBorders>
            <w:noWrap w:val="0"/>
            <w:vAlign w:val="center"/>
          </w:tcPr>
          <w:p w14:paraId="5BE34B77">
            <w:pPr>
              <w:adjustRightInd w:val="0"/>
              <w:snapToGrid w:val="0"/>
              <w:spacing w:line="240" w:lineRule="auto"/>
              <w:ind w:right="-10"/>
              <w:jc w:val="center"/>
              <w:rPr>
                <w:color w:val="auto"/>
                <w:sz w:val="24"/>
                <w:highlight w:val="none"/>
              </w:rPr>
            </w:pPr>
            <w:r>
              <w:rPr>
                <w:rFonts w:hint="eastAsia"/>
                <w:color w:val="auto"/>
                <w:sz w:val="24"/>
                <w:highlight w:val="none"/>
              </w:rPr>
              <w:t>评审指标通过标准：供应商必须通过上述全部指标。</w:t>
            </w:r>
          </w:p>
        </w:tc>
      </w:tr>
    </w:tbl>
    <w:p w14:paraId="578E24A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b/>
          <w:bCs/>
          <w:color w:val="auto"/>
          <w:sz w:val="24"/>
          <w:highlight w:val="none"/>
        </w:rPr>
        <w:t>初审指标通过标准：</w:t>
      </w:r>
      <w:r>
        <w:rPr>
          <w:rFonts w:hint="eastAsia" w:ascii="宋体" w:hAnsi="宋体" w:eastAsia="宋体"/>
          <w:color w:val="auto"/>
          <w:sz w:val="24"/>
          <w:highlight w:val="none"/>
        </w:rPr>
        <w:t>供应商必须通过初审表中的全部评审指标。</w:t>
      </w:r>
    </w:p>
    <w:p w14:paraId="084A42D1">
      <w:pPr>
        <w:adjustRightInd w:val="0"/>
        <w:snapToGrid w:val="0"/>
        <w:spacing w:line="560" w:lineRule="exact"/>
        <w:ind w:firstLine="0"/>
        <w:jc w:val="both"/>
        <w:outlineLvl w:val="2"/>
        <w:rPr>
          <w:rFonts w:ascii="宋体" w:hAnsi="宋体" w:eastAsia="宋体"/>
          <w:b/>
          <w:color w:val="auto"/>
          <w:sz w:val="24"/>
          <w:highlight w:val="none"/>
        </w:rPr>
      </w:pPr>
      <w:r>
        <w:rPr>
          <w:rFonts w:hint="eastAsia" w:ascii="宋体" w:hAnsi="宋体" w:eastAsia="宋体"/>
          <w:b/>
          <w:color w:val="auto"/>
          <w:sz w:val="24"/>
          <w:highlight w:val="none"/>
        </w:rPr>
        <w:t>2.2综合评分</w:t>
      </w:r>
    </w:p>
    <w:p w14:paraId="7C82D82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磋商小组按照下表对</w:t>
      </w:r>
      <w:r>
        <w:rPr>
          <w:rFonts w:hint="eastAsia"/>
          <w:color w:val="auto"/>
          <w:sz w:val="24"/>
          <w:highlight w:val="none"/>
        </w:rPr>
        <w:t>进入综合评分的所有供应商的</w:t>
      </w:r>
      <w:r>
        <w:rPr>
          <w:rFonts w:hint="eastAsia" w:ascii="宋体" w:hAnsi="宋体" w:eastAsia="宋体"/>
          <w:color w:val="auto"/>
          <w:sz w:val="24"/>
          <w:highlight w:val="none"/>
        </w:rPr>
        <w:t>响应文件进行综合评分。</w:t>
      </w:r>
    </w:p>
    <w:p w14:paraId="010A5147">
      <w:pPr>
        <w:shd w:val="clear" w:color="auto"/>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w:t>
      </w:r>
      <w:r>
        <w:rPr>
          <w:rFonts w:hint="eastAsia" w:ascii="宋体" w:hAnsi="宋体"/>
          <w:color w:val="auto"/>
          <w:sz w:val="24"/>
          <w:highlight w:val="none"/>
          <w:lang w:val="en-US" w:eastAsia="zh-CN"/>
        </w:rPr>
        <w:t>标评审部分：82分</w:t>
      </w:r>
      <w:r>
        <w:rPr>
          <w:rFonts w:ascii="宋体" w:hAnsi="宋体" w:eastAsia="宋体"/>
          <w:color w:val="auto"/>
          <w:sz w:val="24"/>
          <w:highlight w:val="none"/>
        </w:rPr>
        <w:t>，</w:t>
      </w:r>
      <w:r>
        <w:rPr>
          <w:rFonts w:hint="eastAsia" w:ascii="宋体" w:hAnsi="宋体"/>
          <w:color w:val="auto"/>
          <w:sz w:val="24"/>
          <w:highlight w:val="none"/>
          <w:lang w:val="en-US" w:eastAsia="zh-CN"/>
        </w:rPr>
        <w:t>价格评审部分：15分、商务标评审部分3分</w:t>
      </w:r>
      <w:r>
        <w:rPr>
          <w:rFonts w:ascii="宋体" w:hAnsi="宋体" w:eastAsia="宋体"/>
          <w:color w:val="auto"/>
          <w:sz w:val="24"/>
          <w:highlight w:val="none"/>
        </w:rPr>
        <w:t>。具体评分细则如下：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48"/>
        <w:gridCol w:w="7732"/>
      </w:tblGrid>
      <w:tr w14:paraId="5C63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gridSpan w:val="2"/>
            <w:shd w:val="clear" w:color="auto" w:fill="E6E6E6"/>
            <w:noWrap/>
            <w:vAlign w:val="center"/>
          </w:tcPr>
          <w:p w14:paraId="7817E076">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3922" w:type="pct"/>
            <w:shd w:val="clear" w:color="auto" w:fill="E6E6E6"/>
            <w:noWrap/>
            <w:vAlign w:val="center"/>
          </w:tcPr>
          <w:p w14:paraId="06DA921B">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14:paraId="031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noWrap/>
            <w:vAlign w:val="center"/>
          </w:tcPr>
          <w:p w14:paraId="5578E71F">
            <w:pPr>
              <w:adjustRightInd w:val="0"/>
              <w:snapToGrid w:val="0"/>
              <w:spacing w:line="460" w:lineRule="exact"/>
              <w:jc w:val="left"/>
              <w:rPr>
                <w:rFonts w:hint="eastAsia" w:ascii="宋体" w:hAnsi="宋体" w:cs="宋体"/>
                <w:color w:val="auto"/>
                <w:sz w:val="24"/>
                <w:szCs w:val="24"/>
                <w:highlight w:val="none"/>
              </w:rPr>
            </w:pPr>
          </w:p>
          <w:p w14:paraId="1B71AD0A">
            <w:pPr>
              <w:adjustRightInd w:val="0"/>
              <w:snapToGrid w:val="0"/>
              <w:spacing w:line="460" w:lineRule="exact"/>
              <w:jc w:val="left"/>
              <w:rPr>
                <w:rFonts w:hint="eastAsia" w:ascii="宋体" w:hAnsi="宋体" w:cs="宋体"/>
                <w:color w:val="auto"/>
                <w:sz w:val="24"/>
                <w:szCs w:val="24"/>
                <w:highlight w:val="none"/>
              </w:rPr>
            </w:pPr>
          </w:p>
          <w:p w14:paraId="19317F6F">
            <w:pPr>
              <w:adjustRightInd w:val="0"/>
              <w:snapToGrid w:val="0"/>
              <w:spacing w:line="460" w:lineRule="exact"/>
              <w:jc w:val="left"/>
              <w:rPr>
                <w:rFonts w:hint="eastAsia" w:ascii="宋体" w:hAnsi="宋体" w:cs="宋体"/>
                <w:color w:val="auto"/>
                <w:sz w:val="24"/>
                <w:szCs w:val="24"/>
                <w:highlight w:val="none"/>
              </w:rPr>
            </w:pPr>
          </w:p>
          <w:p w14:paraId="43CA4669">
            <w:pPr>
              <w:adjustRightInd w:val="0"/>
              <w:snapToGrid w:val="0"/>
              <w:spacing w:line="460" w:lineRule="exact"/>
              <w:jc w:val="left"/>
              <w:rPr>
                <w:rFonts w:hint="eastAsia" w:ascii="宋体" w:hAnsi="宋体" w:cs="宋体"/>
                <w:color w:val="auto"/>
                <w:sz w:val="24"/>
                <w:szCs w:val="24"/>
                <w:highlight w:val="none"/>
              </w:rPr>
            </w:pPr>
          </w:p>
          <w:p w14:paraId="3FB017F9">
            <w:pPr>
              <w:adjustRightInd w:val="0"/>
              <w:snapToGrid w:val="0"/>
              <w:spacing w:line="460" w:lineRule="exact"/>
              <w:jc w:val="left"/>
              <w:rPr>
                <w:rFonts w:hint="eastAsia" w:ascii="宋体" w:hAnsi="宋体" w:cs="宋体"/>
                <w:color w:val="auto"/>
                <w:sz w:val="24"/>
                <w:szCs w:val="24"/>
                <w:highlight w:val="none"/>
              </w:rPr>
            </w:pPr>
          </w:p>
          <w:p w14:paraId="0EC8EA4E">
            <w:pPr>
              <w:adjustRightInd w:val="0"/>
              <w:snapToGrid w:val="0"/>
              <w:spacing w:line="460" w:lineRule="exact"/>
              <w:jc w:val="left"/>
              <w:rPr>
                <w:rFonts w:hint="eastAsia" w:ascii="宋体" w:hAnsi="宋体" w:cs="宋体"/>
                <w:color w:val="auto"/>
                <w:sz w:val="24"/>
                <w:szCs w:val="24"/>
                <w:highlight w:val="none"/>
              </w:rPr>
            </w:pPr>
          </w:p>
          <w:p w14:paraId="30835917">
            <w:pPr>
              <w:adjustRightInd w:val="0"/>
              <w:snapToGrid w:val="0"/>
              <w:spacing w:line="460" w:lineRule="exact"/>
              <w:jc w:val="left"/>
              <w:rPr>
                <w:rFonts w:hint="eastAsia" w:ascii="宋体" w:hAnsi="宋体" w:cs="宋体"/>
                <w:color w:val="auto"/>
                <w:sz w:val="24"/>
                <w:szCs w:val="24"/>
                <w:highlight w:val="none"/>
              </w:rPr>
            </w:pPr>
          </w:p>
          <w:p w14:paraId="38D03E85">
            <w:pPr>
              <w:adjustRightInd w:val="0"/>
              <w:snapToGrid w:val="0"/>
              <w:spacing w:line="460" w:lineRule="exact"/>
              <w:jc w:val="left"/>
              <w:rPr>
                <w:rFonts w:hint="eastAsia" w:ascii="宋体" w:hAnsi="宋体" w:cs="宋体"/>
                <w:color w:val="auto"/>
                <w:sz w:val="24"/>
                <w:szCs w:val="24"/>
                <w:highlight w:val="none"/>
              </w:rPr>
            </w:pPr>
          </w:p>
          <w:p w14:paraId="7D75ECCF">
            <w:pPr>
              <w:adjustRightInd w:val="0"/>
              <w:snapToGrid w:val="0"/>
              <w:spacing w:line="460" w:lineRule="exact"/>
              <w:jc w:val="left"/>
              <w:rPr>
                <w:rFonts w:hint="eastAsia" w:ascii="宋体" w:hAnsi="宋体" w:cs="宋体"/>
                <w:color w:val="auto"/>
                <w:sz w:val="24"/>
                <w:szCs w:val="24"/>
                <w:highlight w:val="none"/>
              </w:rPr>
            </w:pPr>
          </w:p>
          <w:p w14:paraId="6E64AF8E">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w:t>
            </w:r>
          </w:p>
          <w:p w14:paraId="05FC5A2A">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4505" w:type="pct"/>
            <w:gridSpan w:val="2"/>
            <w:noWrap/>
            <w:vAlign w:val="top"/>
          </w:tcPr>
          <w:p w14:paraId="75077183">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技术标得分=（项目管理机构得分+施工组织设计得分）</w:t>
            </w:r>
          </w:p>
        </w:tc>
      </w:tr>
      <w:tr w14:paraId="0107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DC65760">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677BBE29">
            <w:pPr>
              <w:adjustRightInd w:val="0"/>
              <w:snapToGrid w:val="0"/>
              <w:spacing w:line="460" w:lineRule="exact"/>
              <w:jc w:val="center"/>
              <w:rPr>
                <w:rFonts w:hint="eastAsia" w:ascii="宋体" w:hAnsi="宋体" w:cs="宋体"/>
                <w:color w:val="auto"/>
                <w:sz w:val="24"/>
                <w:szCs w:val="24"/>
                <w:highlight w:val="none"/>
              </w:rPr>
            </w:pPr>
          </w:p>
          <w:p w14:paraId="585E8BE5">
            <w:pPr>
              <w:adjustRightInd w:val="0"/>
              <w:snapToGrid w:val="0"/>
              <w:spacing w:line="460" w:lineRule="exact"/>
              <w:jc w:val="center"/>
              <w:rPr>
                <w:rFonts w:hint="eastAsia" w:ascii="宋体" w:hAnsi="宋体" w:cs="宋体"/>
                <w:color w:val="auto"/>
                <w:sz w:val="24"/>
                <w:szCs w:val="24"/>
                <w:highlight w:val="none"/>
              </w:rPr>
            </w:pPr>
          </w:p>
          <w:p w14:paraId="524D5108">
            <w:pPr>
              <w:adjustRightInd w:val="0"/>
              <w:snapToGrid w:val="0"/>
              <w:spacing w:line="460" w:lineRule="exact"/>
              <w:jc w:val="center"/>
              <w:rPr>
                <w:rFonts w:hint="eastAsia" w:ascii="宋体" w:hAnsi="宋体" w:cs="宋体"/>
                <w:color w:val="auto"/>
                <w:sz w:val="24"/>
                <w:szCs w:val="24"/>
                <w:highlight w:val="none"/>
              </w:rPr>
            </w:pPr>
          </w:p>
          <w:p w14:paraId="47283651">
            <w:pPr>
              <w:adjustRightInd w:val="0"/>
              <w:snapToGrid w:val="0"/>
              <w:spacing w:line="460" w:lineRule="exact"/>
              <w:jc w:val="center"/>
              <w:rPr>
                <w:rFonts w:hint="eastAsia" w:ascii="宋体" w:hAnsi="宋体" w:cs="宋体"/>
                <w:color w:val="auto"/>
                <w:sz w:val="24"/>
                <w:szCs w:val="24"/>
                <w:highlight w:val="none"/>
              </w:rPr>
            </w:pPr>
          </w:p>
          <w:p w14:paraId="1A53C58A">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项目管理机构（满分</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922" w:type="pct"/>
            <w:noWrap/>
            <w:vAlign w:val="center"/>
          </w:tcPr>
          <w:p w14:paraId="10427ADF">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项目经理任职资格（满分</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分）</w:t>
            </w:r>
          </w:p>
          <w:p w14:paraId="6799BFD7">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拟派任项目经理（或注册建造师）与资格审查合格通过的项目经理（或注册建造师）在名称、专业、资格等级等方面一致的得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分。</w:t>
            </w:r>
          </w:p>
        </w:tc>
      </w:tr>
      <w:tr w14:paraId="399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pct"/>
            <w:vMerge w:val="continue"/>
            <w:noWrap/>
            <w:vAlign w:val="center"/>
          </w:tcPr>
          <w:p w14:paraId="30B0A39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0C6DF064">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3EACC301">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szCs w:val="24"/>
                <w:highlight w:val="none"/>
              </w:rPr>
              <w:t>其他主要人员（满分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14:paraId="100C37E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w:t>
            </w:r>
          </w:p>
          <w:p w14:paraId="68529B9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优（</w:t>
            </w:r>
            <w:r>
              <w:rPr>
                <w:rFonts w:hint="eastAsia" w:ascii="宋体" w:hAnsi="宋体" w:eastAsia="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rPr>
              <w:t>分）：拟投入本工程主要管理人员完全满足 施工需要，管理人员配备齐全且有一定储备。</w:t>
            </w:r>
          </w:p>
          <w:p w14:paraId="7966F59E">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良（</w:t>
            </w: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rPr>
              <w:t xml:space="preserve">分）：拟投入本工程主要管理人员满足施工需要，管理人员配备齐全且有适当储备。 </w:t>
            </w:r>
          </w:p>
          <w:p w14:paraId="5FC45B9B">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分）：拟投入本工程主要管理人员满足施工需要，管理人员配备齐全且有储备。</w:t>
            </w:r>
          </w:p>
          <w:p w14:paraId="29FF28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rPr>
              <w:t>差（</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分）：拟投入本工程主要管理人员不能满足施工需要，管理人员配备不齐。</w:t>
            </w:r>
          </w:p>
        </w:tc>
      </w:tr>
      <w:tr w14:paraId="0E3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494" w:type="pct"/>
            <w:vMerge w:val="continue"/>
            <w:noWrap/>
            <w:vAlign w:val="center"/>
          </w:tcPr>
          <w:p w14:paraId="65FD0F76">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55894B91">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分）</w:t>
            </w:r>
          </w:p>
          <w:p w14:paraId="20023BA3">
            <w:pPr>
              <w:adjustRightInd w:val="0"/>
              <w:snapToGrid w:val="0"/>
              <w:spacing w:line="460" w:lineRule="exact"/>
              <w:jc w:val="center"/>
              <w:rPr>
                <w:rFonts w:hint="eastAsia" w:ascii="宋体" w:hAnsi="宋体" w:cs="宋体"/>
                <w:color w:val="auto"/>
                <w:sz w:val="24"/>
                <w:szCs w:val="24"/>
                <w:highlight w:val="none"/>
              </w:rPr>
            </w:pPr>
          </w:p>
          <w:p w14:paraId="58C4BB0F">
            <w:pPr>
              <w:adjustRightInd w:val="0"/>
              <w:snapToGrid w:val="0"/>
              <w:spacing w:line="460" w:lineRule="exact"/>
              <w:jc w:val="center"/>
              <w:rPr>
                <w:rFonts w:hint="eastAsia" w:ascii="宋体" w:hAnsi="宋体" w:cs="宋体"/>
                <w:color w:val="auto"/>
                <w:sz w:val="24"/>
                <w:szCs w:val="24"/>
                <w:highlight w:val="none"/>
              </w:rPr>
            </w:pPr>
          </w:p>
          <w:p w14:paraId="1D9F6871">
            <w:pPr>
              <w:adjustRightInd w:val="0"/>
              <w:snapToGrid w:val="0"/>
              <w:spacing w:line="460" w:lineRule="exact"/>
              <w:jc w:val="center"/>
              <w:rPr>
                <w:rFonts w:hint="eastAsia" w:ascii="宋体" w:hAnsi="宋体" w:cs="宋体"/>
                <w:color w:val="auto"/>
                <w:sz w:val="24"/>
                <w:szCs w:val="24"/>
                <w:highlight w:val="none"/>
              </w:rPr>
            </w:pPr>
          </w:p>
          <w:p w14:paraId="26F2B103">
            <w:pPr>
              <w:adjustRightInd w:val="0"/>
              <w:snapToGrid w:val="0"/>
              <w:spacing w:line="460" w:lineRule="exact"/>
              <w:jc w:val="center"/>
              <w:rPr>
                <w:rFonts w:hint="eastAsia" w:ascii="宋体" w:hAnsi="宋体" w:cs="宋体"/>
                <w:color w:val="auto"/>
                <w:sz w:val="24"/>
                <w:szCs w:val="24"/>
                <w:highlight w:val="none"/>
              </w:rPr>
            </w:pPr>
          </w:p>
          <w:p w14:paraId="09481FE2">
            <w:pPr>
              <w:adjustRightInd w:val="0"/>
              <w:snapToGrid w:val="0"/>
              <w:spacing w:line="460" w:lineRule="exact"/>
              <w:jc w:val="center"/>
              <w:rPr>
                <w:rFonts w:hint="eastAsia" w:ascii="宋体" w:hAnsi="宋体" w:cs="宋体"/>
                <w:color w:val="auto"/>
                <w:sz w:val="24"/>
                <w:szCs w:val="24"/>
                <w:highlight w:val="none"/>
              </w:rPr>
            </w:pPr>
          </w:p>
          <w:p w14:paraId="7FEEEF7C">
            <w:pPr>
              <w:adjustRightInd w:val="0"/>
              <w:snapToGrid w:val="0"/>
              <w:spacing w:line="460" w:lineRule="exact"/>
              <w:jc w:val="center"/>
              <w:rPr>
                <w:rFonts w:hint="eastAsia" w:ascii="宋体" w:hAnsi="宋体" w:cs="宋体"/>
                <w:color w:val="auto"/>
                <w:sz w:val="24"/>
                <w:szCs w:val="24"/>
                <w:highlight w:val="none"/>
              </w:rPr>
            </w:pPr>
          </w:p>
          <w:p w14:paraId="77D812BC">
            <w:pPr>
              <w:adjustRightInd w:val="0"/>
              <w:snapToGrid w:val="0"/>
              <w:spacing w:line="460" w:lineRule="exact"/>
              <w:jc w:val="center"/>
              <w:rPr>
                <w:rFonts w:hint="eastAsia" w:ascii="宋体" w:hAnsi="宋体" w:cs="宋体"/>
                <w:color w:val="auto"/>
                <w:sz w:val="24"/>
                <w:szCs w:val="24"/>
                <w:highlight w:val="none"/>
              </w:rPr>
            </w:pPr>
          </w:p>
          <w:p w14:paraId="2980430B">
            <w:pPr>
              <w:adjustRightInd w:val="0"/>
              <w:snapToGrid w:val="0"/>
              <w:spacing w:line="460" w:lineRule="exact"/>
              <w:jc w:val="center"/>
              <w:rPr>
                <w:rFonts w:hint="eastAsia" w:ascii="宋体" w:hAnsi="宋体" w:cs="宋体"/>
                <w:color w:val="auto"/>
                <w:sz w:val="24"/>
                <w:szCs w:val="24"/>
                <w:highlight w:val="none"/>
              </w:rPr>
            </w:pPr>
          </w:p>
          <w:p w14:paraId="19068D61">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42CE8347">
            <w:pPr>
              <w:numPr>
                <w:ilvl w:val="0"/>
                <w:numId w:val="0"/>
              </w:numPr>
              <w:tabs>
                <w:tab w:val="left" w:pos="0"/>
              </w:tabs>
              <w:adjustRightInd w:val="0"/>
              <w:snapToGrid w:val="0"/>
              <w:spacing w:line="360" w:lineRule="auto"/>
              <w:ind w:left="0" w:leftChars="0" w:firstLine="0" w:firstLineChars="0"/>
              <w:jc w:val="left"/>
              <w:rPr>
                <w:rFonts w:hint="default" w:ascii="宋体" w:hAnsi="宋体" w:cs="宋体"/>
                <w:b/>
                <w:bCs/>
                <w:color w:val="auto"/>
                <w:sz w:val="24"/>
                <w:szCs w:val="24"/>
                <w:highlight w:val="none"/>
                <w:lang w:val="en-US" w:eastAsia="zh-CN"/>
              </w:rPr>
            </w:pPr>
            <w:r>
              <w:rPr>
                <w:rFonts w:hint="default" w:ascii="宋体" w:hAnsi="宋体" w:eastAsia="宋体" w:cs="宋体"/>
                <w:b/>
                <w:bCs/>
                <w:color w:val="auto"/>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主要施工方法</w:t>
            </w:r>
            <w:r>
              <w:rPr>
                <w:rFonts w:hint="eastAsia" w:ascii="宋体" w:hAnsi="宋体" w:cs="宋体"/>
                <w:b/>
                <w:bCs/>
                <w:color w:val="auto"/>
                <w:sz w:val="24"/>
                <w:szCs w:val="24"/>
                <w:highlight w:val="none"/>
              </w:rPr>
              <w:t>（满分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C1C92C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各主要分部施工方法符合项目实际，须有详尽的施工技术方案，工艺先进、方法科学合理、可行，能指导具体施工并确保安全。</w:t>
            </w:r>
          </w:p>
          <w:p w14:paraId="5569135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分)：各主要分部施工方法符合项目实际，须有详尽的施工技术方案，工艺先进方法科学合理、可行，能指导具体施工并确保安全。</w:t>
            </w:r>
          </w:p>
          <w:p w14:paraId="2789B5C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分)：各主要分部施工方法主要施符合项目实际，须有详尽的施工技术工方法方案，工艺一般、方法可行，能指导具体施工并确保安全。</w:t>
            </w:r>
          </w:p>
          <w:p w14:paraId="1D7D2D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分)：各主要分部施工方法分)基本符合项目实际，施工技术方案基本齐全，方法基本合理、基本可行，基本能指导具体施工并确保安全。</w:t>
            </w:r>
          </w:p>
          <w:p w14:paraId="5214A6A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rPr>
              <w:t>各主要分部施工方法符合项目实际，有施工技术方案，工艺一般、方法一般。</w:t>
            </w:r>
          </w:p>
          <w:p w14:paraId="285AF15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分)：各主要分部施工方法针对性差，施工技术方案差，工艺落后、方法不合理，不能指导具体施工和确保安全。</w:t>
            </w:r>
          </w:p>
        </w:tc>
      </w:tr>
      <w:tr w14:paraId="2870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F02F6D6">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96A4CB2">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2C4795CB">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4.</w:t>
            </w:r>
            <w:r>
              <w:rPr>
                <w:rFonts w:hint="eastAsia" w:ascii="宋体" w:hAnsi="宋体" w:cs="宋体"/>
                <w:b/>
                <w:bCs/>
                <w:color w:val="auto"/>
                <w:sz w:val="24"/>
                <w:szCs w:val="24"/>
                <w:highlight w:val="none"/>
              </w:rPr>
              <w:t>劳动力安排计划（满分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53D9873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各主要施工工序应有详细周密的劳动力安排计划，有各工种劳动力安排计划，劳动力投入合理，满足施工需要。</w:t>
            </w:r>
          </w:p>
          <w:p w14:paraId="5595B79F">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分)：各主要施工工序有详细周密的劳动力安排计划，各工种劳动力安排计划齐全，劳动力投入与进度计划匹配度高，满足施工需要。</w:t>
            </w:r>
          </w:p>
          <w:p w14:paraId="1B0D9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分)：各主要施工工序有详细的劳动力安排计划，提供各工种劳动力安排计划，劳动力投入合理，满足施工需要。</w:t>
            </w:r>
          </w:p>
          <w:p w14:paraId="1392CC1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分)：各主要施工工序应有劳动力安排计划，提供各工种劳动力安排计划，劳动力投入基本合理，基本满足施工需要。</w:t>
            </w:r>
          </w:p>
          <w:p w14:paraId="4025C1E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分）：各主要施工工序的 劳动力安排计划一般，有各工种劳 动力安排计划， 劳动力投入一般， 基本满足施工需要。</w:t>
            </w:r>
          </w:p>
          <w:p w14:paraId="18290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分)：各主要施工工序劳动力安排计划不全，无各工种劳动力安排计划或计划不全，劳动力投入不合理，不能满足施工需要。</w:t>
            </w:r>
          </w:p>
        </w:tc>
      </w:tr>
      <w:tr w14:paraId="4F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35B3E3A">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584F7A2B">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755FD79C">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5.</w:t>
            </w:r>
            <w:r>
              <w:rPr>
                <w:rFonts w:hint="eastAsia" w:ascii="宋体" w:hAnsi="宋体" w:cs="宋体"/>
                <w:b/>
                <w:bCs/>
                <w:color w:val="auto"/>
                <w:sz w:val="24"/>
                <w:szCs w:val="24"/>
                <w:highlight w:val="none"/>
              </w:rPr>
              <w:t>确保工程质量的技术组织措施（满分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33068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主要工序应有质量技术保证措施和手段，自控体系完整，能有效保证技术质量，达到承诺的质量标准。应有专门的质量技术管理班子和制度，且人员配备合理，制度健全。主要工序应有质量技术保证措施和手段，自控体系完整，能有效保证技术质量，达到承诺的质量标准。 </w:t>
            </w:r>
          </w:p>
          <w:p w14:paraId="0E9A208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分）：有专门的质量技术管理班子和制度，且人员配备合理，制度健全。主要工序有质量技术保证措施和手段，自控体系完整，能有效保证技术质量，达到承诺的质量标准。 </w:t>
            </w:r>
          </w:p>
          <w:p w14:paraId="36AACA5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分）：有专门的质量技术管理班子和制度，且人员配备比较合理，制度比较健全。主要工序有质量技术保证措施和手段，自控体系比较完整，能有效保证技术质量，达到承诺的质量标准。 </w:t>
            </w:r>
          </w:p>
          <w:p w14:paraId="5E1372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分）：有专门的质量技术管理班子和制度，但人员配备符合要求，制度符合要求。主要工序有质量技术保证措施和手段，自控体系符合要求，基本能有效保证技术质量，达到承诺的质量标准。 </w:t>
            </w:r>
          </w:p>
          <w:p w14:paraId="0FBAA4E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自控体系一般，基本能有效保证技术质量，达到承诺的质量标准</w:t>
            </w:r>
          </w:p>
          <w:p w14:paraId="1ABC9AF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分）：有专门的质量技术管理班子和制度，但人员配备一般，制度一般。主要工序有质量技术保证措施和手段，自控体系一般，基本能有效保证技术质量，达到承诺的质量标准。</w:t>
            </w:r>
          </w:p>
        </w:tc>
      </w:tr>
      <w:tr w14:paraId="5F4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7AFCB5F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47139B8E">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07253D56">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6.</w:t>
            </w:r>
            <w:r>
              <w:rPr>
                <w:rFonts w:hint="eastAsia" w:ascii="宋体" w:hAnsi="宋体" w:cs="宋体"/>
                <w:b/>
                <w:bCs/>
                <w:color w:val="auto"/>
                <w:sz w:val="24"/>
                <w:szCs w:val="24"/>
                <w:highlight w:val="none"/>
              </w:rPr>
              <w:t>确保安全生产的技术组织措施（满分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792296E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应有专门的安全管理人员和制度，且人员配备合理，制度健全，各道工序安全技术措施针对性强，符合实际且满足有关安全技术标准要求。现场防火、应急救援、社会治安安全措施得力。</w:t>
            </w:r>
          </w:p>
          <w:p w14:paraId="170CAE4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有专门的安全管理员和制度，管理人员配备合理，制度健全，各道工序安全技术措施针对性强，确保工程质量的技术组织措施符合实际且满足有关安全技术标准要求。现场防火、应急救援、社会治安安全措施得力。</w:t>
            </w:r>
          </w:p>
          <w:p w14:paraId="31966C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1BBD4594">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分)：有专门的安全管理人员和制度，安全人员配备基本合理，制度基本健全，各道工序安全技术措施基本符合实际基本满足有关安全技术标准要求。现场防火应急救援、社会治安安全措施基本合理。</w:t>
            </w:r>
          </w:p>
          <w:p w14:paraId="5E0BA14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分）：有专门的安全管理 人员和制度，且人员配备一般，制度一般，各道工序安全技术措施针 对性较一般，基本符合实际且满足 有关安全技术标准要求。现场防火、应急救援、社会治安安全措施一般。</w:t>
            </w:r>
          </w:p>
          <w:p w14:paraId="18B0950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分)：有专门的安全管理人员和制度，人员配备不合理，制度不健全，各道工序安全技术措施针无对性，不满足有关安全技术标准要求。现场防火、应急救援、社会治安安全措施不得力。</w:t>
            </w:r>
          </w:p>
        </w:tc>
      </w:tr>
      <w:tr w14:paraId="5068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4" w:type="pct"/>
            <w:vMerge w:val="continue"/>
            <w:noWrap/>
            <w:vAlign w:val="center"/>
          </w:tcPr>
          <w:p w14:paraId="61781628">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D8D6F29">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7A1C70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7.</w:t>
            </w:r>
            <w:r>
              <w:rPr>
                <w:rFonts w:hint="eastAsia" w:ascii="宋体" w:hAnsi="宋体" w:cs="宋体"/>
                <w:b/>
                <w:bCs/>
                <w:color w:val="auto"/>
                <w:sz w:val="24"/>
                <w:szCs w:val="24"/>
                <w:highlight w:val="none"/>
              </w:rPr>
              <w:t>确保工期的技术组织措施（满分</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p>
          <w:p w14:paraId="058ED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BE3B6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7A257ED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在施工工艺、施工方法、材料选用、劳动力安排、技术等面有保证工期的措施但措施一般。有控制工期的施工进度计划。有施工总进度表或施工网络图，各项计划图表编制一般，安排合理，基本符合本项目施工实际要求。</w:t>
            </w:r>
          </w:p>
          <w:p w14:paraId="5312A73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分)在施工工艺、施工方法、材料选用、芳动力安排技术等方面有保证工期的具体措施。有施工总进度表或施工网络图，各项计划图表编制一般，基本符合本项目施工实际要求。</w:t>
            </w:r>
          </w:p>
          <w:p w14:paraId="3CE90A8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分）：在施工工艺、施工方法、材料选用、劳动力安排、技 术等方面有保证工期的具体措施且措施得当。有控制工期的施工进度计划。无施工总进度表或施工网络图，各项计划图表编制一般，安排一般，基本符合本项目施工实际 要求</w:t>
            </w:r>
          </w:p>
          <w:p w14:paraId="5F48E71B">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分)：在施工工艺、施工方法、材料选用劳动力安排、技术等方面有保证工期的措施但措施一般。无控制工期的施工进度计划。无施工总进度表或施工网络图不符合本项目施工实际要求。</w:t>
            </w:r>
          </w:p>
        </w:tc>
      </w:tr>
      <w:tr w14:paraId="439C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4E9D8403">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6329DCA1">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5E981F58">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8.</w:t>
            </w:r>
            <w:r>
              <w:rPr>
                <w:rFonts w:hint="eastAsia" w:ascii="宋体" w:hAnsi="宋体" w:cs="宋体"/>
                <w:b/>
                <w:bCs/>
                <w:color w:val="auto"/>
                <w:sz w:val="24"/>
                <w:szCs w:val="24"/>
                <w:highlight w:val="none"/>
              </w:rPr>
              <w:t>工程施工的重点和难点及保证措施（满分</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08953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针对本工程的特点，阐述本工程的重点和难点，解决重点和难点问题的方法是否合理。</w:t>
            </w:r>
          </w:p>
          <w:p w14:paraId="148C7CA3">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分)：针对本工程的特点，阐述本工程的重点和难点，解决重点和难点问题的方法科学合理。</w:t>
            </w:r>
          </w:p>
          <w:p w14:paraId="3068C31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分)：针对本工程的特点，阐述本工程的重点和难点，解决重点和难点问题的方法合理。</w:t>
            </w:r>
          </w:p>
          <w:p w14:paraId="4EF055AA">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分)：针对本工程的特点，阐述本工程的重点和难点，解决重点和难点问题的方法比较合理。</w:t>
            </w:r>
          </w:p>
          <w:p w14:paraId="6DE755C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分）：针对本工程的特点， 阐述本工程的重点和难点，解决重点和难点问题的方法一般。</w:t>
            </w:r>
          </w:p>
          <w:p w14:paraId="13457180">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差(1分)：针对本工程的特点，阐述本工程的重点和难点，解决重点和难点问题的方法不合理。</w:t>
            </w:r>
          </w:p>
        </w:tc>
      </w:tr>
      <w:tr w14:paraId="653C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ign w:val="center"/>
          </w:tcPr>
          <w:p w14:paraId="5A493CE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商务标评分标准</w:t>
            </w:r>
          </w:p>
        </w:tc>
        <w:tc>
          <w:tcPr>
            <w:tcW w:w="582" w:type="pct"/>
            <w:noWrap/>
            <w:vAlign w:val="center"/>
          </w:tcPr>
          <w:p w14:paraId="1DBCE93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业绩分（3分）</w:t>
            </w:r>
          </w:p>
        </w:tc>
        <w:tc>
          <w:tcPr>
            <w:tcW w:w="3922" w:type="pct"/>
            <w:noWrap/>
            <w:vAlign w:val="top"/>
          </w:tcPr>
          <w:p w14:paraId="0F631F3E">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供应商于2022年1月1日以来，承接过类似业绩的每个得1分，满分3分。（以成交（或中标）通知书或施工合同或交/竣工验收证明文件复印件并加供应商公章为准，不提供不计分。）</w:t>
            </w:r>
          </w:p>
        </w:tc>
      </w:tr>
      <w:tr w14:paraId="032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4" w:type="pct"/>
            <w:noWrap/>
            <w:vAlign w:val="center"/>
          </w:tcPr>
          <w:p w14:paraId="010BB0A4">
            <w:pPr>
              <w:adjustRightInd w:val="0"/>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价格</w:t>
            </w:r>
            <w:r>
              <w:rPr>
                <w:rFonts w:hint="eastAsia" w:ascii="宋体" w:hAnsi="宋体" w:cs="宋体"/>
                <w:color w:val="auto"/>
                <w:sz w:val="24"/>
                <w:szCs w:val="24"/>
                <w:highlight w:val="none"/>
              </w:rPr>
              <w:t>评分标准</w:t>
            </w:r>
          </w:p>
          <w:p w14:paraId="5ED74715">
            <w:pPr>
              <w:adjustRightInd w:val="0"/>
              <w:snapToGrid w:val="0"/>
              <w:spacing w:line="240" w:lineRule="auto"/>
              <w:jc w:val="both"/>
              <w:rPr>
                <w:rFonts w:hint="eastAsia" w:ascii="宋体" w:hAnsi="宋体" w:cs="宋体"/>
                <w:color w:val="auto"/>
                <w:sz w:val="24"/>
                <w:szCs w:val="24"/>
                <w:highlight w:val="none"/>
              </w:rPr>
            </w:pPr>
          </w:p>
        </w:tc>
        <w:tc>
          <w:tcPr>
            <w:tcW w:w="582" w:type="pct"/>
            <w:noWrap/>
            <w:vAlign w:val="center"/>
          </w:tcPr>
          <w:p w14:paraId="0D187E9A">
            <w:pPr>
              <w:numPr>
                <w:ilvl w:val="0"/>
                <w:numId w:val="0"/>
              </w:numPr>
              <w:adjustRightInd w:val="0"/>
              <w:snapToGrid w:val="0"/>
              <w:spacing w:line="240" w:lineRule="auto"/>
              <w:ind w:leftChars="0" w:firstLine="0" w:firstLineChars="0"/>
              <w:jc w:val="both"/>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lang w:val="en-US" w:eastAsia="zh-CN"/>
              </w:rPr>
              <w:t>价格分（满分15分）</w:t>
            </w:r>
          </w:p>
        </w:tc>
        <w:tc>
          <w:tcPr>
            <w:tcW w:w="3922" w:type="pct"/>
            <w:noWrap/>
            <w:vAlign w:val="top"/>
          </w:tcPr>
          <w:p w14:paraId="572D317C">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磋商报价有效范围：为磋商总报价低于或等于采购预算价，且经磋商小组审定为合理的磋商报价。磋商报价不在有效报价范围内的，报价无效，不再进行详细评审。</w:t>
            </w:r>
          </w:p>
          <w:p w14:paraId="1B45B746">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771AAAD0">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满足磋商文件要求且最后报价最低的供应商的价格为磋商基准价</w:t>
            </w:r>
            <w:r>
              <w:rPr>
                <w:rFonts w:hint="eastAsia" w:ascii="宋体" w:hAnsi="宋体" w:eastAsia="宋体" w:cs="宋体"/>
                <w:bCs w:val="0"/>
                <w:color w:val="auto"/>
                <w:kern w:val="0"/>
                <w:sz w:val="24"/>
                <w:szCs w:val="24"/>
                <w:highlight w:val="none"/>
              </w:rPr>
              <w:t>，基准价得分为</w:t>
            </w:r>
            <w:r>
              <w:rPr>
                <w:rFonts w:hint="eastAsia" w:ascii="宋体" w:hAnsi="宋体" w:cs="宋体"/>
                <w:bCs w:val="0"/>
                <w:color w:val="auto"/>
                <w:kern w:val="0"/>
                <w:sz w:val="24"/>
                <w:szCs w:val="24"/>
                <w:highlight w:val="none"/>
                <w:u w:val="none"/>
                <w:lang w:val="en-US" w:eastAsia="zh-CN"/>
              </w:rPr>
              <w:t>15</w:t>
            </w:r>
            <w:r>
              <w:rPr>
                <w:rFonts w:hint="eastAsia" w:ascii="宋体" w:hAnsi="宋体" w:eastAsia="宋体" w:cs="宋体"/>
                <w:bCs w:val="0"/>
                <w:color w:val="auto"/>
                <w:kern w:val="0"/>
                <w:sz w:val="24"/>
                <w:szCs w:val="24"/>
                <w:highlight w:val="none"/>
                <w:u w:val="none"/>
              </w:rPr>
              <w:t>分</w:t>
            </w:r>
            <w:r>
              <w:rPr>
                <w:rFonts w:hint="eastAsia" w:ascii="宋体" w:hAnsi="宋体" w:eastAsia="宋体" w:cs="宋体"/>
                <w:bCs w:val="0"/>
                <w:color w:val="auto"/>
                <w:kern w:val="0"/>
                <w:sz w:val="24"/>
                <w:szCs w:val="24"/>
                <w:highlight w:val="none"/>
              </w:rPr>
              <w:t>。</w:t>
            </w:r>
          </w:p>
          <w:p w14:paraId="0D900E67">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Cs w:val="0"/>
                <w:color w:val="auto"/>
                <w:kern w:val="0"/>
                <w:sz w:val="24"/>
                <w:szCs w:val="24"/>
                <w:highlight w:val="none"/>
                <w:lang w:eastAsia="zh-CN"/>
              </w:rPr>
            </w:pPr>
            <w:r>
              <w:rPr>
                <w:rFonts w:hint="eastAsia" w:ascii="宋体" w:hAnsi="宋体" w:eastAsia="宋体" w:cs="宋体"/>
                <w:bCs w:val="0"/>
                <w:color w:val="auto"/>
                <w:kern w:val="0"/>
                <w:sz w:val="24"/>
                <w:szCs w:val="24"/>
                <w:highlight w:val="none"/>
              </w:rPr>
              <w:t>价格分计算公式：</w:t>
            </w:r>
            <w:r>
              <w:rPr>
                <w:rFonts w:hint="eastAsia" w:ascii="宋体" w:hAnsi="宋体" w:eastAsia="宋体" w:cs="宋体"/>
                <w:bCs w:val="0"/>
                <w:color w:val="auto"/>
                <w:kern w:val="0"/>
                <w:sz w:val="24"/>
                <w:szCs w:val="24"/>
                <w:highlight w:val="none"/>
                <w:shd w:val="clear" w:color="auto" w:fill="auto"/>
              </w:rPr>
              <w:t>报价得分=（基准价/最后报价）×</w:t>
            </w:r>
            <w:r>
              <w:rPr>
                <w:rFonts w:hint="eastAsia" w:ascii="宋体" w:hAnsi="宋体" w:cs="宋体"/>
                <w:bCs w:val="0"/>
                <w:color w:val="auto"/>
                <w:kern w:val="0"/>
                <w:sz w:val="24"/>
                <w:szCs w:val="24"/>
                <w:highlight w:val="none"/>
                <w:u w:val="none"/>
                <w:shd w:val="clear" w:color="auto" w:fill="auto"/>
                <w:lang w:val="en-US" w:eastAsia="zh-CN"/>
              </w:rPr>
              <w:t>15</w:t>
            </w:r>
            <w:r>
              <w:rPr>
                <w:rFonts w:hint="eastAsia" w:ascii="宋体" w:hAnsi="宋体" w:eastAsia="宋体" w:cs="宋体"/>
                <w:bCs w:val="0"/>
                <w:color w:val="auto"/>
                <w:kern w:val="0"/>
                <w:sz w:val="24"/>
                <w:szCs w:val="24"/>
                <w:highlight w:val="none"/>
                <w:u w:val="none"/>
                <w:shd w:val="clear" w:color="auto" w:fill="auto"/>
              </w:rPr>
              <w:t>分</w:t>
            </w:r>
          </w:p>
        </w:tc>
      </w:tr>
      <w:tr w14:paraId="3AD2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3"/>
            <w:noWrap/>
            <w:vAlign w:val="center"/>
          </w:tcPr>
          <w:p w14:paraId="0FDFE0E2">
            <w:pPr>
              <w:adjustRightInd w:val="0"/>
              <w:snapToGrid w:val="0"/>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汇总得分=技术标得分+</w:t>
            </w:r>
            <w:r>
              <w:rPr>
                <w:rFonts w:hint="eastAsia" w:ascii="宋体" w:hAnsi="宋体" w:cs="宋体"/>
                <w:b/>
                <w:bCs/>
                <w:color w:val="auto"/>
                <w:sz w:val="24"/>
                <w:szCs w:val="24"/>
                <w:highlight w:val="none"/>
                <w:lang w:val="en-US" w:eastAsia="zh-CN"/>
              </w:rPr>
              <w:t>价格</w:t>
            </w:r>
            <w:r>
              <w:rPr>
                <w:rFonts w:hint="eastAsia" w:ascii="宋体" w:hAnsi="宋体" w:cs="宋体"/>
                <w:b/>
                <w:bCs/>
                <w:color w:val="auto"/>
                <w:sz w:val="24"/>
                <w:szCs w:val="24"/>
                <w:highlight w:val="none"/>
              </w:rPr>
              <w:t>得分</w:t>
            </w:r>
            <w:r>
              <w:rPr>
                <w:rFonts w:hint="eastAsia" w:ascii="宋体" w:hAnsi="宋体" w:cs="宋体"/>
                <w:b/>
                <w:bCs/>
                <w:color w:val="auto"/>
                <w:sz w:val="24"/>
                <w:szCs w:val="24"/>
                <w:highlight w:val="none"/>
                <w:lang w:val="en-US" w:eastAsia="zh-CN"/>
              </w:rPr>
              <w:t>+商务标得分</w:t>
            </w:r>
          </w:p>
        </w:tc>
      </w:tr>
    </w:tbl>
    <w:p w14:paraId="00605B92">
      <w:pPr>
        <w:keepNext w:val="0"/>
        <w:keepLines w:val="0"/>
        <w:pageBreakBefore w:val="0"/>
        <w:widowControl w:val="0"/>
        <w:kinsoku/>
        <w:wordWrap w:val="0"/>
        <w:overflowPunct/>
        <w:topLinePunct/>
        <w:autoSpaceDE/>
        <w:autoSpaceDN/>
        <w:bidi w:val="0"/>
        <w:adjustRightInd w:val="0"/>
        <w:snapToGrid w:val="0"/>
        <w:spacing w:line="560" w:lineRule="exact"/>
        <w:ind w:firstLine="0"/>
        <w:jc w:val="both"/>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.3</w:t>
      </w:r>
      <w:r>
        <w:rPr>
          <w:rFonts w:hint="eastAsia" w:ascii="宋体" w:hAnsi="宋体" w:eastAsia="宋体"/>
          <w:color w:val="auto"/>
          <w:sz w:val="24"/>
          <w:highlight w:val="none"/>
        </w:rPr>
        <w:t>分值汇总</w:t>
      </w:r>
    </w:p>
    <w:p w14:paraId="64BFF214">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838ED68">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2）将每个供应商的技术资信分加上根据上述标准计算出的价格分，即为该供应商的综合总得分。</w:t>
      </w:r>
    </w:p>
    <w:p w14:paraId="4BE3649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36DA0EA">
      <w:pPr>
        <w:pStyle w:val="2"/>
        <w:bidi w:val="0"/>
        <w:spacing w:line="360" w:lineRule="auto"/>
        <w:jc w:val="center"/>
        <w:rPr>
          <w:rFonts w:hint="eastAsia"/>
          <w:color w:val="auto"/>
          <w:sz w:val="72"/>
          <w:szCs w:val="72"/>
          <w:highlight w:val="none"/>
        </w:rPr>
      </w:pPr>
      <w:bookmarkStart w:id="96" w:name="_Toc11965"/>
      <w:bookmarkStart w:id="97" w:name="_Toc4096"/>
      <w:bookmarkStart w:id="98" w:name="_Toc9948"/>
      <w:bookmarkStart w:id="99" w:name="_Toc11440"/>
      <w:bookmarkStart w:id="100" w:name="_Toc60608829"/>
      <w:bookmarkStart w:id="101" w:name="_Toc28801"/>
      <w:r>
        <w:rPr>
          <w:rFonts w:hint="eastAsia"/>
          <w:color w:val="auto"/>
          <w:sz w:val="72"/>
          <w:szCs w:val="72"/>
          <w:highlight w:val="none"/>
        </w:rPr>
        <w:t>第五章</w:t>
      </w:r>
      <w:r>
        <w:rPr>
          <w:rFonts w:hint="eastAsia"/>
          <w:color w:val="auto"/>
          <w:sz w:val="72"/>
          <w:szCs w:val="72"/>
          <w:highlight w:val="none"/>
          <w:lang w:val="en-US" w:eastAsia="zh-CN"/>
        </w:rPr>
        <w:t xml:space="preserve"> </w:t>
      </w:r>
      <w:r>
        <w:rPr>
          <w:rFonts w:hint="eastAsia"/>
          <w:color w:val="auto"/>
          <w:sz w:val="72"/>
          <w:szCs w:val="72"/>
          <w:highlight w:val="none"/>
        </w:rPr>
        <w:t>政府采购合同</w:t>
      </w:r>
      <w:bookmarkEnd w:id="96"/>
      <w:bookmarkEnd w:id="97"/>
      <w:bookmarkEnd w:id="98"/>
      <w:bookmarkEnd w:id="99"/>
      <w:bookmarkEnd w:id="100"/>
      <w:bookmarkEnd w:id="101"/>
    </w:p>
    <w:p w14:paraId="796FB2A3">
      <w:pPr>
        <w:pStyle w:val="1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bookmarkStart w:id="102" w:name="_Toc22814"/>
      <w:bookmarkStart w:id="103" w:name="_Toc10822"/>
      <w:bookmarkStart w:id="104" w:name="_Toc28656"/>
    </w:p>
    <w:p w14:paraId="0241B0F5">
      <w:pPr>
        <w:pStyle w:val="1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p>
    <w:p w14:paraId="6017ABD0">
      <w:pPr>
        <w:pStyle w:val="1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color w:val="auto"/>
          <w:sz w:val="44"/>
          <w:szCs w:val="44"/>
          <w:highlight w:val="none"/>
        </w:rPr>
      </w:pPr>
      <w:r>
        <w:rPr>
          <w:rFonts w:hint="eastAsia" w:hAnsi="宋体"/>
          <w:b/>
          <w:color w:val="auto"/>
          <w:sz w:val="52"/>
          <w:szCs w:val="52"/>
          <w:highlight w:val="none"/>
        </w:rPr>
        <w:t>建设工程施工合同</w:t>
      </w:r>
      <w:bookmarkEnd w:id="102"/>
      <w:bookmarkEnd w:id="103"/>
      <w:bookmarkEnd w:id="104"/>
    </w:p>
    <w:p w14:paraId="66A9BF5D">
      <w:pPr>
        <w:ind w:firstLine="1040" w:firstLineChars="200"/>
        <w:rPr>
          <w:rFonts w:ascii="宋体" w:hAnsi="宋体"/>
          <w:color w:val="auto"/>
          <w:sz w:val="52"/>
          <w:szCs w:val="52"/>
          <w:highlight w:val="none"/>
        </w:rPr>
      </w:pPr>
    </w:p>
    <w:p w14:paraId="3BD08A5C">
      <w:pPr>
        <w:ind w:firstLine="1040" w:firstLineChars="200"/>
        <w:jc w:val="center"/>
        <w:rPr>
          <w:rFonts w:hint="eastAsia" w:ascii="宋体" w:hAnsi="宋体"/>
          <w:color w:val="auto"/>
          <w:sz w:val="52"/>
          <w:szCs w:val="52"/>
          <w:highlight w:val="none"/>
        </w:rPr>
      </w:pPr>
    </w:p>
    <w:p w14:paraId="227D7B5C">
      <w:pPr>
        <w:ind w:firstLine="723" w:firstLineChars="200"/>
        <w:rPr>
          <w:rFonts w:hint="eastAsia" w:ascii="宋体" w:hAnsi="宋体"/>
          <w:b/>
          <w:bCs/>
          <w:color w:val="auto"/>
          <w:spacing w:val="20"/>
          <w:sz w:val="32"/>
          <w:szCs w:val="32"/>
          <w:highlight w:val="none"/>
        </w:rPr>
      </w:pPr>
    </w:p>
    <w:p w14:paraId="7A6AD4C8">
      <w:pPr>
        <w:pStyle w:val="8"/>
        <w:rPr>
          <w:rFonts w:hint="eastAsia" w:ascii="宋体" w:hAnsi="宋体"/>
          <w:b/>
          <w:bCs/>
          <w:color w:val="auto"/>
          <w:spacing w:val="20"/>
          <w:sz w:val="32"/>
          <w:szCs w:val="32"/>
          <w:highlight w:val="none"/>
        </w:rPr>
      </w:pPr>
    </w:p>
    <w:p w14:paraId="7E72C193">
      <w:pPr>
        <w:pStyle w:val="8"/>
        <w:rPr>
          <w:rFonts w:hint="eastAsia" w:ascii="宋体" w:hAnsi="宋体"/>
          <w:b/>
          <w:bCs/>
          <w:color w:val="auto"/>
          <w:spacing w:val="20"/>
          <w:sz w:val="32"/>
          <w:szCs w:val="32"/>
          <w:highlight w:val="none"/>
        </w:rPr>
      </w:pPr>
    </w:p>
    <w:p w14:paraId="3B35AF22">
      <w:pPr>
        <w:pStyle w:val="8"/>
        <w:rPr>
          <w:rFonts w:hint="eastAsia" w:ascii="宋体" w:hAnsi="宋体"/>
          <w:b/>
          <w:bCs/>
          <w:color w:val="auto"/>
          <w:spacing w:val="20"/>
          <w:sz w:val="32"/>
          <w:szCs w:val="32"/>
          <w:highlight w:val="none"/>
        </w:rPr>
      </w:pPr>
    </w:p>
    <w:p w14:paraId="06B23CAE">
      <w:pPr>
        <w:pStyle w:val="8"/>
        <w:rPr>
          <w:rFonts w:hint="eastAsia" w:ascii="宋体" w:hAnsi="宋体"/>
          <w:b/>
          <w:bCs/>
          <w:color w:val="auto"/>
          <w:spacing w:val="20"/>
          <w:sz w:val="32"/>
          <w:szCs w:val="32"/>
          <w:highlight w:val="none"/>
        </w:rPr>
      </w:pPr>
    </w:p>
    <w:p w14:paraId="3D5DCD96">
      <w:pPr>
        <w:pStyle w:val="8"/>
        <w:rPr>
          <w:rFonts w:hint="eastAsia" w:ascii="宋体" w:hAnsi="宋体"/>
          <w:b/>
          <w:bCs/>
          <w:color w:val="auto"/>
          <w:spacing w:val="20"/>
          <w:sz w:val="32"/>
          <w:szCs w:val="32"/>
          <w:highlight w:val="none"/>
        </w:rPr>
      </w:pPr>
    </w:p>
    <w:p w14:paraId="656AAD77">
      <w:pPr>
        <w:pStyle w:val="8"/>
        <w:rPr>
          <w:rFonts w:hint="eastAsia" w:ascii="宋体" w:hAnsi="宋体"/>
          <w:b/>
          <w:bCs/>
          <w:color w:val="auto"/>
          <w:spacing w:val="20"/>
          <w:sz w:val="32"/>
          <w:szCs w:val="32"/>
          <w:highlight w:val="none"/>
        </w:rPr>
      </w:pPr>
    </w:p>
    <w:p w14:paraId="2E303827">
      <w:pPr>
        <w:pStyle w:val="8"/>
        <w:rPr>
          <w:rFonts w:hint="eastAsia" w:ascii="宋体" w:hAnsi="宋体"/>
          <w:b/>
          <w:bCs/>
          <w:color w:val="auto"/>
          <w:spacing w:val="20"/>
          <w:sz w:val="32"/>
          <w:szCs w:val="32"/>
          <w:highlight w:val="none"/>
        </w:rPr>
      </w:pPr>
    </w:p>
    <w:p w14:paraId="155D13A7">
      <w:pPr>
        <w:pStyle w:val="8"/>
        <w:rPr>
          <w:rFonts w:hint="eastAsia" w:ascii="宋体" w:hAnsi="宋体"/>
          <w:b/>
          <w:bCs/>
          <w:color w:val="auto"/>
          <w:spacing w:val="20"/>
          <w:sz w:val="32"/>
          <w:szCs w:val="32"/>
          <w:highlight w:val="none"/>
        </w:rPr>
      </w:pPr>
    </w:p>
    <w:p w14:paraId="1D8F48AA">
      <w:pPr>
        <w:pStyle w:val="8"/>
        <w:rPr>
          <w:rFonts w:hint="eastAsia" w:ascii="宋体" w:hAnsi="宋体"/>
          <w:b/>
          <w:bCs/>
          <w:color w:val="auto"/>
          <w:spacing w:val="20"/>
          <w:sz w:val="32"/>
          <w:szCs w:val="32"/>
          <w:highlight w:val="none"/>
        </w:rPr>
      </w:pPr>
    </w:p>
    <w:p w14:paraId="14D8C7D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lang w:eastAsia="zh-CN"/>
        </w:rPr>
      </w:pPr>
      <w:bookmarkStart w:id="105" w:name="_Toc26324"/>
      <w:bookmarkStart w:id="106" w:name="_Toc10091"/>
      <w:bookmarkStart w:id="107" w:name="_Toc19423"/>
      <w:r>
        <w:rPr>
          <w:rFonts w:hint="eastAsia" w:ascii="宋体" w:hAnsi="宋体" w:eastAsia="宋体" w:cs="宋体"/>
          <w:b w:val="0"/>
          <w:bCs w:val="0"/>
          <w:color w:val="auto"/>
          <w:spacing w:val="0"/>
          <w:sz w:val="36"/>
          <w:szCs w:val="40"/>
        </w:rPr>
        <w:t>工程名称：</w:t>
      </w:r>
      <w:bookmarkEnd w:id="105"/>
      <w:bookmarkEnd w:id="106"/>
      <w:bookmarkEnd w:id="107"/>
      <w:r>
        <w:rPr>
          <w:rFonts w:hint="eastAsia" w:ascii="宋体" w:hAnsi="宋体" w:eastAsia="宋体" w:cs="宋体"/>
          <w:b w:val="0"/>
          <w:bCs w:val="0"/>
          <w:color w:val="auto"/>
          <w:spacing w:val="0"/>
          <w:sz w:val="36"/>
          <w:szCs w:val="40"/>
          <w:u w:val="single"/>
          <w:lang w:val="en-US" w:eastAsia="zh-CN"/>
        </w:rPr>
        <w:t xml:space="preserve">                  </w:t>
      </w:r>
    </w:p>
    <w:p w14:paraId="3D5F3A7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strike w:val="0"/>
          <w:color w:val="auto"/>
          <w:spacing w:val="0"/>
          <w:sz w:val="36"/>
          <w:szCs w:val="40"/>
          <w:u w:val="single"/>
        </w:rPr>
      </w:pPr>
      <w:bookmarkStart w:id="108" w:name="_Toc23655"/>
      <w:bookmarkStart w:id="109" w:name="_Toc20020"/>
      <w:r>
        <w:rPr>
          <w:rFonts w:hint="eastAsia" w:ascii="宋体" w:hAnsi="宋体" w:eastAsia="宋体" w:cs="宋体"/>
          <w:b w:val="0"/>
          <w:bCs w:val="0"/>
          <w:color w:val="auto"/>
          <w:spacing w:val="0"/>
          <w:sz w:val="36"/>
          <w:szCs w:val="40"/>
          <w:lang w:eastAsia="zh-CN"/>
        </w:rPr>
        <w:t>发包人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08"/>
      <w:bookmarkEnd w:id="109"/>
      <w:r>
        <w:rPr>
          <w:rFonts w:hint="eastAsia" w:ascii="宋体" w:hAnsi="宋体" w:eastAsia="宋体" w:cs="宋体"/>
          <w:b w:val="0"/>
          <w:bCs w:val="0"/>
          <w:color w:val="auto"/>
          <w:spacing w:val="0"/>
          <w:sz w:val="36"/>
          <w:szCs w:val="40"/>
          <w:u w:val="single"/>
          <w:lang w:val="en-US" w:eastAsia="zh-CN"/>
        </w:rPr>
        <w:t xml:space="preserve">                  </w:t>
      </w:r>
    </w:p>
    <w:p w14:paraId="7FCF66A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10" w:name="_Toc10237"/>
      <w:bookmarkStart w:id="111" w:name="_Toc26340"/>
      <w:bookmarkStart w:id="112" w:name="_Toc28700"/>
      <w:r>
        <w:rPr>
          <w:rFonts w:hint="eastAsia" w:ascii="宋体" w:hAnsi="宋体" w:eastAsia="宋体" w:cs="宋体"/>
          <w:b w:val="0"/>
          <w:bCs w:val="0"/>
          <w:color w:val="auto"/>
          <w:spacing w:val="0"/>
          <w:sz w:val="36"/>
          <w:szCs w:val="40"/>
          <w:lang w:eastAsia="zh-CN"/>
        </w:rPr>
        <w:t>承包人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10"/>
      <w:bookmarkEnd w:id="111"/>
      <w:bookmarkEnd w:id="112"/>
      <w:r>
        <w:rPr>
          <w:rFonts w:hint="eastAsia" w:ascii="宋体" w:hAnsi="宋体" w:eastAsia="宋体" w:cs="宋体"/>
          <w:b w:val="0"/>
          <w:bCs w:val="0"/>
          <w:color w:val="auto"/>
          <w:spacing w:val="0"/>
          <w:sz w:val="36"/>
          <w:szCs w:val="40"/>
          <w:u w:val="single"/>
          <w:lang w:val="en-US" w:eastAsia="zh-CN"/>
        </w:rPr>
        <w:t xml:space="preserve">                  </w:t>
      </w:r>
    </w:p>
    <w:p w14:paraId="1D07F0F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13" w:name="_Toc27455"/>
      <w:bookmarkStart w:id="114" w:name="_Toc3631"/>
      <w:bookmarkStart w:id="115" w:name="_Toc26257"/>
      <w:r>
        <w:rPr>
          <w:rFonts w:hint="eastAsia" w:ascii="宋体" w:hAnsi="宋体" w:eastAsia="宋体" w:cs="宋体"/>
          <w:b w:val="0"/>
          <w:bCs w:val="0"/>
          <w:color w:val="auto"/>
          <w:spacing w:val="0"/>
          <w:sz w:val="36"/>
          <w:szCs w:val="40"/>
          <w:lang w:eastAsia="zh-CN"/>
        </w:rPr>
        <w:t>签订地点：</w:t>
      </w:r>
      <w:bookmarkEnd w:id="113"/>
      <w:bookmarkEnd w:id="114"/>
      <w:bookmarkEnd w:id="115"/>
      <w:r>
        <w:rPr>
          <w:rFonts w:hint="eastAsia" w:ascii="宋体" w:hAnsi="宋体" w:eastAsia="宋体" w:cs="宋体"/>
          <w:b w:val="0"/>
          <w:bCs w:val="0"/>
          <w:color w:val="auto"/>
          <w:spacing w:val="0"/>
          <w:sz w:val="36"/>
          <w:szCs w:val="40"/>
          <w:u w:val="single"/>
          <w:lang w:val="en-US" w:eastAsia="zh-CN"/>
        </w:rPr>
        <w:t xml:space="preserve">                  </w:t>
      </w:r>
    </w:p>
    <w:p w14:paraId="7D0077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none"/>
        </w:rPr>
      </w:pPr>
      <w:bookmarkStart w:id="116" w:name="_Toc5333"/>
      <w:bookmarkStart w:id="117" w:name="_Toc5114"/>
      <w:bookmarkStart w:id="118" w:name="_Toc10887"/>
      <w:r>
        <w:rPr>
          <w:rFonts w:hint="eastAsia" w:ascii="宋体" w:hAnsi="宋体" w:eastAsia="宋体" w:cs="宋体"/>
          <w:b w:val="0"/>
          <w:bCs w:val="0"/>
          <w:color w:val="auto"/>
          <w:spacing w:val="0"/>
          <w:sz w:val="36"/>
          <w:szCs w:val="40"/>
        </w:rPr>
        <w:t>签订时间：</w:t>
      </w:r>
      <w:r>
        <w:rPr>
          <w:rFonts w:hint="eastAsia" w:ascii="宋体" w:hAnsi="宋体" w:eastAsia="宋体" w:cs="宋体"/>
          <w:b w:val="0"/>
          <w:bCs w:val="0"/>
          <w:color w:val="auto"/>
          <w:spacing w:val="0"/>
          <w:sz w:val="36"/>
          <w:szCs w:val="40"/>
          <w:u w:val="none"/>
        </w:rPr>
        <w:t xml:space="preserve">      年    月    日</w:t>
      </w:r>
      <w:bookmarkEnd w:id="116"/>
      <w:bookmarkEnd w:id="117"/>
      <w:bookmarkEnd w:id="118"/>
    </w:p>
    <w:p w14:paraId="18DFB26E">
      <w:pPr>
        <w:spacing w:line="360" w:lineRule="auto"/>
        <w:rPr>
          <w:rFonts w:hint="eastAsia" w:ascii="宋体" w:hAnsi="宋体" w:eastAsia="宋体" w:cs="宋体"/>
          <w:color w:val="auto"/>
          <w:sz w:val="36"/>
          <w:szCs w:val="40"/>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119" w:name="_Toc12609346"/>
      <w:bookmarkStart w:id="120" w:name="_Toc389065255"/>
      <w:bookmarkStart w:id="121" w:name="_Toc373227552"/>
      <w:bookmarkStart w:id="122" w:name="_Toc373478199"/>
      <w:bookmarkStart w:id="123" w:name="_Toc407135191"/>
    </w:p>
    <w:p w14:paraId="43796F73">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b/>
          <w:bCs/>
          <w:color w:val="auto"/>
          <w:sz w:val="32"/>
          <w:szCs w:val="36"/>
          <w:highlight w:val="none"/>
        </w:rPr>
      </w:pPr>
      <w:bookmarkStart w:id="124" w:name="_Toc15832"/>
      <w:r>
        <w:rPr>
          <w:rFonts w:hint="eastAsia" w:cs="黑体"/>
          <w:b/>
          <w:bCs/>
          <w:color w:val="auto"/>
          <w:sz w:val="32"/>
          <w:szCs w:val="36"/>
          <w:highlight w:val="none"/>
        </w:rPr>
        <w:t>第一部分</w:t>
      </w:r>
      <w:r>
        <w:rPr>
          <w:b/>
          <w:bCs/>
          <w:color w:val="auto"/>
          <w:sz w:val="32"/>
          <w:szCs w:val="36"/>
          <w:highlight w:val="none"/>
        </w:rPr>
        <w:t xml:space="preserve"> </w:t>
      </w:r>
      <w:r>
        <w:rPr>
          <w:rFonts w:hint="eastAsia" w:cs="黑体"/>
          <w:b/>
          <w:bCs/>
          <w:color w:val="auto"/>
          <w:sz w:val="32"/>
          <w:szCs w:val="36"/>
          <w:highlight w:val="none"/>
        </w:rPr>
        <w:t>合同协议书</w:t>
      </w:r>
      <w:bookmarkEnd w:id="119"/>
      <w:bookmarkEnd w:id="120"/>
      <w:bookmarkEnd w:id="121"/>
      <w:bookmarkEnd w:id="122"/>
      <w:bookmarkEnd w:id="123"/>
      <w:bookmarkEnd w:id="124"/>
    </w:p>
    <w:p w14:paraId="266320B8">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p>
    <w:p w14:paraId="53A22779">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24EE466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14:paraId="554ABD77">
      <w:pPr>
        <w:spacing w:line="560" w:lineRule="exact"/>
        <w:ind w:firstLine="0" w:firstLineChars="0"/>
        <w:outlineLvl w:val="2"/>
        <w:rPr>
          <w:rFonts w:hint="eastAsia" w:ascii="宋体" w:hAnsi="宋体" w:cs="宋体"/>
          <w:b/>
          <w:bCs/>
          <w:color w:val="auto"/>
          <w:sz w:val="24"/>
          <w:szCs w:val="24"/>
          <w:highlight w:val="none"/>
        </w:rPr>
      </w:pPr>
      <w:bookmarkStart w:id="125" w:name="_Toc11737"/>
      <w:r>
        <w:rPr>
          <w:rFonts w:hint="eastAsia" w:ascii="宋体" w:hAnsi="宋体" w:cs="宋体"/>
          <w:b/>
          <w:bCs/>
          <w:color w:val="auto"/>
          <w:sz w:val="24"/>
          <w:szCs w:val="24"/>
          <w:highlight w:val="none"/>
        </w:rPr>
        <w:t>一、工程概况</w:t>
      </w:r>
      <w:bookmarkEnd w:id="125"/>
    </w:p>
    <w:p w14:paraId="1C1BDF16">
      <w:pPr>
        <w:spacing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工程名称：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26509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B4017E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B24334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 资金来源：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3CB98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 工程内容：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EED5F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群体工程应附《承包人承揽工程项目一览表》（附件1）。</w:t>
      </w:r>
    </w:p>
    <w:p w14:paraId="2F03B15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 工程承包范围：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FE223">
      <w:pPr>
        <w:spacing w:line="560" w:lineRule="exact"/>
        <w:ind w:firstLine="0" w:firstLineChars="0"/>
        <w:outlineLvl w:val="2"/>
        <w:rPr>
          <w:rFonts w:hint="eastAsia" w:ascii="宋体" w:hAnsi="宋体" w:cs="宋体"/>
          <w:b/>
          <w:bCs/>
          <w:color w:val="auto"/>
          <w:sz w:val="24"/>
          <w:szCs w:val="24"/>
          <w:highlight w:val="none"/>
        </w:rPr>
      </w:pPr>
      <w:bookmarkStart w:id="126" w:name="_Toc18340"/>
      <w:r>
        <w:rPr>
          <w:rFonts w:hint="eastAsia" w:ascii="宋体" w:hAnsi="宋体" w:cs="宋体"/>
          <w:b/>
          <w:bCs/>
          <w:color w:val="auto"/>
          <w:sz w:val="24"/>
          <w:szCs w:val="24"/>
          <w:highlight w:val="none"/>
        </w:rPr>
        <w:t>二、合同工期</w:t>
      </w:r>
      <w:bookmarkEnd w:id="126"/>
    </w:p>
    <w:p w14:paraId="6F128036">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日。（具体以发包人书面通知为准）</w:t>
      </w:r>
    </w:p>
    <w:p w14:paraId="4A1818B7">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14:paraId="056B229C">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11EB7F64">
      <w:pPr>
        <w:spacing w:line="560" w:lineRule="exact"/>
        <w:ind w:firstLine="0"/>
        <w:outlineLvl w:val="2"/>
        <w:rPr>
          <w:rFonts w:hint="eastAsia" w:ascii="宋体" w:hAnsi="宋体" w:cs="宋体"/>
          <w:b/>
          <w:bCs/>
          <w:color w:val="auto"/>
          <w:sz w:val="24"/>
          <w:szCs w:val="24"/>
          <w:highlight w:val="none"/>
        </w:rPr>
      </w:pPr>
      <w:bookmarkStart w:id="127" w:name="_Toc17866"/>
      <w:r>
        <w:rPr>
          <w:rFonts w:hint="eastAsia" w:ascii="宋体" w:hAnsi="宋体" w:cs="宋体"/>
          <w:b/>
          <w:bCs/>
          <w:color w:val="auto"/>
          <w:sz w:val="24"/>
          <w:szCs w:val="24"/>
          <w:highlight w:val="none"/>
        </w:rPr>
        <w:t>三、质量标准</w:t>
      </w:r>
      <w:bookmarkEnd w:id="127"/>
    </w:p>
    <w:p w14:paraId="765F023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工程质量标准：达到国家质量评定</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标准。</w:t>
      </w:r>
    </w:p>
    <w:p w14:paraId="00CCDD57">
      <w:pPr>
        <w:spacing w:line="560" w:lineRule="exact"/>
        <w:ind w:firstLine="0"/>
        <w:outlineLvl w:val="2"/>
        <w:rPr>
          <w:rFonts w:hint="eastAsia" w:ascii="宋体" w:hAnsi="宋体" w:cs="宋体"/>
          <w:b/>
          <w:bCs/>
          <w:color w:val="auto"/>
          <w:sz w:val="24"/>
          <w:szCs w:val="24"/>
          <w:highlight w:val="none"/>
        </w:rPr>
      </w:pPr>
      <w:bookmarkStart w:id="128" w:name="_Toc3570"/>
      <w:r>
        <w:rPr>
          <w:rFonts w:hint="eastAsia" w:ascii="宋体" w:hAnsi="宋体" w:cs="宋体"/>
          <w:b/>
          <w:bCs/>
          <w:color w:val="auto"/>
          <w:sz w:val="24"/>
          <w:szCs w:val="24"/>
          <w:highlight w:val="none"/>
        </w:rPr>
        <w:t>四、签约合同价与合同价格形式</w:t>
      </w:r>
      <w:bookmarkEnd w:id="128"/>
    </w:p>
    <w:p w14:paraId="01E0F51A">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1. 签约合同价为：</w:t>
      </w:r>
    </w:p>
    <w:p w14:paraId="03A1662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57FF42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2492634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6190CD8C">
      <w:pPr>
        <w:spacing w:line="56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517F1CE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4EB6702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C520D6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63F85A0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D5402B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342B7EA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4A78353">
      <w:pPr>
        <w:shd w:val="clear" w:color="auto" w:fill="auto"/>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 合同价格形式： </w:t>
      </w:r>
      <w:r>
        <w:rPr>
          <w:rFonts w:hint="eastAsia" w:ascii="宋体" w:hAnsi="宋体" w:cs="宋体"/>
          <w:color w:val="auto"/>
          <w:sz w:val="24"/>
          <w:szCs w:val="24"/>
          <w:highlight w:val="none"/>
          <w:u w:val="single"/>
          <w:lang w:eastAsia="zh-CN"/>
        </w:rPr>
        <w:t>固定综合单价</w:t>
      </w:r>
      <w:r>
        <w:rPr>
          <w:rFonts w:hint="eastAsia" w:ascii="宋体" w:hAnsi="宋体" w:cs="宋体"/>
          <w:color w:val="auto"/>
          <w:sz w:val="24"/>
          <w:szCs w:val="24"/>
          <w:highlight w:val="none"/>
        </w:rPr>
        <w:t>。</w:t>
      </w:r>
    </w:p>
    <w:p w14:paraId="719F304F">
      <w:pPr>
        <w:spacing w:line="560" w:lineRule="exact"/>
        <w:ind w:firstLine="0" w:firstLineChars="0"/>
        <w:outlineLvl w:val="2"/>
        <w:rPr>
          <w:rFonts w:hint="eastAsia" w:ascii="宋体" w:hAnsi="宋体" w:cs="宋体"/>
          <w:b/>
          <w:bCs/>
          <w:color w:val="auto"/>
          <w:sz w:val="24"/>
          <w:szCs w:val="24"/>
          <w:highlight w:val="none"/>
        </w:rPr>
      </w:pPr>
      <w:bookmarkStart w:id="129" w:name="_Toc15902"/>
      <w:r>
        <w:rPr>
          <w:rFonts w:hint="eastAsia" w:ascii="宋体" w:hAnsi="宋体" w:cs="宋体"/>
          <w:b/>
          <w:bCs/>
          <w:color w:val="auto"/>
          <w:sz w:val="24"/>
          <w:szCs w:val="24"/>
          <w:highlight w:val="none"/>
        </w:rPr>
        <w:t>五、项目经理</w:t>
      </w:r>
      <w:bookmarkEnd w:id="129"/>
    </w:p>
    <w:p w14:paraId="6D3B84C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98FF88">
      <w:pPr>
        <w:spacing w:line="560" w:lineRule="exact"/>
        <w:ind w:firstLine="0" w:firstLineChars="0"/>
        <w:outlineLvl w:val="2"/>
        <w:rPr>
          <w:rFonts w:hint="eastAsia" w:ascii="宋体" w:hAnsi="宋体" w:cs="宋体"/>
          <w:b/>
          <w:bCs/>
          <w:color w:val="auto"/>
          <w:sz w:val="24"/>
          <w:szCs w:val="24"/>
          <w:highlight w:val="none"/>
        </w:rPr>
      </w:pPr>
      <w:bookmarkStart w:id="130" w:name="_Toc25183"/>
      <w:r>
        <w:rPr>
          <w:rFonts w:hint="eastAsia" w:ascii="宋体" w:hAnsi="宋体" w:cs="宋体"/>
          <w:b/>
          <w:bCs/>
          <w:color w:val="auto"/>
          <w:sz w:val="24"/>
          <w:szCs w:val="24"/>
          <w:highlight w:val="none"/>
        </w:rPr>
        <w:t>六、合同文件构成</w:t>
      </w:r>
      <w:bookmarkEnd w:id="130"/>
    </w:p>
    <w:p w14:paraId="58BFFF5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702DC027">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（1）中标通知书（如有）；</w:t>
      </w:r>
    </w:p>
    <w:p w14:paraId="1F8BB7B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（2）投标函及其附录（如有）； </w:t>
      </w:r>
    </w:p>
    <w:p w14:paraId="4F8D639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7C231E1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348C4011">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5A8630A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（6）施工图纸；</w:t>
      </w:r>
    </w:p>
    <w:p w14:paraId="1CD172D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（7）已标价工程量清单或预算书； </w:t>
      </w:r>
    </w:p>
    <w:p w14:paraId="26ACA476">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（8）其他合同文件：</w:t>
      </w:r>
    </w:p>
    <w:p w14:paraId="07BC669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572870F">
      <w:pPr>
        <w:autoSpaceDE w:val="0"/>
        <w:autoSpaceDN w:val="0"/>
        <w:adjustRightInd/>
        <w:spacing w:line="560" w:lineRule="exact"/>
        <w:ind w:firstLine="0" w:firstLineChars="0"/>
        <w:jc w:val="both"/>
        <w:outlineLvl w:val="2"/>
        <w:rPr>
          <w:rFonts w:hint="eastAsia" w:ascii="宋体" w:hAnsi="宋体" w:cs="宋体"/>
          <w:b/>
          <w:bCs/>
          <w:color w:val="auto"/>
          <w:sz w:val="24"/>
          <w:szCs w:val="24"/>
          <w:highlight w:val="none"/>
        </w:rPr>
      </w:pPr>
      <w:bookmarkStart w:id="131" w:name="_Toc11070"/>
      <w:r>
        <w:rPr>
          <w:rFonts w:hint="eastAsia" w:ascii="宋体" w:hAnsi="宋体" w:cs="宋体"/>
          <w:b/>
          <w:bCs/>
          <w:color w:val="auto"/>
          <w:sz w:val="24"/>
          <w:szCs w:val="24"/>
          <w:highlight w:val="none"/>
        </w:rPr>
        <w:t>七、承诺</w:t>
      </w:r>
      <w:bookmarkEnd w:id="131"/>
    </w:p>
    <w:p w14:paraId="7BAF132E">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发包人承诺按照法律规定履行项目审批手续、筹集工程建设资金并按照合同约定的期限和方式支付合同价款。</w:t>
      </w:r>
    </w:p>
    <w:p w14:paraId="10E5B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444E7BA8">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发包人和承包人通过招投标形式签订合同的，双方理解并承诺不再就同一工程另行签订与合同实质性内容相背离的协议。</w:t>
      </w:r>
    </w:p>
    <w:p w14:paraId="3615F00D">
      <w:pPr>
        <w:spacing w:line="560" w:lineRule="exact"/>
        <w:ind w:firstLine="0" w:firstLineChars="0"/>
        <w:outlineLvl w:val="2"/>
        <w:rPr>
          <w:rFonts w:hint="eastAsia" w:ascii="宋体" w:hAnsi="宋体" w:cs="宋体"/>
          <w:b/>
          <w:bCs/>
          <w:color w:val="auto"/>
          <w:sz w:val="24"/>
          <w:szCs w:val="24"/>
          <w:highlight w:val="none"/>
        </w:rPr>
      </w:pPr>
      <w:bookmarkStart w:id="132" w:name="_Toc29673"/>
      <w:r>
        <w:rPr>
          <w:rFonts w:hint="eastAsia" w:ascii="宋体" w:hAnsi="宋体" w:cs="宋体"/>
          <w:b/>
          <w:bCs/>
          <w:color w:val="auto"/>
          <w:sz w:val="24"/>
          <w:szCs w:val="24"/>
          <w:highlight w:val="none"/>
        </w:rPr>
        <w:t>八、词语含义</w:t>
      </w:r>
      <w:bookmarkEnd w:id="132"/>
    </w:p>
    <w:p w14:paraId="202BF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1ECFBB6D">
      <w:pPr>
        <w:spacing w:line="560" w:lineRule="exact"/>
        <w:ind w:firstLine="0" w:firstLineChars="0"/>
        <w:outlineLvl w:val="2"/>
        <w:rPr>
          <w:rFonts w:hint="eastAsia" w:ascii="宋体" w:hAnsi="宋体" w:cs="宋体"/>
          <w:b/>
          <w:bCs/>
          <w:color w:val="auto"/>
          <w:sz w:val="24"/>
          <w:szCs w:val="24"/>
          <w:highlight w:val="none"/>
        </w:rPr>
      </w:pPr>
      <w:bookmarkStart w:id="133" w:name="_Toc9094"/>
      <w:r>
        <w:rPr>
          <w:rFonts w:hint="eastAsia" w:ascii="宋体" w:hAnsi="宋体" w:cs="宋体"/>
          <w:b/>
          <w:bCs/>
          <w:color w:val="auto"/>
          <w:sz w:val="24"/>
          <w:szCs w:val="24"/>
          <w:highlight w:val="none"/>
        </w:rPr>
        <w:t>九、签订时间</w:t>
      </w:r>
      <w:bookmarkEnd w:id="133"/>
    </w:p>
    <w:p w14:paraId="7DCEBB1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385CC68B">
      <w:pPr>
        <w:spacing w:line="560" w:lineRule="exact"/>
        <w:ind w:firstLine="0" w:firstLineChars="0"/>
        <w:outlineLvl w:val="2"/>
        <w:rPr>
          <w:rFonts w:hint="eastAsia" w:ascii="宋体" w:hAnsi="宋体" w:cs="宋体"/>
          <w:b/>
          <w:bCs/>
          <w:color w:val="auto"/>
          <w:sz w:val="24"/>
          <w:szCs w:val="24"/>
          <w:highlight w:val="none"/>
        </w:rPr>
      </w:pPr>
      <w:bookmarkStart w:id="134" w:name="_Toc23940"/>
      <w:r>
        <w:rPr>
          <w:rFonts w:hint="eastAsia" w:ascii="宋体" w:hAnsi="宋体" w:cs="宋体"/>
          <w:b/>
          <w:bCs/>
          <w:color w:val="auto"/>
          <w:sz w:val="24"/>
          <w:szCs w:val="24"/>
          <w:highlight w:val="none"/>
        </w:rPr>
        <w:t>十、签订地点</w:t>
      </w:r>
      <w:bookmarkEnd w:id="134"/>
    </w:p>
    <w:p w14:paraId="4992FB3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5E850490">
      <w:pPr>
        <w:spacing w:line="560" w:lineRule="exact"/>
        <w:ind w:firstLine="0" w:firstLineChars="0"/>
        <w:outlineLvl w:val="2"/>
        <w:rPr>
          <w:rFonts w:hint="eastAsia" w:ascii="宋体" w:hAnsi="宋体" w:cs="宋体"/>
          <w:b/>
          <w:bCs/>
          <w:color w:val="auto"/>
          <w:sz w:val="24"/>
          <w:szCs w:val="24"/>
          <w:highlight w:val="none"/>
        </w:rPr>
      </w:pPr>
      <w:bookmarkStart w:id="135" w:name="_Toc25591"/>
      <w:r>
        <w:rPr>
          <w:rFonts w:hint="eastAsia" w:ascii="宋体" w:hAnsi="宋体" w:cs="宋体"/>
          <w:b/>
          <w:bCs/>
          <w:color w:val="auto"/>
          <w:sz w:val="24"/>
          <w:szCs w:val="24"/>
          <w:highlight w:val="none"/>
        </w:rPr>
        <w:t>十一、补充协议</w:t>
      </w:r>
      <w:bookmarkEnd w:id="135"/>
    </w:p>
    <w:p w14:paraId="7734281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4D8A36A2">
      <w:pPr>
        <w:spacing w:line="560" w:lineRule="exact"/>
        <w:ind w:firstLine="0" w:firstLineChars="0"/>
        <w:outlineLvl w:val="2"/>
        <w:rPr>
          <w:rFonts w:hint="eastAsia" w:ascii="宋体" w:hAnsi="宋体" w:cs="宋体"/>
          <w:b/>
          <w:bCs/>
          <w:color w:val="auto"/>
          <w:sz w:val="24"/>
          <w:szCs w:val="24"/>
          <w:highlight w:val="none"/>
        </w:rPr>
      </w:pPr>
      <w:bookmarkStart w:id="136" w:name="_Toc18059"/>
      <w:r>
        <w:rPr>
          <w:rFonts w:hint="eastAsia" w:ascii="宋体" w:hAnsi="宋体" w:cs="宋体"/>
          <w:b/>
          <w:bCs/>
          <w:color w:val="auto"/>
          <w:sz w:val="24"/>
          <w:szCs w:val="24"/>
          <w:highlight w:val="none"/>
        </w:rPr>
        <w:t>十二、合同生效</w:t>
      </w:r>
      <w:bookmarkEnd w:id="136"/>
    </w:p>
    <w:p w14:paraId="1B51A01A">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双</w:t>
      </w:r>
      <w:r>
        <w:rPr>
          <w:rFonts w:hint="eastAsia" w:ascii="宋体" w:hAnsi="宋体" w:cs="宋体"/>
          <w:color w:val="auto"/>
          <w:sz w:val="24"/>
          <w:szCs w:val="24"/>
          <w:highlight w:val="none"/>
          <w:u w:val="single"/>
        </w:rPr>
        <w:t xml:space="preserve">方签字并盖章后 </w:t>
      </w:r>
      <w:r>
        <w:rPr>
          <w:rFonts w:hint="eastAsia" w:ascii="宋体" w:hAnsi="宋体" w:cs="宋体"/>
          <w:color w:val="auto"/>
          <w:sz w:val="24"/>
          <w:szCs w:val="24"/>
          <w:highlight w:val="none"/>
        </w:rPr>
        <w:t xml:space="preserve"> 生效。</w:t>
      </w:r>
    </w:p>
    <w:p w14:paraId="1EBE748C">
      <w:pPr>
        <w:spacing w:line="560" w:lineRule="exact"/>
        <w:ind w:firstLine="0" w:firstLineChars="0"/>
        <w:outlineLvl w:val="2"/>
        <w:rPr>
          <w:rFonts w:hint="eastAsia" w:ascii="宋体" w:hAnsi="宋体" w:cs="宋体"/>
          <w:b/>
          <w:bCs/>
          <w:color w:val="auto"/>
          <w:sz w:val="24"/>
          <w:szCs w:val="24"/>
          <w:highlight w:val="none"/>
        </w:rPr>
      </w:pPr>
      <w:bookmarkStart w:id="137" w:name="_Toc17266"/>
      <w:r>
        <w:rPr>
          <w:rFonts w:hint="eastAsia" w:ascii="宋体" w:hAnsi="宋体" w:cs="宋体"/>
          <w:b/>
          <w:bCs/>
          <w:color w:val="auto"/>
          <w:sz w:val="24"/>
          <w:szCs w:val="24"/>
          <w:highlight w:val="none"/>
        </w:rPr>
        <w:t>十三、合同份数</w:t>
      </w:r>
      <w:bookmarkEnd w:id="137"/>
    </w:p>
    <w:p w14:paraId="594B9F60">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本合同一式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0EA8620">
      <w:pPr>
        <w:spacing w:line="360" w:lineRule="auto"/>
        <w:rPr>
          <w:color w:val="auto"/>
          <w:highlight w:val="none"/>
        </w:rPr>
      </w:pPr>
    </w:p>
    <w:p w14:paraId="230E1A48">
      <w:pPr>
        <w:spacing w:line="360" w:lineRule="auto"/>
        <w:rPr>
          <w:color w:val="auto"/>
          <w:highlight w:val="none"/>
        </w:rPr>
      </w:pPr>
    </w:p>
    <w:p w14:paraId="49C3D80E">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color w:val="auto"/>
          <w:highlight w:val="none"/>
          <w:lang w:val="en-US" w:eastAsia="zh-CN"/>
        </w:rPr>
        <w:t xml:space="preserve">承包人 </w:t>
      </w:r>
      <w:r>
        <w:rPr>
          <w:rFonts w:hint="eastAsia" w:hAnsi="宋体" w:cs="宋体"/>
          <w:color w:val="auto"/>
          <w:highlight w:val="none"/>
        </w:rPr>
        <w:t>：</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64B43256">
      <w:pPr>
        <w:spacing w:line="360" w:lineRule="auto"/>
        <w:rPr>
          <w:color w:val="auto"/>
          <w:highlight w:val="none"/>
          <w:u w:val="single"/>
        </w:rPr>
      </w:pPr>
      <w:r>
        <w:rPr>
          <w:color w:val="auto"/>
          <w:highlight w:val="none"/>
        </w:rPr>
        <w:t xml:space="preserve">                                 </w:t>
      </w:r>
    </w:p>
    <w:p w14:paraId="60B42853">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5E28C257">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6A5DD036">
      <w:pPr>
        <w:spacing w:line="360" w:lineRule="auto"/>
        <w:rPr>
          <w:color w:val="auto"/>
          <w:highlight w:val="none"/>
          <w:u w:val="single"/>
        </w:rPr>
      </w:pPr>
    </w:p>
    <w:p w14:paraId="236F9E34">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710A80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5E4E5A2D">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C21DD10">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D5651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E55FD1D">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2156275">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EFED876">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ED153E8">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60750DD">
      <w:pPr>
        <w:spacing w:line="360" w:lineRule="auto"/>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7F82C6B">
      <w:pPr>
        <w:widowControl/>
        <w:spacing w:line="360" w:lineRule="auto"/>
        <w:jc w:val="both"/>
        <w:rPr>
          <w:color w:val="auto"/>
          <w:highlight w:val="none"/>
        </w:rPr>
      </w:pPr>
    </w:p>
    <w:p w14:paraId="265BF4A5">
      <w:pPr>
        <w:spacing w:line="360" w:lineRule="auto"/>
        <w:rPr>
          <w:color w:val="auto"/>
          <w:highlight w:val="none"/>
          <w:u w:val="single"/>
        </w:rPr>
      </w:pPr>
      <w:r>
        <w:rPr>
          <w:color w:val="auto"/>
          <w:highlight w:val="none"/>
        </w:rPr>
        <w:t xml:space="preserve">             </w:t>
      </w:r>
    </w:p>
    <w:p w14:paraId="0A6B5462">
      <w:pPr>
        <w:widowControl/>
        <w:jc w:val="left"/>
        <w:rPr>
          <w:color w:val="auto"/>
          <w:highlight w:val="none"/>
          <w:u w:val="single"/>
        </w:rPr>
      </w:pPr>
      <w:r>
        <w:rPr>
          <w:color w:val="auto"/>
          <w:highlight w:val="none"/>
        </w:rPr>
        <w:br w:type="page"/>
      </w:r>
    </w:p>
    <w:p w14:paraId="2E64A1F9">
      <w:pPr>
        <w:pStyle w:val="2"/>
        <w:spacing w:line="360" w:lineRule="auto"/>
        <w:jc w:val="center"/>
        <w:outlineLvl w:val="1"/>
        <w:rPr>
          <w:color w:val="auto"/>
          <w:highlight w:val="none"/>
        </w:rPr>
      </w:pPr>
      <w:bookmarkStart w:id="138" w:name="_Toc2947"/>
      <w:bookmarkStart w:id="139" w:name="_Toc407135192"/>
      <w:bookmarkStart w:id="140" w:name="_Toc12609347"/>
      <w:bookmarkStart w:id="141" w:name="_Toc389065256"/>
      <w:bookmarkStart w:id="142" w:name="_Toc351203632"/>
      <w:bookmarkStart w:id="143" w:name="_Toc373478338"/>
      <w:bookmarkStart w:id="144"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8"/>
      <w:bookmarkEnd w:id="139"/>
      <w:bookmarkEnd w:id="140"/>
      <w:bookmarkEnd w:id="141"/>
    </w:p>
    <w:p w14:paraId="5C80FD3B">
      <w:pPr>
        <w:spacing w:line="360" w:lineRule="auto"/>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采用《建设工程施工合同（示范文本）》（GF—2017—0201）。</w:t>
      </w:r>
    </w:p>
    <w:p w14:paraId="1E666E5A">
      <w:pPr>
        <w:pStyle w:val="2"/>
        <w:keepNext w:val="0"/>
        <w:keepLines w:val="0"/>
        <w:spacing w:line="360" w:lineRule="auto"/>
        <w:jc w:val="center"/>
        <w:outlineLvl w:val="1"/>
        <w:rPr>
          <w:rFonts w:hAnsi="宋体"/>
          <w:color w:val="auto"/>
          <w:sz w:val="30"/>
          <w:szCs w:val="30"/>
          <w:highlight w:val="none"/>
        </w:rPr>
      </w:pPr>
      <w:bookmarkStart w:id="145" w:name="_Toc407135193"/>
      <w:bookmarkStart w:id="146" w:name="_Toc12609348"/>
      <w:bookmarkStart w:id="147" w:name="_Toc389065257"/>
      <w:bookmarkStart w:id="148" w:name="_Toc1252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42"/>
      <w:bookmarkEnd w:id="143"/>
      <w:bookmarkEnd w:id="144"/>
      <w:bookmarkEnd w:id="145"/>
      <w:bookmarkEnd w:id="146"/>
      <w:bookmarkEnd w:id="147"/>
      <w:bookmarkEnd w:id="148"/>
    </w:p>
    <w:p w14:paraId="109757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b/>
          <w:bCs/>
          <w:color w:val="auto"/>
          <w:kern w:val="0"/>
          <w:highlight w:val="none"/>
        </w:rPr>
      </w:pPr>
      <w:bookmarkStart w:id="149" w:name="_Toc23035"/>
      <w:bookmarkStart w:id="150" w:name="_Toc22774"/>
      <w:bookmarkStart w:id="151" w:name="_Toc10627"/>
      <w:r>
        <w:rPr>
          <w:rFonts w:hint="eastAsia" w:hAnsi="宋体" w:cs="宋体"/>
          <w:b/>
          <w:bCs/>
          <w:color w:val="auto"/>
          <w:kern w:val="0"/>
          <w:highlight w:val="none"/>
        </w:rPr>
        <w:t>（注：专用合同条款每一条均应填写完整！）</w:t>
      </w:r>
      <w:bookmarkEnd w:id="149"/>
      <w:bookmarkEnd w:id="150"/>
      <w:bookmarkEnd w:id="151"/>
    </w:p>
    <w:p w14:paraId="7B832DC2">
      <w:pPr>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9"/>
        <w:rPr>
          <w:rFonts w:hint="eastAsia" w:ascii="宋体" w:hAnsi="宋体" w:eastAsia="宋体" w:cs="宋体"/>
          <w:color w:val="auto"/>
          <w:sz w:val="24"/>
          <w:szCs w:val="24"/>
          <w:highlight w:val="none"/>
        </w:rPr>
      </w:pPr>
      <w:bookmarkStart w:id="152" w:name="_Toc407135194"/>
      <w:bookmarkStart w:id="153" w:name="_Toc373227692"/>
      <w:bookmarkStart w:id="154" w:name="_Toc12609349"/>
      <w:bookmarkStart w:id="155" w:name="_Toc17425"/>
      <w:bookmarkStart w:id="156" w:name="_Toc7248"/>
      <w:bookmarkStart w:id="157" w:name="_Toc389065258"/>
      <w:bookmarkStart w:id="158" w:name="_Toc373478339"/>
      <w:bookmarkStart w:id="159" w:name="_Toc21577"/>
      <w:r>
        <w:rPr>
          <w:rFonts w:hint="eastAsia" w:ascii="宋体" w:hAnsi="宋体" w:eastAsia="宋体" w:cs="宋体"/>
          <w:color w:val="auto"/>
          <w:sz w:val="24"/>
          <w:szCs w:val="24"/>
          <w:highlight w:val="none"/>
        </w:rPr>
        <w:t>1. 一般约定</w:t>
      </w:r>
      <w:bookmarkEnd w:id="152"/>
      <w:bookmarkEnd w:id="153"/>
      <w:bookmarkEnd w:id="154"/>
      <w:bookmarkEnd w:id="155"/>
      <w:bookmarkEnd w:id="156"/>
      <w:bookmarkEnd w:id="157"/>
      <w:bookmarkEnd w:id="158"/>
      <w:bookmarkEnd w:id="159"/>
    </w:p>
    <w:p w14:paraId="30DB92C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0" w:name="_Toc373478340"/>
      <w:bookmarkStart w:id="161" w:name="_Toc407135195"/>
      <w:bookmarkStart w:id="162" w:name="_Toc23388"/>
      <w:bookmarkStart w:id="163" w:name="_Toc16545"/>
      <w:bookmarkStart w:id="164" w:name="_Toc1436"/>
      <w:bookmarkStart w:id="165" w:name="_Toc12609350"/>
      <w:bookmarkStart w:id="166" w:name="_Toc389065259"/>
      <w:bookmarkStart w:id="167" w:name="_Toc373227693"/>
      <w:r>
        <w:rPr>
          <w:rFonts w:hint="eastAsia" w:ascii="宋体" w:hAnsi="宋体" w:eastAsia="宋体" w:cs="宋体"/>
          <w:b/>
          <w:bCs/>
          <w:color w:val="auto"/>
          <w:sz w:val="24"/>
          <w:szCs w:val="24"/>
          <w:highlight w:val="none"/>
        </w:rPr>
        <w:t>1.1 词语定义</w:t>
      </w:r>
      <w:bookmarkEnd w:id="160"/>
      <w:bookmarkEnd w:id="161"/>
      <w:bookmarkEnd w:id="162"/>
      <w:bookmarkEnd w:id="163"/>
      <w:bookmarkEnd w:id="164"/>
      <w:bookmarkEnd w:id="165"/>
      <w:bookmarkEnd w:id="166"/>
      <w:bookmarkEnd w:id="167"/>
    </w:p>
    <w:p w14:paraId="0ACB95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 合同</w:t>
      </w:r>
    </w:p>
    <w:p w14:paraId="76AD6CCC">
      <w:pPr>
        <w:pStyle w:val="54"/>
        <w:spacing w:beforeLines="0" w:afterLines="0" w:line="5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中标通知书、招标文件（含所有补充通知和答疑）、投标文件及其附件、本合同协议书、专用合同条款、通用合同条款、标准、规范及有关技术文件、图纸、已标价的工程量清单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273A4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4865D91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8" w:name="_Toc10859"/>
      <w:bookmarkStart w:id="169" w:name="_Toc26285"/>
      <w:bookmarkStart w:id="170" w:name="_Toc25930"/>
      <w:r>
        <w:rPr>
          <w:rFonts w:hint="eastAsia" w:ascii="宋体" w:hAnsi="宋体" w:eastAsia="宋体" w:cs="宋体"/>
          <w:b/>
          <w:bCs/>
          <w:color w:val="auto"/>
          <w:sz w:val="24"/>
          <w:szCs w:val="24"/>
          <w:highlight w:val="none"/>
        </w:rPr>
        <w:t>1.1.2.4 监理人：</w:t>
      </w:r>
      <w:bookmarkEnd w:id="168"/>
      <w:bookmarkEnd w:id="169"/>
      <w:bookmarkEnd w:id="170"/>
    </w:p>
    <w:p w14:paraId="785EBD3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763F60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D0AF8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A3ED1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B548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612E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1" w:name="_Toc4479"/>
      <w:bookmarkStart w:id="172" w:name="_Toc31933"/>
      <w:bookmarkStart w:id="173" w:name="_Toc25109"/>
      <w:r>
        <w:rPr>
          <w:rFonts w:hint="eastAsia" w:ascii="宋体" w:hAnsi="宋体" w:eastAsia="宋体" w:cs="宋体"/>
          <w:b/>
          <w:bCs/>
          <w:color w:val="auto"/>
          <w:sz w:val="24"/>
          <w:szCs w:val="24"/>
          <w:highlight w:val="none"/>
        </w:rPr>
        <w:t>1.1.2.5 设计人：</w:t>
      </w:r>
      <w:bookmarkEnd w:id="171"/>
      <w:bookmarkEnd w:id="172"/>
      <w:bookmarkEnd w:id="173"/>
    </w:p>
    <w:p w14:paraId="042F0EC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CB759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1F454B6">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C2182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7063A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DBB17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0F895586">
      <w:pPr>
        <w:spacing w:beforeLines="0" w:afterLines="0" w:line="560" w:lineRule="exact"/>
        <w:ind w:firstLine="0" w:firstLineChars="0"/>
        <w:jc w:val="both"/>
        <w:rPr>
          <w:rFonts w:hint="eastAsia" w:ascii="宋体" w:hAnsi="宋体" w:cs="宋体"/>
          <w:color w:val="auto"/>
          <w:sz w:val="24"/>
          <w:szCs w:val="24"/>
          <w:highlight w:val="none"/>
        </w:rPr>
      </w:pPr>
      <w:bookmarkStart w:id="174" w:name="_Toc373478341"/>
      <w:bookmarkStart w:id="175" w:name="_Toc373227694"/>
      <w:bookmarkStart w:id="176" w:name="_Toc12609351"/>
      <w:bookmarkStart w:id="177" w:name="_Toc407135196"/>
      <w:bookmarkStart w:id="178" w:name="_Toc389065260"/>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298135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 xml:space="preserve">  施工红线范围内的所有用地  </w:t>
      </w:r>
      <w:r>
        <w:rPr>
          <w:rFonts w:hint="eastAsia" w:ascii="宋体" w:hAnsi="宋体" w:cs="宋体"/>
          <w:color w:val="auto"/>
          <w:sz w:val="24"/>
          <w:szCs w:val="24"/>
          <w:highlight w:val="none"/>
        </w:rPr>
        <w:t>。</w:t>
      </w:r>
    </w:p>
    <w:p w14:paraId="5231DB8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 xml:space="preserve">  建设过程中的所有临时用地  </w:t>
      </w:r>
      <w:r>
        <w:rPr>
          <w:rFonts w:hint="eastAsia" w:ascii="宋体" w:hAnsi="宋体" w:cs="宋体"/>
          <w:color w:val="auto"/>
          <w:sz w:val="24"/>
          <w:szCs w:val="24"/>
          <w:highlight w:val="none"/>
        </w:rPr>
        <w:t>。</w:t>
      </w:r>
    </w:p>
    <w:p w14:paraId="7BDB2D4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9" w:name="_Toc7778"/>
      <w:bookmarkStart w:id="180" w:name="_Toc6023"/>
      <w:bookmarkStart w:id="181" w:name="_Toc17044"/>
      <w:r>
        <w:rPr>
          <w:rFonts w:hint="eastAsia" w:ascii="宋体" w:hAnsi="宋体" w:eastAsia="宋体" w:cs="宋体"/>
          <w:b/>
          <w:bCs/>
          <w:color w:val="auto"/>
          <w:sz w:val="24"/>
          <w:szCs w:val="24"/>
          <w:highlight w:val="none"/>
        </w:rPr>
        <w:t>1.3 法律</w:t>
      </w:r>
      <w:bookmarkEnd w:id="174"/>
      <w:bookmarkEnd w:id="175"/>
      <w:bookmarkEnd w:id="176"/>
      <w:bookmarkEnd w:id="177"/>
      <w:bookmarkEnd w:id="178"/>
      <w:bookmarkEnd w:id="179"/>
      <w:bookmarkEnd w:id="180"/>
      <w:bookmarkEnd w:id="181"/>
    </w:p>
    <w:p w14:paraId="04A58F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对工程的相关管理规定和文件 </w:t>
      </w:r>
      <w:r>
        <w:rPr>
          <w:rFonts w:hint="eastAsia" w:ascii="宋体" w:hAnsi="宋体" w:cs="宋体"/>
          <w:color w:val="auto"/>
          <w:sz w:val="24"/>
          <w:szCs w:val="24"/>
          <w:highlight w:val="none"/>
        </w:rPr>
        <w:t>。</w:t>
      </w:r>
    </w:p>
    <w:p w14:paraId="4CABB3B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82" w:name="_Toc373227695"/>
      <w:bookmarkStart w:id="183" w:name="_Toc407135197"/>
      <w:bookmarkStart w:id="184" w:name="_Toc2029"/>
      <w:bookmarkStart w:id="185" w:name="_Toc22697"/>
      <w:bookmarkStart w:id="186" w:name="_Toc373478342"/>
      <w:bookmarkStart w:id="187" w:name="_Toc389065261"/>
      <w:bookmarkStart w:id="188" w:name="_Toc16662"/>
      <w:bookmarkStart w:id="189" w:name="_Toc12609352"/>
      <w:r>
        <w:rPr>
          <w:rFonts w:hint="eastAsia" w:ascii="宋体" w:hAnsi="宋体" w:eastAsia="宋体" w:cs="宋体"/>
          <w:b/>
          <w:bCs/>
          <w:color w:val="auto"/>
          <w:sz w:val="24"/>
          <w:szCs w:val="24"/>
          <w:highlight w:val="none"/>
        </w:rPr>
        <w:t>1.4 标准和规范</w:t>
      </w:r>
      <w:bookmarkEnd w:id="182"/>
      <w:bookmarkEnd w:id="183"/>
      <w:bookmarkEnd w:id="184"/>
      <w:bookmarkEnd w:id="185"/>
      <w:bookmarkEnd w:id="186"/>
      <w:bookmarkEnd w:id="187"/>
      <w:bookmarkEnd w:id="188"/>
      <w:bookmarkEnd w:id="189"/>
    </w:p>
    <w:p w14:paraId="3862F099">
      <w:pPr>
        <w:spacing w:beforeLines="0" w:afterLines="0" w:line="560" w:lineRule="exact"/>
        <w:ind w:firstLine="0" w:firstLineChars="0"/>
        <w:jc w:val="both"/>
        <w:rPr>
          <w:rFonts w:hint="eastAsia" w:ascii="宋体" w:hAnsi="宋体" w:cs="宋体"/>
          <w:color w:val="auto"/>
          <w:sz w:val="24"/>
          <w:szCs w:val="24"/>
          <w:highlight w:val="none"/>
        </w:rPr>
      </w:pPr>
      <w:bookmarkStart w:id="190" w:name="_Toc407135198"/>
      <w:bookmarkStart w:id="191" w:name="_Toc373478343"/>
      <w:bookmarkStart w:id="192" w:name="_Toc389065262"/>
      <w:bookmarkStart w:id="193" w:name="_Toc373227696"/>
      <w:bookmarkStart w:id="194" w:name="_Toc12609353"/>
      <w:r>
        <w:rPr>
          <w:rFonts w:hint="eastAsia" w:ascii="宋体" w:hAnsi="宋体" w:cs="宋体"/>
          <w:color w:val="auto"/>
          <w:sz w:val="24"/>
          <w:szCs w:val="24"/>
          <w:highlight w:val="none"/>
        </w:rPr>
        <w:t>1.4.1 适用于工程的标准规范包括：</w:t>
      </w:r>
      <w:r>
        <w:rPr>
          <w:rFonts w:hint="eastAsia" w:ascii="宋体" w:hAnsi="宋体" w:cs="宋体"/>
          <w:color w:val="auto"/>
          <w:sz w:val="24"/>
          <w:szCs w:val="24"/>
          <w:highlight w:val="none"/>
          <w:u w:val="single"/>
        </w:rPr>
        <w:t>国家和广西区、崇左市有关建设工程的相关规范、标准和要求</w:t>
      </w:r>
      <w:r>
        <w:rPr>
          <w:rFonts w:hint="eastAsia" w:ascii="宋体" w:hAnsi="宋体" w:cs="宋体"/>
          <w:color w:val="auto"/>
          <w:sz w:val="24"/>
          <w:szCs w:val="24"/>
          <w:highlight w:val="none"/>
        </w:rPr>
        <w:t>；</w:t>
      </w:r>
    </w:p>
    <w:p w14:paraId="2CC18BC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07350C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提供国外标准、规范的份数：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5E04FE0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4B2C4DA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1.4.3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对工程的技术标准和功能要求的特殊要求：</w:t>
      </w:r>
      <w:r>
        <w:rPr>
          <w:rFonts w:hint="eastAsia" w:ascii="宋体" w:hAnsi="宋体" w:cs="宋体"/>
          <w:color w:val="auto"/>
          <w:sz w:val="24"/>
          <w:szCs w:val="24"/>
          <w:highlight w:val="none"/>
          <w:u w:val="single"/>
        </w:rPr>
        <w:t>满足本工程的安全生产</w:t>
      </w:r>
      <w:r>
        <w:rPr>
          <w:rFonts w:hint="eastAsia" w:ascii="宋体" w:hAnsi="宋体" w:cs="宋体"/>
          <w:color w:val="auto"/>
          <w:sz w:val="24"/>
          <w:szCs w:val="24"/>
          <w:highlight w:val="none"/>
        </w:rPr>
        <w:t>。</w:t>
      </w:r>
    </w:p>
    <w:p w14:paraId="3950D7F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195" w:name="_Toc265"/>
      <w:bookmarkStart w:id="196" w:name="_Toc2342"/>
      <w:bookmarkStart w:id="197" w:name="_Toc11295"/>
      <w:r>
        <w:rPr>
          <w:rFonts w:hint="eastAsia" w:ascii="宋体" w:hAnsi="宋体" w:eastAsia="宋体" w:cs="宋体"/>
          <w:color w:val="auto"/>
          <w:sz w:val="24"/>
          <w:szCs w:val="24"/>
          <w:highlight w:val="none"/>
        </w:rPr>
        <w:t>1.5 合同文件的优先顺序</w:t>
      </w:r>
      <w:bookmarkEnd w:id="190"/>
      <w:bookmarkEnd w:id="191"/>
      <w:bookmarkEnd w:id="192"/>
      <w:bookmarkEnd w:id="193"/>
      <w:bookmarkEnd w:id="194"/>
      <w:bookmarkEnd w:id="195"/>
      <w:bookmarkEnd w:id="196"/>
      <w:bookmarkEnd w:id="197"/>
    </w:p>
    <w:p w14:paraId="2376702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p>
    <w:p w14:paraId="48ED391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（1）合同协议书；</w:t>
      </w:r>
    </w:p>
    <w:p w14:paraId="2E6C9C5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（2）中标通知书（如有）；</w:t>
      </w:r>
    </w:p>
    <w:p w14:paraId="7440CD2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（3）投标函及其附录（如有）；</w:t>
      </w:r>
    </w:p>
    <w:p w14:paraId="14D592D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（4）专用合同条款及其附件；</w:t>
      </w:r>
    </w:p>
    <w:p w14:paraId="0B53273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（5）通用合同条款；</w:t>
      </w:r>
    </w:p>
    <w:p w14:paraId="21362F8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u w:val="single"/>
        </w:rPr>
        <w:t xml:space="preserve">技术标准和要求 </w:t>
      </w:r>
      <w:r>
        <w:rPr>
          <w:rFonts w:hint="eastAsia" w:ascii="宋体" w:hAnsi="宋体" w:cs="宋体"/>
          <w:color w:val="auto"/>
          <w:kern w:val="0"/>
          <w:sz w:val="24"/>
          <w:szCs w:val="24"/>
          <w:highlight w:val="none"/>
        </w:rPr>
        <w:t>；</w:t>
      </w:r>
    </w:p>
    <w:p w14:paraId="2E02FFE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u w:val="single"/>
        </w:rPr>
        <w:t xml:space="preserve">   施工图纸    </w:t>
      </w:r>
      <w:r>
        <w:rPr>
          <w:rFonts w:hint="eastAsia" w:ascii="宋体" w:hAnsi="宋体" w:cs="宋体"/>
          <w:color w:val="auto"/>
          <w:kern w:val="0"/>
          <w:sz w:val="24"/>
          <w:szCs w:val="24"/>
          <w:highlight w:val="none"/>
        </w:rPr>
        <w:t>；</w:t>
      </w:r>
    </w:p>
    <w:p w14:paraId="1A1A59E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u w:val="single"/>
        </w:rPr>
        <w:t xml:space="preserve">已标价工程量清单或预算书 </w:t>
      </w:r>
      <w:r>
        <w:rPr>
          <w:rFonts w:hint="eastAsia" w:ascii="宋体" w:hAnsi="宋体" w:cs="宋体"/>
          <w:color w:val="auto"/>
          <w:kern w:val="0"/>
          <w:sz w:val="24"/>
          <w:szCs w:val="24"/>
          <w:highlight w:val="none"/>
        </w:rPr>
        <w:t>；</w:t>
      </w:r>
    </w:p>
    <w:p w14:paraId="4EFFB6D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u w:val="single"/>
        </w:rPr>
        <w:t>其他合同文件</w:t>
      </w:r>
      <w:r>
        <w:rPr>
          <w:rFonts w:hint="eastAsia" w:ascii="宋体" w:hAnsi="宋体" w:cs="宋体"/>
          <w:color w:val="auto"/>
          <w:kern w:val="0"/>
          <w:sz w:val="24"/>
          <w:szCs w:val="24"/>
          <w:highlight w:val="none"/>
        </w:rPr>
        <w:t>：</w:t>
      </w:r>
    </w:p>
    <w:p w14:paraId="566B846B">
      <w:pPr>
        <w:spacing w:beforeLines="0" w:afterLines="0" w:line="560" w:lineRule="exact"/>
        <w:ind w:firstLine="0" w:firstLineChars="0"/>
        <w:rPr>
          <w:rFonts w:hint="eastAsia" w:ascii="宋体" w:hAnsi="宋体" w:cs="宋体"/>
          <w:color w:val="auto"/>
          <w:kern w:val="0"/>
          <w:sz w:val="24"/>
          <w:szCs w:val="24"/>
          <w:highlight w:val="none"/>
        </w:rPr>
      </w:pPr>
      <w:bookmarkStart w:id="198" w:name="_Toc373227697"/>
      <w:bookmarkStart w:id="199" w:name="_Toc407135199"/>
      <w:bookmarkStart w:id="200" w:name="_Toc373478344"/>
      <w:bookmarkStart w:id="201" w:name="_Toc389065263"/>
      <w:bookmarkStart w:id="202" w:name="_Toc12609354"/>
      <w:r>
        <w:rPr>
          <w:rFonts w:hint="eastAsia" w:ascii="宋体" w:hAnsi="宋体" w:cs="宋体"/>
          <w:color w:val="auto"/>
          <w:kern w:val="0"/>
          <w:sz w:val="24"/>
          <w:szCs w:val="24"/>
          <w:highlight w:val="none"/>
        </w:rPr>
        <w:t>（10）《建设工程工程量清单计价规范（GB50500-2013）》及其广西实施细则及《关于建筑业实施营业税改征增值税后广西壮族自治区建设工程计价依据调整的通知》（桂建标〔2016〕17 号）、《建设工程工程量清单计算规范（GB50854~50862-2013）》及其广西实施细则（修订本）。</w:t>
      </w:r>
    </w:p>
    <w:p w14:paraId="4064F28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说明：（6）、（7）、（8）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（9）填空内容分别限于技术标准和要求、图纸、已标价工程量清单或预算书、其他合同文件四者之一，其优先顺序可根据采取的不同合同方式由双方约</w:t>
      </w:r>
    </w:p>
    <w:p w14:paraId="2155B6C3">
      <w:pPr>
        <w:spacing w:beforeLines="0" w:afterLines="0"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定。</w:t>
      </w:r>
    </w:p>
    <w:p w14:paraId="71C6B1A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03" w:name="_Toc15210"/>
      <w:bookmarkStart w:id="204" w:name="_Toc19213"/>
      <w:bookmarkStart w:id="205" w:name="_Toc364"/>
      <w:r>
        <w:rPr>
          <w:rFonts w:hint="eastAsia" w:ascii="宋体" w:hAnsi="宋体" w:eastAsia="宋体" w:cs="宋体"/>
          <w:b/>
          <w:bCs/>
          <w:color w:val="auto"/>
          <w:sz w:val="24"/>
          <w:szCs w:val="24"/>
          <w:highlight w:val="none"/>
        </w:rPr>
        <w:t>1.6 图纸和承包人文件</w:t>
      </w:r>
      <w:bookmarkEnd w:id="198"/>
      <w:bookmarkEnd w:id="199"/>
      <w:bookmarkEnd w:id="200"/>
      <w:bookmarkEnd w:id="201"/>
      <w:bookmarkEnd w:id="202"/>
      <w:bookmarkEnd w:id="203"/>
      <w:bookmarkEnd w:id="204"/>
      <w:bookmarkEnd w:id="205"/>
      <w:r>
        <w:rPr>
          <w:rFonts w:hint="eastAsia" w:ascii="宋体" w:hAnsi="宋体" w:eastAsia="宋体" w:cs="宋体"/>
          <w:b/>
          <w:bCs/>
          <w:color w:val="auto"/>
          <w:sz w:val="24"/>
          <w:szCs w:val="24"/>
          <w:highlight w:val="none"/>
        </w:rPr>
        <w:tab/>
      </w:r>
    </w:p>
    <w:p w14:paraId="2FBC54E9">
      <w:pPr>
        <w:spacing w:beforeLines="0" w:afterLines="0" w:line="560" w:lineRule="exact"/>
        <w:ind w:firstLine="0" w:firstLineChars="0"/>
        <w:rPr>
          <w:rFonts w:hint="eastAsia" w:ascii="宋体" w:hAnsi="宋体" w:cs="宋体"/>
          <w:color w:val="auto"/>
          <w:kern w:val="0"/>
          <w:sz w:val="24"/>
          <w:szCs w:val="24"/>
          <w:highlight w:val="none"/>
        </w:rPr>
      </w:pPr>
      <w:bookmarkStart w:id="206" w:name="_Toc12609355"/>
      <w:bookmarkStart w:id="207" w:name="_Toc373478345"/>
      <w:bookmarkStart w:id="208" w:name="_Toc389065264"/>
      <w:bookmarkStart w:id="209" w:name="_Toc407135200"/>
      <w:bookmarkStart w:id="210" w:name="_Toc373227698"/>
      <w:r>
        <w:rPr>
          <w:rFonts w:hint="eastAsia" w:ascii="宋体" w:hAnsi="宋体" w:cs="宋体"/>
          <w:color w:val="auto"/>
          <w:kern w:val="0"/>
          <w:sz w:val="24"/>
          <w:szCs w:val="24"/>
          <w:highlight w:val="none"/>
        </w:rPr>
        <w:t>1.6.1 图纸的提供</w:t>
      </w:r>
    </w:p>
    <w:p w14:paraId="6E0AA26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提供图纸的期限：</w:t>
      </w:r>
      <w:r>
        <w:rPr>
          <w:rFonts w:hint="eastAsia" w:ascii="宋体" w:hAnsi="宋体" w:cs="宋体"/>
          <w:color w:val="auto"/>
          <w:kern w:val="0"/>
          <w:sz w:val="24"/>
          <w:szCs w:val="24"/>
          <w:highlight w:val="none"/>
          <w:u w:val="single"/>
        </w:rPr>
        <w:t xml:space="preserve"> 合同生效后 7 天内 </w:t>
      </w:r>
      <w:r>
        <w:rPr>
          <w:rFonts w:hint="eastAsia" w:ascii="宋体" w:hAnsi="宋体" w:cs="宋体"/>
          <w:color w:val="auto"/>
          <w:kern w:val="0"/>
          <w:sz w:val="24"/>
          <w:szCs w:val="24"/>
          <w:highlight w:val="none"/>
        </w:rPr>
        <w:t>；</w:t>
      </w:r>
    </w:p>
    <w:p w14:paraId="43E2F6C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提供图纸的数量：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套（</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需要增加图纸套数的，</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应代为复制，复制费用由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承担）</w:t>
      </w:r>
      <w:r>
        <w:rPr>
          <w:rFonts w:hint="eastAsia" w:ascii="宋体" w:hAnsi="宋体" w:cs="宋体"/>
          <w:color w:val="auto"/>
          <w:kern w:val="0"/>
          <w:sz w:val="24"/>
          <w:szCs w:val="24"/>
          <w:highlight w:val="none"/>
        </w:rPr>
        <w:t>；</w:t>
      </w:r>
    </w:p>
    <w:p w14:paraId="5E67236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提供图纸的内容： </w:t>
      </w:r>
      <w:r>
        <w:rPr>
          <w:rFonts w:hint="eastAsia" w:ascii="宋体" w:hAnsi="宋体" w:cs="宋体"/>
          <w:color w:val="auto"/>
          <w:kern w:val="0"/>
          <w:sz w:val="24"/>
          <w:szCs w:val="24"/>
          <w:highlight w:val="none"/>
          <w:u w:val="single"/>
        </w:rPr>
        <w:t xml:space="preserve">全套完整施工图 </w:t>
      </w:r>
      <w:r>
        <w:rPr>
          <w:rFonts w:hint="eastAsia" w:ascii="宋体" w:hAnsi="宋体" w:cs="宋体"/>
          <w:color w:val="auto"/>
          <w:kern w:val="0"/>
          <w:sz w:val="24"/>
          <w:szCs w:val="24"/>
          <w:highlight w:val="none"/>
        </w:rPr>
        <w:t>。</w:t>
      </w:r>
    </w:p>
    <w:p w14:paraId="7FD651A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文件</w:t>
      </w:r>
    </w:p>
    <w:p w14:paraId="74D63C2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需要由</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提供的文件，包括： </w:t>
      </w:r>
      <w:r>
        <w:rPr>
          <w:rFonts w:hint="eastAsia" w:ascii="宋体" w:hAnsi="宋体" w:cs="宋体"/>
          <w:color w:val="auto"/>
          <w:kern w:val="0"/>
          <w:sz w:val="24"/>
          <w:szCs w:val="24"/>
          <w:highlight w:val="none"/>
          <w:u w:val="single"/>
        </w:rPr>
        <w:t>提供项目部组成人员名单及身份证明、项目部用章授权书、项目经理亲笔签字及盖执业印章图样（施工过程中来往文件均需项目经理签字和盖章）</w:t>
      </w:r>
      <w:r>
        <w:rPr>
          <w:rFonts w:hint="eastAsia" w:ascii="宋体" w:hAnsi="宋体" w:cs="宋体"/>
          <w:color w:val="auto"/>
          <w:kern w:val="0"/>
          <w:sz w:val="24"/>
          <w:szCs w:val="24"/>
          <w:highlight w:val="none"/>
        </w:rPr>
        <w:t>；</w:t>
      </w:r>
    </w:p>
    <w:p w14:paraId="46FC349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提供的文件的期限为：</w:t>
      </w:r>
      <w:r>
        <w:rPr>
          <w:rFonts w:hint="eastAsia" w:ascii="宋体" w:hAnsi="宋体" w:cs="宋体"/>
          <w:color w:val="auto"/>
          <w:kern w:val="0"/>
          <w:sz w:val="24"/>
          <w:szCs w:val="24"/>
          <w:highlight w:val="none"/>
          <w:u w:val="single"/>
        </w:rPr>
        <w:t xml:space="preserve"> 合同生效后7天内</w:t>
      </w:r>
      <w:r>
        <w:rPr>
          <w:rFonts w:hint="eastAsia" w:ascii="宋体" w:hAnsi="宋体" w:cs="宋体"/>
          <w:color w:val="auto"/>
          <w:kern w:val="0"/>
          <w:sz w:val="24"/>
          <w:szCs w:val="24"/>
          <w:highlight w:val="none"/>
        </w:rPr>
        <w:t xml:space="preserve"> ；</w:t>
      </w:r>
    </w:p>
    <w:p w14:paraId="551732D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提供的文件的数量为：</w:t>
      </w:r>
      <w:r>
        <w:rPr>
          <w:rFonts w:hint="eastAsia" w:ascii="宋体" w:hAnsi="宋体" w:cs="宋体"/>
          <w:color w:val="auto"/>
          <w:kern w:val="0"/>
          <w:sz w:val="24"/>
          <w:szCs w:val="24"/>
          <w:highlight w:val="none"/>
          <w:u w:val="single"/>
        </w:rPr>
        <w:t xml:space="preserve"> 贰套</w:t>
      </w:r>
      <w:r>
        <w:rPr>
          <w:rFonts w:hint="eastAsia" w:ascii="宋体" w:hAnsi="宋体" w:cs="宋体"/>
          <w:color w:val="auto"/>
          <w:kern w:val="0"/>
          <w:sz w:val="24"/>
          <w:szCs w:val="24"/>
          <w:highlight w:val="none"/>
        </w:rPr>
        <w:t xml:space="preserve"> ；</w:t>
      </w:r>
    </w:p>
    <w:p w14:paraId="4A741AD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提供的文件的形式为：</w:t>
      </w:r>
      <w:r>
        <w:rPr>
          <w:rFonts w:hint="eastAsia" w:ascii="宋体" w:hAnsi="宋体" w:cs="宋体"/>
          <w:color w:val="auto"/>
          <w:kern w:val="0"/>
          <w:sz w:val="24"/>
          <w:szCs w:val="24"/>
          <w:highlight w:val="none"/>
          <w:u w:val="single"/>
        </w:rPr>
        <w:t xml:space="preserve"> 文本和电子版 </w:t>
      </w:r>
      <w:r>
        <w:rPr>
          <w:rFonts w:hint="eastAsia" w:ascii="宋体" w:hAnsi="宋体" w:cs="宋体"/>
          <w:color w:val="auto"/>
          <w:kern w:val="0"/>
          <w:sz w:val="24"/>
          <w:szCs w:val="24"/>
          <w:highlight w:val="none"/>
        </w:rPr>
        <w:t>；</w:t>
      </w:r>
    </w:p>
    <w:p w14:paraId="4B1F294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审批</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文件的期限： </w:t>
      </w:r>
      <w:r>
        <w:rPr>
          <w:rFonts w:hint="eastAsia" w:ascii="宋体" w:hAnsi="宋体" w:cs="宋体"/>
          <w:color w:val="auto"/>
          <w:kern w:val="0"/>
          <w:sz w:val="24"/>
          <w:szCs w:val="24"/>
          <w:highlight w:val="none"/>
          <w:u w:val="single"/>
        </w:rPr>
        <w:t>收到之日起7日内</w:t>
      </w:r>
      <w:r>
        <w:rPr>
          <w:rFonts w:hint="eastAsia" w:ascii="宋体" w:hAnsi="宋体" w:cs="宋体"/>
          <w:color w:val="auto"/>
          <w:kern w:val="0"/>
          <w:sz w:val="24"/>
          <w:szCs w:val="24"/>
          <w:highlight w:val="none"/>
        </w:rPr>
        <w:t xml:space="preserve"> 。</w:t>
      </w:r>
    </w:p>
    <w:p w14:paraId="09100CA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1.6.5 现场图纸准备</w:t>
      </w:r>
    </w:p>
    <w:p w14:paraId="6FA06CC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关于现场图纸准备的约定： 按通用条款约定执行 。</w:t>
      </w:r>
    </w:p>
    <w:p w14:paraId="7436401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206"/>
      <w:bookmarkEnd w:id="207"/>
      <w:bookmarkEnd w:id="208"/>
      <w:bookmarkEnd w:id="209"/>
      <w:bookmarkEnd w:id="210"/>
      <w:r>
        <w:rPr>
          <w:rFonts w:hint="eastAsia" w:ascii="宋体" w:hAnsi="宋体" w:cs="宋体"/>
          <w:color w:val="auto"/>
          <w:kern w:val="0"/>
          <w:sz w:val="24"/>
          <w:szCs w:val="24"/>
          <w:highlight w:val="none"/>
        </w:rPr>
        <w:t xml:space="preserve">1.7.1 </w:t>
      </w:r>
      <w:r>
        <w:rPr>
          <w:rFonts w:hint="eastAsia" w:ascii="宋体" w:hAnsi="宋体" w:cs="宋体"/>
          <w:color w:val="auto"/>
          <w:kern w:val="0"/>
          <w:sz w:val="24"/>
          <w:szCs w:val="24"/>
          <w:highlight w:val="none"/>
          <w:lang w:eastAsia="zh-CN"/>
        </w:rPr>
        <w:t>发包人和承包人</w:t>
      </w:r>
      <w:r>
        <w:rPr>
          <w:rFonts w:hint="eastAsia" w:ascii="宋体" w:hAnsi="宋体" w:cs="宋体"/>
          <w:color w:val="auto"/>
          <w:kern w:val="0"/>
          <w:sz w:val="24"/>
          <w:szCs w:val="24"/>
          <w:highlight w:val="none"/>
        </w:rPr>
        <w:t>应当在 7 天内将与合同有关的通知、批准、证明、证书、指示、指令、要求、请求、同意、意见、确定和决定等书面函件送达对方当事人。</w:t>
      </w:r>
    </w:p>
    <w:p w14:paraId="37287A9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1.7.2 </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3AB2E20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代表 </w:t>
      </w:r>
      <w:r>
        <w:rPr>
          <w:rFonts w:hint="eastAsia" w:ascii="宋体" w:hAnsi="宋体" w:cs="宋体"/>
          <w:color w:val="auto"/>
          <w:kern w:val="0"/>
          <w:sz w:val="24"/>
          <w:szCs w:val="24"/>
          <w:highlight w:val="none"/>
        </w:rPr>
        <w:t xml:space="preserve"> 。</w:t>
      </w:r>
    </w:p>
    <w:p w14:paraId="48100C7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237A6F4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项目经理  </w:t>
      </w:r>
      <w:r>
        <w:rPr>
          <w:rFonts w:hint="eastAsia" w:ascii="宋体" w:hAnsi="宋体" w:cs="宋体"/>
          <w:color w:val="auto"/>
          <w:kern w:val="0"/>
          <w:sz w:val="24"/>
          <w:szCs w:val="24"/>
          <w:highlight w:val="none"/>
        </w:rPr>
        <w:t>。</w:t>
      </w:r>
    </w:p>
    <w:p w14:paraId="1AC06FF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 xml:space="preserve"> 现场项目部</w:t>
      </w:r>
      <w:r>
        <w:rPr>
          <w:rFonts w:hint="eastAsia" w:ascii="宋体" w:hAnsi="宋体" w:cs="宋体"/>
          <w:color w:val="auto"/>
          <w:kern w:val="0"/>
          <w:sz w:val="24"/>
          <w:szCs w:val="24"/>
          <w:highlight w:val="none"/>
        </w:rPr>
        <w:t xml:space="preserve"> ；</w:t>
      </w:r>
    </w:p>
    <w:p w14:paraId="6E75567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rPr>
        <w:t xml:space="preserve"> 监理工程师 </w:t>
      </w:r>
      <w:r>
        <w:rPr>
          <w:rFonts w:hint="eastAsia" w:ascii="宋体" w:hAnsi="宋体" w:cs="宋体"/>
          <w:color w:val="auto"/>
          <w:kern w:val="0"/>
          <w:sz w:val="24"/>
          <w:szCs w:val="24"/>
          <w:highlight w:val="none"/>
        </w:rPr>
        <w:t>。</w:t>
      </w:r>
    </w:p>
    <w:p w14:paraId="4A2308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11" w:name="_Toc15152"/>
      <w:bookmarkStart w:id="212" w:name="_Toc373227699"/>
      <w:bookmarkStart w:id="213" w:name="_Toc12609356"/>
      <w:bookmarkStart w:id="214" w:name="_Toc10125"/>
      <w:bookmarkStart w:id="215" w:name="_Toc407135201"/>
      <w:bookmarkStart w:id="216" w:name="_Toc373478346"/>
      <w:bookmarkStart w:id="217" w:name="_Toc449"/>
      <w:bookmarkStart w:id="218" w:name="_Toc389065265"/>
      <w:r>
        <w:rPr>
          <w:rFonts w:hint="eastAsia" w:ascii="宋体" w:hAnsi="宋体" w:eastAsia="宋体" w:cs="宋体"/>
          <w:b/>
          <w:bCs/>
          <w:color w:val="auto"/>
          <w:sz w:val="24"/>
          <w:szCs w:val="24"/>
          <w:highlight w:val="none"/>
        </w:rPr>
        <w:t>1.10 交通运输</w:t>
      </w:r>
      <w:bookmarkEnd w:id="211"/>
      <w:bookmarkEnd w:id="212"/>
      <w:bookmarkEnd w:id="213"/>
      <w:bookmarkEnd w:id="214"/>
      <w:bookmarkEnd w:id="215"/>
      <w:bookmarkEnd w:id="216"/>
      <w:bookmarkEnd w:id="217"/>
      <w:bookmarkEnd w:id="218"/>
    </w:p>
    <w:p w14:paraId="695D5532">
      <w:pPr>
        <w:spacing w:beforeLines="0" w:afterLines="0" w:line="560" w:lineRule="exact"/>
        <w:ind w:firstLine="0" w:firstLineChars="0"/>
        <w:rPr>
          <w:rFonts w:hint="eastAsia" w:ascii="宋体" w:hAnsi="宋体" w:cs="宋体"/>
          <w:color w:val="auto"/>
          <w:kern w:val="0"/>
          <w:sz w:val="24"/>
          <w:szCs w:val="24"/>
          <w:highlight w:val="none"/>
        </w:rPr>
      </w:pPr>
      <w:bookmarkStart w:id="219" w:name="_Toc373478347"/>
      <w:bookmarkStart w:id="220" w:name="_Toc373227700"/>
      <w:bookmarkStart w:id="221" w:name="_Toc12609357"/>
      <w:bookmarkStart w:id="222" w:name="_Toc389065266"/>
      <w:bookmarkStart w:id="223" w:name="_Toc407135202"/>
      <w:r>
        <w:rPr>
          <w:rFonts w:hint="eastAsia" w:ascii="宋体" w:hAnsi="宋体" w:cs="宋体"/>
          <w:color w:val="auto"/>
          <w:kern w:val="0"/>
          <w:sz w:val="24"/>
          <w:szCs w:val="24"/>
          <w:highlight w:val="none"/>
        </w:rPr>
        <w:t>1.10.1 出入现场的权利</w:t>
      </w:r>
    </w:p>
    <w:p w14:paraId="26BB44C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关于出入现场的权利的约定：</w:t>
      </w:r>
      <w:r>
        <w:rPr>
          <w:rFonts w:hint="eastAsia" w:ascii="宋体" w:hAnsi="宋体" w:cs="宋体"/>
          <w:color w:val="auto"/>
          <w:kern w:val="0"/>
          <w:sz w:val="24"/>
          <w:szCs w:val="24"/>
          <w:highlight w:val="none"/>
          <w:u w:val="single"/>
        </w:rPr>
        <w:t xml:space="preserve">见通用条款 </w:t>
      </w:r>
      <w:r>
        <w:rPr>
          <w:rFonts w:hint="eastAsia" w:ascii="宋体" w:hAnsi="宋体" w:cs="宋体"/>
          <w:color w:val="auto"/>
          <w:kern w:val="0"/>
          <w:sz w:val="24"/>
          <w:szCs w:val="24"/>
          <w:highlight w:val="none"/>
        </w:rPr>
        <w:t>。</w:t>
      </w:r>
    </w:p>
    <w:p w14:paraId="0CB6E06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1.10.3 场内交通</w:t>
      </w:r>
    </w:p>
    <w:p w14:paraId="746F7A0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kern w:val="0"/>
          <w:sz w:val="24"/>
          <w:szCs w:val="24"/>
          <w:highlight w:val="none"/>
          <w:u w:val="single"/>
        </w:rPr>
        <w:t xml:space="preserve">以施工红线为准，红线范围内为场内交通，施工红线范围以外为场外交通 </w:t>
      </w:r>
      <w:r>
        <w:rPr>
          <w:rFonts w:hint="eastAsia" w:ascii="宋体" w:hAnsi="宋体" w:cs="宋体"/>
          <w:color w:val="auto"/>
          <w:kern w:val="0"/>
          <w:sz w:val="24"/>
          <w:szCs w:val="24"/>
          <w:highlight w:val="none"/>
        </w:rPr>
        <w:t>。</w:t>
      </w:r>
    </w:p>
    <w:p w14:paraId="67AF208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免费提供满足工程施工需要的场内道路和交通设施的约定：</w:t>
      </w:r>
      <w:r>
        <w:rPr>
          <w:rFonts w:hint="eastAsia" w:ascii="宋体" w:hAnsi="宋体" w:cs="宋体"/>
          <w:color w:val="auto"/>
          <w:kern w:val="0"/>
          <w:sz w:val="24"/>
          <w:szCs w:val="24"/>
          <w:highlight w:val="none"/>
          <w:u w:val="single"/>
        </w:rPr>
        <w:t>场内交通由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自行解决</w:t>
      </w:r>
      <w:r>
        <w:rPr>
          <w:rFonts w:hint="eastAsia" w:ascii="宋体" w:hAnsi="宋体" w:cs="宋体"/>
          <w:color w:val="auto"/>
          <w:kern w:val="0"/>
          <w:sz w:val="24"/>
          <w:szCs w:val="24"/>
          <w:highlight w:val="none"/>
        </w:rPr>
        <w:t xml:space="preserve"> 。</w:t>
      </w:r>
    </w:p>
    <w:p w14:paraId="0A8E532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1.10.4 超大件和超重件的运输</w:t>
      </w:r>
    </w:p>
    <w:p w14:paraId="493FB32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运输超大件或超重件所需的道路和桥梁临时加固改造费用和其他有关费用由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承担。</w:t>
      </w:r>
    </w:p>
    <w:p w14:paraId="1B486F2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224" w:name="_Toc16385"/>
      <w:bookmarkStart w:id="225" w:name="_Toc17630"/>
      <w:bookmarkStart w:id="226" w:name="_Toc5721"/>
      <w:r>
        <w:rPr>
          <w:rFonts w:hint="eastAsia" w:ascii="宋体" w:hAnsi="宋体" w:eastAsia="宋体" w:cs="宋体"/>
          <w:color w:val="auto"/>
          <w:sz w:val="24"/>
          <w:szCs w:val="24"/>
          <w:highlight w:val="none"/>
        </w:rPr>
        <w:t>1.11 知识产权</w:t>
      </w:r>
      <w:bookmarkEnd w:id="219"/>
      <w:bookmarkEnd w:id="220"/>
      <w:bookmarkEnd w:id="221"/>
      <w:bookmarkEnd w:id="222"/>
      <w:bookmarkEnd w:id="223"/>
      <w:bookmarkEnd w:id="224"/>
      <w:bookmarkEnd w:id="225"/>
      <w:bookmarkEnd w:id="226"/>
    </w:p>
    <w:p w14:paraId="3F69B862">
      <w:pPr>
        <w:spacing w:beforeLines="0" w:afterLines="0" w:line="560" w:lineRule="exact"/>
        <w:ind w:firstLine="0" w:firstLineChars="0"/>
        <w:rPr>
          <w:rFonts w:hint="eastAsia" w:ascii="宋体" w:hAnsi="宋体" w:cs="宋体"/>
          <w:color w:val="auto"/>
          <w:kern w:val="0"/>
          <w:sz w:val="24"/>
          <w:szCs w:val="24"/>
          <w:highlight w:val="none"/>
        </w:rPr>
      </w:pPr>
      <w:bookmarkStart w:id="227" w:name="_Toc407135203"/>
      <w:bookmarkStart w:id="228" w:name="_Toc373478348"/>
      <w:bookmarkStart w:id="229" w:name="_Toc12609358"/>
      <w:bookmarkStart w:id="230" w:name="_Toc389065267"/>
      <w:bookmarkStart w:id="231" w:name="_Toc373227701"/>
      <w:r>
        <w:rPr>
          <w:rFonts w:hint="eastAsia" w:ascii="宋体" w:hAnsi="宋体" w:cs="宋体"/>
          <w:color w:val="auto"/>
          <w:kern w:val="0"/>
          <w:sz w:val="24"/>
          <w:szCs w:val="24"/>
          <w:highlight w:val="none"/>
        </w:rPr>
        <w:t>1.11.1 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提供给</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的图纸、</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为实施工程自行编制或委托编制的技术规范以及反映</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关于合同要求或其他类似性质的文件的著作权的归属：</w:t>
      </w:r>
      <w:r>
        <w:rPr>
          <w:rFonts w:hint="eastAsia" w:ascii="宋体" w:hAnsi="宋体" w:cs="宋体"/>
          <w:color w:val="auto"/>
          <w:kern w:val="0"/>
          <w:sz w:val="24"/>
          <w:szCs w:val="24"/>
          <w:highlight w:val="none"/>
          <w:u w:val="single"/>
        </w:rPr>
        <w:t>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w:t>
      </w:r>
    </w:p>
    <w:p w14:paraId="3D314BD7">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同意，不得提供给任何第三方 </w:t>
      </w:r>
      <w:r>
        <w:rPr>
          <w:rFonts w:hint="eastAsia" w:ascii="宋体" w:hAnsi="宋体" w:cs="宋体"/>
          <w:color w:val="auto"/>
          <w:kern w:val="0"/>
          <w:sz w:val="24"/>
          <w:szCs w:val="24"/>
          <w:highlight w:val="none"/>
        </w:rPr>
        <w:t>。</w:t>
      </w:r>
    </w:p>
    <w:p w14:paraId="3DC81D8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1.11.2 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为实施工程所编制文件的著作权的归属：</w:t>
      </w:r>
      <w:r>
        <w:rPr>
          <w:rFonts w:hint="eastAsia" w:ascii="宋体" w:hAnsi="宋体" w:cs="宋体"/>
          <w:color w:val="auto"/>
          <w:kern w:val="0"/>
          <w:sz w:val="24"/>
          <w:szCs w:val="24"/>
          <w:highlight w:val="none"/>
          <w:u w:val="single"/>
        </w:rPr>
        <w:t xml:space="preserve"> 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 xml:space="preserve"> 。</w:t>
      </w:r>
    </w:p>
    <w:p w14:paraId="74C7F83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同意，不得提供给任何第三方</w:t>
      </w:r>
      <w:r>
        <w:rPr>
          <w:rFonts w:hint="eastAsia" w:ascii="宋体" w:hAnsi="宋体" w:cs="宋体"/>
          <w:color w:val="auto"/>
          <w:kern w:val="0"/>
          <w:sz w:val="24"/>
          <w:szCs w:val="24"/>
          <w:highlight w:val="none"/>
        </w:rPr>
        <w:t xml:space="preserve"> 。</w:t>
      </w:r>
    </w:p>
    <w:p w14:paraId="02BC7B9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1.11.4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在施工过程中所采用的专利、专有技术、技术秘密的使用费的承担方式：</w:t>
      </w:r>
    </w:p>
    <w:p w14:paraId="2A95A59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承担 </w:t>
      </w:r>
      <w:r>
        <w:rPr>
          <w:rFonts w:hint="eastAsia" w:ascii="宋体" w:hAnsi="宋体" w:cs="宋体"/>
          <w:color w:val="auto"/>
          <w:kern w:val="0"/>
          <w:sz w:val="24"/>
          <w:szCs w:val="24"/>
          <w:highlight w:val="none"/>
        </w:rPr>
        <w:t>。</w:t>
      </w:r>
    </w:p>
    <w:p w14:paraId="6D6EFB3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2" w:name="_Toc5137"/>
      <w:bookmarkStart w:id="233" w:name="_Toc23262"/>
      <w:bookmarkStart w:id="234" w:name="_Toc8392"/>
      <w:r>
        <w:rPr>
          <w:rFonts w:hint="eastAsia" w:ascii="宋体" w:hAnsi="宋体" w:eastAsia="宋体" w:cs="宋体"/>
          <w:b/>
          <w:bCs/>
          <w:color w:val="auto"/>
          <w:sz w:val="24"/>
          <w:szCs w:val="24"/>
          <w:highlight w:val="none"/>
        </w:rPr>
        <w:t>1.13工程量清单错误的修正</w:t>
      </w:r>
      <w:bookmarkEnd w:id="227"/>
      <w:bookmarkEnd w:id="228"/>
      <w:bookmarkEnd w:id="229"/>
      <w:bookmarkEnd w:id="230"/>
      <w:bookmarkEnd w:id="231"/>
      <w:bookmarkEnd w:id="232"/>
      <w:bookmarkEnd w:id="233"/>
      <w:bookmarkEnd w:id="234"/>
    </w:p>
    <w:p w14:paraId="752493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出现工程量清单工程量偏差时，是否调整合同价格：</w:t>
      </w:r>
      <w:r>
        <w:rPr>
          <w:rFonts w:hint="eastAsia" w:ascii="宋体" w:hAnsi="宋体" w:cs="宋体"/>
          <w:color w:val="auto"/>
          <w:sz w:val="24"/>
          <w:szCs w:val="24"/>
          <w:highlight w:val="none"/>
          <w:u w:val="single"/>
        </w:rPr>
        <w:t xml:space="preserve">□是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否</w:t>
      </w:r>
      <w:r>
        <w:rPr>
          <w:rFonts w:hint="eastAsia" w:ascii="宋体" w:hAnsi="宋体" w:cs="宋体"/>
          <w:color w:val="auto"/>
          <w:kern w:val="0"/>
          <w:sz w:val="24"/>
          <w:szCs w:val="24"/>
          <w:highlight w:val="none"/>
        </w:rPr>
        <w:t>。</w:t>
      </w:r>
    </w:p>
    <w:p w14:paraId="34D412F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允许调整合同价格的工程量偏差范围及其调整办法：</w:t>
      </w:r>
    </w:p>
    <w:p w14:paraId="1D8220E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除严重不平衡报价外，无论分部分项工程量清单项目中的工程量变化多少均不调整                 </w:t>
      </w:r>
      <w:r>
        <w:rPr>
          <w:rFonts w:hint="eastAsia" w:ascii="宋体" w:hAnsi="宋体" w:cs="宋体"/>
          <w:color w:val="auto"/>
          <w:kern w:val="0"/>
          <w:sz w:val="24"/>
          <w:szCs w:val="24"/>
          <w:highlight w:val="none"/>
        </w:rPr>
        <w:t>。</w:t>
      </w:r>
    </w:p>
    <w:p w14:paraId="331759EB">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1509536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5" w:name="_Toc373478349"/>
      <w:bookmarkStart w:id="236" w:name="_Toc389065268"/>
      <w:bookmarkStart w:id="237" w:name="_Toc407135204"/>
      <w:bookmarkStart w:id="238" w:name="_Toc17869"/>
      <w:bookmarkStart w:id="239" w:name="_Toc12609359"/>
      <w:bookmarkStart w:id="240" w:name="_Toc19573"/>
      <w:bookmarkStart w:id="241" w:name="_Toc373227702"/>
      <w:bookmarkStart w:id="242" w:name="_Toc6912"/>
      <w:r>
        <w:rPr>
          <w:rFonts w:hint="eastAsia" w:ascii="宋体" w:hAnsi="宋体" w:eastAsia="宋体" w:cs="宋体"/>
          <w:b/>
          <w:bCs/>
          <w:color w:val="auto"/>
          <w:sz w:val="24"/>
          <w:szCs w:val="24"/>
          <w:highlight w:val="none"/>
        </w:rPr>
        <w:t>2. 发包人</w:t>
      </w:r>
      <w:bookmarkEnd w:id="235"/>
      <w:bookmarkEnd w:id="236"/>
      <w:bookmarkEnd w:id="237"/>
      <w:bookmarkEnd w:id="238"/>
      <w:bookmarkEnd w:id="239"/>
      <w:bookmarkEnd w:id="240"/>
      <w:bookmarkEnd w:id="241"/>
      <w:bookmarkEnd w:id="242"/>
    </w:p>
    <w:p w14:paraId="1FC93F1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43" w:name="_Toc373227703"/>
      <w:bookmarkStart w:id="244" w:name="_Toc17018"/>
      <w:bookmarkStart w:id="245" w:name="_Toc407135205"/>
      <w:bookmarkStart w:id="246" w:name="_Toc373478350"/>
      <w:bookmarkStart w:id="247" w:name="_Toc15777"/>
      <w:bookmarkStart w:id="248" w:name="_Toc21569"/>
      <w:bookmarkStart w:id="249" w:name="_Toc389065269"/>
      <w:bookmarkStart w:id="250" w:name="_Toc12609360"/>
      <w:r>
        <w:rPr>
          <w:rFonts w:hint="eastAsia" w:ascii="宋体" w:hAnsi="宋体" w:eastAsia="宋体" w:cs="宋体"/>
          <w:b/>
          <w:bCs/>
          <w:color w:val="auto"/>
          <w:sz w:val="24"/>
          <w:szCs w:val="24"/>
          <w:highlight w:val="none"/>
        </w:rPr>
        <w:t>2.2 发包人代表</w:t>
      </w:r>
      <w:bookmarkEnd w:id="243"/>
      <w:bookmarkEnd w:id="244"/>
      <w:bookmarkEnd w:id="245"/>
      <w:bookmarkEnd w:id="246"/>
      <w:bookmarkEnd w:id="247"/>
      <w:bookmarkEnd w:id="248"/>
      <w:bookmarkEnd w:id="249"/>
      <w:bookmarkEnd w:id="250"/>
    </w:p>
    <w:p w14:paraId="676A30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4108F40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CD5CAE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209219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5A96C0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5BDBA2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24818AD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431E3D01">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（1）对工程</w:t>
      </w:r>
      <w:r>
        <w:rPr>
          <w:rFonts w:hint="eastAsia" w:ascii="宋体" w:hAnsi="宋体" w:eastAsia="宋体" w:cs="宋体"/>
          <w:color w:val="auto"/>
          <w:sz w:val="24"/>
          <w:szCs w:val="24"/>
          <w:highlight w:val="none"/>
          <w:u w:val="single"/>
          <w:lang w:eastAsia="zh-CN"/>
        </w:rPr>
        <w:t>监理</w:t>
      </w:r>
      <w:r>
        <w:rPr>
          <w:rFonts w:hint="eastAsia" w:ascii="宋体" w:hAnsi="宋体" w:cs="宋体"/>
          <w:color w:val="auto"/>
          <w:sz w:val="24"/>
          <w:szCs w:val="24"/>
          <w:highlight w:val="none"/>
          <w:u w:val="single"/>
          <w:lang w:eastAsia="zh-CN"/>
        </w:rPr>
        <w:t>单位</w:t>
      </w:r>
      <w:r>
        <w:rPr>
          <w:rFonts w:hint="eastAsia" w:ascii="宋体" w:hAnsi="宋体" w:eastAsia="宋体" w:cs="宋体"/>
          <w:color w:val="auto"/>
          <w:sz w:val="24"/>
          <w:szCs w:val="24"/>
          <w:highlight w:val="none"/>
          <w:u w:val="single"/>
        </w:rPr>
        <w:t>和承包方的工作进行监督、检查；（2）按照合同约定，代表发包人履行其权利和义务；（3）协调有关政府主管部门。</w:t>
      </w:r>
    </w:p>
    <w:p w14:paraId="23C2D20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51" w:name="_Toc30103"/>
      <w:bookmarkStart w:id="252" w:name="_Toc8600"/>
      <w:bookmarkStart w:id="253" w:name="_Toc373227704"/>
      <w:bookmarkStart w:id="254" w:name="_Toc12609361"/>
      <w:bookmarkStart w:id="255" w:name="_Toc373478351"/>
      <w:bookmarkStart w:id="256" w:name="_Toc389065270"/>
      <w:bookmarkStart w:id="257" w:name="_Toc13877"/>
      <w:bookmarkStart w:id="258" w:name="_Toc407135206"/>
      <w:r>
        <w:rPr>
          <w:rFonts w:hint="eastAsia" w:ascii="宋体" w:hAnsi="宋体" w:eastAsia="宋体" w:cs="宋体"/>
          <w:b/>
          <w:bCs/>
          <w:color w:val="auto"/>
          <w:sz w:val="24"/>
          <w:szCs w:val="24"/>
          <w:highlight w:val="none"/>
        </w:rPr>
        <w:t>2.4 施工现场、施工条件和基础资料的提供</w:t>
      </w:r>
      <w:bookmarkEnd w:id="251"/>
      <w:bookmarkEnd w:id="252"/>
      <w:bookmarkEnd w:id="253"/>
      <w:bookmarkEnd w:id="254"/>
      <w:bookmarkEnd w:id="255"/>
      <w:bookmarkEnd w:id="256"/>
      <w:bookmarkEnd w:id="257"/>
      <w:bookmarkEnd w:id="258"/>
    </w:p>
    <w:p w14:paraId="21B83A89">
      <w:pPr>
        <w:spacing w:beforeLines="0" w:afterLines="0" w:line="560" w:lineRule="exact"/>
        <w:ind w:firstLine="0" w:firstLineChars="0"/>
        <w:rPr>
          <w:rFonts w:hint="eastAsia" w:ascii="宋体" w:hAnsi="宋体" w:cs="宋体"/>
          <w:color w:val="auto"/>
          <w:sz w:val="24"/>
          <w:szCs w:val="24"/>
          <w:highlight w:val="none"/>
        </w:rPr>
      </w:pPr>
      <w:bookmarkStart w:id="259" w:name="_Toc389065271"/>
      <w:bookmarkStart w:id="260" w:name="_Toc407135207"/>
      <w:bookmarkStart w:id="261" w:name="_Toc373478352"/>
      <w:bookmarkStart w:id="262" w:name="_Toc12609362"/>
      <w:bookmarkStart w:id="263" w:name="_Toc373227705"/>
      <w:r>
        <w:rPr>
          <w:rFonts w:hint="eastAsia" w:ascii="宋体" w:hAnsi="宋体" w:cs="宋体"/>
          <w:color w:val="auto"/>
          <w:sz w:val="24"/>
          <w:szCs w:val="24"/>
          <w:highlight w:val="none"/>
        </w:rPr>
        <w:t>2.4.1 提供施工现场</w:t>
      </w:r>
    </w:p>
    <w:p w14:paraId="1F7EB8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移交施工现场的期限要求：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进场前 7 日 </w:t>
      </w:r>
      <w:r>
        <w:rPr>
          <w:rFonts w:hint="eastAsia" w:ascii="宋体" w:hAnsi="宋体" w:cs="宋体"/>
          <w:color w:val="auto"/>
          <w:sz w:val="24"/>
          <w:szCs w:val="24"/>
          <w:highlight w:val="none"/>
        </w:rPr>
        <w:t>。</w:t>
      </w:r>
    </w:p>
    <w:p w14:paraId="2A25097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5FC369C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应负责提供施工所需要的条件，包括：</w:t>
      </w:r>
    </w:p>
    <w:p w14:paraId="74E0466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（1）将施工所需的水、电、接至施工场地的时间、地点和供应要求：</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仅提供水电接口，费用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 xml:space="preserve">。 </w:t>
      </w:r>
    </w:p>
    <w:p w14:paraId="53EE613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（2）施工场地与公共道路的通道开通时间和要求：</w:t>
      </w:r>
      <w:r>
        <w:rPr>
          <w:rFonts w:hint="eastAsia" w:ascii="宋体" w:hAnsi="宋体" w:cs="宋体"/>
          <w:color w:val="auto"/>
          <w:sz w:val="24"/>
          <w:szCs w:val="24"/>
          <w:highlight w:val="none"/>
          <w:u w:val="single"/>
        </w:rPr>
        <w:t>施工场地与公共道路的通道由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自行解决，费用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w:t>
      </w:r>
    </w:p>
    <w:p w14:paraId="23FAA66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（3）工程地质和地下管线资料的提供时间：</w:t>
      </w:r>
      <w:r>
        <w:rPr>
          <w:rFonts w:hint="eastAsia" w:ascii="宋体" w:hAnsi="宋体" w:cs="宋体"/>
          <w:color w:val="auto"/>
          <w:sz w:val="24"/>
          <w:szCs w:val="24"/>
          <w:highlight w:val="none"/>
          <w:u w:val="single"/>
        </w:rPr>
        <w:t>进场后三天内，已交底的场地内地下管线由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负责保护 </w:t>
      </w:r>
      <w:r>
        <w:rPr>
          <w:rFonts w:hint="eastAsia" w:ascii="宋体" w:hAnsi="宋体" w:cs="宋体"/>
          <w:color w:val="auto"/>
          <w:sz w:val="24"/>
          <w:szCs w:val="24"/>
          <w:highlight w:val="none"/>
        </w:rPr>
        <w:t xml:space="preserve">。 </w:t>
      </w:r>
    </w:p>
    <w:p w14:paraId="1FC1B23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办理的施工所需证件、批件的名称和完成时间：</w:t>
      </w:r>
      <w:r>
        <w:rPr>
          <w:rFonts w:hint="eastAsia" w:ascii="宋体" w:hAnsi="宋体" w:cs="宋体"/>
          <w:color w:val="auto"/>
          <w:sz w:val="24"/>
          <w:szCs w:val="24"/>
          <w:highlight w:val="none"/>
          <w:u w:val="single"/>
        </w:rPr>
        <w:t>有关批件</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方按规定完成</w:t>
      </w:r>
      <w:r>
        <w:rPr>
          <w:rFonts w:hint="eastAsia" w:ascii="宋体" w:hAnsi="宋体" w:cs="宋体"/>
          <w:color w:val="auto"/>
          <w:sz w:val="24"/>
          <w:szCs w:val="24"/>
          <w:highlight w:val="none"/>
        </w:rPr>
        <w:t xml:space="preserve">。 </w:t>
      </w:r>
    </w:p>
    <w:p w14:paraId="58FEEE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（5）水准点与座标控制点交验要求：</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并对水准点和坐标控制点加以保护</w:t>
      </w:r>
      <w:r>
        <w:rPr>
          <w:rFonts w:hint="eastAsia" w:ascii="宋体" w:hAnsi="宋体" w:cs="宋体"/>
          <w:color w:val="auto"/>
          <w:sz w:val="24"/>
          <w:szCs w:val="24"/>
          <w:highlight w:val="none"/>
        </w:rPr>
        <w:t>。</w:t>
      </w:r>
    </w:p>
    <w:p w14:paraId="1743F4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（6）图纸会审和设计交底时间：</w:t>
      </w:r>
      <w:r>
        <w:rPr>
          <w:rFonts w:hint="eastAsia" w:ascii="宋体" w:hAnsi="宋体" w:cs="宋体"/>
          <w:color w:val="auto"/>
          <w:sz w:val="24"/>
          <w:szCs w:val="24"/>
          <w:highlight w:val="none"/>
          <w:u w:val="single"/>
        </w:rPr>
        <w:t xml:space="preserve"> 图纸发出 7 天内，</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负责组织设计单位、监理工程师向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进行技术交底</w:t>
      </w:r>
      <w:r>
        <w:rPr>
          <w:rFonts w:hint="eastAsia" w:ascii="宋体" w:hAnsi="宋体" w:cs="宋体"/>
          <w:color w:val="auto"/>
          <w:sz w:val="24"/>
          <w:szCs w:val="24"/>
          <w:highlight w:val="none"/>
        </w:rPr>
        <w:t xml:space="preserve">。 </w:t>
      </w:r>
    </w:p>
    <w:p w14:paraId="44B1C5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（7）协调处理施工场地周围地下管线和邻近建筑物、构筑物（含文物保护建筑）、古树名木的保护工作： </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负责按实际需要协调</w:t>
      </w:r>
      <w:r>
        <w:rPr>
          <w:rFonts w:hint="eastAsia" w:ascii="宋体" w:hAnsi="宋体" w:cs="宋体"/>
          <w:color w:val="auto"/>
          <w:sz w:val="24"/>
          <w:szCs w:val="24"/>
          <w:highlight w:val="none"/>
        </w:rPr>
        <w:t>。</w:t>
      </w:r>
    </w:p>
    <w:p w14:paraId="4BFC607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（8）双方约定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在开工前向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提供壹份监理合同</w:t>
      </w:r>
      <w:r>
        <w:rPr>
          <w:rFonts w:hint="eastAsia" w:ascii="宋体" w:hAnsi="宋体" w:cs="宋体"/>
          <w:color w:val="auto"/>
          <w:sz w:val="24"/>
          <w:szCs w:val="24"/>
          <w:highlight w:val="none"/>
        </w:rPr>
        <w:t>。</w:t>
      </w:r>
    </w:p>
    <w:p w14:paraId="309130B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委托</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办理的工作： </w:t>
      </w:r>
      <w:r>
        <w:rPr>
          <w:rFonts w:hint="eastAsia" w:ascii="宋体" w:hAnsi="宋体" w:cs="宋体"/>
          <w:color w:val="auto"/>
          <w:sz w:val="24"/>
          <w:szCs w:val="24"/>
          <w:highlight w:val="none"/>
          <w:u w:val="single"/>
        </w:rPr>
        <w:t>双方另行协商</w:t>
      </w:r>
      <w:r>
        <w:rPr>
          <w:rFonts w:hint="eastAsia" w:ascii="宋体" w:hAnsi="宋体" w:cs="宋体"/>
          <w:color w:val="auto"/>
          <w:sz w:val="24"/>
          <w:szCs w:val="24"/>
          <w:highlight w:val="none"/>
        </w:rPr>
        <w:t xml:space="preserve">。 </w:t>
      </w:r>
    </w:p>
    <w:p w14:paraId="0347D62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4" w:name="_Toc17523"/>
      <w:bookmarkStart w:id="265" w:name="_Toc11808"/>
      <w:bookmarkStart w:id="266" w:name="_Toc7180"/>
      <w:r>
        <w:rPr>
          <w:rFonts w:hint="eastAsia" w:ascii="宋体" w:hAnsi="宋体" w:eastAsia="宋体" w:cs="宋体"/>
          <w:b/>
          <w:bCs/>
          <w:color w:val="auto"/>
          <w:sz w:val="24"/>
          <w:szCs w:val="24"/>
          <w:highlight w:val="none"/>
        </w:rPr>
        <w:t>2.5 资金来源证明及支付担保</w:t>
      </w:r>
      <w:bookmarkEnd w:id="259"/>
      <w:bookmarkEnd w:id="260"/>
      <w:bookmarkEnd w:id="261"/>
      <w:bookmarkEnd w:id="262"/>
      <w:bookmarkEnd w:id="263"/>
      <w:bookmarkEnd w:id="264"/>
      <w:bookmarkEnd w:id="265"/>
      <w:bookmarkEnd w:id="266"/>
    </w:p>
    <w:p w14:paraId="4F8E6B9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1F12F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9AC8E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134ECA">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发包人提供的支付担保格式见合同附件9。</w:t>
      </w:r>
    </w:p>
    <w:p w14:paraId="175F312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7" w:name="_Toc389065272"/>
      <w:bookmarkStart w:id="268" w:name="_Toc373478353"/>
      <w:bookmarkStart w:id="269" w:name="_Toc13435"/>
      <w:bookmarkStart w:id="270" w:name="_Toc407135208"/>
      <w:bookmarkStart w:id="271" w:name="_Toc12609363"/>
      <w:bookmarkStart w:id="272" w:name="_Toc23542"/>
      <w:bookmarkStart w:id="273" w:name="_Toc3998"/>
      <w:bookmarkStart w:id="274" w:name="_Toc373227706"/>
      <w:r>
        <w:rPr>
          <w:rFonts w:hint="eastAsia" w:ascii="宋体" w:hAnsi="宋体" w:eastAsia="宋体" w:cs="宋体"/>
          <w:b/>
          <w:bCs/>
          <w:color w:val="auto"/>
          <w:sz w:val="24"/>
          <w:szCs w:val="24"/>
          <w:highlight w:val="none"/>
        </w:rPr>
        <w:t>3. 承包人</w:t>
      </w:r>
      <w:bookmarkEnd w:id="267"/>
      <w:bookmarkEnd w:id="268"/>
      <w:bookmarkEnd w:id="269"/>
      <w:bookmarkEnd w:id="270"/>
      <w:bookmarkEnd w:id="271"/>
      <w:bookmarkEnd w:id="272"/>
      <w:bookmarkEnd w:id="273"/>
      <w:bookmarkEnd w:id="274"/>
    </w:p>
    <w:p w14:paraId="2C0A517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75" w:name="_Toc389065273"/>
      <w:bookmarkStart w:id="276" w:name="_Toc407135209"/>
      <w:bookmarkStart w:id="277" w:name="_Toc373478354"/>
      <w:bookmarkStart w:id="278" w:name="_Toc373227707"/>
      <w:bookmarkStart w:id="279" w:name="_Toc12609364"/>
      <w:bookmarkStart w:id="280" w:name="_Toc27223"/>
      <w:bookmarkStart w:id="281" w:name="_Toc1238"/>
      <w:bookmarkStart w:id="282" w:name="_Toc12027"/>
      <w:r>
        <w:rPr>
          <w:rFonts w:hint="eastAsia" w:ascii="宋体" w:hAnsi="宋体" w:eastAsia="宋体" w:cs="宋体"/>
          <w:b/>
          <w:bCs/>
          <w:color w:val="auto"/>
          <w:sz w:val="24"/>
          <w:szCs w:val="24"/>
          <w:highlight w:val="none"/>
        </w:rPr>
        <w:t>3.1 承包人的一般义务</w:t>
      </w:r>
      <w:bookmarkEnd w:id="275"/>
      <w:bookmarkEnd w:id="276"/>
      <w:bookmarkEnd w:id="277"/>
      <w:bookmarkEnd w:id="278"/>
      <w:bookmarkEnd w:id="279"/>
      <w:bookmarkEnd w:id="280"/>
      <w:bookmarkEnd w:id="281"/>
      <w:bookmarkEnd w:id="282"/>
    </w:p>
    <w:p w14:paraId="5559F95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包括工程质量保证资料、验收备案资料、竣工图等完整的竣工档案资料 </w:t>
      </w:r>
      <w:r>
        <w:rPr>
          <w:rFonts w:hint="eastAsia" w:ascii="宋体" w:hAnsi="宋体" w:cs="宋体"/>
          <w:color w:val="auto"/>
          <w:sz w:val="24"/>
          <w:szCs w:val="24"/>
          <w:highlight w:val="none"/>
        </w:rPr>
        <w:t>。</w:t>
      </w:r>
    </w:p>
    <w:p w14:paraId="5721AA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捌</w:t>
      </w:r>
      <w:r>
        <w:rPr>
          <w:rFonts w:hint="eastAsia" w:ascii="宋体" w:hAnsi="宋体" w:cs="宋体"/>
          <w:color w:val="auto"/>
          <w:sz w:val="24"/>
          <w:szCs w:val="24"/>
          <w:highlight w:val="none"/>
          <w:u w:val="single"/>
        </w:rPr>
        <w:t>套（施工、监理、建设、接收单位、档案馆各一套）</w:t>
      </w:r>
      <w:r>
        <w:rPr>
          <w:rFonts w:hint="eastAsia" w:ascii="宋体" w:hAnsi="宋体" w:cs="宋体"/>
          <w:color w:val="auto"/>
          <w:sz w:val="24"/>
          <w:szCs w:val="24"/>
          <w:highlight w:val="none"/>
        </w:rPr>
        <w:t>。</w:t>
      </w:r>
    </w:p>
    <w:p w14:paraId="427043A5">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全部承担 </w:t>
      </w:r>
      <w:r>
        <w:rPr>
          <w:rFonts w:hint="eastAsia" w:ascii="宋体" w:hAnsi="宋体" w:cs="宋体"/>
          <w:color w:val="auto"/>
          <w:sz w:val="24"/>
          <w:szCs w:val="24"/>
          <w:highlight w:val="none"/>
        </w:rPr>
        <w:t>。</w:t>
      </w:r>
    </w:p>
    <w:p w14:paraId="59CC4563">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竣工验收合格后28 天内</w:t>
      </w:r>
      <w:r>
        <w:rPr>
          <w:rFonts w:hint="eastAsia" w:ascii="宋体" w:hAnsi="宋体" w:cs="宋体"/>
          <w:color w:val="auto"/>
          <w:sz w:val="24"/>
          <w:szCs w:val="24"/>
          <w:highlight w:val="none"/>
        </w:rPr>
        <w:t>。</w:t>
      </w:r>
    </w:p>
    <w:p w14:paraId="30D2EC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 xml:space="preserve"> 文本 </w:t>
      </w:r>
      <w:r>
        <w:rPr>
          <w:rFonts w:hint="eastAsia" w:ascii="宋体" w:hAnsi="宋体" w:cs="宋体"/>
          <w:color w:val="auto"/>
          <w:sz w:val="24"/>
          <w:szCs w:val="24"/>
          <w:highlight w:val="none"/>
        </w:rPr>
        <w:t>。</w:t>
      </w:r>
    </w:p>
    <w:p w14:paraId="1F603989">
      <w:pPr>
        <w:spacing w:beforeLines="0" w:afterLines="0" w:line="560" w:lineRule="exact"/>
        <w:ind w:firstLine="0" w:firstLineChars="0"/>
        <w:jc w:val="both"/>
        <w:rPr>
          <w:rFonts w:hint="eastAsia" w:ascii="宋体" w:hAnsi="宋体" w:cs="宋体"/>
          <w:color w:val="auto"/>
          <w:sz w:val="24"/>
          <w:szCs w:val="24"/>
          <w:highlight w:val="none"/>
        </w:rPr>
      </w:pPr>
      <w:bookmarkStart w:id="283" w:name="_Toc373478355"/>
      <w:bookmarkStart w:id="284" w:name="_Toc389065274"/>
      <w:bookmarkStart w:id="285" w:name="_Toc407135210"/>
      <w:bookmarkStart w:id="286" w:name="_Toc12609365"/>
      <w:bookmarkStart w:id="287" w:name="_Toc373227708"/>
      <w:r>
        <w:rPr>
          <w:rFonts w:hint="eastAsia" w:ascii="宋体" w:hAnsi="宋体" w:cs="宋体"/>
          <w:color w:val="auto"/>
          <w:sz w:val="24"/>
          <w:szCs w:val="24"/>
          <w:highlight w:val="none"/>
        </w:rPr>
        <w:t>（10）</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应履行的其他义务：</w:t>
      </w:r>
    </w:p>
    <w:p w14:paraId="2129BE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（10.1）施工场地周围地下管线和邻近建筑物、构筑物（含文物保护建筑）、古树名木的保护要求及费用承担：</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施工时应探明并负责保护且承包费用，施工时如损坏地下管线、邻近建筑物、构筑物，所发生费用由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承担。 </w:t>
      </w:r>
    </w:p>
    <w:p w14:paraId="61BAE99A">
      <w:pPr>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（10.2）取土场及弃土场由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自行解决，但不得违反相关管理规定，并承担相关费用</w:t>
      </w:r>
      <w:r>
        <w:rPr>
          <w:rFonts w:hint="eastAsia" w:ascii="宋体" w:hAnsi="宋体" w:cs="宋体"/>
          <w:color w:val="auto"/>
          <w:sz w:val="24"/>
          <w:szCs w:val="24"/>
          <w:highlight w:val="none"/>
          <w:lang w:eastAsia="zh-CN"/>
        </w:rPr>
        <w:t>；购土费、土方消纳费以财评审定为为准。</w:t>
      </w:r>
    </w:p>
    <w:p w14:paraId="0F6074F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（10.3）需由设计资质等级和业务范围允许的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完成的设计文件提交时间：</w:t>
      </w:r>
      <w:r>
        <w:rPr>
          <w:rFonts w:hint="eastAsia" w:ascii="宋体" w:hAnsi="宋体" w:cs="宋体"/>
          <w:color w:val="auto"/>
          <w:sz w:val="24"/>
          <w:szCs w:val="24"/>
          <w:highlight w:val="none"/>
          <w:u w:val="single"/>
        </w:rPr>
        <w:t xml:space="preserve"> 无 </w:t>
      </w:r>
    </w:p>
    <w:p w14:paraId="106009D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（10.4）应提供计划、报表的名称及完成时间：</w:t>
      </w:r>
      <w:r>
        <w:rPr>
          <w:rFonts w:hint="eastAsia" w:ascii="宋体" w:hAnsi="宋体" w:cs="宋体"/>
          <w:color w:val="auto"/>
          <w:sz w:val="24"/>
          <w:szCs w:val="24"/>
          <w:highlight w:val="none"/>
          <w:u w:val="single"/>
        </w:rPr>
        <w:t xml:space="preserve"> 合同签订后 7 天内向监理工程师和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提交符合合同工期要求的 1、施工组织设计，2、工程进度计划 3、管理人员名单、职称、职务、上岗证等（注：领取中标通知书前提交建设管理部门），4、安全文明施工措施，5、质量保证体系。每月 25 日提供当月完成工程量报表、次月计划完成工程量报表各两份</w:t>
      </w:r>
      <w:r>
        <w:rPr>
          <w:rFonts w:hint="eastAsia" w:ascii="宋体" w:hAnsi="宋体" w:cs="宋体"/>
          <w:color w:val="auto"/>
          <w:sz w:val="24"/>
          <w:szCs w:val="24"/>
          <w:highlight w:val="none"/>
        </w:rPr>
        <w:t>。</w:t>
      </w:r>
    </w:p>
    <w:p w14:paraId="131A8B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（10.5）承担施工安全保卫工作及非夜间施工照明的责任和要求：</w:t>
      </w:r>
      <w:r>
        <w:rPr>
          <w:rFonts w:hint="eastAsia" w:ascii="宋体" w:hAnsi="宋体" w:cs="宋体"/>
          <w:color w:val="auto"/>
          <w:sz w:val="24"/>
          <w:szCs w:val="24"/>
          <w:highlight w:val="none"/>
          <w:u w:val="single"/>
        </w:rPr>
        <w:t xml:space="preserve"> 提供和维修非夜间施工使用的照明、安全标识、围栏等设施，保证过往车辆、行人安全，并负责施工现场安全保卫，费用由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承担。按国家及地方对施工防护的有关规定及通用条款 9.1（3）条内容</w:t>
      </w:r>
      <w:r>
        <w:rPr>
          <w:rFonts w:hint="eastAsia" w:ascii="宋体" w:hAnsi="宋体" w:cs="宋体"/>
          <w:color w:val="auto"/>
          <w:sz w:val="24"/>
          <w:szCs w:val="24"/>
          <w:highlight w:val="none"/>
        </w:rPr>
        <w:t>。</w:t>
      </w:r>
    </w:p>
    <w:p w14:paraId="7B542D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（10.6）向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提供的办公和生活房屋及设施的要求：</w:t>
      </w:r>
      <w:r>
        <w:rPr>
          <w:rFonts w:hint="eastAsia" w:ascii="宋体" w:hAnsi="宋体" w:cs="宋体"/>
          <w:color w:val="auto"/>
          <w:sz w:val="24"/>
          <w:szCs w:val="24"/>
          <w:highlight w:val="none"/>
          <w:u w:val="single"/>
        </w:rPr>
        <w:t>两间办公室（40m2 以上）及桌椅四套</w:t>
      </w:r>
      <w:r>
        <w:rPr>
          <w:rFonts w:hint="eastAsia" w:ascii="宋体" w:hAnsi="宋体" w:cs="宋体"/>
          <w:color w:val="auto"/>
          <w:sz w:val="24"/>
          <w:szCs w:val="24"/>
          <w:highlight w:val="none"/>
        </w:rPr>
        <w:t xml:space="preserve">。 </w:t>
      </w:r>
    </w:p>
    <w:p w14:paraId="542B22D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（10.7）需</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办理的有关施工场地交通、环卫和施工噪音管理等手续：</w:t>
      </w:r>
      <w:r>
        <w:rPr>
          <w:rFonts w:hint="eastAsia" w:ascii="宋体" w:hAnsi="宋体" w:cs="宋体"/>
          <w:color w:val="auto"/>
          <w:sz w:val="24"/>
          <w:szCs w:val="24"/>
          <w:highlight w:val="none"/>
          <w:u w:val="single"/>
        </w:rPr>
        <w:t xml:space="preserve"> 1、通行证，</w:t>
      </w:r>
    </w:p>
    <w:p w14:paraId="1D64838D">
      <w:pPr>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2、环卫部门规定的施工场地卫生手续，3、城管部门手续，4、建设行政部门手续，5、施工噪音超标手续，6、项目临时工会手续。并承担相关费用</w:t>
      </w:r>
      <w:r>
        <w:rPr>
          <w:rFonts w:hint="eastAsia" w:ascii="宋体" w:hAnsi="宋体" w:cs="宋体"/>
          <w:color w:val="auto"/>
          <w:sz w:val="24"/>
          <w:szCs w:val="24"/>
          <w:highlight w:val="none"/>
        </w:rPr>
        <w:t>。</w:t>
      </w:r>
    </w:p>
    <w:p w14:paraId="45999C0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（10.8）已完工程成品保护的特殊要求及费用承担：</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sz w:val="24"/>
          <w:szCs w:val="24"/>
          <w:highlight w:val="none"/>
        </w:rPr>
        <w:t>。</w:t>
      </w:r>
    </w:p>
    <w:p w14:paraId="76ADA4C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（10.9）施工场地周围地下管线和邻近建筑物、构筑物（含文物保护建筑）、古树名木的保护要求及费用承担：</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保护，费用按通用条款8.1.（8）执行。施工时如损坏地下管线、邻近建筑物、构筑物，所发生的费用由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w:t>
      </w:r>
      <w:r>
        <w:rPr>
          <w:rFonts w:hint="eastAsia" w:ascii="宋体" w:hAnsi="宋体" w:cs="宋体"/>
          <w:color w:val="auto"/>
          <w:sz w:val="24"/>
          <w:szCs w:val="24"/>
          <w:highlight w:val="none"/>
        </w:rPr>
        <w:t>。</w:t>
      </w:r>
    </w:p>
    <w:p w14:paraId="2D0E326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（10.10）施工场地清洁卫生的要求：</w:t>
      </w:r>
      <w:r>
        <w:rPr>
          <w:rFonts w:hint="eastAsia" w:ascii="宋体" w:hAnsi="宋体" w:cs="宋体"/>
          <w:color w:val="auto"/>
          <w:sz w:val="24"/>
          <w:szCs w:val="24"/>
          <w:highlight w:val="none"/>
          <w:u w:val="single"/>
        </w:rPr>
        <w:t xml:space="preserve"> 在施工期间对环境主要影响是机械声和废水、废</w:t>
      </w:r>
    </w:p>
    <w:p w14:paraId="0F793D0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渣、尘埃，对此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应采取相应的防治措施和严格管理，严格控制污染物排放，污染物排放前必须处理，达到排污标准后再排放。控制标准：《地面环境质量标准》GB3838-88Ⅱ。施工完毕后，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应及时将被破坏的场地，遵照监理工程师的指示进行清理、修正，并根据实际情况将场地恢复到原有状态</w:t>
      </w:r>
      <w:r>
        <w:rPr>
          <w:rFonts w:hint="eastAsia" w:ascii="宋体" w:hAnsi="宋体" w:cs="宋体"/>
          <w:color w:val="auto"/>
          <w:sz w:val="24"/>
          <w:szCs w:val="24"/>
          <w:highlight w:val="none"/>
        </w:rPr>
        <w:t xml:space="preserve">。 </w:t>
      </w:r>
    </w:p>
    <w:p w14:paraId="294E376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（10.11）双方约定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在中标通知书发出之后三日内须提供相关证件（除中标通知书发放前已提交的除外），由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办理报建手续。否则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视为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自动放弃合同</w:t>
      </w:r>
      <w:r>
        <w:rPr>
          <w:rFonts w:hint="eastAsia" w:ascii="宋体" w:hAnsi="宋体" w:cs="宋体"/>
          <w:color w:val="auto"/>
          <w:sz w:val="24"/>
          <w:szCs w:val="24"/>
          <w:highlight w:val="none"/>
        </w:rPr>
        <w:t>。</w:t>
      </w:r>
    </w:p>
    <w:p w14:paraId="6443D1D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（10.12）</w:t>
      </w:r>
      <w:r>
        <w:rPr>
          <w:rFonts w:hint="eastAsia" w:ascii="宋体" w:hAnsi="宋体" w:cs="宋体"/>
          <w:color w:val="auto"/>
          <w:sz w:val="24"/>
          <w:szCs w:val="24"/>
          <w:highlight w:val="none"/>
          <w:u w:val="single"/>
        </w:rPr>
        <w:t>因施工问题涉及交通、公路等部门的，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有义务与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一起协调</w:t>
      </w:r>
      <w:r>
        <w:rPr>
          <w:rFonts w:hint="eastAsia" w:ascii="宋体" w:hAnsi="宋体" w:cs="宋体"/>
          <w:color w:val="auto"/>
          <w:sz w:val="24"/>
          <w:szCs w:val="24"/>
          <w:highlight w:val="none"/>
        </w:rPr>
        <w:t>。</w:t>
      </w:r>
    </w:p>
    <w:p w14:paraId="61F11B0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（10.13）</w:t>
      </w:r>
      <w:r>
        <w:rPr>
          <w:rFonts w:hint="eastAsia" w:ascii="宋体" w:hAnsi="宋体" w:cs="宋体"/>
          <w:color w:val="auto"/>
          <w:sz w:val="24"/>
          <w:szCs w:val="24"/>
          <w:highlight w:val="none"/>
          <w:u w:val="single"/>
        </w:rPr>
        <w:t>合同当事人对文明施工的要求：安全防护、文明施工设施须按南宁市城乡建委《南宁市建设工程质量安全管理标准化图集》（强制性行业标准，2013 年 4 月版）要求及《南宁市城乡建设委员会关于印发“美丽南宁•整洁畅通有序大行动”活动工地乱象整治工作方案的通知》（南建质安[2013]28 号）有关标准及制度执行</w:t>
      </w:r>
      <w:r>
        <w:rPr>
          <w:rFonts w:hint="eastAsia" w:ascii="宋体" w:hAnsi="宋体" w:cs="宋体"/>
          <w:color w:val="auto"/>
          <w:sz w:val="24"/>
          <w:szCs w:val="24"/>
          <w:highlight w:val="none"/>
        </w:rPr>
        <w:t>。</w:t>
      </w:r>
    </w:p>
    <w:p w14:paraId="3D8D801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88" w:name="_Toc268"/>
      <w:bookmarkStart w:id="289" w:name="_Toc14273"/>
      <w:bookmarkStart w:id="290" w:name="_Toc32356"/>
      <w:r>
        <w:rPr>
          <w:rFonts w:hint="eastAsia" w:ascii="宋体" w:hAnsi="宋体" w:eastAsia="宋体" w:cs="宋体"/>
          <w:b/>
          <w:bCs/>
          <w:color w:val="auto"/>
          <w:sz w:val="24"/>
          <w:szCs w:val="24"/>
          <w:highlight w:val="none"/>
        </w:rPr>
        <w:t>3.2 项目经理</w:t>
      </w:r>
      <w:bookmarkEnd w:id="283"/>
      <w:bookmarkEnd w:id="284"/>
      <w:bookmarkEnd w:id="285"/>
      <w:bookmarkEnd w:id="286"/>
      <w:bookmarkEnd w:id="287"/>
      <w:bookmarkEnd w:id="288"/>
      <w:bookmarkEnd w:id="289"/>
      <w:bookmarkEnd w:id="290"/>
    </w:p>
    <w:p w14:paraId="4AF955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752427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445291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FB21AE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75E10A2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EEFC5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1C49D3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670AB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C65F5D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FEA502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296926C">
      <w:pPr>
        <w:spacing w:beforeLines="0" w:afterLines="0" w:line="560" w:lineRule="exact"/>
        <w:ind w:firstLine="0" w:firstLineChars="0"/>
        <w:jc w:val="both"/>
        <w:rPr>
          <w:rFonts w:hint="eastAsia" w:ascii="宋体" w:hAnsi="宋体" w:cs="宋体"/>
          <w:color w:val="auto"/>
          <w:sz w:val="24"/>
          <w:szCs w:val="24"/>
          <w:highlight w:val="none"/>
        </w:rPr>
      </w:pPr>
      <w:bookmarkStart w:id="291" w:name="_Toc12609366"/>
      <w:bookmarkStart w:id="292" w:name="_Toc407135211"/>
      <w:bookmarkStart w:id="293" w:name="_Toc373478356"/>
      <w:bookmarkStart w:id="294" w:name="_Toc389065275"/>
      <w:bookmarkStart w:id="295" w:name="_Toc373227709"/>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对项目经理的授权范围如下：</w:t>
      </w:r>
      <w:r>
        <w:rPr>
          <w:rFonts w:hint="eastAsia" w:ascii="宋体" w:hAnsi="宋体" w:cs="宋体"/>
          <w:color w:val="auto"/>
          <w:sz w:val="24"/>
          <w:szCs w:val="24"/>
          <w:highlight w:val="none"/>
          <w:u w:val="single"/>
        </w:rPr>
        <w:t xml:space="preserve"> 项目经理仅限于工程现场施工管理，未经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盖章同意，不得以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名义向外采购材料设备、租用建筑周转材料、雇用劳动力、签订分包合同等从事一切为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设立义务或责任的行为 </w:t>
      </w:r>
      <w:r>
        <w:rPr>
          <w:rFonts w:hint="eastAsia" w:ascii="宋体" w:hAnsi="宋体" w:cs="宋体"/>
          <w:color w:val="auto"/>
          <w:sz w:val="24"/>
          <w:szCs w:val="24"/>
          <w:highlight w:val="none"/>
        </w:rPr>
        <w:t>。</w:t>
      </w:r>
    </w:p>
    <w:p w14:paraId="6C8EB02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关于项目经理每月在施工现场的时间要求：</w:t>
      </w:r>
      <w:r>
        <w:rPr>
          <w:rFonts w:hint="eastAsia" w:ascii="宋体" w:hAnsi="宋体" w:cs="宋体"/>
          <w:color w:val="auto"/>
          <w:sz w:val="24"/>
          <w:szCs w:val="24"/>
          <w:highlight w:val="none"/>
          <w:u w:val="single"/>
        </w:rPr>
        <w:t xml:space="preserve"> 按实际施工情况确定    </w:t>
      </w:r>
      <w:r>
        <w:rPr>
          <w:rFonts w:hint="eastAsia" w:ascii="宋体" w:hAnsi="宋体" w:cs="宋体"/>
          <w:color w:val="auto"/>
          <w:sz w:val="24"/>
          <w:szCs w:val="24"/>
          <w:highlight w:val="none"/>
        </w:rPr>
        <w:t>。</w:t>
      </w:r>
    </w:p>
    <w:p w14:paraId="7865E4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未提交劳动合同，以及没有为项目经理缴纳社会保险证明的违约责任：</w:t>
      </w:r>
    </w:p>
    <w:p w14:paraId="69F2819C">
      <w:pPr>
        <w:spacing w:beforeLines="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项目经理无权履行职责，</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有权要求更换项目经理，由此增加的费用和（或）延误的工期由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承担，并按3.2.3 条款处罚 </w:t>
      </w:r>
      <w:r>
        <w:rPr>
          <w:rFonts w:hint="eastAsia" w:ascii="宋体" w:hAnsi="宋体" w:cs="宋体"/>
          <w:color w:val="auto"/>
          <w:sz w:val="24"/>
          <w:szCs w:val="24"/>
          <w:highlight w:val="none"/>
        </w:rPr>
        <w:t>。</w:t>
      </w:r>
    </w:p>
    <w:p w14:paraId="51CF8F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项目经理未经批准，擅自离开施工现场的违约责任：</w:t>
      </w:r>
      <w:r>
        <w:rPr>
          <w:rFonts w:hint="eastAsia" w:ascii="宋体" w:hAnsi="宋体" w:cs="宋体"/>
          <w:color w:val="auto"/>
          <w:sz w:val="24"/>
          <w:szCs w:val="24"/>
          <w:highlight w:val="none"/>
          <w:u w:val="single"/>
        </w:rPr>
        <w:t>项目经理每月在岗带班时间不得少于当月施工时间的80%。未经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同意或正当理由，项目经理每月在岗带班时间少于当月施工时间80%的，少在岗带班一天，</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有权处违约金3000元/日（人民币）</w:t>
      </w:r>
      <w:r>
        <w:rPr>
          <w:rFonts w:hint="eastAsia" w:ascii="宋体" w:hAnsi="宋体" w:cs="宋体"/>
          <w:color w:val="auto"/>
          <w:sz w:val="24"/>
          <w:szCs w:val="24"/>
          <w:highlight w:val="none"/>
        </w:rPr>
        <w:t>。</w:t>
      </w:r>
    </w:p>
    <w:p w14:paraId="0894AC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3.2.3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擅自更换项目经理的违约责任：</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项目经理必须与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投标时所承诺的人员一致，并在（开工日期）前到任。在监理人向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颁发（竣工证明材料名称）前，项目经理不得同时兼任其他任何项目的项目经理（符合桂建管﹝2013﹞17 号和桂建管﹝2014﹞25 号文除外）。未经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书面同意，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擅自更换项目经理的视为违约，违约金处10万元/人•次（人民币）</w:t>
      </w:r>
      <w:r>
        <w:rPr>
          <w:rFonts w:hint="eastAsia" w:ascii="宋体" w:hAnsi="宋体" w:cs="宋体"/>
          <w:color w:val="auto"/>
          <w:sz w:val="24"/>
          <w:szCs w:val="24"/>
          <w:highlight w:val="none"/>
        </w:rPr>
        <w:t>。</w:t>
      </w:r>
    </w:p>
    <w:p w14:paraId="691192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3.2.4 </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无正当理由拒绝更换项目经理的违约责任：因</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项目经理不称职，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要求调换而未及时调换的，视为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违约，必须向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交纳处罚金10万元/人•次（人民币）。</w:t>
      </w:r>
    </w:p>
    <w:p w14:paraId="10D5E43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6" w:name="_Toc14176"/>
      <w:bookmarkStart w:id="297" w:name="_Toc2102"/>
      <w:bookmarkStart w:id="298" w:name="_Toc13012"/>
      <w:r>
        <w:rPr>
          <w:rFonts w:hint="eastAsia" w:ascii="宋体" w:hAnsi="宋体" w:eastAsia="宋体" w:cs="宋体"/>
          <w:b/>
          <w:bCs/>
          <w:color w:val="auto"/>
          <w:sz w:val="24"/>
          <w:szCs w:val="24"/>
          <w:highlight w:val="none"/>
        </w:rPr>
        <w:t>3.3 承包人人员</w:t>
      </w:r>
      <w:bookmarkEnd w:id="291"/>
      <w:bookmarkEnd w:id="292"/>
      <w:bookmarkEnd w:id="293"/>
      <w:bookmarkEnd w:id="294"/>
      <w:bookmarkEnd w:id="295"/>
      <w:bookmarkEnd w:id="296"/>
      <w:bookmarkEnd w:id="297"/>
      <w:bookmarkEnd w:id="298"/>
    </w:p>
    <w:p w14:paraId="4BE65D6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承包人提交项目管理机构及施工现场管理人员安排报告（格式见合同附件5）的期限：</w:t>
      </w:r>
    </w:p>
    <w:p w14:paraId="225CF9F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在中标通知书发出之后三日 </w:t>
      </w:r>
      <w:r>
        <w:rPr>
          <w:rFonts w:hint="eastAsia" w:ascii="宋体" w:hAnsi="宋体" w:cs="宋体"/>
          <w:color w:val="auto"/>
          <w:sz w:val="24"/>
          <w:szCs w:val="24"/>
          <w:highlight w:val="none"/>
        </w:rPr>
        <w:t>。</w:t>
      </w:r>
    </w:p>
    <w:p w14:paraId="31971BB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因承包人主要施工管理人员不称职，发包人要求调换而无正当理由拒绝撤换或未及时调换的，视为承包人违约，必须向发包人交纳处罚金，处罚标准：技术负责人8万元/人•次（人民币）；专业工程师5 万元/人•次（人民币）</w:t>
      </w:r>
      <w:r>
        <w:rPr>
          <w:rFonts w:hint="eastAsia" w:ascii="宋体" w:hAnsi="宋体" w:cs="宋体"/>
          <w:color w:val="auto"/>
          <w:sz w:val="24"/>
          <w:szCs w:val="24"/>
          <w:highlight w:val="none"/>
        </w:rPr>
        <w:t>。</w:t>
      </w:r>
    </w:p>
    <w:p w14:paraId="1ED7AD16">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 xml:space="preserve">  经业主代表批准 </w:t>
      </w:r>
      <w:r>
        <w:rPr>
          <w:rFonts w:hint="eastAsia" w:ascii="宋体" w:hAnsi="宋体" w:cs="宋体"/>
          <w:color w:val="auto"/>
          <w:sz w:val="24"/>
          <w:szCs w:val="24"/>
          <w:highlight w:val="none"/>
        </w:rPr>
        <w:t>。</w:t>
      </w:r>
    </w:p>
    <w:p w14:paraId="353C584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3.3.5 承包人擅自更换主要施工管理人员的违约责任：</w:t>
      </w:r>
      <w:r>
        <w:rPr>
          <w:rFonts w:hint="eastAsia" w:ascii="宋体" w:hAnsi="宋体" w:cs="宋体"/>
          <w:color w:val="auto"/>
          <w:sz w:val="24"/>
          <w:szCs w:val="24"/>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 w:val="24"/>
          <w:szCs w:val="24"/>
          <w:highlight w:val="none"/>
          <w:u w:val="single"/>
          <w:lang w:val="en-US" w:eastAsia="zh-CN"/>
        </w:rPr>
        <w:t>8万</w:t>
      </w:r>
      <w:r>
        <w:rPr>
          <w:rFonts w:hint="eastAsia" w:ascii="宋体" w:hAnsi="宋体" w:cs="宋体"/>
          <w:color w:val="auto"/>
          <w:sz w:val="24"/>
          <w:szCs w:val="24"/>
          <w:highlight w:val="none"/>
          <w:u w:val="single"/>
        </w:rPr>
        <w:t xml:space="preserve"> 元/人•次（人民币）违约金；擅自更换专职安全员处</w:t>
      </w:r>
      <w:r>
        <w:rPr>
          <w:rFonts w:hint="eastAsia" w:ascii="宋体" w:hAnsi="宋体" w:cs="宋体"/>
          <w:color w:val="auto"/>
          <w:sz w:val="24"/>
          <w:szCs w:val="24"/>
          <w:highlight w:val="none"/>
          <w:u w:val="single"/>
          <w:lang w:val="en-US" w:eastAsia="zh-CN"/>
        </w:rPr>
        <w:t>5万</w:t>
      </w:r>
      <w:r>
        <w:rPr>
          <w:rFonts w:hint="eastAsia" w:ascii="宋体" w:hAnsi="宋体" w:cs="宋体"/>
          <w:color w:val="auto"/>
          <w:sz w:val="24"/>
          <w:szCs w:val="24"/>
          <w:highlight w:val="none"/>
          <w:u w:val="single"/>
        </w:rPr>
        <w:t xml:space="preserve">元/人•次（人民币）违约金；擅自更换其它在场管理人员处 </w:t>
      </w:r>
      <w:r>
        <w:rPr>
          <w:rFonts w:hint="eastAsia" w:ascii="宋体" w:hAnsi="宋体" w:cs="宋体"/>
          <w:color w:val="auto"/>
          <w:sz w:val="24"/>
          <w:szCs w:val="24"/>
          <w:highlight w:val="none"/>
          <w:u w:val="single"/>
          <w:lang w:val="en-US" w:eastAsia="zh-CN"/>
        </w:rPr>
        <w:t>3万</w:t>
      </w:r>
      <w:r>
        <w:rPr>
          <w:rFonts w:hint="eastAsia" w:ascii="宋体" w:hAnsi="宋体" w:cs="宋体"/>
          <w:color w:val="auto"/>
          <w:sz w:val="24"/>
          <w:szCs w:val="24"/>
          <w:highlight w:val="none"/>
          <w:u w:val="single"/>
        </w:rPr>
        <w:t>元/人•次（人民币）违约金</w:t>
      </w:r>
      <w:r>
        <w:rPr>
          <w:rFonts w:hint="eastAsia" w:ascii="宋体" w:hAnsi="宋体" w:cs="宋体"/>
          <w:color w:val="auto"/>
          <w:sz w:val="24"/>
          <w:szCs w:val="24"/>
          <w:highlight w:val="none"/>
        </w:rPr>
        <w:t>。</w:t>
      </w:r>
    </w:p>
    <w:p w14:paraId="1FCF1FD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szCs w:val="24"/>
          <w:highlight w:val="none"/>
          <w:u w:val="single"/>
        </w:rPr>
        <w:t>未经发包人同意，项目技术负责人擅自离岗的，视为承包人违约，发包人有权处违约金</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 xml:space="preserve">元/人•次（人民币）；未经发包人同意，专职安全员擅自离岗的，视为承包人违约，发包人有权处违约金 </w:t>
      </w:r>
      <w:r>
        <w:rPr>
          <w:rFonts w:hint="eastAsia" w:ascii="宋体" w:hAnsi="宋体" w:cs="宋体"/>
          <w:color w:val="auto"/>
          <w:sz w:val="24"/>
          <w:szCs w:val="24"/>
          <w:highlight w:val="none"/>
          <w:u w:val="single"/>
          <w:lang w:val="en-US" w:eastAsia="zh-CN"/>
        </w:rPr>
        <w:t>1000</w:t>
      </w:r>
      <w:r>
        <w:rPr>
          <w:rFonts w:hint="eastAsia" w:ascii="宋体" w:hAnsi="宋体" w:cs="宋体"/>
          <w:color w:val="auto"/>
          <w:sz w:val="24"/>
          <w:szCs w:val="24"/>
          <w:highlight w:val="none"/>
          <w:u w:val="single"/>
        </w:rPr>
        <w:t xml:space="preserve">元/人•次（人民币）；其它在场管理人员擅自离岗的，视为承包人违约，发包人有权处违约金 </w:t>
      </w:r>
      <w:r>
        <w:rPr>
          <w:rFonts w:hint="eastAsia" w:ascii="宋体" w:hAnsi="宋体" w:cs="宋体"/>
          <w:color w:val="auto"/>
          <w:sz w:val="24"/>
          <w:szCs w:val="24"/>
          <w:highlight w:val="none"/>
          <w:u w:val="single"/>
          <w:lang w:val="en-US" w:eastAsia="zh-CN"/>
        </w:rPr>
        <w:t>800</w:t>
      </w:r>
      <w:r>
        <w:rPr>
          <w:rFonts w:hint="eastAsia" w:ascii="宋体" w:hAnsi="宋体" w:cs="宋体"/>
          <w:color w:val="auto"/>
          <w:sz w:val="24"/>
          <w:szCs w:val="24"/>
          <w:highlight w:val="none"/>
          <w:u w:val="single"/>
        </w:rPr>
        <w:t>元/人•次（人民币）</w:t>
      </w:r>
      <w:r>
        <w:rPr>
          <w:rFonts w:hint="eastAsia" w:ascii="宋体" w:hAnsi="宋体" w:cs="宋体"/>
          <w:color w:val="auto"/>
          <w:sz w:val="24"/>
          <w:szCs w:val="24"/>
          <w:highlight w:val="none"/>
        </w:rPr>
        <w:t>。</w:t>
      </w:r>
    </w:p>
    <w:p w14:paraId="4227B3E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9" w:name="_Toc389065276"/>
      <w:bookmarkStart w:id="300" w:name="_Toc373478357"/>
      <w:bookmarkStart w:id="301" w:name="_Toc14439"/>
      <w:bookmarkStart w:id="302" w:name="_Toc12609367"/>
      <w:bookmarkStart w:id="303" w:name="_Toc18804"/>
      <w:bookmarkStart w:id="304" w:name="_Toc407135212"/>
      <w:bookmarkStart w:id="305" w:name="_Toc373227710"/>
      <w:bookmarkStart w:id="306" w:name="_Toc10997"/>
      <w:r>
        <w:rPr>
          <w:rFonts w:hint="eastAsia" w:ascii="宋体" w:hAnsi="宋体" w:eastAsia="宋体" w:cs="宋体"/>
          <w:b/>
          <w:bCs/>
          <w:color w:val="auto"/>
          <w:sz w:val="24"/>
          <w:szCs w:val="24"/>
          <w:highlight w:val="none"/>
        </w:rPr>
        <w:t>3.5 分包</w:t>
      </w:r>
      <w:bookmarkEnd w:id="299"/>
      <w:bookmarkEnd w:id="300"/>
      <w:bookmarkEnd w:id="301"/>
      <w:bookmarkEnd w:id="302"/>
      <w:bookmarkEnd w:id="303"/>
      <w:bookmarkEnd w:id="304"/>
      <w:bookmarkEnd w:id="305"/>
      <w:bookmarkEnd w:id="306"/>
    </w:p>
    <w:p w14:paraId="7F9071C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6763927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主体结构、关键性工作  </w:t>
      </w:r>
      <w:r>
        <w:rPr>
          <w:rFonts w:hint="eastAsia" w:ascii="宋体" w:hAnsi="宋体" w:cs="宋体"/>
          <w:color w:val="auto"/>
          <w:sz w:val="24"/>
          <w:szCs w:val="24"/>
          <w:highlight w:val="none"/>
        </w:rPr>
        <w:t>。</w:t>
      </w:r>
    </w:p>
    <w:p w14:paraId="28A387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F36FC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3.5.2 分包的确定</w:t>
      </w:r>
    </w:p>
    <w:p w14:paraId="0ABE7EB3">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33F031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p>
    <w:p w14:paraId="028B8D0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9146C9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（2）在相关分包合同签订并报送有关建设行政主管部门备案后7天内，承包人应当将一份副本提交给监理人，承包人应保障分包工作不得再次分包。</w:t>
      </w:r>
    </w:p>
    <w:p w14:paraId="4C34AF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（3）未经</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包人和监理人审批同意的分包工程和分包人，</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包人有权拒绝验收分包工程和支付相应款项，由此引起的</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包人费用增加和(或)延误的工期由发</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人承担。</w:t>
      </w:r>
    </w:p>
    <w:p w14:paraId="5D9F5ACE">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（4）承包人有以下情况之一者，发包人有权解除合同，并视情况扣除其履约保证金：</w:t>
      </w:r>
    </w:p>
    <w:p w14:paraId="53EE65E6">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①个人承包工程，包括本人单位及外单位人员承包，发包人不承认其个人拥有任何资质等级及营业许可资格。没收全部履约保证金。</w:t>
      </w:r>
    </w:p>
    <w:p w14:paraId="1BEBE8B3">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②几个人联合承包工程，就地组织暗分包队伍，不具备完成本工程的技术、机械能力，被发包人判定为没有能力履行的承包人。没收全部履约保证金。</w:t>
      </w:r>
    </w:p>
    <w:p w14:paraId="02A0A618">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③就地转包全部的工程，以谋取高额转让费、管理费的承包人。没收全部履约保证金。</w:t>
      </w:r>
    </w:p>
    <w:p w14:paraId="720EA45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BEC143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14:paraId="559621B6">
      <w:pPr>
        <w:spacing w:beforeLines="0" w:afterLines="0" w:line="560" w:lineRule="exact"/>
        <w:ind w:firstLine="0" w:firstLineChars="0"/>
        <w:rPr>
          <w:rFonts w:hint="eastAsia" w:ascii="宋体" w:hAnsi="宋体" w:cs="宋体"/>
          <w:color w:val="auto"/>
          <w:sz w:val="24"/>
          <w:szCs w:val="24"/>
          <w:highlight w:val="none"/>
        </w:rPr>
      </w:pPr>
      <w:bookmarkStart w:id="307" w:name="_Toc373227711"/>
      <w:bookmarkStart w:id="308" w:name="_Toc373478358"/>
      <w:bookmarkStart w:id="309" w:name="_Toc389065277"/>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D4CD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0" w:name="_Toc407135213"/>
      <w:bookmarkStart w:id="311" w:name="_Toc12609368"/>
      <w:bookmarkStart w:id="312" w:name="_Toc27544"/>
      <w:bookmarkStart w:id="313" w:name="_Toc30729"/>
      <w:bookmarkStart w:id="314" w:name="_Toc6297"/>
      <w:r>
        <w:rPr>
          <w:rFonts w:hint="eastAsia" w:ascii="宋体" w:hAnsi="宋体" w:eastAsia="宋体" w:cs="宋体"/>
          <w:b/>
          <w:bCs/>
          <w:color w:val="auto"/>
          <w:sz w:val="24"/>
          <w:szCs w:val="24"/>
          <w:highlight w:val="none"/>
        </w:rPr>
        <w:t>3.6 工程照管与成品、半成品保护</w:t>
      </w:r>
      <w:bookmarkEnd w:id="307"/>
      <w:bookmarkEnd w:id="308"/>
      <w:bookmarkEnd w:id="309"/>
      <w:bookmarkEnd w:id="310"/>
      <w:bookmarkEnd w:id="311"/>
      <w:bookmarkEnd w:id="312"/>
      <w:bookmarkEnd w:id="313"/>
      <w:bookmarkEnd w:id="314"/>
    </w:p>
    <w:p w14:paraId="4B1CE5B1">
      <w:pPr>
        <w:spacing w:beforeLines="0" w:afterLines="0" w:line="560" w:lineRule="exact"/>
        <w:ind w:firstLine="0" w:firstLineChars="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方应全面负责照管本合同工程及将用于和安装在本合同工程中的材料、设备直到本合同工程竣工并达到约定的质量标准，验收移交招标人管理部门之日为止，并承担相关费用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kern w:val="0"/>
          <w:sz w:val="24"/>
          <w:szCs w:val="24"/>
          <w:highlight w:val="none"/>
        </w:rPr>
        <w:t>。</w:t>
      </w:r>
    </w:p>
    <w:p w14:paraId="0408BCE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5" w:name="_Toc389065278"/>
      <w:bookmarkStart w:id="316" w:name="_Toc373478359"/>
      <w:bookmarkStart w:id="317" w:name="_Toc373227712"/>
      <w:bookmarkStart w:id="318" w:name="_Toc20232"/>
      <w:bookmarkStart w:id="319" w:name="_Toc19823"/>
      <w:bookmarkStart w:id="320" w:name="_Toc12609369"/>
      <w:bookmarkStart w:id="321" w:name="_Toc27979"/>
      <w:bookmarkStart w:id="322" w:name="_Toc407135214"/>
      <w:r>
        <w:rPr>
          <w:rFonts w:hint="eastAsia" w:ascii="宋体" w:hAnsi="宋体" w:eastAsia="宋体" w:cs="宋体"/>
          <w:b/>
          <w:bCs/>
          <w:color w:val="auto"/>
          <w:sz w:val="24"/>
          <w:szCs w:val="24"/>
          <w:highlight w:val="none"/>
        </w:rPr>
        <w:t>3.7 履约</w:t>
      </w:r>
      <w:bookmarkEnd w:id="315"/>
      <w:bookmarkEnd w:id="316"/>
      <w:bookmarkEnd w:id="317"/>
      <w:r>
        <w:rPr>
          <w:rFonts w:hint="eastAsia" w:ascii="宋体" w:hAnsi="宋体" w:eastAsia="宋体" w:cs="宋体"/>
          <w:b/>
          <w:bCs/>
          <w:color w:val="auto"/>
          <w:sz w:val="24"/>
          <w:szCs w:val="24"/>
          <w:highlight w:val="none"/>
        </w:rPr>
        <w:t>保证金</w:t>
      </w:r>
      <w:bookmarkEnd w:id="318"/>
      <w:bookmarkEnd w:id="319"/>
      <w:bookmarkEnd w:id="320"/>
      <w:bookmarkEnd w:id="321"/>
      <w:bookmarkEnd w:id="322"/>
    </w:p>
    <w:p w14:paraId="3EDFE839">
      <w:pPr>
        <w:spacing w:beforeLines="0" w:afterLines="0" w:line="560" w:lineRule="exact"/>
        <w:ind w:firstLine="0" w:firstLineChars="0"/>
        <w:jc w:val="both"/>
        <w:rPr>
          <w:rFonts w:hint="eastAsia" w:ascii="宋体" w:hAnsi="宋体" w:cs="宋体"/>
          <w:color w:val="auto"/>
          <w:sz w:val="24"/>
          <w:szCs w:val="24"/>
          <w:highlight w:val="none"/>
        </w:rPr>
      </w:pPr>
      <w:bookmarkStart w:id="323" w:name="_Toc389065279"/>
      <w:bookmarkStart w:id="324" w:name="_Toc373478360"/>
      <w:bookmarkStart w:id="325" w:name="_Toc373227713"/>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rPr>
        <w:t xml:space="preserve">承包人在收到中标通知书后，须在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日内向发包人提交合同价款扣除发包人材料设备价款、暂估专业工程、</w:t>
      </w:r>
      <w:r>
        <w:rPr>
          <w:rFonts w:hint="eastAsia" w:ascii="宋体" w:hAnsi="宋体" w:cs="宋体"/>
          <w:b/>
          <w:bCs/>
          <w:color w:val="auto"/>
          <w:sz w:val="24"/>
          <w:szCs w:val="24"/>
          <w:highlight w:val="none"/>
          <w:u w:val="single"/>
        </w:rPr>
        <w:t xml:space="preserve">暂列金额后的 </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的履约担</w:t>
      </w:r>
      <w:r>
        <w:rPr>
          <w:rFonts w:hint="eastAsia" w:ascii="宋体" w:hAnsi="宋体" w:cs="宋体"/>
          <w:color w:val="auto"/>
          <w:sz w:val="24"/>
          <w:szCs w:val="24"/>
          <w:highlight w:val="none"/>
          <w:u w:val="single"/>
        </w:rPr>
        <w:t>保（格式见合同附件7）。履约担保的有效期应当自本合同生效之日起至发包人签认并由监理人向承包人出具 《建设工程质量竣工验收意见书》（竣工证明材料名称）之日止。如果承包人无法获得一份不带具体截止日期的担保，履约担保中应当有“变更工程竣工日期的，保证期间按照变更后的竣工日期做相应调整”或类似约定的条款。</w:t>
      </w:r>
    </w:p>
    <w:p w14:paraId="6F222A7F">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1A17553D">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承包人在中标后7个工作日内，按 崇左市住房城乡建设行政主管部门（各市住房城乡建设行政主管部门规定）规定将农民工工资保障金存入帐户。工程竣工验收结算经审定后，按照规定程序，将农民工工资保障金没有使用或剩余的金额退还给承包人。</w:t>
      </w:r>
    </w:p>
    <w:p w14:paraId="161FF8A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26" w:name="_Toc11850"/>
      <w:bookmarkStart w:id="327" w:name="_Toc30531"/>
      <w:bookmarkStart w:id="328" w:name="_Toc12609370"/>
      <w:bookmarkStart w:id="329" w:name="_Toc8602"/>
      <w:bookmarkStart w:id="330" w:name="_Toc407135215"/>
      <w:r>
        <w:rPr>
          <w:rFonts w:hint="eastAsia" w:ascii="宋体" w:hAnsi="宋体" w:eastAsia="宋体" w:cs="宋体"/>
          <w:b/>
          <w:bCs/>
          <w:color w:val="auto"/>
          <w:sz w:val="24"/>
          <w:szCs w:val="24"/>
          <w:highlight w:val="none"/>
        </w:rPr>
        <w:t>4. 监理人</w:t>
      </w:r>
      <w:bookmarkEnd w:id="323"/>
      <w:bookmarkEnd w:id="324"/>
      <w:bookmarkEnd w:id="325"/>
      <w:bookmarkEnd w:id="326"/>
      <w:bookmarkEnd w:id="327"/>
      <w:bookmarkEnd w:id="328"/>
      <w:bookmarkEnd w:id="329"/>
      <w:bookmarkEnd w:id="330"/>
    </w:p>
    <w:p w14:paraId="3DFA53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31" w:name="_Toc12609371"/>
      <w:bookmarkStart w:id="332" w:name="_Toc373478361"/>
      <w:bookmarkStart w:id="333" w:name="_Toc389065280"/>
      <w:bookmarkStart w:id="334" w:name="_Toc18167"/>
      <w:bookmarkStart w:id="335" w:name="_Toc13364"/>
      <w:bookmarkStart w:id="336" w:name="_Toc5603"/>
      <w:bookmarkStart w:id="337" w:name="_Toc407135216"/>
      <w:bookmarkStart w:id="338" w:name="_Toc373227714"/>
      <w:r>
        <w:rPr>
          <w:rFonts w:hint="eastAsia" w:ascii="宋体" w:hAnsi="宋体" w:eastAsia="宋体" w:cs="宋体"/>
          <w:b/>
          <w:bCs/>
          <w:color w:val="auto"/>
          <w:sz w:val="24"/>
          <w:szCs w:val="24"/>
          <w:highlight w:val="none"/>
        </w:rPr>
        <w:t>4.1 监理人的一般规定</w:t>
      </w:r>
      <w:bookmarkEnd w:id="331"/>
      <w:bookmarkEnd w:id="332"/>
      <w:bookmarkEnd w:id="333"/>
      <w:bookmarkEnd w:id="334"/>
      <w:bookmarkEnd w:id="335"/>
      <w:bookmarkEnd w:id="336"/>
      <w:bookmarkEnd w:id="337"/>
      <w:bookmarkEnd w:id="338"/>
    </w:p>
    <w:p w14:paraId="4E579A2A">
      <w:pPr>
        <w:spacing w:beforeLines="0" w:afterLines="0" w:line="560" w:lineRule="exact"/>
        <w:ind w:firstLine="0" w:firstLineChars="0"/>
        <w:jc w:val="both"/>
        <w:rPr>
          <w:rFonts w:hint="eastAsia" w:ascii="宋体" w:hAnsi="宋体" w:cs="宋体"/>
          <w:color w:val="auto"/>
          <w:sz w:val="24"/>
          <w:szCs w:val="24"/>
          <w:highlight w:val="none"/>
        </w:rPr>
      </w:pPr>
      <w:bookmarkStart w:id="339" w:name="_Toc389065281"/>
      <w:bookmarkStart w:id="340" w:name="_Toc373227715"/>
      <w:bookmarkStart w:id="341" w:name="_Toc373478362"/>
      <w:bookmarkStart w:id="342" w:name="_Toc12609372"/>
      <w:bookmarkStart w:id="343" w:name="_Toc407135217"/>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质量、进度、投资三控制、合同、信息两管理、安全文明施工管理、工程建设各相关方的关系协调 </w:t>
      </w:r>
      <w:r>
        <w:rPr>
          <w:rFonts w:hint="eastAsia" w:ascii="宋体" w:hAnsi="宋体" w:cs="宋体"/>
          <w:color w:val="auto"/>
          <w:sz w:val="24"/>
          <w:szCs w:val="24"/>
          <w:highlight w:val="none"/>
        </w:rPr>
        <w:t>。</w:t>
      </w:r>
    </w:p>
    <w:p w14:paraId="1D4A73B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1、在发出有关能引起工程费用实际增加（减少）或延长工期的指令前，应得到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的书面批准。2、监理工程师在向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发出有关技术规范的重大变更或有关变更合同条款的任何指令前均应获得</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书面批准。3、工程实际竣工日期提前或超过工程承包合同规定的竣工期限的签认之前应得到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的书面批准。4、工程内容和材料变更签证单监理只有证明权，无确认权 </w:t>
      </w:r>
      <w:r>
        <w:rPr>
          <w:rFonts w:hint="eastAsia" w:ascii="宋体" w:hAnsi="宋体" w:cs="宋体"/>
          <w:color w:val="auto"/>
          <w:sz w:val="24"/>
          <w:szCs w:val="24"/>
          <w:highlight w:val="none"/>
        </w:rPr>
        <w:t>。</w:t>
      </w:r>
    </w:p>
    <w:p w14:paraId="6287314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提供，监理人无偿使用   </w:t>
      </w:r>
      <w:r>
        <w:rPr>
          <w:rFonts w:hint="eastAsia" w:ascii="宋体" w:hAnsi="宋体" w:cs="宋体"/>
          <w:color w:val="auto"/>
          <w:sz w:val="24"/>
          <w:szCs w:val="24"/>
          <w:highlight w:val="none"/>
        </w:rPr>
        <w:t>。</w:t>
      </w:r>
    </w:p>
    <w:p w14:paraId="6BD74D5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4" w:name="_Toc6787"/>
      <w:bookmarkStart w:id="345" w:name="_Toc18010"/>
      <w:bookmarkStart w:id="346" w:name="_Toc28679"/>
      <w:r>
        <w:rPr>
          <w:rFonts w:hint="eastAsia" w:ascii="宋体" w:hAnsi="宋体" w:eastAsia="宋体" w:cs="宋体"/>
          <w:b/>
          <w:bCs/>
          <w:color w:val="auto"/>
          <w:sz w:val="24"/>
          <w:szCs w:val="24"/>
          <w:highlight w:val="none"/>
        </w:rPr>
        <w:t>4.2 监理人员</w:t>
      </w:r>
      <w:bookmarkEnd w:id="339"/>
      <w:bookmarkEnd w:id="340"/>
      <w:bookmarkEnd w:id="341"/>
      <w:bookmarkEnd w:id="342"/>
      <w:bookmarkEnd w:id="343"/>
      <w:bookmarkEnd w:id="344"/>
      <w:bookmarkEnd w:id="345"/>
      <w:bookmarkEnd w:id="346"/>
    </w:p>
    <w:p w14:paraId="121117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AC026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ABF568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3A06DE7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23786EE">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6F016B9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CD54D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DBA16D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1EE84A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7" w:name="_Toc407135218"/>
      <w:bookmarkStart w:id="348" w:name="_Toc373227716"/>
      <w:bookmarkStart w:id="349" w:name="_Toc12609373"/>
      <w:bookmarkStart w:id="350" w:name="_Toc373478363"/>
      <w:bookmarkStart w:id="351" w:name="_Toc6209"/>
      <w:bookmarkStart w:id="352" w:name="_Toc27379"/>
      <w:bookmarkStart w:id="353" w:name="_Toc2588"/>
      <w:bookmarkStart w:id="354" w:name="_Toc389065282"/>
      <w:r>
        <w:rPr>
          <w:rFonts w:hint="eastAsia" w:ascii="宋体" w:hAnsi="宋体" w:eastAsia="宋体" w:cs="宋体"/>
          <w:b/>
          <w:bCs/>
          <w:color w:val="auto"/>
          <w:sz w:val="24"/>
          <w:szCs w:val="24"/>
          <w:highlight w:val="none"/>
        </w:rPr>
        <w:t>4.4 商定或确定</w:t>
      </w:r>
      <w:bookmarkEnd w:id="347"/>
      <w:bookmarkEnd w:id="348"/>
      <w:bookmarkEnd w:id="349"/>
      <w:bookmarkEnd w:id="350"/>
      <w:bookmarkEnd w:id="351"/>
      <w:bookmarkEnd w:id="352"/>
      <w:bookmarkEnd w:id="353"/>
      <w:bookmarkEnd w:id="354"/>
    </w:p>
    <w:p w14:paraId="0B0B7D7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70C852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483D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575F8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AA1A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55" w:name="_Toc32582"/>
      <w:bookmarkStart w:id="356" w:name="_Toc373227717"/>
      <w:bookmarkStart w:id="357" w:name="_Toc407135219"/>
      <w:bookmarkStart w:id="358" w:name="_Toc5755"/>
      <w:bookmarkStart w:id="359" w:name="_Toc4309"/>
      <w:bookmarkStart w:id="360" w:name="_Toc389065283"/>
      <w:bookmarkStart w:id="361" w:name="_Toc373478364"/>
      <w:bookmarkStart w:id="362" w:name="_Toc12609374"/>
      <w:r>
        <w:rPr>
          <w:rFonts w:hint="eastAsia" w:ascii="宋体" w:hAnsi="宋体" w:eastAsia="宋体" w:cs="宋体"/>
          <w:b/>
          <w:bCs/>
          <w:color w:val="auto"/>
          <w:sz w:val="24"/>
          <w:szCs w:val="24"/>
          <w:highlight w:val="none"/>
        </w:rPr>
        <w:t>5. 工程质量</w:t>
      </w:r>
      <w:bookmarkEnd w:id="355"/>
      <w:bookmarkEnd w:id="356"/>
      <w:bookmarkEnd w:id="357"/>
      <w:bookmarkEnd w:id="358"/>
      <w:bookmarkEnd w:id="359"/>
      <w:bookmarkEnd w:id="360"/>
      <w:bookmarkEnd w:id="361"/>
      <w:bookmarkEnd w:id="362"/>
    </w:p>
    <w:p w14:paraId="5C098FD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63" w:name="_Toc21086"/>
      <w:bookmarkStart w:id="364" w:name="_Toc407135220"/>
      <w:bookmarkStart w:id="365" w:name="_Toc373227718"/>
      <w:bookmarkStart w:id="366" w:name="_Toc12609375"/>
      <w:bookmarkStart w:id="367" w:name="_Toc389065284"/>
      <w:bookmarkStart w:id="368" w:name="_Toc2184"/>
      <w:bookmarkStart w:id="369" w:name="_Toc3406"/>
      <w:bookmarkStart w:id="370" w:name="_Toc373478365"/>
      <w:r>
        <w:rPr>
          <w:rFonts w:hint="eastAsia" w:ascii="宋体" w:hAnsi="宋体" w:eastAsia="宋体" w:cs="宋体"/>
          <w:b/>
          <w:bCs/>
          <w:color w:val="auto"/>
          <w:sz w:val="24"/>
          <w:szCs w:val="24"/>
          <w:highlight w:val="none"/>
        </w:rPr>
        <w:t>5.1 质量要求</w:t>
      </w:r>
      <w:bookmarkEnd w:id="363"/>
      <w:bookmarkEnd w:id="364"/>
      <w:bookmarkEnd w:id="365"/>
      <w:bookmarkEnd w:id="366"/>
      <w:bookmarkEnd w:id="367"/>
      <w:bookmarkEnd w:id="368"/>
      <w:bookmarkEnd w:id="369"/>
      <w:bookmarkEnd w:id="370"/>
    </w:p>
    <w:p w14:paraId="2F812C1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合格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83D40C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关于工程奖项的约定：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4E51B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6A1366A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3AC49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63920E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29F13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1" w:name="_Toc12609376"/>
      <w:bookmarkStart w:id="372" w:name="_Toc13025"/>
      <w:bookmarkStart w:id="373" w:name="_Toc407135221"/>
      <w:bookmarkStart w:id="374" w:name="_Toc389065285"/>
      <w:bookmarkStart w:id="375" w:name="_Toc373227719"/>
      <w:bookmarkStart w:id="376" w:name="_Toc13152"/>
      <w:bookmarkStart w:id="377" w:name="_Toc27035"/>
      <w:bookmarkStart w:id="378" w:name="_Toc373478366"/>
      <w:r>
        <w:rPr>
          <w:rFonts w:hint="eastAsia" w:ascii="宋体" w:hAnsi="宋体" w:eastAsia="宋体" w:cs="宋体"/>
          <w:b/>
          <w:bCs/>
          <w:color w:val="auto"/>
          <w:sz w:val="24"/>
          <w:szCs w:val="24"/>
          <w:highlight w:val="none"/>
        </w:rPr>
        <w:t>6. 安全文明施工与环境保护</w:t>
      </w:r>
      <w:bookmarkEnd w:id="371"/>
      <w:bookmarkEnd w:id="372"/>
      <w:bookmarkEnd w:id="373"/>
      <w:bookmarkEnd w:id="374"/>
      <w:bookmarkEnd w:id="375"/>
      <w:bookmarkEnd w:id="376"/>
      <w:bookmarkEnd w:id="377"/>
      <w:bookmarkEnd w:id="378"/>
    </w:p>
    <w:p w14:paraId="5BB53D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9" w:name="_Toc373478367"/>
      <w:bookmarkStart w:id="380" w:name="_Toc407135222"/>
      <w:bookmarkStart w:id="381" w:name="_Toc14730"/>
      <w:bookmarkStart w:id="382" w:name="_Toc12609377"/>
      <w:bookmarkStart w:id="383" w:name="_Toc22274"/>
      <w:bookmarkStart w:id="384" w:name="_Toc373227720"/>
      <w:bookmarkStart w:id="385" w:name="_Toc17502"/>
      <w:bookmarkStart w:id="386" w:name="_Toc389065286"/>
      <w:r>
        <w:rPr>
          <w:rFonts w:hint="eastAsia" w:ascii="宋体" w:hAnsi="宋体" w:eastAsia="宋体" w:cs="宋体"/>
          <w:b/>
          <w:bCs/>
          <w:color w:val="auto"/>
          <w:sz w:val="24"/>
          <w:szCs w:val="24"/>
          <w:highlight w:val="none"/>
        </w:rPr>
        <w:t>6.1 安全文明施工</w:t>
      </w:r>
      <w:bookmarkEnd w:id="379"/>
      <w:bookmarkEnd w:id="380"/>
      <w:bookmarkEnd w:id="381"/>
      <w:bookmarkEnd w:id="382"/>
      <w:bookmarkEnd w:id="383"/>
      <w:bookmarkEnd w:id="384"/>
      <w:bookmarkEnd w:id="385"/>
      <w:bookmarkEnd w:id="386"/>
    </w:p>
    <w:p w14:paraId="06296D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应按照广西区和崇左市等相关规定履行好</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的施工安全责任  </w:t>
      </w:r>
      <w:r>
        <w:rPr>
          <w:rFonts w:hint="eastAsia" w:ascii="宋体" w:hAnsi="宋体" w:cs="宋体"/>
          <w:color w:val="auto"/>
          <w:sz w:val="24"/>
          <w:szCs w:val="24"/>
          <w:highlight w:val="none"/>
        </w:rPr>
        <w:t>。</w:t>
      </w:r>
    </w:p>
    <w:p w14:paraId="7A0242F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关于安全文明施工奖项的约定：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243981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6F3C3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施工场地治安管理计划和突发治安事件紧急预案的编制：按《通用合同条款》执行，由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共同编制   </w:t>
      </w:r>
      <w:r>
        <w:rPr>
          <w:rFonts w:hint="eastAsia" w:ascii="宋体" w:hAnsi="宋体" w:cs="宋体"/>
          <w:color w:val="auto"/>
          <w:sz w:val="24"/>
          <w:szCs w:val="24"/>
          <w:highlight w:val="none"/>
        </w:rPr>
        <w:t>。</w:t>
      </w:r>
    </w:p>
    <w:p w14:paraId="37D695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05326811">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p>
    <w:p w14:paraId="049B3D5A">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具体按《广西壮族自治区建设工程安全文明施工费使用管理细则》（桂建质〔2015〕16号）要求及《南宁市城乡建设委员会关于印发“美丽南宁·整洁畅通有序大行动”活动工地乱象整治工作方案的通知》（南建质安[2013]28号）有关标准及制度执行。因承包人责任被上级主管部门处罚时，由承包人承担全部责任及罚款；给发包人造成损失时， 承包人承担全部赔偿责任。</w:t>
      </w:r>
    </w:p>
    <w:p w14:paraId="47082CB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 承包人应按安全施工管理有关规定，配备安全管理机构，配备合格的安全管理人员，负责处理全体工作人员和劳务人员的安全保护和预防事故等问题，如因承包人原因造成人员伤亡、财产损失等一切事故， 由承包人负全责并承担费用。</w:t>
      </w:r>
    </w:p>
    <w:p w14:paraId="2061A01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担施工安全保卫工作及非夜间施工照明的责任和要求：承包人应采取一切合理的预防措施，满足现场施工管理的需要，达到崇左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14:paraId="6166603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6.1.6</w:t>
      </w:r>
      <w:r>
        <w:rPr>
          <w:rFonts w:hint="eastAsia" w:ascii="宋体" w:hAnsi="宋体" w:cs="宋体"/>
          <w:color w:val="auto"/>
          <w:kern w:val="0"/>
          <w:sz w:val="24"/>
          <w:szCs w:val="24"/>
          <w:highlight w:val="none"/>
        </w:rPr>
        <w:t>关于安全生产费总额、支付比例、支付期限、转入和结余收回的约定：</w:t>
      </w:r>
    </w:p>
    <w:p w14:paraId="4B7102E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（1）本合同价款已包含安全文明施工费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14:paraId="7340823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（2）使用要求：专款专用。具体按</w:t>
      </w:r>
      <w:r>
        <w:rPr>
          <w:rFonts w:hint="eastAsia" w:ascii="宋体" w:hAnsi="宋体" w:cs="宋体"/>
          <w:color w:val="auto"/>
          <w:kern w:val="0"/>
          <w:sz w:val="24"/>
          <w:szCs w:val="24"/>
          <w:highlight w:val="none"/>
          <w:u w:val="single"/>
        </w:rPr>
        <w:t>《广西壮族自治区建设工程安全文明施工费使用管理细则》（桂建质〔2015〕16号）</w:t>
      </w:r>
      <w:r>
        <w:rPr>
          <w:rFonts w:hint="eastAsia" w:ascii="宋体" w:hAnsi="宋体" w:cs="宋体"/>
          <w:color w:val="auto"/>
          <w:sz w:val="24"/>
          <w:szCs w:val="24"/>
          <w:highlight w:val="none"/>
          <w:u w:val="single"/>
        </w:rPr>
        <w:t>要求及《南宁市城乡建设委员会关于印发“美丽南宁·整洁畅通有序大行动”活动工地乱象整治工作方案的通知》（南建质安[2013]28号）有关标准及制度执行</w:t>
      </w:r>
      <w:r>
        <w:rPr>
          <w:rFonts w:hint="eastAsia" w:ascii="宋体" w:hAnsi="宋体" w:cs="宋体"/>
          <w:color w:val="auto"/>
          <w:sz w:val="24"/>
          <w:szCs w:val="24"/>
          <w:highlight w:val="none"/>
        </w:rPr>
        <w:t>。</w:t>
      </w:r>
    </w:p>
    <w:p w14:paraId="355AD155">
      <w:pPr>
        <w:autoSpaceDE w:val="0"/>
        <w:autoSpaceDN w:val="0"/>
        <w:adjustRightInd w:val="0"/>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（3）支付约定：</w:t>
      </w:r>
      <w:r>
        <w:rPr>
          <w:rFonts w:hint="eastAsia" w:ascii="宋体" w:hAnsi="宋体" w:cs="宋体"/>
          <w:color w:val="auto"/>
          <w:sz w:val="24"/>
          <w:szCs w:val="24"/>
          <w:highlight w:val="none"/>
        </w:rPr>
        <w:t>在本合同签订后28个工作日内，预付安全文明施工费总额的50%，其余部分与进度款同期支付</w:t>
      </w:r>
      <w:r>
        <w:rPr>
          <w:rFonts w:hint="eastAsia" w:ascii="宋体" w:hAnsi="宋体" w:eastAsia="宋体" w:cs="宋体"/>
          <w:color w:val="auto"/>
          <w:sz w:val="24"/>
          <w:szCs w:val="24"/>
          <w:highlight w:val="none"/>
          <w:lang w:eastAsia="zh-CN"/>
        </w:rPr>
        <w:t>。若施工单位违反安全文明施工条例及规范执行，发包人有权扣除相应的费用比例</w:t>
      </w:r>
      <w:r>
        <w:rPr>
          <w:rFonts w:hint="eastAsia" w:ascii="宋体" w:hAnsi="宋体" w:eastAsia="宋体" w:cs="宋体"/>
          <w:color w:val="auto"/>
          <w:sz w:val="24"/>
          <w:szCs w:val="24"/>
          <w:highlight w:val="none"/>
          <w:lang w:val="en-US" w:eastAsia="zh-CN"/>
        </w:rPr>
        <w:t>。</w:t>
      </w:r>
    </w:p>
    <w:p w14:paraId="7207788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（4）建设单位按规定将安全生产费用转入施工单位设立的安全生产费用专户。</w:t>
      </w:r>
    </w:p>
    <w:p w14:paraId="17A7964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（5）工程施工完成后安全生产费用尚有结余的，结余部分由建设单位收回。</w:t>
      </w:r>
    </w:p>
    <w:p w14:paraId="65C0C5F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（6）施工单位将安全生产费用使用情况定期报告建设单位和监理单位，并提供相应的材料接受建设行政主管部门对此事项监管。</w:t>
      </w:r>
    </w:p>
    <w:p w14:paraId="43960FF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（7）安全生产费用专户：××××公司安全生产费用专户。账号：                 。</w:t>
      </w:r>
    </w:p>
    <w:p w14:paraId="45DEF3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87" w:name="_Toc19770"/>
      <w:bookmarkStart w:id="388" w:name="_Toc12609378"/>
      <w:bookmarkStart w:id="389" w:name="_Toc373478368"/>
      <w:bookmarkStart w:id="390" w:name="_Toc389065287"/>
      <w:bookmarkStart w:id="391" w:name="_Toc373227721"/>
      <w:bookmarkStart w:id="392" w:name="_Toc407135223"/>
      <w:bookmarkStart w:id="393" w:name="_Toc21261"/>
      <w:bookmarkStart w:id="394" w:name="_Toc27829"/>
      <w:r>
        <w:rPr>
          <w:rFonts w:hint="eastAsia" w:ascii="宋体" w:hAnsi="宋体" w:eastAsia="宋体" w:cs="宋体"/>
          <w:b/>
          <w:bCs/>
          <w:color w:val="auto"/>
          <w:sz w:val="24"/>
          <w:szCs w:val="24"/>
          <w:highlight w:val="none"/>
        </w:rPr>
        <w:t>6.3 环境保护</w:t>
      </w:r>
      <w:bookmarkEnd w:id="387"/>
      <w:bookmarkEnd w:id="388"/>
      <w:bookmarkEnd w:id="389"/>
      <w:bookmarkEnd w:id="390"/>
      <w:bookmarkEnd w:id="391"/>
      <w:bookmarkEnd w:id="392"/>
      <w:bookmarkEnd w:id="393"/>
      <w:bookmarkEnd w:id="394"/>
    </w:p>
    <w:p w14:paraId="20AC708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因施工需要，经发包人批准，由承包人办理有关施工场地交通、环卫和施工噪音管理等手续，费用由承包人负责。</w:t>
      </w:r>
    </w:p>
    <w:p w14:paraId="72447C0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经过城市道路的施工车辆，必须按交警、城管、运输等部门相关规定执行。由于施工车辆造成的道路、环境等污染，其责任和费用均由承包人承担。</w:t>
      </w:r>
    </w:p>
    <w:p w14:paraId="7B5205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95" w:name="_Toc373227722"/>
      <w:bookmarkStart w:id="396" w:name="_Toc28631"/>
      <w:bookmarkStart w:id="397" w:name="_Toc389065288"/>
      <w:bookmarkStart w:id="398" w:name="_Toc373478369"/>
      <w:bookmarkStart w:id="399" w:name="_Toc29418"/>
      <w:bookmarkStart w:id="400" w:name="_Toc12609379"/>
      <w:bookmarkStart w:id="401" w:name="_Toc407135224"/>
      <w:bookmarkStart w:id="402" w:name="_Toc31331"/>
      <w:r>
        <w:rPr>
          <w:rFonts w:hint="eastAsia" w:ascii="宋体" w:hAnsi="宋体" w:eastAsia="宋体" w:cs="宋体"/>
          <w:b/>
          <w:bCs/>
          <w:color w:val="auto"/>
          <w:sz w:val="24"/>
          <w:szCs w:val="24"/>
          <w:highlight w:val="none"/>
        </w:rPr>
        <w:t>7. 工期和进度</w:t>
      </w:r>
      <w:bookmarkEnd w:id="395"/>
      <w:bookmarkEnd w:id="396"/>
      <w:bookmarkEnd w:id="397"/>
      <w:bookmarkEnd w:id="398"/>
      <w:bookmarkEnd w:id="399"/>
      <w:bookmarkEnd w:id="400"/>
      <w:bookmarkEnd w:id="401"/>
      <w:bookmarkEnd w:id="402"/>
    </w:p>
    <w:p w14:paraId="31E0896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03" w:name="_Toc8747"/>
      <w:bookmarkStart w:id="404" w:name="_Toc407135225"/>
      <w:bookmarkStart w:id="405" w:name="_Toc389065289"/>
      <w:bookmarkStart w:id="406" w:name="_Toc373227723"/>
      <w:bookmarkStart w:id="407" w:name="_Toc18476"/>
      <w:bookmarkStart w:id="408" w:name="_Toc12609380"/>
      <w:bookmarkStart w:id="409" w:name="_Toc373478370"/>
      <w:bookmarkStart w:id="410" w:name="_Toc28433"/>
      <w:r>
        <w:rPr>
          <w:rFonts w:hint="eastAsia" w:ascii="宋体" w:hAnsi="宋体" w:eastAsia="宋体" w:cs="宋体"/>
          <w:b/>
          <w:bCs/>
          <w:color w:val="auto"/>
          <w:sz w:val="24"/>
          <w:szCs w:val="24"/>
          <w:highlight w:val="none"/>
        </w:rPr>
        <w:t>7.1 施工组织设计</w:t>
      </w:r>
      <w:bookmarkEnd w:id="403"/>
      <w:bookmarkEnd w:id="404"/>
      <w:bookmarkEnd w:id="405"/>
      <w:bookmarkEnd w:id="406"/>
      <w:bookmarkEnd w:id="407"/>
      <w:bookmarkEnd w:id="408"/>
      <w:bookmarkEnd w:id="409"/>
      <w:bookmarkEnd w:id="410"/>
    </w:p>
    <w:p w14:paraId="2DCC0CB6">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 xml:space="preserve">见通用条款 </w:t>
      </w:r>
      <w:r>
        <w:rPr>
          <w:rFonts w:hint="eastAsia" w:ascii="宋体" w:hAnsi="宋体" w:cs="宋体"/>
          <w:color w:val="auto"/>
          <w:sz w:val="24"/>
          <w:szCs w:val="24"/>
          <w:highlight w:val="none"/>
        </w:rPr>
        <w:t>。</w:t>
      </w:r>
    </w:p>
    <w:p w14:paraId="37A4E18E">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A3F3E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在收到中标通知书与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签订合同后 7 天内提交详细的施工组织设计和进度计划 </w:t>
      </w:r>
      <w:r>
        <w:rPr>
          <w:rFonts w:hint="eastAsia" w:ascii="宋体" w:hAnsi="宋体" w:cs="宋体"/>
          <w:color w:val="auto"/>
          <w:sz w:val="24"/>
          <w:szCs w:val="24"/>
          <w:highlight w:val="none"/>
        </w:rPr>
        <w:t>。</w:t>
      </w:r>
    </w:p>
    <w:p w14:paraId="6573F2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如有重大异议则应在 3 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如在7日内未提供出异议的，自第 8日开始视为同意</w:t>
      </w:r>
      <w:r>
        <w:rPr>
          <w:rFonts w:hint="eastAsia" w:ascii="宋体" w:hAnsi="宋体" w:cs="宋体"/>
          <w:color w:val="auto"/>
          <w:sz w:val="24"/>
          <w:szCs w:val="24"/>
          <w:highlight w:val="none"/>
        </w:rPr>
        <w:t>。</w:t>
      </w:r>
    </w:p>
    <w:p w14:paraId="4B66888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1" w:name="_Toc407135226"/>
      <w:bookmarkStart w:id="412" w:name="_Toc20162"/>
      <w:bookmarkStart w:id="413" w:name="_Toc373227724"/>
      <w:bookmarkStart w:id="414" w:name="_Toc9527"/>
      <w:bookmarkStart w:id="415" w:name="_Toc389065290"/>
      <w:bookmarkStart w:id="416" w:name="_Toc26871"/>
      <w:bookmarkStart w:id="417" w:name="_Toc12609381"/>
      <w:bookmarkStart w:id="418" w:name="_Toc373478371"/>
      <w:r>
        <w:rPr>
          <w:rFonts w:hint="eastAsia" w:ascii="宋体" w:hAnsi="宋体" w:eastAsia="宋体" w:cs="宋体"/>
          <w:b/>
          <w:bCs/>
          <w:color w:val="auto"/>
          <w:sz w:val="24"/>
          <w:szCs w:val="24"/>
          <w:highlight w:val="none"/>
        </w:rPr>
        <w:t>7.2 施工进度计划</w:t>
      </w:r>
      <w:bookmarkEnd w:id="411"/>
      <w:bookmarkEnd w:id="412"/>
      <w:bookmarkEnd w:id="413"/>
      <w:bookmarkEnd w:id="414"/>
      <w:bookmarkEnd w:id="415"/>
      <w:bookmarkEnd w:id="416"/>
      <w:bookmarkEnd w:id="417"/>
      <w:bookmarkEnd w:id="418"/>
    </w:p>
    <w:p w14:paraId="71F042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1B529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如有重大异议则应在3日内以书面形式送达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如在 7 日内未提供出异议的，自第8日开始视为同意 </w:t>
      </w:r>
      <w:r>
        <w:rPr>
          <w:rFonts w:hint="eastAsia" w:ascii="宋体" w:hAnsi="宋体" w:cs="宋体"/>
          <w:color w:val="auto"/>
          <w:sz w:val="24"/>
          <w:szCs w:val="24"/>
          <w:highlight w:val="none"/>
        </w:rPr>
        <w:t>。</w:t>
      </w:r>
    </w:p>
    <w:p w14:paraId="487AC6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9" w:name="_Toc389065291"/>
      <w:bookmarkStart w:id="420" w:name="_Toc373227725"/>
      <w:bookmarkStart w:id="421" w:name="_Toc373478372"/>
      <w:bookmarkStart w:id="422" w:name="_Toc31021"/>
      <w:bookmarkStart w:id="423" w:name="_Toc407135227"/>
      <w:bookmarkStart w:id="424" w:name="_Toc21593"/>
      <w:bookmarkStart w:id="425" w:name="_Toc12609382"/>
      <w:bookmarkStart w:id="426" w:name="_Toc8227"/>
      <w:r>
        <w:rPr>
          <w:rFonts w:hint="eastAsia" w:ascii="宋体" w:hAnsi="宋体" w:eastAsia="宋体" w:cs="宋体"/>
          <w:b/>
          <w:bCs/>
          <w:color w:val="auto"/>
          <w:sz w:val="24"/>
          <w:szCs w:val="24"/>
          <w:highlight w:val="none"/>
        </w:rPr>
        <w:t>7.3 开工</w:t>
      </w:r>
      <w:bookmarkEnd w:id="419"/>
      <w:bookmarkEnd w:id="420"/>
      <w:bookmarkEnd w:id="421"/>
      <w:bookmarkEnd w:id="422"/>
      <w:bookmarkEnd w:id="423"/>
      <w:bookmarkEnd w:id="424"/>
      <w:bookmarkEnd w:id="425"/>
      <w:bookmarkEnd w:id="426"/>
    </w:p>
    <w:p w14:paraId="5B9B7A3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28F5BF98">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开工前14天内 </w:t>
      </w:r>
      <w:r>
        <w:rPr>
          <w:rFonts w:hint="eastAsia" w:ascii="宋体" w:hAnsi="宋体" w:cs="宋体"/>
          <w:color w:val="auto"/>
          <w:sz w:val="24"/>
          <w:szCs w:val="24"/>
          <w:highlight w:val="none"/>
        </w:rPr>
        <w:t>。</w:t>
      </w:r>
    </w:p>
    <w:p w14:paraId="37AC6294">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66808C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347BFBF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7.3.2 开工通知</w:t>
      </w:r>
    </w:p>
    <w:p w14:paraId="74AEBBA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14:paraId="56097B2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27" w:name="_Toc14485"/>
      <w:bookmarkStart w:id="428" w:name="_Toc373227726"/>
      <w:bookmarkStart w:id="429" w:name="_Toc26575"/>
      <w:bookmarkStart w:id="430" w:name="_Toc12609383"/>
      <w:bookmarkStart w:id="431" w:name="_Toc373478373"/>
      <w:bookmarkStart w:id="432" w:name="_Toc407135228"/>
      <w:bookmarkStart w:id="433" w:name="_Toc31797"/>
      <w:bookmarkStart w:id="434" w:name="_Toc389065292"/>
      <w:r>
        <w:rPr>
          <w:rFonts w:hint="eastAsia" w:ascii="宋体" w:hAnsi="宋体" w:eastAsia="宋体" w:cs="宋体"/>
          <w:b/>
          <w:bCs/>
          <w:color w:val="auto"/>
          <w:sz w:val="24"/>
          <w:szCs w:val="24"/>
          <w:highlight w:val="none"/>
        </w:rPr>
        <w:t>7.4 测量放线</w:t>
      </w:r>
      <w:bookmarkEnd w:id="427"/>
      <w:bookmarkEnd w:id="428"/>
      <w:bookmarkEnd w:id="429"/>
      <w:bookmarkEnd w:id="430"/>
      <w:bookmarkEnd w:id="431"/>
      <w:bookmarkEnd w:id="432"/>
      <w:bookmarkEnd w:id="433"/>
      <w:bookmarkEnd w:id="434"/>
    </w:p>
    <w:p w14:paraId="2719A6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7.4.1发包人通过监理人向承包人提供测量基准点、基准线和水准点及其书面资料的期限：</w:t>
      </w:r>
    </w:p>
    <w:p w14:paraId="6ED1AAC3">
      <w:pPr>
        <w:spacing w:beforeLines="0" w:afterLines="0" w:line="560" w:lineRule="exact"/>
        <w:ind w:firstLine="0" w:firstLineChars="0"/>
        <w:jc w:val="both"/>
        <w:rPr>
          <w:rFonts w:hint="eastAsia" w:ascii="宋体" w:hAnsi="宋体" w:cs="宋体"/>
          <w:color w:val="auto"/>
          <w:sz w:val="24"/>
          <w:szCs w:val="24"/>
          <w:highlight w:val="none"/>
        </w:rPr>
      </w:pPr>
      <w:bookmarkStart w:id="435" w:name="_Toc373478374"/>
      <w:bookmarkStart w:id="436" w:name="_Toc12609384"/>
      <w:bookmarkStart w:id="437" w:name="_Toc389065293"/>
      <w:bookmarkStart w:id="438" w:name="_Toc373227727"/>
      <w:bookmarkStart w:id="439" w:name="_Toc407135229"/>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并对水准点和坐标控制点加以保护 </w:t>
      </w:r>
      <w:r>
        <w:rPr>
          <w:rFonts w:hint="eastAsia" w:ascii="宋体" w:hAnsi="宋体" w:cs="宋体"/>
          <w:color w:val="auto"/>
          <w:sz w:val="24"/>
          <w:szCs w:val="24"/>
          <w:highlight w:val="none"/>
        </w:rPr>
        <w:t>。</w:t>
      </w:r>
    </w:p>
    <w:p w14:paraId="1636E59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0" w:name="_Toc11723"/>
      <w:bookmarkStart w:id="441" w:name="_Toc4815"/>
      <w:bookmarkStart w:id="442" w:name="_Toc21168"/>
      <w:r>
        <w:rPr>
          <w:rFonts w:hint="eastAsia" w:ascii="宋体" w:hAnsi="宋体" w:eastAsia="宋体" w:cs="宋体"/>
          <w:b/>
          <w:bCs/>
          <w:color w:val="auto"/>
          <w:sz w:val="24"/>
          <w:szCs w:val="24"/>
          <w:highlight w:val="none"/>
        </w:rPr>
        <w:t>7.5 工期延误</w:t>
      </w:r>
      <w:bookmarkEnd w:id="435"/>
      <w:bookmarkEnd w:id="436"/>
      <w:bookmarkEnd w:id="437"/>
      <w:bookmarkEnd w:id="438"/>
      <w:bookmarkEnd w:id="439"/>
      <w:bookmarkEnd w:id="440"/>
      <w:bookmarkEnd w:id="441"/>
      <w:bookmarkEnd w:id="442"/>
    </w:p>
    <w:p w14:paraId="3F16BF5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1E1073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szCs w:val="24"/>
          <w:highlight w:val="none"/>
        </w:rPr>
        <w:t xml:space="preserve"> 。</w:t>
      </w:r>
    </w:p>
    <w:p w14:paraId="4B2FC2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20CB795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双方约定经监理工程师确认，工期相应顺延的情况：</w:t>
      </w:r>
      <w:r>
        <w:rPr>
          <w:rFonts w:hint="eastAsia" w:ascii="宋体" w:hAnsi="宋体" w:cs="宋体"/>
          <w:color w:val="auto"/>
          <w:sz w:val="24"/>
          <w:szCs w:val="24"/>
          <w:highlight w:val="none"/>
          <w:u w:val="single"/>
        </w:rPr>
        <w:t>（1）每日白天（8：00—18：00）非</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原因停水停电连续超过6个小时，经双方签字确认后，工期相应顺延。</w:t>
      </w:r>
    </w:p>
    <w:p w14:paraId="216527A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(2)因政府行为连续停工一天以上的，工期可顺延。</w:t>
      </w:r>
    </w:p>
    <w:p w14:paraId="22849D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(3)按通用条款约定。</w:t>
      </w:r>
    </w:p>
    <w:p w14:paraId="6CB708C4">
      <w:pPr>
        <w:spacing w:beforeLines="0" w:afterLines="0" w:line="560" w:lineRule="exact"/>
        <w:ind w:firstLine="0" w:firstLineChars="0"/>
        <w:jc w:val="both"/>
        <w:rPr>
          <w:rFonts w:hint="eastAsia" w:ascii="宋体" w:hAnsi="宋体" w:cs="宋体"/>
          <w:color w:val="auto"/>
          <w:sz w:val="24"/>
          <w:szCs w:val="24"/>
          <w:highlight w:val="none"/>
        </w:rPr>
      </w:pPr>
      <w:bookmarkStart w:id="443" w:name="_Toc389065294"/>
      <w:bookmarkStart w:id="444" w:name="_Toc407135230"/>
      <w:bookmarkStart w:id="445" w:name="_Toc12609385"/>
      <w:bookmarkStart w:id="446" w:name="_Toc373478375"/>
      <w:bookmarkStart w:id="447" w:name="_Toc373227728"/>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原因造成工期延误，逾期竣工违约金的计算方法为：</w:t>
      </w:r>
      <w:r>
        <w:rPr>
          <w:rFonts w:hint="eastAsia" w:ascii="宋体" w:hAnsi="宋体" w:cs="宋体"/>
          <w:color w:val="auto"/>
          <w:sz w:val="24"/>
          <w:szCs w:val="24"/>
          <w:highlight w:val="none"/>
          <w:u w:val="single"/>
        </w:rPr>
        <w:t>非上述原因，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不能按合同约定的时间竣工，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应承担违约责任。应向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支付误期赔偿费（赔偿费按逾期竣工的工程罚款，每延误一天,按该工程结算造价扣除建安劳保费、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材料设备价款、暂估专业工程、暂列金额后的万分之四处罚,罚款直接从结算款中扣除。），误期时间从规定竣工日期起直到实际竣工日期的天数（扣除</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批准顺延的工期）。</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可从应向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支付的任何金额中扣除此项赔款费或其他方式收回此款，此赔偿款的支付并不能解除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应完成工程的责任或合同规定的其他责任</w:t>
      </w:r>
      <w:r>
        <w:rPr>
          <w:rFonts w:hint="eastAsia" w:ascii="宋体" w:hAnsi="宋体" w:cs="宋体"/>
          <w:color w:val="auto"/>
          <w:sz w:val="24"/>
          <w:szCs w:val="24"/>
          <w:highlight w:val="none"/>
        </w:rPr>
        <w:t>。</w:t>
      </w:r>
    </w:p>
    <w:p w14:paraId="007720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原因造成工期延误，逾期竣工违约金的上限：</w:t>
      </w:r>
      <w:r>
        <w:rPr>
          <w:rFonts w:hint="eastAsia" w:ascii="宋体" w:hAnsi="宋体" w:cs="宋体"/>
          <w:color w:val="auto"/>
          <w:sz w:val="24"/>
          <w:szCs w:val="24"/>
          <w:highlight w:val="none"/>
          <w:u w:val="single"/>
        </w:rPr>
        <w:t>逾期竣工的单位工程结算造价扣除建安劳保费、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材料价款、暂估专业工程、暂列金额后的五%</w:t>
      </w:r>
      <w:r>
        <w:rPr>
          <w:rFonts w:hint="eastAsia" w:ascii="宋体" w:hAnsi="宋体" w:cs="宋体"/>
          <w:color w:val="auto"/>
          <w:sz w:val="24"/>
          <w:szCs w:val="24"/>
          <w:highlight w:val="none"/>
        </w:rPr>
        <w:t>。</w:t>
      </w:r>
    </w:p>
    <w:p w14:paraId="153EE1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8" w:name="_Toc220"/>
      <w:bookmarkStart w:id="449" w:name="_Toc29171"/>
      <w:bookmarkStart w:id="450" w:name="_Toc32127"/>
      <w:r>
        <w:rPr>
          <w:rFonts w:hint="eastAsia" w:ascii="宋体" w:hAnsi="宋体" w:eastAsia="宋体" w:cs="宋体"/>
          <w:b/>
          <w:bCs/>
          <w:color w:val="auto"/>
          <w:sz w:val="24"/>
          <w:szCs w:val="24"/>
          <w:highlight w:val="none"/>
        </w:rPr>
        <w:t>7.6 不利物质条件</w:t>
      </w:r>
      <w:bookmarkEnd w:id="443"/>
      <w:bookmarkEnd w:id="444"/>
      <w:bookmarkEnd w:id="445"/>
      <w:bookmarkEnd w:id="446"/>
      <w:bookmarkEnd w:id="447"/>
      <w:bookmarkEnd w:id="448"/>
      <w:bookmarkEnd w:id="449"/>
      <w:bookmarkEnd w:id="450"/>
    </w:p>
    <w:p w14:paraId="7790075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按通用条款约定</w:t>
      </w:r>
      <w:r>
        <w:rPr>
          <w:rFonts w:hint="eastAsia" w:ascii="宋体" w:hAnsi="宋体" w:cs="宋体"/>
          <w:color w:val="auto"/>
          <w:sz w:val="24"/>
          <w:szCs w:val="24"/>
          <w:highlight w:val="none"/>
        </w:rPr>
        <w:t>。</w:t>
      </w:r>
    </w:p>
    <w:p w14:paraId="53B4BDE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51" w:name="_Toc12609386"/>
      <w:bookmarkStart w:id="452" w:name="_Toc23958"/>
      <w:bookmarkStart w:id="453" w:name="_Toc373227729"/>
      <w:bookmarkStart w:id="454" w:name="_Toc19567"/>
      <w:bookmarkStart w:id="455" w:name="_Toc18760"/>
      <w:bookmarkStart w:id="456" w:name="_Toc407135231"/>
      <w:bookmarkStart w:id="457" w:name="_Toc373478376"/>
      <w:bookmarkStart w:id="458" w:name="_Toc389065295"/>
      <w:r>
        <w:rPr>
          <w:rFonts w:hint="eastAsia" w:ascii="宋体" w:hAnsi="宋体" w:eastAsia="宋体" w:cs="宋体"/>
          <w:b/>
          <w:bCs/>
          <w:color w:val="auto"/>
          <w:sz w:val="24"/>
          <w:szCs w:val="24"/>
          <w:highlight w:val="none"/>
        </w:rPr>
        <w:t>7.7 异常恶劣的气候条件</w:t>
      </w:r>
      <w:bookmarkEnd w:id="451"/>
      <w:bookmarkEnd w:id="452"/>
      <w:bookmarkEnd w:id="453"/>
      <w:bookmarkEnd w:id="454"/>
      <w:bookmarkEnd w:id="455"/>
      <w:bookmarkEnd w:id="456"/>
      <w:bookmarkEnd w:id="457"/>
      <w:bookmarkEnd w:id="458"/>
    </w:p>
    <w:p w14:paraId="7822A7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074BA8AD">
      <w:pPr>
        <w:spacing w:beforeLines="0" w:afterLines="0" w:line="560" w:lineRule="exact"/>
        <w:ind w:firstLine="0" w:firstLineChars="0"/>
        <w:jc w:val="both"/>
        <w:rPr>
          <w:rFonts w:hint="eastAsia" w:ascii="宋体" w:hAnsi="宋体" w:cs="宋体"/>
          <w:color w:val="auto"/>
          <w:sz w:val="24"/>
          <w:szCs w:val="24"/>
          <w:highlight w:val="none"/>
          <w:u w:val="single"/>
        </w:rPr>
      </w:pPr>
      <w:bookmarkStart w:id="459" w:name="_Toc389065296"/>
      <w:bookmarkStart w:id="460" w:name="_Toc407135232"/>
      <w:bookmarkStart w:id="461" w:name="_Toc373227730"/>
      <w:bookmarkStart w:id="462" w:name="_Toc12609387"/>
      <w:bookmarkStart w:id="463" w:name="_Toc373478377"/>
      <w:r>
        <w:rPr>
          <w:rFonts w:hint="eastAsia" w:ascii="宋体" w:hAnsi="宋体" w:cs="宋体"/>
          <w:color w:val="auto"/>
          <w:sz w:val="24"/>
          <w:szCs w:val="24"/>
          <w:highlight w:val="none"/>
          <w:u w:val="single"/>
        </w:rPr>
        <w:t>（1）中雨及以上的雨水</w:t>
      </w:r>
    </w:p>
    <w:p w14:paraId="24772302">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（2）6 级及以上的大风（以气象部门鉴定为准）</w:t>
      </w:r>
    </w:p>
    <w:p w14:paraId="7A2712F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（3）日气温超过38℃的高温大于2天</w:t>
      </w:r>
      <w:r>
        <w:rPr>
          <w:rFonts w:hint="eastAsia" w:ascii="宋体" w:hAnsi="宋体" w:cs="宋体"/>
          <w:color w:val="auto"/>
          <w:sz w:val="24"/>
          <w:szCs w:val="24"/>
          <w:highlight w:val="none"/>
        </w:rPr>
        <w:t>；</w:t>
      </w:r>
    </w:p>
    <w:p w14:paraId="4E01541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（4）日气温低于-10℃的严寒大于2 天</w:t>
      </w:r>
      <w:r>
        <w:rPr>
          <w:rFonts w:hint="eastAsia" w:ascii="宋体" w:hAnsi="宋体" w:cs="宋体"/>
          <w:color w:val="auto"/>
          <w:sz w:val="24"/>
          <w:szCs w:val="24"/>
          <w:highlight w:val="none"/>
        </w:rPr>
        <w:t>。</w:t>
      </w:r>
    </w:p>
    <w:p w14:paraId="45DE2BE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（5）造成工程损坏的冰雹和大雪灾害</w:t>
      </w:r>
      <w:r>
        <w:rPr>
          <w:rFonts w:hint="eastAsia" w:ascii="宋体" w:hAnsi="宋体" w:cs="宋体"/>
          <w:color w:val="auto"/>
          <w:sz w:val="24"/>
          <w:szCs w:val="24"/>
          <w:highlight w:val="none"/>
        </w:rPr>
        <w:t>；</w:t>
      </w:r>
    </w:p>
    <w:p w14:paraId="0A5F58C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（6）6 级及以上的地震</w:t>
      </w:r>
      <w:r>
        <w:rPr>
          <w:rFonts w:hint="eastAsia" w:ascii="宋体" w:hAnsi="宋体" w:cs="宋体"/>
          <w:color w:val="auto"/>
          <w:sz w:val="24"/>
          <w:szCs w:val="24"/>
          <w:highlight w:val="none"/>
        </w:rPr>
        <w:t>；</w:t>
      </w:r>
    </w:p>
    <w:p w14:paraId="24E458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（7）20年一遇及以上的洪水</w:t>
      </w:r>
      <w:r>
        <w:rPr>
          <w:rFonts w:hint="eastAsia" w:ascii="宋体" w:hAnsi="宋体" w:cs="宋体"/>
          <w:color w:val="auto"/>
          <w:sz w:val="24"/>
          <w:szCs w:val="24"/>
          <w:highlight w:val="none"/>
        </w:rPr>
        <w:t>；</w:t>
      </w:r>
    </w:p>
    <w:p w14:paraId="496FD9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以有关部门发布的文件为准</w:t>
      </w:r>
      <w:r>
        <w:rPr>
          <w:rFonts w:hint="eastAsia" w:ascii="宋体" w:hAnsi="宋体" w:cs="宋体"/>
          <w:color w:val="auto"/>
          <w:sz w:val="24"/>
          <w:szCs w:val="24"/>
          <w:highlight w:val="none"/>
        </w:rPr>
        <w:t>。</w:t>
      </w:r>
    </w:p>
    <w:p w14:paraId="2A89AC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lang w:val="en-US"/>
        </w:rPr>
      </w:pPr>
      <w:bookmarkStart w:id="464" w:name="_Toc6803"/>
      <w:bookmarkStart w:id="465" w:name="_Toc26275"/>
      <w:bookmarkStart w:id="466" w:name="_Toc17161"/>
      <w:r>
        <w:rPr>
          <w:rFonts w:hint="eastAsia" w:ascii="宋体" w:hAnsi="宋体" w:eastAsia="宋体" w:cs="宋体"/>
          <w:b/>
          <w:bCs/>
          <w:color w:val="auto"/>
          <w:sz w:val="24"/>
          <w:szCs w:val="24"/>
          <w:highlight w:val="none"/>
          <w:lang w:val="en-US"/>
        </w:rPr>
        <w:t xml:space="preserve">7.9 </w:t>
      </w:r>
      <w:r>
        <w:rPr>
          <w:rFonts w:hint="eastAsia" w:ascii="宋体" w:hAnsi="宋体" w:eastAsia="宋体" w:cs="宋体"/>
          <w:b/>
          <w:bCs/>
          <w:color w:val="auto"/>
          <w:sz w:val="24"/>
          <w:szCs w:val="24"/>
          <w:highlight w:val="none"/>
        </w:rPr>
        <w:t>提前竣工</w:t>
      </w:r>
      <w:bookmarkEnd w:id="459"/>
      <w:bookmarkEnd w:id="460"/>
      <w:bookmarkEnd w:id="461"/>
      <w:bookmarkEnd w:id="462"/>
      <w:bookmarkEnd w:id="463"/>
      <w:bookmarkEnd w:id="464"/>
      <w:bookmarkEnd w:id="465"/>
      <w:bookmarkEnd w:id="466"/>
    </w:p>
    <w:p w14:paraId="382D55E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7.9.2提前竣工（赶工）增加费的计算方法：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D80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67" w:name="_Toc407135233"/>
      <w:bookmarkStart w:id="468" w:name="_Toc373478378"/>
      <w:bookmarkStart w:id="469" w:name="_Toc16429"/>
      <w:bookmarkStart w:id="470" w:name="_Toc25517"/>
      <w:bookmarkStart w:id="471" w:name="_Toc12609388"/>
      <w:bookmarkStart w:id="472" w:name="_Toc26511"/>
      <w:bookmarkStart w:id="473" w:name="_Toc373227731"/>
      <w:bookmarkStart w:id="474" w:name="_Toc389065297"/>
      <w:r>
        <w:rPr>
          <w:rFonts w:hint="eastAsia" w:ascii="宋体" w:hAnsi="宋体" w:eastAsia="宋体" w:cs="宋体"/>
          <w:b/>
          <w:bCs/>
          <w:color w:val="auto"/>
          <w:sz w:val="24"/>
          <w:szCs w:val="24"/>
          <w:highlight w:val="none"/>
        </w:rPr>
        <w:t>8. 材料与设备</w:t>
      </w:r>
      <w:bookmarkEnd w:id="467"/>
      <w:bookmarkEnd w:id="468"/>
      <w:bookmarkEnd w:id="469"/>
      <w:bookmarkEnd w:id="470"/>
      <w:bookmarkEnd w:id="471"/>
      <w:bookmarkEnd w:id="472"/>
      <w:bookmarkEnd w:id="473"/>
      <w:bookmarkEnd w:id="474"/>
    </w:p>
    <w:p w14:paraId="437BA2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75" w:name="_Toc12609389"/>
      <w:bookmarkStart w:id="476" w:name="_Toc20877"/>
      <w:bookmarkStart w:id="477" w:name="_Toc389065298"/>
      <w:bookmarkStart w:id="478" w:name="_Toc7327"/>
      <w:bookmarkStart w:id="479" w:name="_Toc373227732"/>
      <w:bookmarkStart w:id="480" w:name="_Toc373478379"/>
      <w:bookmarkStart w:id="481" w:name="_Toc587"/>
      <w:bookmarkStart w:id="482" w:name="_Toc407135234"/>
      <w:r>
        <w:rPr>
          <w:rFonts w:hint="eastAsia" w:ascii="宋体" w:hAnsi="宋体" w:eastAsia="宋体" w:cs="宋体"/>
          <w:b/>
          <w:bCs/>
          <w:color w:val="auto"/>
          <w:sz w:val="24"/>
          <w:szCs w:val="24"/>
          <w:highlight w:val="none"/>
        </w:rPr>
        <w:t>8.2 承包人采购材料与工程设备</w:t>
      </w:r>
      <w:bookmarkEnd w:id="475"/>
      <w:bookmarkEnd w:id="476"/>
      <w:bookmarkEnd w:id="477"/>
      <w:bookmarkEnd w:id="478"/>
      <w:bookmarkEnd w:id="479"/>
      <w:bookmarkEnd w:id="480"/>
      <w:bookmarkEnd w:id="481"/>
      <w:bookmarkEnd w:id="482"/>
    </w:p>
    <w:p w14:paraId="7C61476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8.2.1</w:t>
      </w:r>
      <w:r>
        <w:rPr>
          <w:rFonts w:hint="eastAsia" w:ascii="宋体" w:hAnsi="宋体" w:cs="宋体"/>
          <w:color w:val="auto"/>
          <w:kern w:val="0"/>
          <w:sz w:val="24"/>
          <w:szCs w:val="24"/>
          <w:highlight w:val="none"/>
          <w:lang w:eastAsia="zh-CN"/>
        </w:rPr>
        <w:t>本工程所用材料：</w:t>
      </w:r>
      <w:r>
        <w:rPr>
          <w:rFonts w:hint="eastAsia" w:ascii="宋体" w:hAnsi="宋体" w:cs="宋体"/>
          <w:color w:val="auto"/>
          <w:kern w:val="0"/>
          <w:sz w:val="24"/>
          <w:szCs w:val="24"/>
          <w:highlight w:val="none"/>
          <w:u w:val="single"/>
          <w:lang w:eastAsia="zh-CN"/>
        </w:rPr>
        <w:t>甲指乙供</w:t>
      </w:r>
      <w:r>
        <w:rPr>
          <w:rFonts w:hint="eastAsia" w:ascii="宋体" w:hAnsi="宋体" w:cs="宋体"/>
          <w:color w:val="auto"/>
          <w:kern w:val="0"/>
          <w:sz w:val="24"/>
          <w:szCs w:val="24"/>
          <w:highlight w:val="none"/>
          <w:lang w:eastAsia="zh-CN"/>
        </w:rPr>
        <w:t>。</w:t>
      </w:r>
    </w:p>
    <w:p w14:paraId="680DF9A1">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8.2.2</w:t>
      </w:r>
      <w:r>
        <w:rPr>
          <w:rFonts w:hint="eastAsia" w:ascii="宋体" w:hAnsi="宋体" w:cs="宋体"/>
          <w:color w:val="auto"/>
          <w:kern w:val="0"/>
          <w:sz w:val="24"/>
          <w:szCs w:val="24"/>
          <w:highlight w:val="none"/>
          <w:lang w:eastAsia="zh-CN"/>
        </w:rPr>
        <w:t>本工程所用材料均需得到发包人及监理的确认，承包人在正式采购和施工前须将材料的样品送给发包人及监理，且需得到发包人及监理认可并且存封样品后，方可采购。未经业主及监理同意，不得做任何变更。</w:t>
      </w:r>
    </w:p>
    <w:p w14:paraId="0964E40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8.2.3进场的材料、成品及半成品，如发现品种、型号、规格、颜色和质量等不符合规定，在问题未查清之前，该批材料、成品、半成品必须封存不得使用，经核查如确实不符合规定要求，发包人由此造成的损失，由承包人按违约责任承担，使用不合格的材料是，发包人有权要求乙方拆除，清理及重做，承包人承担所有费用，由此延误的工期不予顺延。</w:t>
      </w:r>
    </w:p>
    <w:p w14:paraId="743FC03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8.2.4</w:t>
      </w:r>
      <w:r>
        <w:rPr>
          <w:rFonts w:hint="eastAsia" w:ascii="宋体" w:hAnsi="宋体" w:cs="宋体"/>
          <w:color w:val="auto"/>
          <w:kern w:val="0"/>
          <w:sz w:val="24"/>
          <w:szCs w:val="24"/>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4"/>
          <w:szCs w:val="24"/>
          <w:highlight w:val="none"/>
        </w:rPr>
        <w:t>承包人提供主要材料和工程设备一览表》</w:t>
      </w:r>
      <w:r>
        <w:rPr>
          <w:rFonts w:hint="eastAsia" w:ascii="宋体" w:hAnsi="宋体" w:cs="宋体"/>
          <w:color w:val="auto"/>
          <w:kern w:val="0"/>
          <w:sz w:val="24"/>
          <w:szCs w:val="24"/>
          <w:highlight w:val="none"/>
        </w:rPr>
        <w:t>（表-22）见已标价工程量清单。</w:t>
      </w:r>
    </w:p>
    <w:p w14:paraId="16EA015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bookmarkStart w:id="483" w:name="_Toc373478380"/>
      <w:bookmarkStart w:id="484" w:name="_Toc389065299"/>
      <w:bookmarkStart w:id="485" w:name="_Toc373227733"/>
      <w:r>
        <w:rPr>
          <w:rFonts w:hint="eastAsia" w:ascii="宋体" w:hAnsi="宋体" w:cs="宋体"/>
          <w:color w:val="auto"/>
          <w:sz w:val="24"/>
          <w:szCs w:val="24"/>
          <w:highlight w:val="none"/>
          <w:lang w:val="en-US" w:eastAsia="zh-CN"/>
        </w:rPr>
        <w:t>8.2.5</w:t>
      </w:r>
      <w:r>
        <w:rPr>
          <w:rFonts w:hint="eastAsia" w:ascii="宋体" w:hAnsi="宋体" w:cs="宋体"/>
          <w:color w:val="auto"/>
          <w:sz w:val="24"/>
          <w:szCs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200A9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86" w:name="_Toc19024"/>
      <w:bookmarkStart w:id="487" w:name="_Toc12609390"/>
      <w:bookmarkStart w:id="488" w:name="_Toc15148"/>
      <w:bookmarkStart w:id="489" w:name="_Toc407135235"/>
      <w:bookmarkStart w:id="490" w:name="_Toc4729"/>
      <w:r>
        <w:rPr>
          <w:rFonts w:hint="eastAsia" w:ascii="宋体" w:hAnsi="宋体" w:eastAsia="宋体" w:cs="宋体"/>
          <w:b/>
          <w:bCs/>
          <w:color w:val="auto"/>
          <w:sz w:val="24"/>
          <w:szCs w:val="24"/>
          <w:highlight w:val="none"/>
        </w:rPr>
        <w:t>8.4 材料与工程设备的保管与使用</w:t>
      </w:r>
      <w:bookmarkEnd w:id="483"/>
      <w:bookmarkEnd w:id="484"/>
      <w:bookmarkEnd w:id="485"/>
      <w:bookmarkEnd w:id="486"/>
      <w:bookmarkEnd w:id="487"/>
      <w:bookmarkEnd w:id="488"/>
      <w:bookmarkEnd w:id="489"/>
      <w:bookmarkEnd w:id="490"/>
    </w:p>
    <w:p w14:paraId="47D2664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8.4.1发包人供应的材料设备的保管费用的承担：</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  </w:t>
      </w:r>
      <w:r>
        <w:rPr>
          <w:rFonts w:hint="eastAsia" w:ascii="宋体" w:hAnsi="宋体" w:cs="宋体"/>
          <w:color w:val="auto"/>
          <w:sz w:val="24"/>
          <w:szCs w:val="24"/>
          <w:highlight w:val="none"/>
        </w:rPr>
        <w:t>。</w:t>
      </w:r>
    </w:p>
    <w:p w14:paraId="3F8CB0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1" w:name="_Toc373478381"/>
      <w:bookmarkStart w:id="492" w:name="_Toc12609391"/>
      <w:bookmarkStart w:id="493" w:name="_Toc4234"/>
      <w:bookmarkStart w:id="494" w:name="_Toc373227734"/>
      <w:bookmarkStart w:id="495" w:name="_Toc407135236"/>
      <w:bookmarkStart w:id="496" w:name="_Toc389065300"/>
      <w:bookmarkStart w:id="497" w:name="_Toc30347"/>
      <w:bookmarkStart w:id="498" w:name="_Toc17277"/>
      <w:r>
        <w:rPr>
          <w:rFonts w:hint="eastAsia" w:ascii="宋体" w:hAnsi="宋体" w:eastAsia="宋体" w:cs="宋体"/>
          <w:b/>
          <w:bCs/>
          <w:color w:val="auto"/>
          <w:sz w:val="24"/>
          <w:szCs w:val="24"/>
          <w:highlight w:val="none"/>
        </w:rPr>
        <w:t>8.6 样品</w:t>
      </w:r>
      <w:bookmarkEnd w:id="491"/>
      <w:bookmarkEnd w:id="492"/>
      <w:bookmarkEnd w:id="493"/>
      <w:bookmarkEnd w:id="494"/>
      <w:bookmarkEnd w:id="495"/>
      <w:bookmarkEnd w:id="496"/>
      <w:bookmarkEnd w:id="497"/>
      <w:bookmarkEnd w:id="498"/>
    </w:p>
    <w:p w14:paraId="6013F3E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 样品的报送与封存</w:t>
      </w:r>
    </w:p>
    <w:p w14:paraId="2C05A4E4">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主要材料涉及品种、款式、颜色等方面内容的，承包人应提交准备合格的材料样品送发包人选定。</w:t>
      </w:r>
    </w:p>
    <w:p w14:paraId="218D7A2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9" w:name="_Toc407135237"/>
      <w:bookmarkStart w:id="500" w:name="_Toc5593"/>
      <w:bookmarkStart w:id="501" w:name="_Toc373227735"/>
      <w:bookmarkStart w:id="502" w:name="_Toc373478382"/>
      <w:bookmarkStart w:id="503" w:name="_Toc12609392"/>
      <w:bookmarkStart w:id="504" w:name="_Toc22151"/>
      <w:bookmarkStart w:id="505" w:name="_Toc996"/>
      <w:bookmarkStart w:id="506" w:name="_Toc389065301"/>
      <w:r>
        <w:rPr>
          <w:rFonts w:hint="eastAsia" w:ascii="宋体" w:hAnsi="宋体" w:eastAsia="宋体" w:cs="宋体"/>
          <w:b/>
          <w:bCs/>
          <w:color w:val="auto"/>
          <w:sz w:val="24"/>
          <w:szCs w:val="24"/>
          <w:highlight w:val="none"/>
        </w:rPr>
        <w:t>8.8 施工设备和临时设施</w:t>
      </w:r>
      <w:bookmarkEnd w:id="499"/>
      <w:bookmarkEnd w:id="500"/>
      <w:bookmarkEnd w:id="501"/>
      <w:bookmarkEnd w:id="502"/>
      <w:bookmarkEnd w:id="503"/>
      <w:bookmarkEnd w:id="504"/>
      <w:bookmarkEnd w:id="505"/>
      <w:bookmarkEnd w:id="506"/>
    </w:p>
    <w:p w14:paraId="153EA276">
      <w:pPr>
        <w:spacing w:beforeLines="0" w:afterLines="0" w:line="560" w:lineRule="exact"/>
        <w:ind w:firstLine="0" w:firstLineChars="0"/>
        <w:jc w:val="both"/>
        <w:rPr>
          <w:rFonts w:hint="eastAsia" w:ascii="宋体" w:hAnsi="宋体" w:cs="宋体"/>
          <w:color w:val="auto"/>
          <w:sz w:val="24"/>
          <w:szCs w:val="24"/>
          <w:highlight w:val="none"/>
        </w:rPr>
      </w:pPr>
      <w:bookmarkStart w:id="507" w:name="_Toc373478383"/>
      <w:bookmarkStart w:id="508" w:name="_Toc12609393"/>
      <w:bookmarkStart w:id="509" w:name="_Toc389065302"/>
      <w:bookmarkStart w:id="510" w:name="_Toc373227736"/>
      <w:bookmarkStart w:id="511" w:name="_Toc407135238"/>
      <w:r>
        <w:rPr>
          <w:rFonts w:hint="eastAsia" w:ascii="宋体" w:hAnsi="宋体" w:cs="宋体"/>
          <w:color w:val="auto"/>
          <w:sz w:val="24"/>
          <w:szCs w:val="24"/>
          <w:highlight w:val="none"/>
        </w:rPr>
        <w:t xml:space="preserve">8.8.1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提供的施工设备和临时设施</w:t>
      </w:r>
    </w:p>
    <w:p w14:paraId="6A85124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除专用合同条款另有约定的其他独立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和监理人指示的他人提供条件外，</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运入施工场地的所有施工设备以及在施工场地建设的临时设施仅限于用于合同工程。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用于本工程的主要机械设备清单见合同附件6。</w:t>
      </w:r>
    </w:p>
    <w:p w14:paraId="011B27E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p>
    <w:p w14:paraId="2F1C09D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的临时用地（含项目部驻地等）租用费（含拆迁补偿）、临时用地的环保、恢复、临时用地的青苗补偿及地面附着物拆除等费用均由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负责，以上费用在投标报价中综合考虑</w:t>
      </w:r>
      <w:r>
        <w:rPr>
          <w:rFonts w:hint="eastAsia" w:ascii="宋体" w:hAnsi="宋体" w:cs="宋体"/>
          <w:color w:val="auto"/>
          <w:sz w:val="24"/>
          <w:szCs w:val="24"/>
          <w:highlight w:val="none"/>
        </w:rPr>
        <w:t>。</w:t>
      </w:r>
    </w:p>
    <w:p w14:paraId="183C1A2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负责合同实施期间其合同段内临时交通道路（含场内外连接公共交通道路）和交通设施的修建、维修、养护和交通管理工作，并承担一切费用</w:t>
      </w:r>
      <w:r>
        <w:rPr>
          <w:rFonts w:hint="eastAsia" w:ascii="宋体" w:hAnsi="宋体" w:cs="宋体"/>
          <w:color w:val="auto"/>
          <w:sz w:val="24"/>
          <w:szCs w:val="24"/>
          <w:highlight w:val="none"/>
        </w:rPr>
        <w:t>。</w:t>
      </w:r>
    </w:p>
    <w:p w14:paraId="4B2FA2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③</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修建的临时道路和交通设施，应免费提供给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、监理工程师和其他合同段的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使用，如共同使用的路基损坏严重，</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或监理工程师将负责通知有关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共同出资修复，若使用频率相差悬殊，则按比例分摊</w:t>
      </w:r>
      <w:r>
        <w:rPr>
          <w:rFonts w:hint="eastAsia" w:ascii="宋体" w:hAnsi="宋体" w:cs="宋体"/>
          <w:color w:val="auto"/>
          <w:sz w:val="24"/>
          <w:szCs w:val="24"/>
          <w:highlight w:val="none"/>
        </w:rPr>
        <w:t>。</w:t>
      </w:r>
    </w:p>
    <w:p w14:paraId="29602E3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8.8.2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w:t>
      </w:r>
    </w:p>
    <w:p w14:paraId="18DEA1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的施工现场总平面布置图的要求于开工前7天将水、电接至施工现场围墙内。若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未将以上管线外端接口接至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指定的位置，则由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将水、电、电讯线路延长接至施工现场，费用由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承担。（2）开工前5天将施工场地公共道路的通道通至施工场地，保证施工期间的畅通，并满足施工运输的需要 </w:t>
      </w:r>
      <w:r>
        <w:rPr>
          <w:rFonts w:hint="eastAsia" w:ascii="宋体" w:hAnsi="宋体" w:cs="宋体"/>
          <w:color w:val="auto"/>
          <w:sz w:val="24"/>
          <w:szCs w:val="24"/>
          <w:highlight w:val="none"/>
        </w:rPr>
        <w:t>。</w:t>
      </w:r>
    </w:p>
    <w:p w14:paraId="7A54AD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提供的施工设备和临时设施的运行、维护、拆除、清运费用的承担人：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p>
    <w:p w14:paraId="034F6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2" w:name="_Toc26345"/>
      <w:bookmarkStart w:id="513" w:name="_Toc20440"/>
      <w:bookmarkStart w:id="514" w:name="_Toc9574"/>
      <w:r>
        <w:rPr>
          <w:rFonts w:hint="eastAsia" w:ascii="宋体" w:hAnsi="宋体" w:eastAsia="宋体" w:cs="宋体"/>
          <w:b/>
          <w:bCs/>
          <w:color w:val="auto"/>
          <w:sz w:val="24"/>
          <w:szCs w:val="24"/>
          <w:highlight w:val="none"/>
        </w:rPr>
        <w:t>9. 试验与检验</w:t>
      </w:r>
      <w:bookmarkEnd w:id="507"/>
      <w:bookmarkEnd w:id="508"/>
      <w:bookmarkEnd w:id="509"/>
      <w:bookmarkEnd w:id="510"/>
      <w:bookmarkEnd w:id="511"/>
      <w:bookmarkEnd w:id="512"/>
      <w:bookmarkEnd w:id="513"/>
      <w:bookmarkEnd w:id="514"/>
    </w:p>
    <w:p w14:paraId="176FED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5" w:name="_Toc18862"/>
      <w:bookmarkStart w:id="516" w:name="_Toc389065303"/>
      <w:bookmarkStart w:id="517" w:name="_Toc4917"/>
      <w:bookmarkStart w:id="518" w:name="_Toc373478384"/>
      <w:bookmarkStart w:id="519" w:name="_Toc28145"/>
      <w:bookmarkStart w:id="520" w:name="_Toc373227737"/>
      <w:bookmarkStart w:id="521" w:name="_Toc12609394"/>
      <w:bookmarkStart w:id="522" w:name="_Toc407135239"/>
      <w:r>
        <w:rPr>
          <w:rFonts w:hint="eastAsia" w:ascii="宋体" w:hAnsi="宋体" w:eastAsia="宋体" w:cs="宋体"/>
          <w:b/>
          <w:bCs/>
          <w:color w:val="auto"/>
          <w:sz w:val="24"/>
          <w:szCs w:val="24"/>
          <w:highlight w:val="none"/>
        </w:rPr>
        <w:t>9.1 试验设备与试验人员</w:t>
      </w:r>
      <w:bookmarkEnd w:id="515"/>
      <w:bookmarkEnd w:id="516"/>
      <w:bookmarkEnd w:id="517"/>
      <w:bookmarkEnd w:id="518"/>
      <w:bookmarkEnd w:id="519"/>
      <w:bookmarkEnd w:id="520"/>
      <w:bookmarkEnd w:id="521"/>
      <w:bookmarkEnd w:id="522"/>
    </w:p>
    <w:p w14:paraId="697277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1EC84C8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43BA18A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2045913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642A77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23" w:name="_Toc373478385"/>
      <w:bookmarkStart w:id="524" w:name="_Toc13306"/>
      <w:bookmarkStart w:id="525" w:name="_Toc407135240"/>
      <w:bookmarkStart w:id="526" w:name="_Toc12609395"/>
      <w:bookmarkStart w:id="527" w:name="_Toc19748"/>
      <w:bookmarkStart w:id="528" w:name="_Toc21580"/>
      <w:bookmarkStart w:id="529" w:name="_Toc373227738"/>
      <w:bookmarkStart w:id="530" w:name="_Toc389065304"/>
      <w:r>
        <w:rPr>
          <w:rFonts w:hint="eastAsia" w:ascii="宋体" w:hAnsi="宋体" w:eastAsia="宋体" w:cs="宋体"/>
          <w:b/>
          <w:bCs/>
          <w:color w:val="auto"/>
          <w:sz w:val="24"/>
          <w:szCs w:val="24"/>
          <w:highlight w:val="none"/>
        </w:rPr>
        <w:t>9.4 现场工艺试验</w:t>
      </w:r>
      <w:bookmarkEnd w:id="523"/>
      <w:bookmarkEnd w:id="524"/>
      <w:bookmarkEnd w:id="525"/>
      <w:bookmarkEnd w:id="526"/>
      <w:bookmarkEnd w:id="527"/>
      <w:bookmarkEnd w:id="528"/>
      <w:bookmarkEnd w:id="529"/>
      <w:bookmarkEnd w:id="530"/>
      <w:r>
        <w:rPr>
          <w:rFonts w:hint="eastAsia" w:ascii="宋体" w:hAnsi="宋体" w:eastAsia="宋体" w:cs="宋体"/>
          <w:b/>
          <w:bCs/>
          <w:color w:val="auto"/>
          <w:sz w:val="24"/>
          <w:szCs w:val="24"/>
          <w:highlight w:val="none"/>
        </w:rPr>
        <w:t xml:space="preserve"> </w:t>
      </w:r>
    </w:p>
    <w:p w14:paraId="2757C96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 xml:space="preserve">       按照有关文件要求执行</w:t>
      </w:r>
      <w:r>
        <w:rPr>
          <w:rFonts w:hint="eastAsia" w:ascii="宋体" w:hAnsi="宋体" w:cs="宋体"/>
          <w:color w:val="auto"/>
          <w:sz w:val="24"/>
          <w:szCs w:val="24"/>
          <w:highlight w:val="none"/>
        </w:rPr>
        <w:t>。</w:t>
      </w:r>
    </w:p>
    <w:p w14:paraId="4F034C4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1" w:name="_Toc28387"/>
      <w:bookmarkStart w:id="532" w:name="_Toc12609396"/>
      <w:bookmarkStart w:id="533" w:name="_Toc3999"/>
      <w:bookmarkStart w:id="534" w:name="_Toc407135241"/>
      <w:bookmarkStart w:id="535" w:name="_Toc20051"/>
      <w:bookmarkStart w:id="536" w:name="OLE_LINK1"/>
      <w:r>
        <w:rPr>
          <w:rFonts w:hint="eastAsia" w:ascii="宋体" w:hAnsi="宋体" w:eastAsia="宋体" w:cs="宋体"/>
          <w:b/>
          <w:bCs/>
          <w:color w:val="auto"/>
          <w:sz w:val="24"/>
          <w:szCs w:val="24"/>
          <w:highlight w:val="none"/>
        </w:rPr>
        <w:t>9.5 检验费用</w:t>
      </w:r>
      <w:bookmarkEnd w:id="531"/>
      <w:bookmarkEnd w:id="532"/>
      <w:bookmarkEnd w:id="533"/>
      <w:bookmarkEnd w:id="534"/>
      <w:bookmarkEnd w:id="535"/>
    </w:p>
    <w:p w14:paraId="7D9E020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36"/>
    <w:p w14:paraId="45C845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7" w:name="_Toc373478386"/>
      <w:bookmarkStart w:id="538" w:name="_Toc373227739"/>
      <w:bookmarkStart w:id="539" w:name="_Toc12371"/>
      <w:bookmarkStart w:id="540" w:name="_Toc4512"/>
      <w:bookmarkStart w:id="541" w:name="_Toc12609397"/>
      <w:bookmarkStart w:id="542" w:name="_Toc5867"/>
      <w:bookmarkStart w:id="543" w:name="_Toc389065305"/>
      <w:bookmarkStart w:id="544" w:name="_Toc407135242"/>
      <w:r>
        <w:rPr>
          <w:rFonts w:hint="eastAsia" w:ascii="宋体" w:hAnsi="宋体" w:eastAsia="宋体" w:cs="宋体"/>
          <w:b/>
          <w:bCs/>
          <w:color w:val="auto"/>
          <w:sz w:val="24"/>
          <w:szCs w:val="24"/>
          <w:highlight w:val="none"/>
        </w:rPr>
        <w:t>10. 变更</w:t>
      </w:r>
      <w:bookmarkEnd w:id="537"/>
      <w:bookmarkEnd w:id="538"/>
      <w:bookmarkEnd w:id="539"/>
      <w:bookmarkEnd w:id="540"/>
      <w:bookmarkEnd w:id="541"/>
      <w:bookmarkEnd w:id="542"/>
      <w:bookmarkEnd w:id="543"/>
      <w:bookmarkEnd w:id="544"/>
    </w:p>
    <w:p w14:paraId="5C219F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45" w:name="_Toc407135243"/>
      <w:bookmarkStart w:id="546" w:name="_Toc18844"/>
      <w:bookmarkStart w:id="547" w:name="_Toc12609398"/>
      <w:bookmarkStart w:id="548" w:name="_Toc373227740"/>
      <w:bookmarkStart w:id="549" w:name="_Toc17204"/>
      <w:bookmarkStart w:id="550" w:name="_Toc27036"/>
      <w:bookmarkStart w:id="551" w:name="_Toc373478387"/>
      <w:bookmarkStart w:id="552" w:name="_Toc389065306"/>
      <w:r>
        <w:rPr>
          <w:rFonts w:hint="eastAsia" w:ascii="宋体" w:hAnsi="宋体" w:eastAsia="宋体" w:cs="宋体"/>
          <w:b/>
          <w:bCs/>
          <w:color w:val="auto"/>
          <w:sz w:val="24"/>
          <w:szCs w:val="24"/>
          <w:highlight w:val="none"/>
        </w:rPr>
        <w:t>10.1 变更的范围</w:t>
      </w:r>
      <w:bookmarkEnd w:id="545"/>
      <w:bookmarkEnd w:id="546"/>
      <w:bookmarkEnd w:id="547"/>
      <w:bookmarkEnd w:id="548"/>
      <w:bookmarkEnd w:id="549"/>
      <w:bookmarkEnd w:id="550"/>
      <w:bookmarkEnd w:id="551"/>
      <w:bookmarkEnd w:id="552"/>
    </w:p>
    <w:p w14:paraId="45F65F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 xml:space="preserve">  应当进行变更的情形：(1)取消合同中任何一项工作，但被取消的工作不能转由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或其它人实施；(2)改变合同中任何一项工作的质量或其它特征；(3)改变合同工程基线、标高、位置或尺寸。(4)由于设计变更或现场签证产生的施工图纸、招标文件未含的项目；(5) 工程量清单缺项(漏项) </w:t>
      </w:r>
      <w:r>
        <w:rPr>
          <w:rFonts w:hint="eastAsia" w:ascii="宋体" w:hAnsi="宋体" w:cs="宋体"/>
          <w:color w:val="auto"/>
          <w:sz w:val="24"/>
          <w:szCs w:val="24"/>
          <w:highlight w:val="none"/>
        </w:rPr>
        <w:t>。</w:t>
      </w:r>
    </w:p>
    <w:p w14:paraId="45751B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53" w:name="_Toc11435"/>
      <w:bookmarkStart w:id="554" w:name="_Toc389065307"/>
      <w:bookmarkStart w:id="555" w:name="_Toc373478388"/>
      <w:bookmarkStart w:id="556" w:name="_Toc28993"/>
      <w:bookmarkStart w:id="557" w:name="_Toc373227741"/>
      <w:bookmarkStart w:id="558" w:name="_Toc407135244"/>
      <w:bookmarkStart w:id="559" w:name="_Toc12609399"/>
      <w:bookmarkStart w:id="560" w:name="_Toc12589"/>
      <w:r>
        <w:rPr>
          <w:rFonts w:hint="eastAsia" w:ascii="宋体" w:hAnsi="宋体" w:eastAsia="宋体" w:cs="宋体"/>
          <w:b/>
          <w:bCs/>
          <w:color w:val="auto"/>
          <w:sz w:val="24"/>
          <w:szCs w:val="24"/>
          <w:highlight w:val="none"/>
        </w:rPr>
        <w:t>10.3 变更程序</w:t>
      </w:r>
      <w:bookmarkEnd w:id="553"/>
      <w:bookmarkEnd w:id="554"/>
      <w:bookmarkEnd w:id="555"/>
      <w:bookmarkEnd w:id="556"/>
      <w:bookmarkEnd w:id="557"/>
      <w:bookmarkEnd w:id="558"/>
      <w:bookmarkEnd w:id="559"/>
      <w:bookmarkEnd w:id="560"/>
    </w:p>
    <w:p w14:paraId="764447C6">
      <w:pPr>
        <w:pStyle w:val="5"/>
        <w:keepNext w:val="0"/>
        <w:keepLines w:val="0"/>
        <w:spacing w:before="0" w:beforeLines="0" w:after="0" w:afterLines="0" w:line="560" w:lineRule="exact"/>
        <w:ind w:firstLine="0" w:firstLineChars="0"/>
        <w:rPr>
          <w:rFonts w:hint="eastAsia" w:ascii="宋体" w:hAnsi="宋体" w:eastAsia="宋体" w:cs="宋体"/>
          <w:b w:val="0"/>
          <w:bCs w:val="0"/>
          <w:color w:val="auto"/>
          <w:sz w:val="24"/>
          <w:szCs w:val="24"/>
          <w:highlight w:val="none"/>
        </w:rPr>
      </w:pPr>
      <w:bookmarkStart w:id="561" w:name="_Toc373478389"/>
      <w:bookmarkStart w:id="562" w:name="_Toc373227742"/>
      <w:bookmarkStart w:id="563" w:name="_Toc12609400"/>
      <w:bookmarkStart w:id="564" w:name="_Toc389065308"/>
      <w:bookmarkStart w:id="565" w:name="_Toc407135245"/>
      <w:r>
        <w:rPr>
          <w:rFonts w:hint="eastAsia" w:ascii="宋体" w:hAnsi="宋体" w:eastAsia="宋体" w:cs="宋体"/>
          <w:b w:val="0"/>
          <w:bCs w:val="0"/>
          <w:color w:val="auto"/>
          <w:sz w:val="24"/>
          <w:szCs w:val="24"/>
          <w:highlight w:val="none"/>
        </w:rPr>
        <w:t>10.3.1 国有投资项目：</w:t>
      </w:r>
    </w:p>
    <w:p w14:paraId="1F4698E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⑴属重大变更的须经发包方、承包方、设计方、监理方、建设主管部门等各方进行论证后，并按崇政办发【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属一般性变更的由施工方负责人起草，交发包方代表及发包方负责领导审批，变更的工程量须有施工、监理、业主、评审人员进行现场按项实测实量签署意见。超标准后达到重大变更，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w:t>
      </w:r>
      <w:r>
        <w:rPr>
          <w:rFonts w:hint="eastAsia" w:ascii="宋体" w:hAnsi="宋体" w:cs="宋体"/>
          <w:color w:val="auto"/>
          <w:sz w:val="24"/>
          <w:szCs w:val="24"/>
          <w:highlight w:val="none"/>
        </w:rPr>
        <w:t xml:space="preserve">。 </w:t>
      </w:r>
    </w:p>
    <w:p w14:paraId="674F86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⑵ 工程设计变更和签证工程发生后10个工作日内，由建设单位将有关变更文件、签证单审批件、工程联系单、预算书等工程资料送市财政局备案，并作为进度款支付、事后抽查和工程结算的主要依据</w:t>
      </w:r>
      <w:r>
        <w:rPr>
          <w:rFonts w:hint="eastAsia" w:ascii="宋体" w:hAnsi="宋体" w:cs="宋体"/>
          <w:color w:val="auto"/>
          <w:sz w:val="24"/>
          <w:szCs w:val="24"/>
          <w:highlight w:val="none"/>
        </w:rPr>
        <w:t xml:space="preserve">。 </w:t>
      </w:r>
    </w:p>
    <w:p w14:paraId="34997C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⑶ 建设单位在实施项目过程中，若发生单价变动，由建设单位、监理单位、市财政投资评审中心与施工单位共同商定并签字确认</w:t>
      </w:r>
      <w:r>
        <w:rPr>
          <w:rFonts w:hint="eastAsia" w:ascii="宋体" w:hAnsi="宋体" w:cs="宋体"/>
          <w:color w:val="auto"/>
          <w:sz w:val="24"/>
          <w:szCs w:val="24"/>
          <w:highlight w:val="none"/>
        </w:rPr>
        <w:t xml:space="preserve">。 </w:t>
      </w:r>
    </w:p>
    <w:p w14:paraId="7C9DDA5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应当在合同规定的调整情况发生后14天内，将调整原因，金额以书面形式通知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按第⑴、⑵、⑶、⑷、⑸条款的要求初步确认调整金额后将其作为追加合同价款，按不高于 60%的比例与工程进度款同期支付，调整金额待工程单项结算或结算时，由崇左市评审中心或崇左市审计局最终审定</w:t>
      </w:r>
      <w:r>
        <w:rPr>
          <w:rFonts w:hint="eastAsia" w:ascii="宋体" w:hAnsi="宋体" w:cs="宋体"/>
          <w:color w:val="auto"/>
          <w:sz w:val="24"/>
          <w:szCs w:val="24"/>
          <w:highlight w:val="none"/>
        </w:rPr>
        <w:t xml:space="preserve">。 </w:t>
      </w:r>
    </w:p>
    <w:p w14:paraId="136A3F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⑸当合同规定的调整合同价款的调整情况发生后，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未在规定时间内通知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，或者未在规定时间内提出调整报告，</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可以根据有关资料，决定是否调整和调整的金额，并书面通知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rPr>
        <w:t xml:space="preserve">。 </w:t>
      </w:r>
    </w:p>
    <w:p w14:paraId="1929CB2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10.3.2 非国有投资项目：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5D84F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6" w:name="_Toc19546"/>
      <w:r>
        <w:rPr>
          <w:rFonts w:hint="eastAsia" w:ascii="宋体" w:hAnsi="宋体" w:eastAsia="宋体" w:cs="宋体"/>
          <w:b/>
          <w:bCs/>
          <w:color w:val="auto"/>
          <w:sz w:val="24"/>
          <w:szCs w:val="24"/>
          <w:highlight w:val="none"/>
        </w:rPr>
        <w:t>10.4 变更估价</w:t>
      </w:r>
      <w:bookmarkEnd w:id="561"/>
      <w:bookmarkEnd w:id="562"/>
      <w:bookmarkEnd w:id="563"/>
      <w:bookmarkEnd w:id="564"/>
      <w:bookmarkEnd w:id="565"/>
      <w:bookmarkEnd w:id="566"/>
    </w:p>
    <w:p w14:paraId="1CBCD8C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34AF4A8">
      <w:pPr>
        <w:spacing w:beforeLines="0" w:afterLines="0" w:line="560" w:lineRule="exact"/>
        <w:ind w:firstLine="0" w:firstLineChars="0"/>
        <w:jc w:val="both"/>
        <w:rPr>
          <w:rFonts w:hint="eastAsia" w:ascii="宋体" w:hAnsi="宋体" w:cs="宋体"/>
          <w:b w:val="0"/>
          <w:bCs w:val="0"/>
          <w:color w:val="auto"/>
          <w:kern w:val="2"/>
          <w:sz w:val="24"/>
          <w:szCs w:val="24"/>
          <w:highlight w:val="none"/>
          <w:u w:val="single"/>
          <w:lang w:val="en-US" w:eastAsia="zh-CN" w:bidi="ar-SA"/>
        </w:rPr>
      </w:pPr>
      <w:r>
        <w:rPr>
          <w:rFonts w:hint="eastAsia" w:ascii="宋体" w:hAnsi="宋体" w:cs="宋体"/>
          <w:b w:val="0"/>
          <w:bCs w:val="0"/>
          <w:color w:val="auto"/>
          <w:kern w:val="2"/>
          <w:sz w:val="24"/>
          <w:szCs w:val="24"/>
          <w:highlight w:val="none"/>
          <w:lang w:val="en-US" w:eastAsia="zh-CN" w:bidi="ar-SA"/>
        </w:rPr>
        <w:t>关于变更估价的约定:</w:t>
      </w:r>
      <w:r>
        <w:rPr>
          <w:rFonts w:hint="eastAsia" w:ascii="宋体" w:hAnsi="宋体" w:cs="宋体"/>
          <w:b w:val="0"/>
          <w:bCs w:val="0"/>
          <w:color w:val="auto"/>
          <w:kern w:val="2"/>
          <w:sz w:val="24"/>
          <w:szCs w:val="24"/>
          <w:highlight w:val="none"/>
          <w:u w:val="single"/>
          <w:lang w:val="en-US" w:eastAsia="zh-CN" w:bidi="ar-SA"/>
        </w:rPr>
        <w:t xml:space="preserve"> </w:t>
      </w:r>
      <w:bookmarkStart w:id="567" w:name="_Toc251051742"/>
      <w:r>
        <w:rPr>
          <w:rFonts w:hint="eastAsia" w:ascii="宋体" w:hAnsi="宋体" w:cs="宋体"/>
          <w:b w:val="0"/>
          <w:bCs w:val="0"/>
          <w:color w:val="auto"/>
          <w:kern w:val="2"/>
          <w:sz w:val="24"/>
          <w:szCs w:val="24"/>
          <w:highlight w:val="none"/>
          <w:u w:val="single"/>
          <w:lang w:val="en-US" w:eastAsia="zh-CN" w:bidi="ar-SA"/>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崇左市建设工程造价信息》相应价格信息进行计算，《崇左市建设工程造价信息》没有相应价格信息的，材料价格按施工期间的《南宁市建设工程造价信息》相应价格信息进行计算；如《南宁市建设工程造价信息》没有相应价格信息的按市场价计算，其中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p>
    <w:p w14:paraId="620E3031">
      <w:pPr>
        <w:spacing w:beforeLines="0" w:afterLines="0" w:line="560" w:lineRule="exact"/>
        <w:ind w:firstLine="0" w:firstLineChars="0"/>
        <w:jc w:val="both"/>
        <w:rPr>
          <w:rFonts w:hint="eastAsia" w:ascii="宋体" w:hAnsi="宋体" w:cs="宋体"/>
          <w:b w:val="0"/>
          <w:bCs/>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对于国有资产投资的项目，新增项目的单价必须经市财政评审中心审定</w:t>
      </w:r>
      <w:bookmarkEnd w:id="567"/>
      <w:r>
        <w:rPr>
          <w:rFonts w:hint="eastAsia" w:ascii="宋体" w:hAnsi="宋体" w:cs="宋体"/>
          <w:b w:val="0"/>
          <w:bCs w:val="0"/>
          <w:color w:val="auto"/>
          <w:kern w:val="2"/>
          <w:sz w:val="24"/>
          <w:szCs w:val="24"/>
          <w:highlight w:val="none"/>
          <w:u w:val="single"/>
          <w:lang w:val="en-US" w:eastAsia="zh-CN" w:bidi="ar-SA"/>
        </w:rPr>
        <w:t>。</w:t>
      </w:r>
    </w:p>
    <w:p w14:paraId="7E0A86D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工程变更导致实际完成的变更工程量与已标价清单或预算书中列明的该项目工程量有偏差时，其综合单价的确定按专用条款“1.13工程量清单错误的修正”执行。</w:t>
      </w:r>
    </w:p>
    <w:p w14:paraId="720A407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8" w:name="_Toc389065309"/>
      <w:bookmarkStart w:id="569" w:name="_Toc373227743"/>
      <w:bookmarkStart w:id="570" w:name="_Toc373478390"/>
      <w:bookmarkStart w:id="571" w:name="_Toc28356"/>
      <w:bookmarkStart w:id="572" w:name="_Toc17381"/>
      <w:bookmarkStart w:id="573" w:name="_Toc21254"/>
      <w:bookmarkStart w:id="574" w:name="_Toc407135246"/>
      <w:bookmarkStart w:id="575" w:name="_Toc12609401"/>
      <w:r>
        <w:rPr>
          <w:rFonts w:hint="eastAsia" w:ascii="宋体" w:hAnsi="宋体" w:eastAsia="宋体" w:cs="宋体"/>
          <w:b/>
          <w:bCs/>
          <w:color w:val="auto"/>
          <w:sz w:val="24"/>
          <w:szCs w:val="24"/>
          <w:highlight w:val="none"/>
        </w:rPr>
        <w:t>10.5 承包人的合理化建议</w:t>
      </w:r>
      <w:bookmarkEnd w:id="568"/>
      <w:bookmarkEnd w:id="569"/>
      <w:bookmarkEnd w:id="570"/>
      <w:bookmarkEnd w:id="571"/>
      <w:bookmarkEnd w:id="572"/>
      <w:bookmarkEnd w:id="573"/>
      <w:bookmarkEnd w:id="574"/>
      <w:bookmarkEnd w:id="575"/>
    </w:p>
    <w:p w14:paraId="42AB41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提交的建议后 7 天内 </w:t>
      </w:r>
      <w:r>
        <w:rPr>
          <w:rFonts w:hint="eastAsia" w:ascii="宋体" w:hAnsi="宋体" w:cs="宋体"/>
          <w:color w:val="auto"/>
          <w:sz w:val="24"/>
          <w:szCs w:val="24"/>
          <w:highlight w:val="none"/>
        </w:rPr>
        <w:t>。</w:t>
      </w:r>
    </w:p>
    <w:p w14:paraId="3D76813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 xml:space="preserve">  收到监理人报送的建议后 7 天内     </w:t>
      </w:r>
      <w:r>
        <w:rPr>
          <w:rFonts w:hint="eastAsia" w:ascii="宋体" w:hAnsi="宋体" w:cs="宋体"/>
          <w:color w:val="auto"/>
          <w:sz w:val="24"/>
          <w:szCs w:val="24"/>
          <w:highlight w:val="none"/>
        </w:rPr>
        <w:t>。</w:t>
      </w:r>
    </w:p>
    <w:p w14:paraId="373BB49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       另行商定                       </w:t>
      </w:r>
      <w:r>
        <w:rPr>
          <w:rFonts w:hint="eastAsia" w:ascii="宋体" w:hAnsi="宋体" w:cs="宋体"/>
          <w:color w:val="auto"/>
          <w:sz w:val="24"/>
          <w:szCs w:val="24"/>
          <w:highlight w:val="none"/>
        </w:rPr>
        <w:t>。</w:t>
      </w:r>
    </w:p>
    <w:p w14:paraId="227C2F5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76" w:name="_Toc1538"/>
      <w:bookmarkStart w:id="577" w:name="_Toc373227744"/>
      <w:bookmarkStart w:id="578" w:name="_Toc407135247"/>
      <w:bookmarkStart w:id="579" w:name="_Toc389065310"/>
      <w:bookmarkStart w:id="580" w:name="_Toc12609402"/>
      <w:bookmarkStart w:id="581" w:name="_Toc27667"/>
      <w:bookmarkStart w:id="582" w:name="_Toc373478391"/>
      <w:bookmarkStart w:id="583" w:name="_Toc28322"/>
      <w:r>
        <w:rPr>
          <w:rFonts w:hint="eastAsia" w:ascii="宋体" w:hAnsi="宋体" w:eastAsia="宋体" w:cs="宋体"/>
          <w:b/>
          <w:bCs/>
          <w:color w:val="auto"/>
          <w:sz w:val="24"/>
          <w:szCs w:val="24"/>
          <w:highlight w:val="none"/>
        </w:rPr>
        <w:t>10.7 暂估价</w:t>
      </w:r>
      <w:bookmarkEnd w:id="576"/>
      <w:bookmarkEnd w:id="577"/>
      <w:bookmarkEnd w:id="578"/>
      <w:bookmarkEnd w:id="579"/>
      <w:bookmarkEnd w:id="580"/>
      <w:bookmarkEnd w:id="581"/>
      <w:bookmarkEnd w:id="582"/>
      <w:bookmarkEnd w:id="583"/>
    </w:p>
    <w:p w14:paraId="0547B4C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暂估价材料和工程设备的明细详见已标价工程量清单《</w:t>
      </w:r>
      <w:r>
        <w:rPr>
          <w:rFonts w:hint="eastAsia" w:ascii="宋体" w:hAnsi="宋体" w:cs="宋体"/>
          <w:color w:val="auto"/>
          <w:sz w:val="24"/>
          <w:szCs w:val="24"/>
          <w:highlight w:val="none"/>
        </w:rPr>
        <w:t>材料（工程设备）暂估价格及调整表》</w:t>
      </w:r>
      <w:r>
        <w:rPr>
          <w:rFonts w:hint="eastAsia" w:ascii="宋体" w:hAnsi="宋体" w:cs="宋体"/>
          <w:color w:val="auto"/>
          <w:kern w:val="0"/>
          <w:sz w:val="24"/>
          <w:szCs w:val="24"/>
          <w:highlight w:val="none"/>
        </w:rPr>
        <w:t>（表12-2）和《</w:t>
      </w:r>
      <w:r>
        <w:rPr>
          <w:rFonts w:hint="eastAsia" w:ascii="宋体" w:hAnsi="宋体" w:cs="宋体"/>
          <w:color w:val="auto"/>
          <w:sz w:val="24"/>
          <w:szCs w:val="24"/>
          <w:highlight w:val="none"/>
        </w:rPr>
        <w:t>专业工程暂估价表》（</w:t>
      </w:r>
      <w:r>
        <w:rPr>
          <w:rFonts w:hint="eastAsia" w:ascii="宋体" w:hAnsi="宋体" w:cs="宋体"/>
          <w:color w:val="auto"/>
          <w:kern w:val="0"/>
          <w:sz w:val="24"/>
          <w:szCs w:val="24"/>
          <w:highlight w:val="none"/>
        </w:rPr>
        <w:t>表12-3）。</w:t>
      </w:r>
    </w:p>
    <w:p w14:paraId="732A21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07426BF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种方式确定。</w:t>
      </w:r>
    </w:p>
    <w:p w14:paraId="75C0E1C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3095DED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种方式确定。</w:t>
      </w:r>
    </w:p>
    <w:p w14:paraId="6EE942F1">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1DE736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双方</w:t>
      </w:r>
      <w:r>
        <w:rPr>
          <w:rFonts w:hint="eastAsia" w:ascii="宋体" w:hAnsi="宋体" w:cs="宋体"/>
          <w:color w:val="auto"/>
          <w:sz w:val="24"/>
          <w:szCs w:val="24"/>
          <w:highlight w:val="none"/>
          <w:u w:val="single"/>
        </w:rPr>
        <w:t xml:space="preserve">另行商定        </w:t>
      </w:r>
      <w:r>
        <w:rPr>
          <w:rFonts w:hint="eastAsia" w:ascii="宋体" w:hAnsi="宋体" w:cs="宋体"/>
          <w:color w:val="auto"/>
          <w:sz w:val="24"/>
          <w:szCs w:val="24"/>
          <w:highlight w:val="none"/>
        </w:rPr>
        <w:t>。</w:t>
      </w:r>
    </w:p>
    <w:p w14:paraId="3011349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84" w:name="_Toc2805"/>
      <w:bookmarkStart w:id="585" w:name="_Toc407135248"/>
      <w:bookmarkStart w:id="586" w:name="_Toc12609403"/>
      <w:bookmarkStart w:id="587" w:name="_Toc31135"/>
      <w:bookmarkStart w:id="588" w:name="_Toc373227745"/>
      <w:bookmarkStart w:id="589" w:name="_Toc389065311"/>
      <w:bookmarkStart w:id="590" w:name="_Toc373478392"/>
      <w:bookmarkStart w:id="591" w:name="_Toc14608"/>
      <w:r>
        <w:rPr>
          <w:rFonts w:hint="eastAsia" w:ascii="宋体" w:hAnsi="宋体" w:eastAsia="宋体" w:cs="宋体"/>
          <w:b/>
          <w:bCs/>
          <w:color w:val="auto"/>
          <w:sz w:val="24"/>
          <w:szCs w:val="24"/>
          <w:highlight w:val="none"/>
        </w:rPr>
        <w:t>10.8 暂列金额</w:t>
      </w:r>
      <w:bookmarkEnd w:id="584"/>
      <w:bookmarkEnd w:id="585"/>
      <w:bookmarkEnd w:id="586"/>
      <w:bookmarkEnd w:id="587"/>
      <w:bookmarkEnd w:id="588"/>
      <w:bookmarkEnd w:id="589"/>
      <w:bookmarkEnd w:id="590"/>
      <w:bookmarkEnd w:id="591"/>
    </w:p>
    <w:p w14:paraId="4A2F924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支配使用，工程结算后，如有余额归</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B2A1EC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92" w:name="_Toc5216"/>
      <w:bookmarkStart w:id="593" w:name="_Toc22258"/>
      <w:bookmarkStart w:id="594" w:name="_Toc20488"/>
      <w:bookmarkStart w:id="595" w:name="_Toc373227746"/>
      <w:bookmarkStart w:id="596" w:name="_Toc407135249"/>
      <w:bookmarkStart w:id="597" w:name="_Toc373478393"/>
      <w:bookmarkStart w:id="598" w:name="_Toc12609404"/>
      <w:bookmarkStart w:id="599" w:name="_Toc389065312"/>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sz w:val="24"/>
          <w:szCs w:val="24"/>
          <w:highlight w:val="none"/>
        </w:rPr>
        <w:t>价格调整</w:t>
      </w:r>
      <w:bookmarkEnd w:id="592"/>
      <w:bookmarkEnd w:id="593"/>
      <w:bookmarkEnd w:id="594"/>
      <w:bookmarkEnd w:id="595"/>
      <w:bookmarkEnd w:id="596"/>
      <w:bookmarkEnd w:id="597"/>
      <w:bookmarkEnd w:id="598"/>
      <w:bookmarkEnd w:id="599"/>
    </w:p>
    <w:p w14:paraId="18903E7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①法律变化引起的调整；</w:t>
      </w:r>
    </w:p>
    <w:p w14:paraId="5E3E054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②工程变更、项目特征不符、工程量清单缺项、工程量偏差引起的调整；</w:t>
      </w:r>
    </w:p>
    <w:p w14:paraId="247EE8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③计日工引起的调整。</w:t>
      </w:r>
    </w:p>
    <w:p w14:paraId="3C9FE94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0" w:name="_Toc1228"/>
      <w:bookmarkStart w:id="601" w:name="_Toc27464"/>
      <w:bookmarkStart w:id="602" w:name="_Toc407135250"/>
      <w:bookmarkStart w:id="603" w:name="_Toc14591"/>
      <w:bookmarkStart w:id="604" w:name="_Toc389065313"/>
      <w:bookmarkStart w:id="605" w:name="_Toc12609405"/>
      <w:bookmarkStart w:id="606" w:name="_Toc373478394"/>
      <w:bookmarkStart w:id="607" w:name="_Toc373227747"/>
      <w:r>
        <w:rPr>
          <w:rFonts w:hint="eastAsia" w:ascii="宋体" w:hAnsi="宋体" w:eastAsia="宋体" w:cs="宋体"/>
          <w:b/>
          <w:bCs/>
          <w:color w:val="auto"/>
          <w:sz w:val="24"/>
          <w:szCs w:val="24"/>
          <w:highlight w:val="none"/>
        </w:rPr>
        <w:t>11.1 市场价格波动引起的调整</w:t>
      </w:r>
      <w:bookmarkEnd w:id="600"/>
      <w:bookmarkEnd w:id="601"/>
      <w:bookmarkEnd w:id="602"/>
      <w:bookmarkEnd w:id="603"/>
      <w:bookmarkEnd w:id="604"/>
      <w:bookmarkEnd w:id="605"/>
      <w:bookmarkEnd w:id="606"/>
      <w:bookmarkEnd w:id="607"/>
    </w:p>
    <w:p w14:paraId="4F4484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6466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因市场价格波动调整合同价格，采用以下第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种方式对合同价格进行调整：</w:t>
      </w:r>
    </w:p>
    <w:p w14:paraId="4F1682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第1种方式：采用价格指数进行价格调整。</w:t>
      </w:r>
    </w:p>
    <w:p w14:paraId="6FC3148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关于各可调因子、定值和变值权重，以及基本价格指数及其来源的约定：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86EB08">
      <w:pPr>
        <w:spacing w:beforeLines="0" w:afterLines="0" w:line="560" w:lineRule="exact"/>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第2种方式：采用造价信息进行价格调整</w:t>
      </w:r>
      <w:r>
        <w:rPr>
          <w:rFonts w:hint="eastAsia" w:ascii="宋体" w:hAnsi="宋体" w:eastAsia="宋体" w:cs="宋体"/>
          <w:color w:val="auto"/>
          <w:sz w:val="24"/>
          <w:szCs w:val="24"/>
          <w:highlight w:val="none"/>
        </w:rPr>
        <w:t>。合同履行期间材料单价涨跌幅以基准价格为基础超过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时，对其超过部分进行价差调整</w:t>
      </w:r>
      <w:r>
        <w:rPr>
          <w:rFonts w:hint="eastAsia" w:ascii="宋体" w:hAnsi="宋体" w:eastAsia="宋体" w:cs="宋体"/>
          <w:color w:val="auto"/>
          <w:sz w:val="24"/>
          <w:szCs w:val="24"/>
          <w:highlight w:val="none"/>
          <w:lang w:eastAsia="zh-CN"/>
        </w:rPr>
        <w:t>。</w:t>
      </w:r>
    </w:p>
    <w:p w14:paraId="0C0F61A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（1）允许调整的主要材料和设备、基期价格、风险系数、投标报价详见《承包人提供主要材料和设备一览表》</w:t>
      </w:r>
      <w:r>
        <w:rPr>
          <w:rFonts w:hint="eastAsia" w:ascii="宋体" w:hAnsi="宋体" w:cs="宋体"/>
          <w:color w:val="auto"/>
          <w:kern w:val="0"/>
          <w:sz w:val="24"/>
          <w:szCs w:val="24"/>
          <w:highlight w:val="none"/>
        </w:rPr>
        <w:t>（表-22）</w:t>
      </w:r>
      <w:r>
        <w:rPr>
          <w:rFonts w:hint="eastAsia" w:ascii="宋体" w:hAnsi="宋体" w:cs="宋体"/>
          <w:color w:val="auto"/>
          <w:sz w:val="24"/>
          <w:szCs w:val="24"/>
          <w:highlight w:val="none"/>
        </w:rPr>
        <w:t>,价差调整部分仅计算税金，除此表列明的材料、设备外，其余材料设备价差原则上不予调整。</w:t>
      </w:r>
    </w:p>
    <w:p w14:paraId="44ED203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（2）主要材料和设备确认价：</w:t>
      </w:r>
    </w:p>
    <w:p w14:paraId="00D130A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按施工期间《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崇左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市建设工程造价信息》材料信息价的加权平均价计算，信息价没有的按通用条款规定确定。</w:t>
      </w:r>
    </w:p>
    <w:p w14:paraId="6EB19A8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（3）价差计算方法：</w:t>
      </w:r>
    </w:p>
    <w:p w14:paraId="32BF5C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①《承包人提供主要材料和设备一览表》中载明的材料和设备投标报价低于基准价格的：合同履行期间材料和设备单价涨幅以基准价格为基础超过约定</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风险范围时，或材料和设备单价跌幅以投标报价为基础超过约定的风险范围时，对其超过部分进行价差调整，价差计算公式：价格上涨价差=确认价-基准价*（1+风险系数），价格下跌价差=确认价-投标报价*（1+风险系数）。</w:t>
      </w:r>
    </w:p>
    <w:p w14:paraId="3361E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EDE41C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BC6F8EB">
      <w:pPr>
        <w:spacing w:beforeLines="0" w:afterLines="0" w:line="560" w:lineRule="exact"/>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8E186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8" w:name="_Toc373478395"/>
      <w:bookmarkStart w:id="609" w:name="_Toc10173"/>
      <w:bookmarkStart w:id="610" w:name="_Toc373227748"/>
      <w:bookmarkStart w:id="611" w:name="_Toc11115"/>
      <w:bookmarkStart w:id="612" w:name="_Toc12609406"/>
      <w:bookmarkStart w:id="613" w:name="_Toc407135251"/>
      <w:bookmarkStart w:id="614" w:name="_Toc11074"/>
      <w:r>
        <w:rPr>
          <w:rFonts w:hint="eastAsia" w:ascii="宋体" w:hAnsi="宋体" w:eastAsia="宋体" w:cs="宋体"/>
          <w:b/>
          <w:bCs/>
          <w:color w:val="auto"/>
          <w:sz w:val="24"/>
          <w:szCs w:val="24"/>
          <w:highlight w:val="none"/>
        </w:rPr>
        <w:t>12. 合同价格、计量与支付</w:t>
      </w:r>
      <w:bookmarkEnd w:id="608"/>
      <w:bookmarkEnd w:id="609"/>
      <w:bookmarkEnd w:id="610"/>
      <w:bookmarkEnd w:id="611"/>
      <w:bookmarkEnd w:id="612"/>
      <w:bookmarkEnd w:id="613"/>
      <w:bookmarkEnd w:id="614"/>
    </w:p>
    <w:p w14:paraId="260D43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15" w:name="_Toc373478396"/>
      <w:bookmarkStart w:id="616" w:name="_Toc389065314"/>
      <w:bookmarkStart w:id="617" w:name="_Toc12609407"/>
      <w:bookmarkStart w:id="618" w:name="_Toc24466"/>
      <w:bookmarkStart w:id="619" w:name="_Toc13954"/>
      <w:bookmarkStart w:id="620" w:name="_Toc373227749"/>
      <w:bookmarkStart w:id="621" w:name="_Toc407135252"/>
      <w:bookmarkStart w:id="622" w:name="_Toc21401"/>
      <w:r>
        <w:rPr>
          <w:rFonts w:hint="eastAsia" w:ascii="宋体" w:hAnsi="宋体" w:eastAsia="宋体" w:cs="宋体"/>
          <w:b/>
          <w:bCs/>
          <w:color w:val="auto"/>
          <w:sz w:val="24"/>
          <w:szCs w:val="24"/>
          <w:highlight w:val="none"/>
        </w:rPr>
        <w:t>12.1 合同价格形式</w:t>
      </w:r>
      <w:bookmarkEnd w:id="615"/>
      <w:bookmarkEnd w:id="616"/>
      <w:bookmarkEnd w:id="617"/>
      <w:bookmarkEnd w:id="618"/>
      <w:bookmarkEnd w:id="619"/>
      <w:bookmarkEnd w:id="620"/>
      <w:bookmarkEnd w:id="621"/>
      <w:bookmarkEnd w:id="622"/>
    </w:p>
    <w:p w14:paraId="72C9488E">
      <w:pPr>
        <w:spacing w:beforeLines="0" w:afterLines="0" w:line="560" w:lineRule="exact"/>
        <w:ind w:firstLine="0" w:firstLineChars="0"/>
        <w:jc w:val="both"/>
        <w:rPr>
          <w:rFonts w:hint="eastAsia" w:ascii="宋体" w:hAnsi="宋体" w:cs="宋体"/>
          <w:color w:val="auto"/>
          <w:sz w:val="24"/>
          <w:szCs w:val="24"/>
          <w:highlight w:val="none"/>
        </w:rPr>
      </w:pPr>
      <w:bookmarkStart w:id="623" w:name="_Toc389065315"/>
      <w:bookmarkStart w:id="624" w:name="_Toc373227750"/>
      <w:bookmarkStart w:id="625" w:name="_Toc373478397"/>
      <w:r>
        <w:rPr>
          <w:rFonts w:hint="eastAsia" w:ascii="宋体" w:hAnsi="宋体" w:cs="宋体"/>
          <w:color w:val="auto"/>
          <w:sz w:val="24"/>
          <w:szCs w:val="24"/>
          <w:highlight w:val="none"/>
        </w:rPr>
        <w:t>本工程采用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合同价格形式，合同价格包含增值税，本工程计价时采用的增值税计税方法为：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一般计税法   □简易计税法。</w:t>
      </w:r>
    </w:p>
    <w:p w14:paraId="6A3C2F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6" w:name="_Toc9371"/>
      <w:r>
        <w:rPr>
          <w:rFonts w:hint="eastAsia" w:ascii="宋体" w:hAnsi="宋体" w:cs="宋体"/>
          <w:color w:val="auto"/>
          <w:sz w:val="24"/>
          <w:szCs w:val="24"/>
          <w:highlight w:val="none"/>
        </w:rPr>
        <w:t>（1）单价合同。</w:t>
      </w:r>
      <w:bookmarkEnd w:id="626"/>
    </w:p>
    <w:p w14:paraId="74A032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采用综合单价合同方式时，工程量按建设单位、监理单位、施工单位三方确认的竣工图结算。</w:t>
      </w:r>
    </w:p>
    <w:p w14:paraId="6038C4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综合单价包含的风险范围：</w:t>
      </w:r>
      <w:r>
        <w:rPr>
          <w:rFonts w:hint="eastAsia" w:ascii="宋体" w:hAnsi="宋体" w:cs="宋体"/>
          <w:color w:val="auto"/>
          <w:sz w:val="24"/>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449B5F5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785A5A4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①工程变更、项目特征不符、工程量清单缺项：按10.4.1变更估价原则的约定调整。</w:t>
      </w:r>
    </w:p>
    <w:p w14:paraId="63195F8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②工程量偏差：按1.13工程量清单错误修正的约定调整。</w:t>
      </w:r>
    </w:p>
    <w:p w14:paraId="10478BB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③政策性调整：按自治区住房城乡建设厅或工程所在地住房城乡建设主管部门颁布的文件执行。</w:t>
      </w:r>
    </w:p>
    <w:p w14:paraId="0BA8458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④材料价格风险：按11.1的约定调整。</w:t>
      </w:r>
    </w:p>
    <w:p w14:paraId="3A8ECAD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⑤其它：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C7A6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7" w:name="_Toc18659"/>
      <w:r>
        <w:rPr>
          <w:rFonts w:hint="eastAsia" w:ascii="宋体" w:hAnsi="宋体" w:cs="宋体"/>
          <w:color w:val="auto"/>
          <w:sz w:val="24"/>
          <w:szCs w:val="24"/>
          <w:highlight w:val="none"/>
        </w:rPr>
        <w:t>（2）总价合同。</w:t>
      </w:r>
      <w:bookmarkEnd w:id="627"/>
    </w:p>
    <w:p w14:paraId="0770B2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总价包含的风险范围：包含除工程变更、政策性调整、</w:t>
      </w:r>
      <w:r>
        <w:rPr>
          <w:rFonts w:hint="eastAsia" w:ascii="宋体" w:hAnsi="宋体" w:cs="宋体"/>
          <w:color w:val="auto"/>
          <w:sz w:val="24"/>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 w:val="24"/>
          <w:szCs w:val="24"/>
          <w:highlight w:val="none"/>
        </w:rPr>
        <w:t>。</w:t>
      </w:r>
    </w:p>
    <w:p w14:paraId="46A1F39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实施期间工程量清单中原有项目的工程量无论多少或错漏均不再调整，须完成招标时采用的施工图纸（          版本）所包含的设计内容</w:t>
      </w:r>
      <w:r>
        <w:rPr>
          <w:rFonts w:hint="eastAsia" w:ascii="宋体" w:hAnsi="宋体" w:cs="宋体"/>
          <w:color w:val="auto"/>
          <w:sz w:val="24"/>
          <w:szCs w:val="24"/>
          <w:highlight w:val="none"/>
        </w:rPr>
        <w:t>。</w:t>
      </w:r>
    </w:p>
    <w:p w14:paraId="4352F9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工程范围内土石方的土石比例和类别按公布的工程量清单已确定的比例和类别进行结算，无论何种原因，施工过程中不再进行调整。同时不再给予原地面复测签证，请各投标人自行对现场地质情况进行详细评估。</w:t>
      </w:r>
    </w:p>
    <w:p w14:paraId="686093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根据《崇左市人民政府办公室关于印发崇左市</w:t>
      </w:r>
      <w:r>
        <w:rPr>
          <w:rFonts w:hint="eastAsia" w:ascii="宋体" w:hAnsi="宋体" w:cs="宋体"/>
          <w:color w:val="auto"/>
          <w:sz w:val="24"/>
          <w:szCs w:val="24"/>
          <w:highlight w:val="none"/>
          <w:lang w:eastAsia="zh-CN"/>
        </w:rPr>
        <w:t>本级</w:t>
      </w:r>
      <w:r>
        <w:rPr>
          <w:rFonts w:hint="eastAsia" w:ascii="宋体" w:hAnsi="宋体" w:cs="宋体"/>
          <w:color w:val="auto"/>
          <w:sz w:val="24"/>
          <w:szCs w:val="24"/>
          <w:highlight w:val="none"/>
        </w:rPr>
        <w:t>政府性投资基本建设项目管理</w:t>
      </w:r>
      <w:r>
        <w:rPr>
          <w:rFonts w:hint="eastAsia" w:ascii="宋体" w:hAnsi="宋体" w:cs="宋体"/>
          <w:color w:val="auto"/>
          <w:sz w:val="24"/>
          <w:szCs w:val="24"/>
          <w:highlight w:val="none"/>
          <w:lang w:eastAsia="zh-CN"/>
        </w:rPr>
        <w:t>暂行</w:t>
      </w:r>
      <w:r>
        <w:rPr>
          <w:rFonts w:hint="eastAsia" w:ascii="宋体" w:hAnsi="宋体" w:cs="宋体"/>
          <w:color w:val="auto"/>
          <w:sz w:val="24"/>
          <w:szCs w:val="24"/>
          <w:highlight w:val="none"/>
        </w:rPr>
        <w:t>办法的通知》（崇政办发[</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号）规定，工程施工合同采用施工图总价包干合同，除施工图纸变更外，原则上不再进行签证。工程招标时，工程量以施工图揭示的工程量为准，投标单位可以对工程量提出质疑，招标人收到质疑后应及时与评审中心重新复核并进行澄清或者修改。工程结算时，以招标时的工程量为准，不再对工程量进行调整。</w:t>
      </w:r>
    </w:p>
    <w:p w14:paraId="49735D5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不得以变更土石方开挖方式的理由进行签证。在施工中，中标单位如变更土石方开挖方式，应经招标人同意，产生的费用由中标单位自行负责。</w:t>
      </w:r>
    </w:p>
    <w:p w14:paraId="5E55005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03DE0304">
      <w:pPr>
        <w:spacing w:beforeLines="0" w:afterLines="0" w:line="560" w:lineRule="exact"/>
        <w:ind w:firstLine="0" w:firstLineChars="0"/>
        <w:jc w:val="both"/>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b w:val="0"/>
          <w:bCs w:val="0"/>
          <w:color w:val="auto"/>
          <w:sz w:val="24"/>
          <w:szCs w:val="24"/>
          <w:highlight w:val="none"/>
          <w:u w:val="single"/>
        </w:rPr>
        <w:t>（一）实施期间因工程变更及相关签证等引起工程项目工程量变化的，超出或不在原有施工图范围的其工程量按实际发生调整，并经监理工程师及</w:t>
      </w:r>
      <w:r>
        <w:rPr>
          <w:rFonts w:hint="eastAsia" w:ascii="宋体" w:hAnsi="宋体" w:cs="宋体"/>
          <w:b w:val="0"/>
          <w:bCs w:val="0"/>
          <w:color w:val="auto"/>
          <w:sz w:val="24"/>
          <w:szCs w:val="24"/>
          <w:highlight w:val="none"/>
          <w:u w:val="single"/>
          <w:lang w:eastAsia="zh-CN"/>
        </w:rPr>
        <w:t>发包人</w:t>
      </w:r>
      <w:r>
        <w:rPr>
          <w:rFonts w:hint="eastAsia" w:ascii="宋体" w:hAnsi="宋体" w:cs="宋体"/>
          <w:b w:val="0"/>
          <w:bCs w:val="0"/>
          <w:color w:val="auto"/>
          <w:sz w:val="24"/>
          <w:szCs w:val="24"/>
          <w:highlight w:val="none"/>
          <w:u w:val="single"/>
        </w:rPr>
        <w:t>签证认可，变更合同价款按下列方法进行:工程量清单中有相同细目的按</w:t>
      </w:r>
      <w:r>
        <w:rPr>
          <w:rFonts w:hint="eastAsia" w:ascii="宋体" w:hAnsi="宋体" w:cs="宋体"/>
          <w:b w:val="0"/>
          <w:bCs w:val="0"/>
          <w:color w:val="auto"/>
          <w:sz w:val="24"/>
          <w:szCs w:val="24"/>
          <w:highlight w:val="none"/>
          <w:u w:val="single"/>
          <w:lang w:eastAsia="zh-CN"/>
        </w:rPr>
        <w:t>承包人</w:t>
      </w:r>
      <w:r>
        <w:rPr>
          <w:rFonts w:hint="eastAsia" w:ascii="宋体" w:hAnsi="宋体" w:cs="宋体"/>
          <w:b w:val="0"/>
          <w:bCs w:val="0"/>
          <w:color w:val="auto"/>
          <w:sz w:val="24"/>
          <w:szCs w:val="24"/>
          <w:highlight w:val="none"/>
          <w:u w:val="single"/>
        </w:rPr>
        <w:t>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w:t>
      </w:r>
      <w:r>
        <w:rPr>
          <w:rFonts w:hint="eastAsia" w:ascii="宋体" w:hAnsi="宋体" w:cs="宋体"/>
          <w:b w:val="0"/>
          <w:bCs w:val="0"/>
          <w:color w:val="auto"/>
          <w:kern w:val="2"/>
          <w:sz w:val="24"/>
          <w:szCs w:val="24"/>
          <w:highlight w:val="none"/>
          <w:u w:val="single"/>
          <w:lang w:val="en-US" w:eastAsia="zh-CN" w:bidi="ar-SA"/>
        </w:rPr>
        <w:t>按市场价计算</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kern w:val="2"/>
          <w:sz w:val="24"/>
          <w:szCs w:val="24"/>
          <w:highlight w:val="none"/>
          <w:u w:val="single"/>
          <w:lang w:val="en-US" w:eastAsia="zh-CN" w:bidi="ar-SA"/>
        </w:rPr>
        <w:t>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r>
        <w:rPr>
          <w:rFonts w:hint="eastAsia" w:ascii="宋体" w:hAnsi="宋体" w:cs="宋体"/>
          <w:b w:val="0"/>
          <w:bCs w:val="0"/>
          <w:color w:val="auto"/>
          <w:sz w:val="24"/>
          <w:szCs w:val="24"/>
          <w:highlight w:val="none"/>
          <w:u w:val="single"/>
        </w:rPr>
        <w:t>新增项目结算单价=综合单价×（中标价/工程招标控制价）</w:t>
      </w:r>
      <w:r>
        <w:rPr>
          <w:rFonts w:hint="eastAsia" w:ascii="宋体" w:hAnsi="宋体" w:cs="宋体"/>
          <w:b w:val="0"/>
          <w:bCs w:val="0"/>
          <w:color w:val="auto"/>
          <w:sz w:val="24"/>
          <w:szCs w:val="24"/>
          <w:highlight w:val="none"/>
        </w:rPr>
        <w:t xml:space="preserve">。 </w:t>
      </w:r>
    </w:p>
    <w:p w14:paraId="5E783918">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 xml:space="preserve">（二）国家和自治区政策性调整有关费用标准的，按文件规定执行（材料价格调差除外）。 </w:t>
      </w:r>
    </w:p>
    <w:p w14:paraId="0AEA1122">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风险范围以外合同价格须按崇政办发【20</w:t>
      </w:r>
      <w:r>
        <w:rPr>
          <w:rFonts w:hint="eastAsia" w:ascii="宋体" w:hAnsi="宋体" w:cs="宋体"/>
          <w:b w:val="0"/>
          <w:bCs w:val="0"/>
          <w:color w:val="auto"/>
          <w:sz w:val="24"/>
          <w:szCs w:val="24"/>
          <w:highlight w:val="none"/>
          <w:u w:val="single"/>
          <w:lang w:val="en-US" w:eastAsia="zh-CN"/>
        </w:rPr>
        <w:t>21</w:t>
      </w:r>
      <w:r>
        <w:rPr>
          <w:rFonts w:hint="eastAsia"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号报批后方可施工</w:t>
      </w:r>
      <w:r>
        <w:rPr>
          <w:rFonts w:hint="eastAsia" w:ascii="宋体" w:hAnsi="宋体" w:cs="宋体"/>
          <w:b w:val="0"/>
          <w:bCs w:val="0"/>
          <w:color w:val="auto"/>
          <w:sz w:val="24"/>
          <w:szCs w:val="24"/>
          <w:highlight w:val="none"/>
          <w:u w:val="none"/>
        </w:rPr>
        <w:t xml:space="preserve">。 </w:t>
      </w:r>
    </w:p>
    <w:p w14:paraId="3AED997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b w:val="0"/>
          <w:bCs w:val="0"/>
          <w:color w:val="auto"/>
          <w:sz w:val="24"/>
          <w:szCs w:val="24"/>
          <w:highlight w:val="none"/>
          <w:u w:val="none"/>
        </w:rPr>
        <w:t>工程最终结算价</w:t>
      </w:r>
      <w:r>
        <w:rPr>
          <w:rFonts w:hint="eastAsia" w:ascii="宋体" w:hAnsi="宋体" w:cs="宋体"/>
          <w:b w:val="0"/>
          <w:bCs w:val="0"/>
          <w:color w:val="auto"/>
          <w:sz w:val="24"/>
          <w:szCs w:val="24"/>
          <w:highlight w:val="none"/>
          <w:u w:val="none"/>
          <w:lang w:eastAsia="zh-CN"/>
        </w:rPr>
        <w:t>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2DA83201">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8" w:name="_Toc31302"/>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End w:id="628"/>
    </w:p>
    <w:p w14:paraId="328561F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29" w:name="_Toc12609408"/>
      <w:bookmarkStart w:id="630" w:name="_Toc407135253"/>
      <w:bookmarkStart w:id="631" w:name="_Toc10650"/>
      <w:bookmarkStart w:id="632" w:name="_Toc877"/>
      <w:bookmarkStart w:id="633" w:name="_Toc3484"/>
      <w:r>
        <w:rPr>
          <w:rFonts w:hint="eastAsia" w:ascii="宋体" w:hAnsi="宋体" w:eastAsia="宋体" w:cs="宋体"/>
          <w:b/>
          <w:bCs/>
          <w:color w:val="auto"/>
          <w:sz w:val="24"/>
          <w:szCs w:val="24"/>
          <w:highlight w:val="none"/>
        </w:rPr>
        <w:t>12.2 预付款</w:t>
      </w:r>
      <w:bookmarkEnd w:id="623"/>
      <w:bookmarkEnd w:id="624"/>
      <w:bookmarkEnd w:id="625"/>
      <w:bookmarkEnd w:id="629"/>
      <w:bookmarkEnd w:id="630"/>
      <w:bookmarkEnd w:id="631"/>
      <w:bookmarkEnd w:id="632"/>
      <w:bookmarkEnd w:id="633"/>
    </w:p>
    <w:p w14:paraId="4B4E08C6">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4" w:name="_Toc5771"/>
      <w:r>
        <w:rPr>
          <w:rFonts w:hint="eastAsia" w:ascii="宋体" w:hAnsi="宋体" w:cs="宋体"/>
          <w:color w:val="auto"/>
          <w:sz w:val="24"/>
          <w:szCs w:val="24"/>
          <w:highlight w:val="none"/>
        </w:rPr>
        <w:t>12.2.1 预付款的支付</w:t>
      </w:r>
      <w:bookmarkEnd w:id="634"/>
    </w:p>
    <w:p w14:paraId="0940866B">
      <w:pPr>
        <w:shd w:val="clear" w:color="auto" w:fill="auto"/>
        <w:spacing w:beforeLines="0" w:afterLines="0" w:line="560" w:lineRule="exact"/>
        <w:ind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szCs w:val="24"/>
          <w:highlight w:val="none"/>
          <w:u w:val="single"/>
        </w:rPr>
        <w:t>按照签约合同价（扣除暂列金额、安全文明施工费）</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合同签订并开据同等额度发票后10个工作日内甲方支付合同价款的30%为预付款</w:t>
      </w:r>
      <w:r>
        <w:rPr>
          <w:rFonts w:hint="eastAsia" w:ascii="宋体" w:hAnsi="宋体" w:eastAsia="宋体" w:cs="宋体"/>
          <w:color w:val="auto"/>
          <w:sz w:val="24"/>
          <w:szCs w:val="24"/>
          <w:highlight w:val="none"/>
          <w:u w:val="single"/>
        </w:rPr>
        <w:t xml:space="preserve"> 。</w:t>
      </w:r>
    </w:p>
    <w:p w14:paraId="5ABB473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lang w:eastAsia="zh-CN"/>
        </w:rPr>
        <w:t>从</w:t>
      </w:r>
      <w:r>
        <w:rPr>
          <w:rFonts w:hint="eastAsia" w:ascii="宋体" w:hAnsi="宋体" w:cs="宋体"/>
          <w:color w:val="auto"/>
          <w:sz w:val="24"/>
          <w:szCs w:val="24"/>
          <w:highlight w:val="none"/>
          <w:u w:val="single"/>
        </w:rPr>
        <w:t>进度款中</w:t>
      </w:r>
      <w:r>
        <w:rPr>
          <w:rFonts w:hint="eastAsia" w:ascii="宋体" w:hAnsi="宋体" w:cs="宋体"/>
          <w:color w:val="auto"/>
          <w:sz w:val="24"/>
          <w:szCs w:val="24"/>
          <w:highlight w:val="none"/>
          <w:u w:val="single"/>
          <w:lang w:val="en-US" w:eastAsia="zh-CN"/>
        </w:rPr>
        <w:t>1次</w:t>
      </w:r>
      <w:r>
        <w:rPr>
          <w:rFonts w:hint="eastAsia" w:ascii="宋体" w:hAnsi="宋体" w:cs="宋体"/>
          <w:color w:val="auto"/>
          <w:sz w:val="24"/>
          <w:szCs w:val="24"/>
          <w:highlight w:val="none"/>
          <w:u w:val="single"/>
        </w:rPr>
        <w:t>扣回</w:t>
      </w:r>
      <w:r>
        <w:rPr>
          <w:rFonts w:hint="eastAsia" w:ascii="宋体" w:hAnsi="宋体" w:cs="宋体"/>
          <w:color w:val="auto"/>
          <w:sz w:val="24"/>
          <w:szCs w:val="24"/>
          <w:highlight w:val="none"/>
        </w:rPr>
        <w:t>。</w:t>
      </w:r>
    </w:p>
    <w:p w14:paraId="172DE17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5" w:name="_Toc18073"/>
      <w:r>
        <w:rPr>
          <w:rFonts w:hint="eastAsia" w:ascii="宋体" w:hAnsi="宋体" w:cs="宋体"/>
          <w:color w:val="auto"/>
          <w:sz w:val="24"/>
          <w:szCs w:val="24"/>
          <w:highlight w:val="none"/>
        </w:rPr>
        <w:t>12.2.2 预付款担保</w:t>
      </w:r>
      <w:bookmarkEnd w:id="635"/>
    </w:p>
    <w:p w14:paraId="6502F8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C4201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F42E5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预付款担保格式见合同附件8。预付款支付申请（核准）表见合同附件10</w:t>
      </w:r>
    </w:p>
    <w:p w14:paraId="15D8172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36" w:name="_Toc389065316"/>
      <w:bookmarkStart w:id="637" w:name="_Toc373478398"/>
      <w:bookmarkStart w:id="638" w:name="_Toc2952"/>
      <w:bookmarkStart w:id="639" w:name="_Toc12609409"/>
      <w:bookmarkStart w:id="640" w:name="_Toc23243"/>
      <w:bookmarkStart w:id="641" w:name="_Toc373227751"/>
      <w:bookmarkStart w:id="642" w:name="_Toc17770"/>
      <w:bookmarkStart w:id="643" w:name="_Toc407135254"/>
      <w:r>
        <w:rPr>
          <w:rFonts w:hint="eastAsia" w:ascii="宋体" w:hAnsi="宋体" w:eastAsia="宋体" w:cs="宋体"/>
          <w:b/>
          <w:bCs/>
          <w:color w:val="auto"/>
          <w:sz w:val="24"/>
          <w:szCs w:val="24"/>
          <w:highlight w:val="none"/>
        </w:rPr>
        <w:t>12.3 计量</w:t>
      </w:r>
      <w:bookmarkEnd w:id="636"/>
      <w:bookmarkEnd w:id="637"/>
      <w:bookmarkEnd w:id="638"/>
      <w:bookmarkEnd w:id="639"/>
      <w:bookmarkEnd w:id="640"/>
      <w:bookmarkEnd w:id="641"/>
      <w:bookmarkEnd w:id="642"/>
      <w:bookmarkEnd w:id="643"/>
    </w:p>
    <w:p w14:paraId="7A596EC8">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4" w:name="_Toc25172"/>
      <w:r>
        <w:rPr>
          <w:rFonts w:hint="eastAsia" w:ascii="宋体" w:hAnsi="宋体" w:cs="宋体"/>
          <w:color w:val="auto"/>
          <w:sz w:val="24"/>
          <w:szCs w:val="24"/>
          <w:highlight w:val="none"/>
        </w:rPr>
        <w:t>12.3.1 计量原则</w:t>
      </w:r>
      <w:bookmarkEnd w:id="644"/>
    </w:p>
    <w:p w14:paraId="427F9D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CE78C5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5" w:name="_Toc11208"/>
      <w:r>
        <w:rPr>
          <w:rFonts w:hint="eastAsia" w:ascii="宋体" w:hAnsi="宋体" w:cs="宋体"/>
          <w:color w:val="auto"/>
          <w:sz w:val="24"/>
          <w:szCs w:val="24"/>
          <w:highlight w:val="none"/>
        </w:rPr>
        <w:t>12.3.2 计量周期</w:t>
      </w:r>
      <w:bookmarkEnd w:id="645"/>
    </w:p>
    <w:p w14:paraId="3E1AB86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每月25日前</w:t>
      </w:r>
      <w:r>
        <w:rPr>
          <w:rFonts w:hint="eastAsia" w:ascii="宋体" w:hAnsi="宋体" w:cs="宋体"/>
          <w:color w:val="auto"/>
          <w:sz w:val="24"/>
          <w:szCs w:val="24"/>
          <w:highlight w:val="none"/>
        </w:rPr>
        <w:t>。</w:t>
      </w:r>
    </w:p>
    <w:p w14:paraId="322E6CC7">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6" w:name="_Toc27120"/>
      <w:r>
        <w:rPr>
          <w:rFonts w:hint="eastAsia" w:ascii="宋体" w:hAnsi="宋体" w:cs="宋体"/>
          <w:color w:val="auto"/>
          <w:sz w:val="24"/>
          <w:szCs w:val="24"/>
          <w:highlight w:val="none"/>
        </w:rPr>
        <w:t>12.3.3 单价合同的计量</w:t>
      </w:r>
      <w:bookmarkEnd w:id="646"/>
    </w:p>
    <w:p w14:paraId="60C8FAF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p>
    <w:p w14:paraId="04413A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15ECEE43">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AB1DCEE">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7" w:name="_Toc28640"/>
      <w:r>
        <w:rPr>
          <w:rFonts w:hint="eastAsia" w:ascii="宋体" w:hAnsi="宋体" w:cs="宋体"/>
          <w:color w:val="auto"/>
          <w:sz w:val="24"/>
          <w:szCs w:val="24"/>
          <w:highlight w:val="none"/>
        </w:rPr>
        <w:t>12.3.4 总价合同的计量</w:t>
      </w:r>
      <w:bookmarkEnd w:id="647"/>
    </w:p>
    <w:p w14:paraId="424438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（1）总价合同计量约定：进度款按支付分解表支付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支付分解表在招标完成后签合同之前制定，具体详见本专用合同条款12.4.6。</w:t>
      </w:r>
    </w:p>
    <w:p w14:paraId="0EA39F8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65EB1E9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BAC1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48" w:name="_Toc389065317"/>
      <w:bookmarkStart w:id="649" w:name="_Toc11533"/>
      <w:bookmarkStart w:id="650" w:name="_Toc407135255"/>
      <w:bookmarkStart w:id="651" w:name="_Toc12609410"/>
      <w:bookmarkStart w:id="652" w:name="_Toc1756"/>
      <w:bookmarkStart w:id="653" w:name="_Toc2038"/>
      <w:bookmarkStart w:id="654" w:name="_Toc373227752"/>
      <w:bookmarkStart w:id="655" w:name="_Toc373478399"/>
      <w:r>
        <w:rPr>
          <w:rFonts w:hint="eastAsia" w:ascii="宋体" w:hAnsi="宋体" w:eastAsia="宋体" w:cs="宋体"/>
          <w:b/>
          <w:bCs/>
          <w:color w:val="auto"/>
          <w:sz w:val="24"/>
          <w:szCs w:val="24"/>
          <w:highlight w:val="none"/>
        </w:rPr>
        <w:t>12.4 工程进度款支付</w:t>
      </w:r>
      <w:bookmarkEnd w:id="648"/>
      <w:bookmarkEnd w:id="649"/>
      <w:bookmarkEnd w:id="650"/>
      <w:bookmarkEnd w:id="651"/>
      <w:bookmarkEnd w:id="652"/>
      <w:bookmarkEnd w:id="653"/>
      <w:bookmarkEnd w:id="654"/>
      <w:bookmarkEnd w:id="655"/>
    </w:p>
    <w:p w14:paraId="69F1551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shd w:val="clear" w:color="auto" w:fill="auto"/>
        </w:rPr>
        <w:t>工程款原则上按月支付，合同内进度款支付限额为已完成工程量的80%，工程变更部分进度款支付限额为已完成工程量并经市财政评审中心审定后的60%；工程完工验收达到质量要求，结算经</w:t>
      </w:r>
      <w:r>
        <w:rPr>
          <w:rFonts w:hint="eastAsia" w:ascii="宋体" w:hAnsi="宋体" w:cs="宋体"/>
          <w:color w:val="auto"/>
          <w:sz w:val="24"/>
          <w:szCs w:val="24"/>
          <w:highlight w:val="none"/>
          <w:u w:val="single"/>
          <w:shd w:val="clear" w:color="auto" w:fill="auto"/>
          <w:lang w:eastAsia="zh-CN"/>
        </w:rPr>
        <w:t>有关部门</w:t>
      </w:r>
      <w:r>
        <w:rPr>
          <w:rFonts w:hint="eastAsia" w:ascii="宋体" w:hAnsi="宋体" w:cs="宋体"/>
          <w:color w:val="auto"/>
          <w:sz w:val="24"/>
          <w:szCs w:val="24"/>
          <w:highlight w:val="none"/>
          <w:u w:val="single"/>
          <w:shd w:val="clear" w:color="auto" w:fill="auto"/>
        </w:rPr>
        <w:t>审定后，工程款支付至结算总价的97%；</w:t>
      </w:r>
      <w:r>
        <w:rPr>
          <w:rFonts w:hint="eastAsia" w:ascii="宋体" w:hAnsi="宋体" w:cs="宋体"/>
          <w:color w:val="auto"/>
          <w:sz w:val="24"/>
          <w:szCs w:val="24"/>
          <w:highlight w:val="none"/>
          <w:u w:val="single"/>
          <w:shd w:val="clear" w:color="auto" w:fill="auto"/>
          <w:lang w:eastAsia="zh-CN"/>
        </w:rPr>
        <w:t>发包人</w:t>
      </w:r>
      <w:r>
        <w:rPr>
          <w:rFonts w:hint="eastAsia" w:ascii="宋体" w:hAnsi="宋体" w:cs="宋体"/>
          <w:color w:val="auto"/>
          <w:sz w:val="24"/>
          <w:szCs w:val="24"/>
          <w:highlight w:val="none"/>
          <w:u w:val="single"/>
          <w:shd w:val="clear" w:color="auto" w:fill="auto"/>
        </w:rPr>
        <w:t>按工程价款结算总额的3%预留工程质量保修金，待工程质量缺陷责任期满后返还</w:t>
      </w:r>
      <w:r>
        <w:rPr>
          <w:rFonts w:hint="eastAsia" w:ascii="宋体" w:hAnsi="宋体" w:cs="宋体"/>
          <w:color w:val="auto"/>
          <w:sz w:val="24"/>
          <w:szCs w:val="24"/>
          <w:highlight w:val="none"/>
          <w:shd w:val="clear" w:color="auto" w:fill="auto"/>
        </w:rPr>
        <w:t>。</w:t>
      </w:r>
    </w:p>
    <w:p w14:paraId="4363017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603E3BD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szCs w:val="24"/>
          <w:highlight w:val="none"/>
          <w:u w:val="single"/>
        </w:rPr>
        <w:t xml:space="preserve">  按</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的要求格式，一式</w:t>
      </w:r>
      <w:r>
        <w:rPr>
          <w:rFonts w:hint="eastAsia" w:ascii="宋体" w:hAnsi="宋体" w:cs="宋体"/>
          <w:color w:val="auto"/>
          <w:sz w:val="24"/>
          <w:szCs w:val="24"/>
          <w:highlight w:val="none"/>
          <w:u w:val="single"/>
          <w:lang w:eastAsia="zh-CN"/>
        </w:rPr>
        <w:t>四</w:t>
      </w:r>
      <w:r>
        <w:rPr>
          <w:rFonts w:hint="eastAsia" w:ascii="宋体" w:hAnsi="宋体" w:cs="宋体"/>
          <w:color w:val="auto"/>
          <w:sz w:val="24"/>
          <w:szCs w:val="24"/>
          <w:highlight w:val="none"/>
          <w:u w:val="single"/>
        </w:rPr>
        <w:t xml:space="preserve">份     </w:t>
      </w:r>
      <w:r>
        <w:rPr>
          <w:rFonts w:hint="eastAsia" w:ascii="宋体" w:hAnsi="宋体" w:cs="宋体"/>
          <w:color w:val="auto"/>
          <w:sz w:val="24"/>
          <w:szCs w:val="24"/>
          <w:highlight w:val="none"/>
        </w:rPr>
        <w:t>。</w:t>
      </w:r>
    </w:p>
    <w:p w14:paraId="12B6F85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1A1167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向财政部门申请工程进度款时，</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应配合</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提供以下资料：①《工程用款支付证书》；②《财政性资金投资项目用款核定通知书》；③工程量计量报表（格式按财政局业务科室具体要求）；④其他需要补充说明的材料</w:t>
      </w:r>
      <w:r>
        <w:rPr>
          <w:rFonts w:hint="eastAsia" w:ascii="宋体" w:hAnsi="宋体" w:cs="宋体"/>
          <w:color w:val="auto"/>
          <w:sz w:val="24"/>
          <w:szCs w:val="24"/>
          <w:highlight w:val="none"/>
        </w:rPr>
        <w:t>。</w:t>
      </w:r>
    </w:p>
    <w:p w14:paraId="0C02AD8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5ACEB9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提交的已完工程报告之日起7个工作日内进行计量和确认     </w:t>
      </w:r>
      <w:r>
        <w:rPr>
          <w:rFonts w:hint="eastAsia" w:ascii="宋体" w:hAnsi="宋体" w:cs="宋体"/>
          <w:color w:val="auto"/>
          <w:sz w:val="24"/>
          <w:szCs w:val="24"/>
          <w:highlight w:val="none"/>
        </w:rPr>
        <w:t>。</w:t>
      </w:r>
    </w:p>
    <w:p w14:paraId="65F00EC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 xml:space="preserve">    收到资料后14 天内      </w:t>
      </w:r>
      <w:r>
        <w:rPr>
          <w:rFonts w:hint="eastAsia" w:ascii="宋体" w:hAnsi="宋体" w:cs="宋体"/>
          <w:color w:val="auto"/>
          <w:sz w:val="24"/>
          <w:szCs w:val="24"/>
          <w:highlight w:val="none"/>
        </w:rPr>
        <w:t>。</w:t>
      </w:r>
    </w:p>
    <w:p w14:paraId="53A11A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 xml:space="preserve">   支付证书签发后14 天内   </w:t>
      </w:r>
      <w:r>
        <w:rPr>
          <w:rFonts w:hint="eastAsia" w:ascii="宋体" w:hAnsi="宋体" w:cs="宋体"/>
          <w:color w:val="auto"/>
          <w:sz w:val="24"/>
          <w:szCs w:val="24"/>
          <w:highlight w:val="none"/>
        </w:rPr>
        <w:t>。</w:t>
      </w:r>
    </w:p>
    <w:p w14:paraId="71402F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44F22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进度款支付方式：</w:t>
      </w:r>
      <w:r>
        <w:rPr>
          <w:rFonts w:hint="eastAsia" w:ascii="宋体" w:hAnsi="宋体" w:cs="宋体"/>
          <w:color w:val="auto"/>
          <w:sz w:val="24"/>
          <w:szCs w:val="24"/>
          <w:highlight w:val="none"/>
          <w:u w:val="single"/>
        </w:rPr>
        <w:t>银行转账</w:t>
      </w:r>
      <w:r>
        <w:rPr>
          <w:rFonts w:hint="eastAsia" w:ascii="宋体" w:hAnsi="宋体" w:cs="宋体"/>
          <w:color w:val="auto"/>
          <w:sz w:val="24"/>
          <w:szCs w:val="24"/>
          <w:highlight w:val="none"/>
        </w:rPr>
        <w:t>。进度款支付申请（核准）表见合同附件11。</w:t>
      </w:r>
    </w:p>
    <w:p w14:paraId="33CC16F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 农民工工资支付</w:t>
      </w:r>
    </w:p>
    <w:p w14:paraId="2FCA5B52">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F3C0F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792D65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C36637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4）凡未向付款单位提供农民工工资专户的，或者请款单位在申请工程进度款时未将人工费单列的，付款单位有权拒绝支付工程进度款。</w:t>
      </w:r>
    </w:p>
    <w:p w14:paraId="3DE55A7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5）农民工工资使用要求：专款专用，除发放工人工资外，不得用于其他用途。</w:t>
      </w:r>
    </w:p>
    <w:p w14:paraId="4B6CCD6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6）承包人将农民工工资支付情况定期报告发包人和监理单位，并提供相应的材料接受建设行政主管部门和劳动保障行政主管部门对此事项监管。</w:t>
      </w:r>
    </w:p>
    <w:p w14:paraId="13DC92C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（4）农民工工资支付专用账户：××××公司农民工工资支付专用账户 。账号：                   。</w:t>
      </w:r>
    </w:p>
    <w:p w14:paraId="50500C8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60DAFA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总价合同支付分解表的编制与审批：</w:t>
      </w:r>
      <w:r>
        <w:rPr>
          <w:rFonts w:hint="eastAsia" w:ascii="宋体" w:hAnsi="宋体" w:cs="宋体"/>
          <w:color w:val="auto"/>
          <w:sz w:val="24"/>
          <w:szCs w:val="24"/>
          <w:highlight w:val="none"/>
          <w:u w:val="single"/>
        </w:rPr>
        <w:t xml:space="preserve">  总价合同支付分分解表在招标完成后由发包人和承包人共同编制，发包人审批，并作为本合同内容，具体详见合同附件14。</w:t>
      </w:r>
    </w:p>
    <w:p w14:paraId="79BEAD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（2）单价合同的总价项目支付分解表的编制与审批：总价项目不采用支付分解表的方式计算，而按《建设工程工程量清单计价规范（GB50500-2013）广西壮族自治区实施细则》的规定执行。</w:t>
      </w:r>
    </w:p>
    <w:p w14:paraId="03C155D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6" w:name="_Toc19963"/>
      <w:bookmarkStart w:id="657" w:name="_Toc6142"/>
      <w:bookmarkStart w:id="658" w:name="_Toc28672"/>
      <w:r>
        <w:rPr>
          <w:rFonts w:hint="eastAsia" w:ascii="宋体" w:hAnsi="宋体" w:eastAsia="宋体" w:cs="宋体"/>
          <w:b/>
          <w:bCs/>
          <w:color w:val="auto"/>
          <w:sz w:val="24"/>
          <w:szCs w:val="24"/>
          <w:highlight w:val="none"/>
        </w:rPr>
        <w:t>12.5 工程建设资金监管</w:t>
      </w:r>
      <w:bookmarkEnd w:id="656"/>
      <w:bookmarkEnd w:id="657"/>
      <w:bookmarkEnd w:id="658"/>
    </w:p>
    <w:p w14:paraId="0195131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为加强建设资金使用管理，确保资金专款专用，提高建设资金使用效益，保证工程顺利完工，防范资金风险，甲乙双方须与金融机构签订工程建设资金监管三方协议。</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在申请每一笔进度款时，支付前拟列清清单详细到每一个农民工账户提交至</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审核同意并签字后，作为支付指令提交至金融机构，金融机构审核</w:t>
      </w:r>
      <w:r>
        <w:rPr>
          <w:rFonts w:hint="eastAsia" w:ascii="宋体" w:hAnsi="宋体" w:cs="宋体"/>
          <w:color w:val="auto"/>
          <w:sz w:val="24"/>
          <w:szCs w:val="24"/>
          <w:highlight w:val="none"/>
          <w:lang w:eastAsia="zh-CN"/>
        </w:rPr>
        <w:t>并与发包人确认</w:t>
      </w:r>
      <w:r>
        <w:rPr>
          <w:rFonts w:hint="eastAsia" w:ascii="宋体" w:hAnsi="宋体" w:cs="宋体"/>
          <w:color w:val="auto"/>
          <w:sz w:val="24"/>
          <w:szCs w:val="24"/>
          <w:highlight w:val="none"/>
        </w:rPr>
        <w:t>无误</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方可付款。</w:t>
      </w:r>
    </w:p>
    <w:p w14:paraId="2A9EFE8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9" w:name="_Toc368"/>
      <w:bookmarkStart w:id="660" w:name="_Toc3398"/>
      <w:bookmarkStart w:id="661" w:name="_Toc407135256"/>
      <w:bookmarkStart w:id="662" w:name="_Toc14332"/>
      <w:bookmarkStart w:id="663" w:name="_Toc389065318"/>
      <w:bookmarkStart w:id="664" w:name="_Toc373478400"/>
      <w:bookmarkStart w:id="665" w:name="_Toc373227753"/>
      <w:bookmarkStart w:id="666" w:name="_Toc12609411"/>
      <w:r>
        <w:rPr>
          <w:rFonts w:hint="eastAsia" w:ascii="宋体" w:hAnsi="宋体" w:eastAsia="宋体" w:cs="宋体"/>
          <w:b/>
          <w:bCs/>
          <w:color w:val="auto"/>
          <w:sz w:val="24"/>
          <w:szCs w:val="24"/>
          <w:highlight w:val="none"/>
        </w:rPr>
        <w:t>13. 验收和工程试车</w:t>
      </w:r>
      <w:bookmarkEnd w:id="659"/>
      <w:bookmarkEnd w:id="660"/>
      <w:bookmarkEnd w:id="661"/>
      <w:bookmarkEnd w:id="662"/>
      <w:bookmarkEnd w:id="663"/>
      <w:bookmarkEnd w:id="664"/>
      <w:bookmarkEnd w:id="665"/>
      <w:bookmarkEnd w:id="666"/>
    </w:p>
    <w:p w14:paraId="02A5F74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67" w:name="_Toc373478401"/>
      <w:bookmarkStart w:id="668" w:name="_Toc373227754"/>
      <w:bookmarkStart w:id="669" w:name="_Toc20793"/>
      <w:bookmarkStart w:id="670" w:name="_Toc18421"/>
      <w:bookmarkStart w:id="671" w:name="_Toc389065319"/>
      <w:bookmarkStart w:id="672" w:name="_Toc407135257"/>
      <w:bookmarkStart w:id="673" w:name="_Toc15308"/>
      <w:bookmarkStart w:id="674" w:name="_Toc12609412"/>
      <w:r>
        <w:rPr>
          <w:rFonts w:hint="eastAsia" w:ascii="宋体" w:hAnsi="宋体" w:eastAsia="宋体" w:cs="宋体"/>
          <w:b/>
          <w:bCs/>
          <w:color w:val="auto"/>
          <w:sz w:val="24"/>
          <w:szCs w:val="24"/>
          <w:highlight w:val="none"/>
        </w:rPr>
        <w:t>13.1 分部分项工程验收</w:t>
      </w:r>
      <w:bookmarkEnd w:id="667"/>
      <w:bookmarkEnd w:id="668"/>
      <w:bookmarkEnd w:id="669"/>
      <w:bookmarkEnd w:id="670"/>
      <w:bookmarkEnd w:id="671"/>
      <w:bookmarkEnd w:id="672"/>
      <w:bookmarkEnd w:id="673"/>
      <w:bookmarkEnd w:id="674"/>
    </w:p>
    <w:p w14:paraId="39853B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7B0AA28">
      <w:pPr>
        <w:spacing w:beforeLines="0" w:afterLines="0" w:line="560" w:lineRule="exact"/>
        <w:ind w:firstLine="0" w:firstLineChars="0"/>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51FE2D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75" w:name="_Toc373478402"/>
      <w:bookmarkStart w:id="676" w:name="_Toc389065320"/>
      <w:bookmarkStart w:id="677" w:name="_Toc373227755"/>
      <w:bookmarkStart w:id="678" w:name="_Toc12609413"/>
      <w:bookmarkStart w:id="679" w:name="_Toc407135258"/>
      <w:bookmarkStart w:id="680" w:name="_Toc26707"/>
      <w:bookmarkStart w:id="681" w:name="_Toc11030"/>
      <w:bookmarkStart w:id="682" w:name="_Toc23730"/>
      <w:r>
        <w:rPr>
          <w:rFonts w:hint="eastAsia" w:ascii="宋体" w:hAnsi="宋体" w:eastAsia="宋体" w:cs="宋体"/>
          <w:b/>
          <w:bCs/>
          <w:color w:val="auto"/>
          <w:sz w:val="24"/>
          <w:szCs w:val="24"/>
          <w:highlight w:val="none"/>
        </w:rPr>
        <w:t>13.2 竣工验收</w:t>
      </w:r>
      <w:bookmarkEnd w:id="675"/>
      <w:bookmarkEnd w:id="676"/>
      <w:bookmarkEnd w:id="677"/>
      <w:bookmarkEnd w:id="678"/>
      <w:bookmarkEnd w:id="679"/>
      <w:bookmarkEnd w:id="680"/>
      <w:bookmarkEnd w:id="681"/>
      <w:bookmarkEnd w:id="682"/>
    </w:p>
    <w:p w14:paraId="5D0F09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13.2.1竣工验收条件</w:t>
      </w:r>
    </w:p>
    <w:p w14:paraId="7149640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4"/>
          <w:szCs w:val="24"/>
          <w:highlight w:val="none"/>
          <w:u w:val="single"/>
        </w:rPr>
        <w:t xml:space="preserve">  质量保证资料、验收备案资料、竣工图等完整的竣工档案资料    </w:t>
      </w:r>
      <w:r>
        <w:rPr>
          <w:rFonts w:hint="eastAsia" w:ascii="宋体" w:hAnsi="宋体" w:cs="宋体"/>
          <w:color w:val="auto"/>
          <w:sz w:val="24"/>
          <w:szCs w:val="24"/>
          <w:highlight w:val="none"/>
        </w:rPr>
        <w:t>。</w:t>
      </w:r>
    </w:p>
    <w:p w14:paraId="0BBC60B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竣工验收资料的份数：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套      </w:t>
      </w:r>
      <w:r>
        <w:rPr>
          <w:rFonts w:hint="eastAsia" w:ascii="宋体" w:hAnsi="宋体" w:cs="宋体"/>
          <w:color w:val="auto"/>
          <w:sz w:val="24"/>
          <w:szCs w:val="24"/>
          <w:highlight w:val="none"/>
        </w:rPr>
        <w:t>。</w:t>
      </w:r>
    </w:p>
    <w:p w14:paraId="40DBA7C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承包人提供竣工图的约定：</w:t>
      </w:r>
      <w:r>
        <w:rPr>
          <w:rFonts w:hint="eastAsia" w:ascii="宋体" w:hAnsi="宋体" w:cs="宋体"/>
          <w:color w:val="auto"/>
          <w:sz w:val="24"/>
          <w:szCs w:val="24"/>
          <w:highlight w:val="none"/>
          <w:u w:val="single"/>
        </w:rPr>
        <w:t>竣工验收正式通过后5天（工程造价在500万元以下含500万元）、10天（工程造价在500万元至1000万元之间含1000万元）、15天（工程造价在1000万元以上），提供竣工图的数量</w:t>
      </w:r>
      <w:r>
        <w:rPr>
          <w:rFonts w:hint="eastAsia" w:ascii="宋体" w:hAnsi="宋体" w:cs="宋体"/>
          <w:color w:val="auto"/>
          <w:sz w:val="24"/>
          <w:szCs w:val="24"/>
          <w:highlight w:val="none"/>
          <w:u w:val="single"/>
          <w:lang w:eastAsia="zh-CN"/>
        </w:rPr>
        <w:t>为四</w:t>
      </w:r>
      <w:r>
        <w:rPr>
          <w:rFonts w:hint="eastAsia" w:ascii="宋体" w:hAnsi="宋体" w:cs="宋体"/>
          <w:color w:val="auto"/>
          <w:sz w:val="24"/>
          <w:szCs w:val="24"/>
          <w:highlight w:val="none"/>
          <w:u w:val="single"/>
        </w:rPr>
        <w:t>套。</w:t>
      </w:r>
    </w:p>
    <w:p w14:paraId="7598F10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4DD9F86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7EA53FB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7D5D3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0326DEF6">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 xml:space="preserve">  工程竣工验收合格后 7 天内   </w:t>
      </w:r>
      <w:r>
        <w:rPr>
          <w:rFonts w:hint="eastAsia" w:ascii="宋体" w:hAnsi="宋体" w:cs="宋体"/>
          <w:color w:val="auto"/>
          <w:sz w:val="24"/>
          <w:szCs w:val="24"/>
          <w:highlight w:val="none"/>
        </w:rPr>
        <w:t>。</w:t>
      </w:r>
    </w:p>
    <w:p w14:paraId="0918F8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CF8397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 xml:space="preserve">   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支付合同价款的万分之四的违约金     </w:t>
      </w:r>
      <w:r>
        <w:rPr>
          <w:rFonts w:hint="eastAsia" w:ascii="宋体" w:hAnsi="宋体" w:cs="宋体"/>
          <w:color w:val="auto"/>
          <w:sz w:val="24"/>
          <w:szCs w:val="24"/>
          <w:highlight w:val="none"/>
        </w:rPr>
        <w:t>。</w:t>
      </w:r>
    </w:p>
    <w:p w14:paraId="41059EA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83" w:name="_Toc373227756"/>
      <w:bookmarkStart w:id="684" w:name="_Toc11318"/>
      <w:bookmarkStart w:id="685" w:name="_Toc27773"/>
      <w:bookmarkStart w:id="686" w:name="_Toc373478403"/>
      <w:bookmarkStart w:id="687" w:name="_Toc15910"/>
      <w:bookmarkStart w:id="688" w:name="_Toc389065321"/>
      <w:bookmarkStart w:id="689" w:name="_Toc12609414"/>
      <w:bookmarkStart w:id="690" w:name="_Toc407135259"/>
      <w:r>
        <w:rPr>
          <w:rFonts w:hint="eastAsia" w:ascii="宋体" w:hAnsi="宋体" w:eastAsia="宋体" w:cs="宋体"/>
          <w:b/>
          <w:bCs/>
          <w:color w:val="auto"/>
          <w:sz w:val="24"/>
          <w:szCs w:val="24"/>
          <w:highlight w:val="none"/>
        </w:rPr>
        <w:t>13.3 工程试车</w:t>
      </w:r>
      <w:bookmarkEnd w:id="683"/>
      <w:bookmarkEnd w:id="684"/>
      <w:bookmarkEnd w:id="685"/>
      <w:bookmarkEnd w:id="686"/>
      <w:bookmarkEnd w:id="687"/>
      <w:bookmarkEnd w:id="688"/>
      <w:bookmarkEnd w:id="689"/>
      <w:bookmarkEnd w:id="690"/>
    </w:p>
    <w:p w14:paraId="4F7C728E">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19714AD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工程试车内容：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572B91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4E413CD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1C0AD1A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6DBF8F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关于投料试车相关事项的约定：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F31545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1" w:name="_Toc12609415"/>
      <w:bookmarkStart w:id="692" w:name="_Toc15401"/>
      <w:bookmarkStart w:id="693" w:name="_Toc407135260"/>
      <w:bookmarkStart w:id="694" w:name="_Toc24410"/>
      <w:bookmarkStart w:id="695" w:name="_Toc373227757"/>
      <w:bookmarkStart w:id="696" w:name="_Toc373478404"/>
      <w:bookmarkStart w:id="697" w:name="_Toc144"/>
      <w:bookmarkStart w:id="698" w:name="_Toc389065322"/>
      <w:r>
        <w:rPr>
          <w:rFonts w:hint="eastAsia" w:ascii="宋体" w:hAnsi="宋体" w:eastAsia="宋体" w:cs="宋体"/>
          <w:b/>
          <w:bCs/>
          <w:color w:val="auto"/>
          <w:sz w:val="24"/>
          <w:szCs w:val="24"/>
          <w:highlight w:val="none"/>
        </w:rPr>
        <w:t>13.6 竣工退场</w:t>
      </w:r>
      <w:bookmarkEnd w:id="691"/>
      <w:bookmarkEnd w:id="692"/>
      <w:bookmarkEnd w:id="693"/>
      <w:bookmarkEnd w:id="694"/>
      <w:bookmarkEnd w:id="695"/>
      <w:bookmarkEnd w:id="696"/>
      <w:bookmarkEnd w:id="697"/>
      <w:bookmarkEnd w:id="698"/>
    </w:p>
    <w:p w14:paraId="5CDF57B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9" w:name="_Toc32099"/>
      <w:bookmarkStart w:id="700" w:name="_Toc3182"/>
      <w:bookmarkStart w:id="701" w:name="_Toc12484"/>
      <w:r>
        <w:rPr>
          <w:rFonts w:hint="eastAsia" w:ascii="宋体" w:hAnsi="宋体" w:eastAsia="宋体" w:cs="宋体"/>
          <w:b/>
          <w:bCs/>
          <w:color w:val="auto"/>
          <w:sz w:val="24"/>
          <w:szCs w:val="24"/>
          <w:highlight w:val="none"/>
        </w:rPr>
        <w:t>13.6.1 竣工退场</w:t>
      </w:r>
      <w:bookmarkEnd w:id="699"/>
      <w:bookmarkEnd w:id="700"/>
      <w:bookmarkEnd w:id="701"/>
    </w:p>
    <w:p w14:paraId="13DF2A8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         竣工验收合格并移交后21天内     </w:t>
      </w:r>
      <w:r>
        <w:rPr>
          <w:rFonts w:hint="eastAsia" w:ascii="宋体" w:hAnsi="宋体" w:cs="宋体"/>
          <w:color w:val="auto"/>
          <w:kern w:val="0"/>
          <w:sz w:val="24"/>
          <w:szCs w:val="24"/>
          <w:highlight w:val="none"/>
        </w:rPr>
        <w:t>。</w:t>
      </w:r>
    </w:p>
    <w:p w14:paraId="4FCE7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02" w:name="_Toc8525"/>
      <w:bookmarkStart w:id="703" w:name="_Toc389065323"/>
      <w:bookmarkStart w:id="704" w:name="_Toc12609416"/>
      <w:bookmarkStart w:id="705" w:name="_Toc373478405"/>
      <w:bookmarkStart w:id="706" w:name="_Toc373227758"/>
      <w:bookmarkStart w:id="707" w:name="_Toc30354"/>
      <w:bookmarkStart w:id="708" w:name="_Toc11505"/>
      <w:bookmarkStart w:id="709" w:name="_Toc407135261"/>
      <w:r>
        <w:rPr>
          <w:rFonts w:hint="eastAsia" w:ascii="宋体" w:hAnsi="宋体" w:eastAsia="宋体" w:cs="宋体"/>
          <w:b/>
          <w:bCs/>
          <w:color w:val="auto"/>
          <w:sz w:val="24"/>
          <w:szCs w:val="24"/>
          <w:highlight w:val="none"/>
        </w:rPr>
        <w:t>14. 竣工结算</w:t>
      </w:r>
      <w:bookmarkEnd w:id="702"/>
      <w:bookmarkEnd w:id="703"/>
      <w:bookmarkEnd w:id="704"/>
      <w:bookmarkEnd w:id="705"/>
      <w:bookmarkEnd w:id="706"/>
      <w:bookmarkEnd w:id="707"/>
      <w:bookmarkEnd w:id="708"/>
      <w:bookmarkEnd w:id="709"/>
    </w:p>
    <w:p w14:paraId="69FD404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0" w:name="_Toc389065324"/>
      <w:bookmarkStart w:id="711" w:name="_Toc12609417"/>
      <w:bookmarkStart w:id="712" w:name="_Toc29363"/>
      <w:bookmarkStart w:id="713" w:name="_Toc18263"/>
      <w:bookmarkStart w:id="714" w:name="_Toc27107"/>
      <w:bookmarkStart w:id="715" w:name="_Toc373227759"/>
      <w:bookmarkStart w:id="716" w:name="_Toc373478406"/>
      <w:bookmarkStart w:id="717" w:name="_Toc407135262"/>
      <w:r>
        <w:rPr>
          <w:rFonts w:hint="eastAsia" w:ascii="宋体" w:hAnsi="宋体" w:eastAsia="宋体" w:cs="宋体"/>
          <w:b/>
          <w:bCs/>
          <w:color w:val="auto"/>
          <w:sz w:val="24"/>
          <w:szCs w:val="24"/>
          <w:highlight w:val="none"/>
        </w:rPr>
        <w:t>14.1 竣工付款申请</w:t>
      </w:r>
      <w:bookmarkEnd w:id="710"/>
      <w:bookmarkEnd w:id="711"/>
      <w:bookmarkEnd w:id="712"/>
      <w:bookmarkEnd w:id="713"/>
      <w:bookmarkEnd w:id="714"/>
      <w:bookmarkEnd w:id="715"/>
      <w:bookmarkEnd w:id="716"/>
      <w:bookmarkEnd w:id="717"/>
    </w:p>
    <w:p w14:paraId="5BDA29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承包人提交竣工付款申请单的期限：</w:t>
      </w:r>
      <w:r>
        <w:rPr>
          <w:rFonts w:hint="eastAsia" w:ascii="宋体" w:hAnsi="宋体" w:cs="宋体"/>
          <w:color w:val="auto"/>
          <w:sz w:val="24"/>
          <w:szCs w:val="24"/>
          <w:highlight w:val="none"/>
          <w:u w:val="single"/>
        </w:rPr>
        <w:t xml:space="preserve">    竣工验收合格后28天内   </w:t>
      </w:r>
      <w:r>
        <w:rPr>
          <w:rFonts w:hint="eastAsia" w:ascii="宋体" w:hAnsi="宋体" w:cs="宋体"/>
          <w:color w:val="auto"/>
          <w:sz w:val="24"/>
          <w:szCs w:val="24"/>
          <w:highlight w:val="none"/>
        </w:rPr>
        <w:t>。</w:t>
      </w:r>
    </w:p>
    <w:p w14:paraId="70C2F3E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竣工付款申请单应包括的内容：</w:t>
      </w:r>
      <w:r>
        <w:rPr>
          <w:rFonts w:hint="eastAsia" w:ascii="宋体" w:hAnsi="宋体" w:cs="宋体"/>
          <w:color w:val="auto"/>
          <w:sz w:val="24"/>
          <w:szCs w:val="24"/>
          <w:highlight w:val="none"/>
          <w:u w:val="single"/>
        </w:rPr>
        <w:t xml:space="preserve">        按通用条款约定执行      </w:t>
      </w:r>
      <w:r>
        <w:rPr>
          <w:rFonts w:hint="eastAsia" w:ascii="宋体" w:hAnsi="宋体" w:cs="宋体"/>
          <w:color w:val="auto"/>
          <w:sz w:val="24"/>
          <w:szCs w:val="24"/>
          <w:highlight w:val="none"/>
        </w:rPr>
        <w:t>。竣工结算款支付申请（核准）表见合同附件12。</w:t>
      </w:r>
    </w:p>
    <w:p w14:paraId="206ACC8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8" w:name="_Toc24965"/>
      <w:bookmarkStart w:id="719" w:name="_Toc373478407"/>
      <w:bookmarkStart w:id="720" w:name="_Toc8269"/>
      <w:bookmarkStart w:id="721" w:name="_Toc389065325"/>
      <w:bookmarkStart w:id="722" w:name="_Toc407135263"/>
      <w:bookmarkStart w:id="723" w:name="_Toc12609418"/>
      <w:bookmarkStart w:id="724" w:name="_Toc373227760"/>
      <w:bookmarkStart w:id="725" w:name="_Toc15913"/>
      <w:r>
        <w:rPr>
          <w:rFonts w:hint="eastAsia" w:ascii="宋体" w:hAnsi="宋体" w:eastAsia="宋体" w:cs="宋体"/>
          <w:b/>
          <w:bCs/>
          <w:color w:val="auto"/>
          <w:sz w:val="24"/>
          <w:szCs w:val="24"/>
          <w:highlight w:val="none"/>
        </w:rPr>
        <w:t>14.2 竣工结算审核</w:t>
      </w:r>
      <w:bookmarkEnd w:id="718"/>
      <w:bookmarkEnd w:id="719"/>
      <w:bookmarkEnd w:id="720"/>
      <w:bookmarkEnd w:id="721"/>
      <w:bookmarkEnd w:id="722"/>
      <w:bookmarkEnd w:id="723"/>
      <w:bookmarkEnd w:id="724"/>
      <w:bookmarkEnd w:id="725"/>
    </w:p>
    <w:p w14:paraId="7DE1F9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42"/>
        <w:gridCol w:w="6393"/>
      </w:tblGrid>
      <w:tr w14:paraId="4B75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FDA7C71">
            <w:pPr>
              <w:spacing w:beforeLines="0" w:afterLines="0" w:line="360" w:lineRule="auto"/>
              <w:rPr>
                <w:color w:val="auto"/>
                <w:highlight w:val="none"/>
              </w:rPr>
            </w:pPr>
          </w:p>
        </w:tc>
        <w:tc>
          <w:tcPr>
            <w:tcW w:w="1340" w:type="pct"/>
            <w:noWrap w:val="0"/>
            <w:vAlign w:val="center"/>
          </w:tcPr>
          <w:p w14:paraId="26784CD1">
            <w:pPr>
              <w:spacing w:beforeLines="0" w:afterLines="0" w:line="360" w:lineRule="auto"/>
              <w:ind w:firstLine="0" w:firstLineChars="0"/>
              <w:jc w:val="both"/>
              <w:rPr>
                <w:color w:val="auto"/>
                <w:highlight w:val="none"/>
              </w:rPr>
            </w:pPr>
            <w:r>
              <w:rPr>
                <w:rFonts w:hint="eastAsia" w:hAnsi="宋体" w:cs="宋体"/>
                <w:color w:val="auto"/>
                <w:highlight w:val="none"/>
              </w:rPr>
              <w:t>工程竣工结算报告金额</w:t>
            </w:r>
          </w:p>
        </w:tc>
        <w:tc>
          <w:tcPr>
            <w:tcW w:w="3243" w:type="pct"/>
            <w:noWrap w:val="0"/>
            <w:vAlign w:val="center"/>
          </w:tcPr>
          <w:p w14:paraId="2DCF10BE">
            <w:pPr>
              <w:spacing w:beforeLines="0" w:afterLines="0" w:line="360" w:lineRule="auto"/>
              <w:ind w:firstLine="0" w:firstLineChars="0"/>
              <w:jc w:val="both"/>
              <w:rPr>
                <w:color w:val="auto"/>
                <w:highlight w:val="none"/>
              </w:rPr>
            </w:pPr>
            <w:r>
              <w:rPr>
                <w:rFonts w:hint="eastAsia" w:hAnsi="宋体" w:cs="宋体"/>
                <w:color w:val="auto"/>
                <w:highlight w:val="none"/>
              </w:rPr>
              <w:t>发包人审查时间</w:t>
            </w:r>
          </w:p>
        </w:tc>
      </w:tr>
      <w:tr w14:paraId="303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2A88B93">
            <w:pPr>
              <w:spacing w:beforeLines="0" w:afterLines="0" w:line="360" w:lineRule="auto"/>
              <w:jc w:val="both"/>
              <w:rPr>
                <w:color w:val="auto"/>
                <w:highlight w:val="none"/>
              </w:rPr>
            </w:pPr>
            <w:r>
              <w:rPr>
                <w:color w:val="auto"/>
                <w:highlight w:val="none"/>
              </w:rPr>
              <w:t>1</w:t>
            </w:r>
          </w:p>
        </w:tc>
        <w:tc>
          <w:tcPr>
            <w:tcW w:w="1340" w:type="pct"/>
            <w:noWrap w:val="0"/>
            <w:vAlign w:val="center"/>
          </w:tcPr>
          <w:p w14:paraId="45A5E832">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万元以下</w:t>
            </w:r>
          </w:p>
        </w:tc>
        <w:tc>
          <w:tcPr>
            <w:tcW w:w="3243" w:type="pct"/>
            <w:noWrap w:val="0"/>
            <w:vAlign w:val="center"/>
          </w:tcPr>
          <w:p w14:paraId="7B60F2FF">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54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2D4E4200">
            <w:pPr>
              <w:spacing w:beforeLines="0" w:afterLines="0" w:line="360" w:lineRule="auto"/>
              <w:jc w:val="both"/>
              <w:rPr>
                <w:color w:val="auto"/>
                <w:highlight w:val="none"/>
              </w:rPr>
            </w:pPr>
            <w:r>
              <w:rPr>
                <w:color w:val="auto"/>
                <w:highlight w:val="none"/>
              </w:rPr>
              <w:t>2</w:t>
            </w:r>
          </w:p>
        </w:tc>
        <w:tc>
          <w:tcPr>
            <w:tcW w:w="1340" w:type="pct"/>
            <w:noWrap w:val="0"/>
            <w:vAlign w:val="center"/>
          </w:tcPr>
          <w:p w14:paraId="39AAC678">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3243" w:type="pct"/>
            <w:noWrap w:val="0"/>
            <w:vAlign w:val="center"/>
          </w:tcPr>
          <w:p w14:paraId="445B3511">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299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6E440E6">
            <w:pPr>
              <w:spacing w:beforeLines="0" w:afterLines="0" w:line="360" w:lineRule="auto"/>
              <w:jc w:val="both"/>
              <w:rPr>
                <w:color w:val="auto"/>
                <w:highlight w:val="none"/>
              </w:rPr>
            </w:pPr>
            <w:r>
              <w:rPr>
                <w:color w:val="auto"/>
                <w:highlight w:val="none"/>
              </w:rPr>
              <w:t>3</w:t>
            </w:r>
          </w:p>
        </w:tc>
        <w:tc>
          <w:tcPr>
            <w:tcW w:w="1340" w:type="pct"/>
            <w:noWrap w:val="0"/>
            <w:vAlign w:val="center"/>
          </w:tcPr>
          <w:p w14:paraId="3D5C0640">
            <w:pPr>
              <w:spacing w:beforeLines="0" w:afterLines="0" w:line="360" w:lineRule="auto"/>
              <w:ind w:firstLine="0" w:firstLineChars="0"/>
              <w:jc w:val="both"/>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3243" w:type="pct"/>
            <w:noWrap w:val="0"/>
            <w:vAlign w:val="center"/>
          </w:tcPr>
          <w:p w14:paraId="1586192C">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35E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2AD61B">
            <w:pPr>
              <w:spacing w:beforeLines="0" w:afterLines="0" w:line="360" w:lineRule="auto"/>
              <w:jc w:val="both"/>
              <w:rPr>
                <w:color w:val="auto"/>
                <w:highlight w:val="none"/>
              </w:rPr>
            </w:pPr>
            <w:r>
              <w:rPr>
                <w:color w:val="auto"/>
                <w:highlight w:val="none"/>
              </w:rPr>
              <w:t>4</w:t>
            </w:r>
          </w:p>
        </w:tc>
        <w:tc>
          <w:tcPr>
            <w:tcW w:w="1340" w:type="pct"/>
            <w:noWrap w:val="0"/>
            <w:vAlign w:val="center"/>
          </w:tcPr>
          <w:p w14:paraId="2BE165C3">
            <w:pPr>
              <w:spacing w:beforeLines="0" w:afterLines="0" w:line="360" w:lineRule="auto"/>
              <w:ind w:firstLine="0" w:firstLineChars="0"/>
              <w:jc w:val="both"/>
              <w:rPr>
                <w:color w:val="auto"/>
                <w:highlight w:val="none"/>
              </w:rPr>
            </w:pPr>
            <w:r>
              <w:rPr>
                <w:color w:val="auto"/>
                <w:highlight w:val="none"/>
              </w:rPr>
              <w:t>5000</w:t>
            </w:r>
            <w:r>
              <w:rPr>
                <w:rFonts w:hint="eastAsia" w:hAnsi="宋体" w:cs="宋体"/>
                <w:color w:val="auto"/>
                <w:highlight w:val="none"/>
              </w:rPr>
              <w:t>万元以上</w:t>
            </w:r>
          </w:p>
        </w:tc>
        <w:tc>
          <w:tcPr>
            <w:tcW w:w="3243" w:type="pct"/>
            <w:noWrap w:val="0"/>
            <w:vAlign w:val="center"/>
          </w:tcPr>
          <w:p w14:paraId="6E55657E">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679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183898">
            <w:pPr>
              <w:spacing w:beforeLines="0" w:afterLines="0" w:line="360" w:lineRule="auto"/>
              <w:jc w:val="both"/>
              <w:rPr>
                <w:color w:val="auto"/>
                <w:highlight w:val="none"/>
              </w:rPr>
            </w:pPr>
            <w:r>
              <w:rPr>
                <w:rFonts w:hint="eastAsia"/>
                <w:color w:val="auto"/>
                <w:highlight w:val="none"/>
              </w:rPr>
              <w:t>5</w:t>
            </w:r>
          </w:p>
        </w:tc>
        <w:tc>
          <w:tcPr>
            <w:tcW w:w="1340" w:type="pct"/>
            <w:noWrap w:val="0"/>
            <w:vAlign w:val="center"/>
          </w:tcPr>
          <w:p w14:paraId="66650BE1">
            <w:pPr>
              <w:spacing w:beforeLines="0" w:afterLines="0" w:line="360" w:lineRule="auto"/>
              <w:ind w:firstLine="0" w:firstLineChars="0"/>
              <w:jc w:val="both"/>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3243" w:type="pct"/>
            <w:noWrap w:val="0"/>
            <w:vAlign w:val="center"/>
          </w:tcPr>
          <w:p w14:paraId="5E37A8D5">
            <w:pPr>
              <w:spacing w:beforeLines="0" w:afterLines="0" w:line="360" w:lineRule="auto"/>
              <w:ind w:firstLine="0" w:firstLineChars="0"/>
              <w:jc w:val="both"/>
              <w:rPr>
                <w:rFonts w:hint="eastAsia" w:hAnsi="宋体" w:cs="宋体"/>
                <w:color w:val="auto"/>
                <w:highlight w:val="none"/>
              </w:rPr>
            </w:pPr>
            <w:r>
              <w:rPr>
                <w:rFonts w:hint="eastAsia" w:hAnsi="宋体" w:cs="宋体"/>
                <w:color w:val="auto"/>
                <w:highlight w:val="none"/>
              </w:rPr>
              <w:t>增加10天</w:t>
            </w:r>
          </w:p>
        </w:tc>
      </w:tr>
    </w:tbl>
    <w:p w14:paraId="1D2BDC7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因承包人提供的结算资料不完整而需要补充或承包人不按时对账耽误时间时，审查时间应相应顺延。</w:t>
      </w:r>
    </w:p>
    <w:p w14:paraId="5E1ACD4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竣工结算审核约定：</w:t>
      </w:r>
    </w:p>
    <w:p w14:paraId="55240DE2">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6D5065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备注：对于国有投资项目结算审核约定，双方可结合各地政府或有关部门出台的管理规定进行局部调整</w:t>
      </w:r>
    </w:p>
    <w:p w14:paraId="17481C0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6" w:name="_Toc28484"/>
      <w:bookmarkStart w:id="727" w:name="_Toc561"/>
      <w:bookmarkStart w:id="728" w:name="_Toc6975"/>
      <w:r>
        <w:rPr>
          <w:rFonts w:hint="eastAsia" w:ascii="宋体" w:hAnsi="宋体" w:eastAsia="宋体" w:cs="宋体"/>
          <w:b/>
          <w:bCs/>
          <w:color w:val="auto"/>
          <w:sz w:val="24"/>
          <w:szCs w:val="24"/>
          <w:highlight w:val="none"/>
        </w:rPr>
        <w:t>14.3 竣工结算审核费用</w:t>
      </w:r>
      <w:bookmarkEnd w:id="726"/>
      <w:bookmarkEnd w:id="727"/>
      <w:bookmarkEnd w:id="728"/>
    </w:p>
    <w:p w14:paraId="15094BEA">
      <w:pPr>
        <w:autoSpaceDE w:val="0"/>
        <w:autoSpaceDN w:val="0"/>
        <w:adjustRightInd w:val="0"/>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评审单项工程投资额为1000万元以下（含1000万元）的，按单项工程费审核定案净减值的3.0%乘以调整系数核定审减付费额；评审单项工程投资额为1000万元以上、5000万元以下（含5000万元）的，按单项工程费审核定案净减值的2.8%乘以调整系数核定审减付费额；评审单项工程投资额为5000万元以上的，按单项工程费审核定案净减值的2.6%乘以调整系数核定审减付费额。</w:t>
      </w:r>
    </w:p>
    <w:p w14:paraId="7B102903">
      <w:pPr>
        <w:autoSpaceDE w:val="0"/>
        <w:autoSpaceDN w:val="0"/>
        <w:adjustRightInd w:val="0"/>
        <w:spacing w:beforeLines="0" w:afterLines="0" w:line="560" w:lineRule="exact"/>
        <w:ind w:firstLine="0"/>
        <w:jc w:val="both"/>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负担审核定案净减值超过送审总造价5%以下（含5%）产生的审核费；</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负担审核定案净减值超过送审总造价5%以上（不含5%）产生的审核费。(例：</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送审市政预算工程1000万元，审减200万元，则审核费用为200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0.8=3.84万元，</w:t>
      </w: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0.8=0.96万元，</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负担（200-1000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0.8=2.88万元）。</w:t>
      </w:r>
    </w:p>
    <w:p w14:paraId="4A26F1F9">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调整系数＝审查性质系数×工程类别系数</w:t>
      </w:r>
    </w:p>
    <w:p w14:paraId="3CE27DA5">
      <w:pPr>
        <w:autoSpaceDE w:val="0"/>
        <w:autoSpaceDN w:val="0"/>
        <w:adjustRightInd w:val="0"/>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1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审查性质系数：</w:t>
      </w:r>
    </w:p>
    <w:p w14:paraId="5B18EC3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预算：0.8；</w:t>
      </w:r>
    </w:p>
    <w:p w14:paraId="6F37D08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竣工结算：1.2。</w:t>
      </w:r>
    </w:p>
    <w:p w14:paraId="17E43B71">
      <w:pPr>
        <w:spacing w:beforeLines="0" w:after="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2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工程类别系数：</w:t>
      </w:r>
    </w:p>
    <w:p w14:paraId="65A6AB49">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土建、园林、水利、土地整治：1.0；</w:t>
      </w:r>
    </w:p>
    <w:p w14:paraId="3D6AB162">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公路、市政、单独大型土石方：0.8。</w:t>
      </w:r>
    </w:p>
    <w:p w14:paraId="6ADDD060">
      <w:pPr>
        <w:spacing w:beforeLines="0" w:after="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在申请该经审定的工程款前，须向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交清</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应承担的审核服务费（即因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送审的预算不合格，导致审核定案净减值超过送审总造价的5%所造成的审核服务费）。否则，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可不予支付该经审定的工程款。</w:t>
      </w:r>
    </w:p>
    <w:p w14:paraId="53AAE5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9" w:name="_Toc373478408"/>
      <w:bookmarkStart w:id="730" w:name="_Toc407135264"/>
      <w:bookmarkStart w:id="731" w:name="_Toc389065326"/>
      <w:bookmarkStart w:id="732" w:name="_Toc17101"/>
      <w:bookmarkStart w:id="733" w:name="_Toc373227761"/>
      <w:bookmarkStart w:id="734" w:name="_Toc12609419"/>
      <w:bookmarkStart w:id="735" w:name="_Toc26735"/>
      <w:bookmarkStart w:id="736" w:name="_Toc24079"/>
      <w:r>
        <w:rPr>
          <w:rFonts w:hint="eastAsia" w:ascii="宋体" w:hAnsi="宋体" w:eastAsia="宋体" w:cs="宋体"/>
          <w:b/>
          <w:bCs/>
          <w:color w:val="auto"/>
          <w:sz w:val="24"/>
          <w:szCs w:val="24"/>
          <w:highlight w:val="none"/>
        </w:rPr>
        <w:t>14.4 最终结清</w:t>
      </w:r>
      <w:bookmarkEnd w:id="729"/>
      <w:bookmarkEnd w:id="730"/>
      <w:bookmarkEnd w:id="731"/>
      <w:bookmarkEnd w:id="732"/>
      <w:bookmarkEnd w:id="733"/>
      <w:bookmarkEnd w:id="734"/>
      <w:bookmarkEnd w:id="735"/>
      <w:bookmarkEnd w:id="736"/>
    </w:p>
    <w:p w14:paraId="1F90343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5B26660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2B5E32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 xml:space="preserve">     缺陷责任期终止证书颁发后7天内  。 </w:t>
      </w:r>
    </w:p>
    <w:p w14:paraId="090D75E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最终结算款支付申请（核准）表见合同附件13。</w:t>
      </w:r>
    </w:p>
    <w:p w14:paraId="1D667D0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453EC1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 xml:space="preserve">  收到申请单后14天内   。</w:t>
      </w:r>
    </w:p>
    <w:p w14:paraId="6C9D31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 xml:space="preserve">      颁发最终结清证书后14天内      </w:t>
      </w:r>
      <w:r>
        <w:rPr>
          <w:rFonts w:hint="eastAsia" w:ascii="宋体" w:hAnsi="宋体" w:cs="宋体"/>
          <w:color w:val="auto"/>
          <w:sz w:val="24"/>
          <w:szCs w:val="24"/>
          <w:highlight w:val="none"/>
        </w:rPr>
        <w:t>。</w:t>
      </w:r>
    </w:p>
    <w:p w14:paraId="36AADE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37" w:name="_Toc19231"/>
      <w:bookmarkStart w:id="738" w:name="_Toc389065327"/>
      <w:bookmarkStart w:id="739" w:name="_Toc12268"/>
      <w:bookmarkStart w:id="740" w:name="_Toc12609420"/>
      <w:bookmarkStart w:id="741" w:name="_Toc407135265"/>
      <w:bookmarkStart w:id="742" w:name="_Toc373227762"/>
      <w:bookmarkStart w:id="743" w:name="_Toc373478409"/>
      <w:bookmarkStart w:id="744" w:name="_Toc4122"/>
      <w:r>
        <w:rPr>
          <w:rFonts w:hint="eastAsia" w:ascii="宋体" w:hAnsi="宋体" w:eastAsia="宋体" w:cs="宋体"/>
          <w:b/>
          <w:bCs/>
          <w:color w:val="auto"/>
          <w:sz w:val="24"/>
          <w:szCs w:val="24"/>
          <w:highlight w:val="none"/>
        </w:rPr>
        <w:t>15. 缺陷责任期与保修</w:t>
      </w:r>
      <w:bookmarkEnd w:id="737"/>
      <w:bookmarkEnd w:id="738"/>
      <w:bookmarkEnd w:id="739"/>
      <w:bookmarkEnd w:id="740"/>
      <w:bookmarkEnd w:id="741"/>
      <w:bookmarkEnd w:id="742"/>
      <w:bookmarkEnd w:id="743"/>
      <w:bookmarkEnd w:id="744"/>
    </w:p>
    <w:p w14:paraId="567BB7F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45" w:name="_Toc389065328"/>
      <w:bookmarkStart w:id="746" w:name="_Toc12609421"/>
      <w:bookmarkStart w:id="747" w:name="_Toc31591"/>
      <w:bookmarkStart w:id="748" w:name="_Toc373478410"/>
      <w:bookmarkStart w:id="749" w:name="_Toc2611"/>
      <w:bookmarkStart w:id="750" w:name="_Toc373227763"/>
      <w:bookmarkStart w:id="751" w:name="_Toc407135266"/>
      <w:bookmarkStart w:id="752" w:name="_Toc30507"/>
      <w:r>
        <w:rPr>
          <w:rFonts w:hint="eastAsia" w:ascii="宋体" w:hAnsi="宋体" w:eastAsia="宋体" w:cs="宋体"/>
          <w:b/>
          <w:bCs/>
          <w:color w:val="auto"/>
          <w:sz w:val="24"/>
          <w:szCs w:val="24"/>
          <w:highlight w:val="none"/>
        </w:rPr>
        <w:t>15.2 缺陷责任期</w:t>
      </w:r>
      <w:bookmarkEnd w:id="745"/>
      <w:bookmarkEnd w:id="746"/>
      <w:bookmarkEnd w:id="747"/>
      <w:bookmarkEnd w:id="748"/>
      <w:bookmarkEnd w:id="749"/>
      <w:bookmarkEnd w:id="750"/>
      <w:bookmarkEnd w:id="751"/>
      <w:bookmarkEnd w:id="752"/>
    </w:p>
    <w:p w14:paraId="1C0EB1A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24个月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15820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53" w:name="_Toc11302"/>
      <w:bookmarkStart w:id="754" w:name="_Toc373227764"/>
      <w:bookmarkStart w:id="755" w:name="_Toc373478411"/>
      <w:bookmarkStart w:id="756" w:name="_Toc22471"/>
      <w:bookmarkStart w:id="757" w:name="_Toc407135267"/>
      <w:bookmarkStart w:id="758" w:name="_Toc389065329"/>
      <w:bookmarkStart w:id="759" w:name="_Toc12609422"/>
      <w:bookmarkStart w:id="760" w:name="_Toc25659"/>
      <w:r>
        <w:rPr>
          <w:rFonts w:hint="eastAsia" w:ascii="宋体" w:hAnsi="宋体" w:eastAsia="宋体" w:cs="宋体"/>
          <w:b/>
          <w:bCs/>
          <w:color w:val="auto"/>
          <w:sz w:val="24"/>
          <w:szCs w:val="24"/>
          <w:highlight w:val="none"/>
        </w:rPr>
        <w:t>15.3 质量保证金</w:t>
      </w:r>
      <w:bookmarkEnd w:id="753"/>
      <w:bookmarkEnd w:id="754"/>
      <w:bookmarkEnd w:id="755"/>
      <w:bookmarkEnd w:id="756"/>
      <w:bookmarkEnd w:id="757"/>
      <w:bookmarkEnd w:id="758"/>
      <w:bookmarkEnd w:id="759"/>
      <w:bookmarkEnd w:id="760"/>
    </w:p>
    <w:p w14:paraId="5973E8E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9BC01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在工程项目竣工前，承包人按专用合同条款第3.7条提供履约担保的，发包人不得同时预留工程质量保证金。</w:t>
      </w:r>
    </w:p>
    <w:p w14:paraId="1C4405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1" w:name="_Toc4805"/>
      <w:bookmarkStart w:id="762" w:name="_Toc24625"/>
      <w:bookmarkStart w:id="763" w:name="_Toc16593"/>
      <w:r>
        <w:rPr>
          <w:rFonts w:hint="eastAsia" w:ascii="宋体" w:hAnsi="宋体" w:eastAsia="宋体" w:cs="宋体"/>
          <w:b/>
          <w:bCs/>
          <w:color w:val="auto"/>
          <w:sz w:val="24"/>
          <w:szCs w:val="24"/>
          <w:highlight w:val="none"/>
        </w:rPr>
        <w:t>15.3.1 承包人提供质量保证金的方式</w:t>
      </w:r>
      <w:bookmarkEnd w:id="761"/>
      <w:bookmarkEnd w:id="762"/>
      <w:bookmarkEnd w:id="763"/>
    </w:p>
    <w:p w14:paraId="5EDAA2F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0CC5B4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19FA9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发包人按工程价款结算总额的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%（不得超过3%）预留工程质量保证金，待缺陷责任期满后返还，</w:t>
      </w:r>
      <w:r>
        <w:rPr>
          <w:rFonts w:hint="eastAsia" w:ascii="宋体" w:hAnsi="宋体" w:cs="宋体"/>
          <w:color w:val="auto"/>
          <w:sz w:val="24"/>
          <w:szCs w:val="24"/>
          <w:highlight w:val="none"/>
          <w:lang w:eastAsia="zh-CN"/>
        </w:rPr>
        <w:t>待缺陷期满并通过质保验收后，</w:t>
      </w:r>
      <w:r>
        <w:rPr>
          <w:rFonts w:hint="eastAsia" w:ascii="宋体" w:hAnsi="宋体" w:cs="宋体"/>
          <w:color w:val="auto"/>
          <w:sz w:val="24"/>
          <w:szCs w:val="24"/>
          <w:highlight w:val="none"/>
        </w:rPr>
        <w:t>是否付息及利息计算方式为：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无息</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5E0F4F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A69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15.3.2 质量保证金的扣留</w:t>
      </w:r>
    </w:p>
    <w:p w14:paraId="33B1FF6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5AD08D1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（1）在不缴纳履保证金情况下，按支付工程进度款时逐次扣留，质量保证金的计算基数不包括预付款的支付、扣回以及价格调整的金额；</w:t>
      </w:r>
    </w:p>
    <w:p w14:paraId="57FDA3D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（2）工程竣工结算时，一次性扣留质量保证金，由承包人以银行保函、保证保险替代预留质量保证金，保函金额不得高于工程价款结算总额的3%；</w:t>
      </w:r>
    </w:p>
    <w:p w14:paraId="4B526420">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9F9048D">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AB27AD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4" w:name="_Toc32454"/>
      <w:bookmarkStart w:id="765" w:name="_Toc12609423"/>
      <w:bookmarkStart w:id="766" w:name="_Toc16881"/>
      <w:bookmarkStart w:id="767" w:name="_Toc15143"/>
      <w:bookmarkStart w:id="768" w:name="_Toc389065330"/>
      <w:bookmarkStart w:id="769" w:name="_Toc373227765"/>
      <w:bookmarkStart w:id="770" w:name="_Toc407135268"/>
      <w:bookmarkStart w:id="771" w:name="_Toc373478412"/>
      <w:r>
        <w:rPr>
          <w:rFonts w:hint="eastAsia" w:ascii="宋体" w:hAnsi="宋体" w:eastAsia="宋体" w:cs="宋体"/>
          <w:b/>
          <w:bCs/>
          <w:color w:val="auto"/>
          <w:sz w:val="24"/>
          <w:szCs w:val="24"/>
          <w:highlight w:val="none"/>
        </w:rPr>
        <w:t>15.4 保修</w:t>
      </w:r>
      <w:bookmarkEnd w:id="764"/>
      <w:bookmarkEnd w:id="765"/>
      <w:bookmarkEnd w:id="766"/>
      <w:bookmarkEnd w:id="767"/>
      <w:bookmarkEnd w:id="768"/>
      <w:bookmarkEnd w:id="769"/>
      <w:bookmarkEnd w:id="770"/>
      <w:bookmarkEnd w:id="771"/>
    </w:p>
    <w:p w14:paraId="5E3183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2" w:name="_Toc27023"/>
      <w:bookmarkStart w:id="773" w:name="_Toc29185"/>
      <w:bookmarkStart w:id="774" w:name="_Toc2618"/>
      <w:r>
        <w:rPr>
          <w:rFonts w:hint="eastAsia" w:ascii="宋体" w:hAnsi="宋体" w:eastAsia="宋体" w:cs="宋体"/>
          <w:b/>
          <w:bCs/>
          <w:color w:val="auto"/>
          <w:sz w:val="24"/>
          <w:szCs w:val="24"/>
          <w:highlight w:val="none"/>
        </w:rPr>
        <w:t>15.4.1 保修责任</w:t>
      </w:r>
      <w:bookmarkEnd w:id="772"/>
      <w:bookmarkEnd w:id="773"/>
      <w:bookmarkEnd w:id="774"/>
    </w:p>
    <w:p w14:paraId="0452233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工程保修期为：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详见工程质量保修书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E9C111B">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工程保修书具体内容见合同附件2。</w:t>
      </w:r>
    </w:p>
    <w:p w14:paraId="48DCFFC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6B74CF10">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承包人收到保修通知并到达工程现场的合理时间：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24小时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3C6185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5" w:name="_Toc12609424"/>
      <w:bookmarkStart w:id="776" w:name="_Toc23822"/>
      <w:bookmarkStart w:id="777" w:name="_Toc373478413"/>
      <w:bookmarkStart w:id="778" w:name="_Toc373227766"/>
      <w:bookmarkStart w:id="779" w:name="_Toc407135269"/>
      <w:bookmarkStart w:id="780" w:name="_Toc13578"/>
      <w:bookmarkStart w:id="781" w:name="_Toc389065331"/>
      <w:bookmarkStart w:id="782" w:name="_Toc17970"/>
      <w:r>
        <w:rPr>
          <w:rFonts w:hint="eastAsia" w:ascii="宋体" w:hAnsi="宋体" w:eastAsia="宋体" w:cs="宋体"/>
          <w:b/>
          <w:bCs/>
          <w:color w:val="auto"/>
          <w:sz w:val="24"/>
          <w:szCs w:val="24"/>
          <w:highlight w:val="none"/>
        </w:rPr>
        <w:t>16. 违约</w:t>
      </w:r>
      <w:bookmarkEnd w:id="775"/>
      <w:bookmarkEnd w:id="776"/>
      <w:bookmarkEnd w:id="777"/>
      <w:bookmarkEnd w:id="778"/>
      <w:bookmarkEnd w:id="779"/>
      <w:bookmarkEnd w:id="780"/>
      <w:bookmarkEnd w:id="781"/>
      <w:bookmarkEnd w:id="782"/>
    </w:p>
    <w:p w14:paraId="750C157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83" w:name="_Toc31618"/>
      <w:bookmarkStart w:id="784" w:name="_Toc407135270"/>
      <w:bookmarkStart w:id="785" w:name="_Toc373478414"/>
      <w:bookmarkStart w:id="786" w:name="_Toc373227767"/>
      <w:bookmarkStart w:id="787" w:name="_Toc389065332"/>
      <w:bookmarkStart w:id="788" w:name="_Toc16800"/>
      <w:bookmarkStart w:id="789" w:name="_Toc12609425"/>
      <w:bookmarkStart w:id="790" w:name="_Toc3699"/>
      <w:r>
        <w:rPr>
          <w:rFonts w:hint="eastAsia" w:ascii="宋体" w:hAnsi="宋体" w:eastAsia="宋体" w:cs="宋体"/>
          <w:b/>
          <w:bCs/>
          <w:color w:val="auto"/>
          <w:sz w:val="24"/>
          <w:szCs w:val="24"/>
          <w:highlight w:val="none"/>
        </w:rPr>
        <w:t>16.1 发包人违约</w:t>
      </w:r>
      <w:bookmarkEnd w:id="783"/>
      <w:bookmarkEnd w:id="784"/>
      <w:bookmarkEnd w:id="785"/>
      <w:bookmarkEnd w:id="786"/>
      <w:bookmarkEnd w:id="787"/>
      <w:bookmarkEnd w:id="788"/>
      <w:bookmarkEnd w:id="789"/>
      <w:bookmarkEnd w:id="790"/>
    </w:p>
    <w:p w14:paraId="288F4C3A">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1" w:name="_Toc25894"/>
      <w:r>
        <w:rPr>
          <w:rFonts w:hint="eastAsia" w:ascii="宋体" w:hAnsi="宋体" w:cs="宋体"/>
          <w:color w:val="auto"/>
          <w:sz w:val="24"/>
          <w:szCs w:val="24"/>
          <w:highlight w:val="none"/>
        </w:rPr>
        <w:t>16.1.1发包人违约的情形</w:t>
      </w:r>
      <w:bookmarkEnd w:id="791"/>
    </w:p>
    <w:p w14:paraId="39FD8C28">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按通用条款约定执行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76186BC">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92" w:name="_Toc7052"/>
      <w:r>
        <w:rPr>
          <w:rFonts w:hint="eastAsia" w:ascii="宋体" w:hAnsi="宋体" w:cs="宋体"/>
          <w:color w:val="auto"/>
          <w:kern w:val="0"/>
          <w:sz w:val="24"/>
          <w:szCs w:val="24"/>
          <w:highlight w:val="none"/>
        </w:rPr>
        <w:t>16.1.2 发包人违约的责任</w:t>
      </w:r>
      <w:bookmarkEnd w:id="792"/>
    </w:p>
    <w:p w14:paraId="4873943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72D2BA4">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    。</w:t>
      </w:r>
    </w:p>
    <w:p w14:paraId="5A311965">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承包人与发包人签订延期付款协议，延期付款协议须经财政部门认可    。</w:t>
      </w:r>
    </w:p>
    <w:p w14:paraId="5085FD4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05A1E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51794A">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（5）因发包人违反合同约定造成暂停施工的违约责任：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DF1F77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8A80B6A">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18E7E4B">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3" w:name="_Toc5988"/>
      <w:r>
        <w:rPr>
          <w:rFonts w:hint="eastAsia" w:ascii="宋体" w:hAnsi="宋体" w:cs="宋体"/>
          <w:color w:val="auto"/>
          <w:sz w:val="24"/>
          <w:szCs w:val="24"/>
          <w:highlight w:val="none"/>
        </w:rPr>
        <w:t>16.1.3 因发包人违约解除合同</w:t>
      </w:r>
      <w:bookmarkEnd w:id="793"/>
    </w:p>
    <w:p w14:paraId="7B98FF5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天后发包人仍不纠正其违约行为并致使合同目的不能实现的，承包人有权解除合同。</w:t>
      </w:r>
    </w:p>
    <w:p w14:paraId="07AD6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94" w:name="_Toc242"/>
      <w:bookmarkStart w:id="795" w:name="_Toc373227768"/>
      <w:bookmarkStart w:id="796" w:name="_Toc21342"/>
      <w:bookmarkStart w:id="797" w:name="_Toc1565"/>
      <w:bookmarkStart w:id="798" w:name="_Toc407135271"/>
      <w:bookmarkStart w:id="799" w:name="_Toc373478415"/>
      <w:bookmarkStart w:id="800" w:name="_Toc12609426"/>
      <w:bookmarkStart w:id="801" w:name="_Toc389065333"/>
      <w:r>
        <w:rPr>
          <w:rFonts w:hint="eastAsia" w:ascii="宋体" w:hAnsi="宋体" w:eastAsia="宋体" w:cs="宋体"/>
          <w:b/>
          <w:bCs/>
          <w:color w:val="auto"/>
          <w:sz w:val="24"/>
          <w:szCs w:val="24"/>
          <w:highlight w:val="none"/>
        </w:rPr>
        <w:t>16.2 承包人违约</w:t>
      </w:r>
      <w:bookmarkEnd w:id="794"/>
      <w:bookmarkEnd w:id="795"/>
      <w:bookmarkEnd w:id="796"/>
      <w:bookmarkEnd w:id="797"/>
      <w:bookmarkEnd w:id="798"/>
      <w:bookmarkEnd w:id="799"/>
      <w:bookmarkEnd w:id="800"/>
      <w:bookmarkEnd w:id="801"/>
    </w:p>
    <w:p w14:paraId="1558B3E6">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2" w:name="_Toc15990"/>
      <w:r>
        <w:rPr>
          <w:rFonts w:hint="eastAsia" w:ascii="宋体" w:hAnsi="宋体" w:cs="宋体"/>
          <w:color w:val="auto"/>
          <w:kern w:val="0"/>
          <w:sz w:val="24"/>
          <w:szCs w:val="24"/>
          <w:highlight w:val="none"/>
        </w:rPr>
        <w:t>16.2.1 承包人违约的情形</w:t>
      </w:r>
      <w:bookmarkEnd w:id="802"/>
    </w:p>
    <w:p w14:paraId="0E49C9A9">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47E6049">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3" w:name="_Toc8974"/>
      <w:r>
        <w:rPr>
          <w:rFonts w:hint="eastAsia" w:ascii="宋体" w:hAnsi="宋体" w:cs="宋体"/>
          <w:color w:val="auto"/>
          <w:kern w:val="0"/>
          <w:sz w:val="24"/>
          <w:szCs w:val="24"/>
          <w:highlight w:val="none"/>
        </w:rPr>
        <w:t>16.2.2承包人违约的责任</w:t>
      </w:r>
      <w:bookmarkEnd w:id="803"/>
    </w:p>
    <w:p w14:paraId="5C9D6D5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承包人违约责任的承担方式和计算方法：</w:t>
      </w:r>
    </w:p>
    <w:p w14:paraId="75F3FC6F">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54B12D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（2）承包人有本合同通用条款第16.2.1（6）条情形的，或经监理人检验认为修复质量不合格而承包人拒绝再进行修补的，发包人将扣除承包人全部质量保证金。</w:t>
      </w:r>
    </w:p>
    <w:p w14:paraId="64C6D39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F86AF7C">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804" w:name="_Toc15055"/>
      <w:r>
        <w:rPr>
          <w:rFonts w:hint="eastAsia" w:ascii="宋体" w:hAnsi="宋体" w:cs="宋体"/>
          <w:color w:val="auto"/>
          <w:sz w:val="24"/>
          <w:szCs w:val="24"/>
          <w:highlight w:val="none"/>
        </w:rPr>
        <w:t>16.2.3 因承包人违约解除合同</w:t>
      </w:r>
      <w:bookmarkEnd w:id="804"/>
    </w:p>
    <w:p w14:paraId="5127576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关于承包人违约解除合同的特别约定：</w:t>
      </w:r>
      <w:r>
        <w:rPr>
          <w:rFonts w:hint="eastAsia" w:ascii="宋体" w:hAnsi="宋体" w:cs="宋体"/>
          <w:color w:val="auto"/>
          <w:kern w:val="0"/>
          <w:sz w:val="24"/>
          <w:szCs w:val="24"/>
          <w:highlight w:val="none"/>
          <w:u w:val="single"/>
        </w:rPr>
        <w:t>承包人有违反以下情况之一的，发包人有权解除合同，并没收其全部履约保证金</w:t>
      </w:r>
      <w:r>
        <w:rPr>
          <w:rFonts w:hint="eastAsia" w:ascii="宋体" w:hAnsi="宋体" w:cs="宋体"/>
          <w:color w:val="auto"/>
          <w:kern w:val="0"/>
          <w:sz w:val="24"/>
          <w:szCs w:val="24"/>
          <w:highlight w:val="none"/>
        </w:rPr>
        <w:t>。</w:t>
      </w:r>
    </w:p>
    <w:p w14:paraId="3D70B07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(1)承包人无正当理由不按开工通知的要求及时进场组织施工和不按签订协议书时商定的进度计划有效地开展施工准备，造成工期延误的；</w:t>
      </w:r>
    </w:p>
    <w:p w14:paraId="2C504E72">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(2)承包人违反本合同通用条款第3.5条规定私自将合同或合同的任何部分或任何权利转让给其他人，或私自将工程或工程的一部分分包出去的；</w:t>
      </w:r>
    </w:p>
    <w:p w14:paraId="607712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(3)未经监理人批准，承包人私自将已按投标文件承诺进入工地的工程设备、施工设备、临时工程或材料撤离工地的；</w:t>
      </w:r>
    </w:p>
    <w:p w14:paraId="5F96C59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(4)由于承包人原因拒绝按合同进度计划及时完成合同规定的工程，而又未采取有效措施赶上进度，造成工期严重延误的；</w:t>
      </w:r>
    </w:p>
    <w:p w14:paraId="1539A20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(5)承包人否认合同有效或拒绝履行合同规定的承包人义务，或由于法律、财务等原因导致承包人无法继续履行或实质上已停止履行合同的义务的；</w:t>
      </w:r>
    </w:p>
    <w:p w14:paraId="38E69D4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(6)合同签订</w:t>
      </w:r>
      <w:r>
        <w:rPr>
          <w:rFonts w:hint="eastAsia" w:ascii="宋体" w:hAnsi="宋体" w:cs="宋体"/>
          <w:color w:val="auto"/>
          <w:sz w:val="24"/>
          <w:szCs w:val="24"/>
          <w:highlight w:val="none"/>
        </w:rPr>
        <w:t>且具备法定开工条件后</w:t>
      </w:r>
      <w:r>
        <w:rPr>
          <w:rFonts w:hint="eastAsia" w:ascii="宋体" w:hAnsi="宋体" w:cs="宋体"/>
          <w:color w:val="auto"/>
          <w:kern w:val="0"/>
          <w:sz w:val="24"/>
          <w:szCs w:val="24"/>
          <w:highlight w:val="none"/>
        </w:rPr>
        <w:t>之日起十五日内，承包人无法按合同规定及投标文件的承诺进场经监理工程师认可的该施工阶段应有的全部人员和机械的。</w:t>
      </w:r>
    </w:p>
    <w:p w14:paraId="77D434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 xml:space="preserve">      另行商定              </w:t>
      </w:r>
      <w:r>
        <w:rPr>
          <w:rFonts w:hint="eastAsia" w:ascii="宋体" w:hAnsi="宋体" w:cs="宋体"/>
          <w:color w:val="auto"/>
          <w:kern w:val="0"/>
          <w:sz w:val="24"/>
          <w:szCs w:val="24"/>
          <w:highlight w:val="none"/>
        </w:rPr>
        <w:t>。</w:t>
      </w:r>
    </w:p>
    <w:p w14:paraId="5F1E35C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05" w:name="_Toc389065334"/>
      <w:bookmarkStart w:id="806" w:name="_Toc2576"/>
      <w:bookmarkStart w:id="807" w:name="_Toc3106"/>
      <w:bookmarkStart w:id="808" w:name="_Toc12609427"/>
      <w:bookmarkStart w:id="809" w:name="_Toc373478416"/>
      <w:bookmarkStart w:id="810" w:name="_Toc373227769"/>
      <w:bookmarkStart w:id="811" w:name="_Toc407135272"/>
      <w:bookmarkStart w:id="812" w:name="_Toc4387"/>
      <w:r>
        <w:rPr>
          <w:rFonts w:hint="eastAsia" w:ascii="宋体" w:hAnsi="宋体" w:eastAsia="宋体" w:cs="宋体"/>
          <w:b/>
          <w:bCs/>
          <w:color w:val="auto"/>
          <w:sz w:val="24"/>
          <w:szCs w:val="24"/>
          <w:highlight w:val="none"/>
        </w:rPr>
        <w:t>17. 不可抗力</w:t>
      </w:r>
      <w:bookmarkEnd w:id="805"/>
      <w:bookmarkEnd w:id="806"/>
      <w:bookmarkEnd w:id="807"/>
      <w:bookmarkEnd w:id="808"/>
      <w:bookmarkEnd w:id="809"/>
      <w:bookmarkEnd w:id="810"/>
      <w:bookmarkEnd w:id="811"/>
      <w:bookmarkEnd w:id="812"/>
      <w:r>
        <w:rPr>
          <w:rFonts w:hint="eastAsia" w:ascii="宋体" w:hAnsi="宋体" w:eastAsia="宋体" w:cs="宋体"/>
          <w:b/>
          <w:bCs/>
          <w:color w:val="auto"/>
          <w:sz w:val="24"/>
          <w:szCs w:val="24"/>
          <w:highlight w:val="none"/>
        </w:rPr>
        <w:t xml:space="preserve"> </w:t>
      </w:r>
    </w:p>
    <w:p w14:paraId="6FEB2EC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13" w:name="_Toc12609428"/>
      <w:bookmarkStart w:id="814" w:name="_Toc389065335"/>
      <w:bookmarkStart w:id="815" w:name="_Toc24818"/>
      <w:bookmarkStart w:id="816" w:name="_Toc373478417"/>
      <w:bookmarkStart w:id="817" w:name="_Toc21206"/>
      <w:bookmarkStart w:id="818" w:name="_Toc373227770"/>
      <w:bookmarkStart w:id="819" w:name="_Toc407135273"/>
      <w:bookmarkStart w:id="820" w:name="_Toc31255"/>
      <w:r>
        <w:rPr>
          <w:rFonts w:hint="eastAsia" w:ascii="宋体" w:hAnsi="宋体" w:eastAsia="宋体" w:cs="宋体"/>
          <w:b/>
          <w:bCs/>
          <w:color w:val="auto"/>
          <w:sz w:val="24"/>
          <w:szCs w:val="24"/>
          <w:highlight w:val="none"/>
        </w:rPr>
        <w:t>17.1 不可抗力的确认</w:t>
      </w:r>
      <w:bookmarkEnd w:id="813"/>
      <w:bookmarkEnd w:id="814"/>
      <w:bookmarkEnd w:id="815"/>
      <w:bookmarkEnd w:id="816"/>
      <w:bookmarkEnd w:id="817"/>
      <w:bookmarkEnd w:id="818"/>
      <w:bookmarkEnd w:id="819"/>
      <w:bookmarkEnd w:id="820"/>
    </w:p>
    <w:p w14:paraId="120CC885">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1)当地 6 级以上的破坏性地震；(2)暴雨级以上的持续1天的大雨；(3)5 年以上未发生过的、持续 5 天的高温天气；(4)50 年以上未发生过的洪水；(5)10 级以上持续 1 天的大风  。</w:t>
      </w:r>
    </w:p>
    <w:p w14:paraId="59194D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21" w:name="_Toc407135274"/>
      <w:bookmarkStart w:id="822" w:name="_Toc16608"/>
      <w:bookmarkStart w:id="823" w:name="_Toc373227771"/>
      <w:bookmarkStart w:id="824" w:name="_Toc12609429"/>
      <w:bookmarkStart w:id="825" w:name="_Toc373478418"/>
      <w:bookmarkStart w:id="826" w:name="_Toc356"/>
      <w:bookmarkStart w:id="827" w:name="_Toc17280"/>
      <w:bookmarkStart w:id="828" w:name="_Toc389065336"/>
      <w:r>
        <w:rPr>
          <w:rFonts w:hint="eastAsia" w:ascii="宋体" w:hAnsi="宋体" w:eastAsia="宋体" w:cs="宋体"/>
          <w:b/>
          <w:bCs/>
          <w:color w:val="auto"/>
          <w:sz w:val="24"/>
          <w:szCs w:val="24"/>
          <w:highlight w:val="none"/>
        </w:rPr>
        <w:t>17.4 因不可抗力解除合同</w:t>
      </w:r>
      <w:bookmarkEnd w:id="821"/>
      <w:bookmarkEnd w:id="822"/>
      <w:bookmarkEnd w:id="823"/>
      <w:bookmarkEnd w:id="824"/>
      <w:bookmarkEnd w:id="825"/>
      <w:bookmarkEnd w:id="826"/>
      <w:bookmarkEnd w:id="827"/>
      <w:bookmarkEnd w:id="828"/>
    </w:p>
    <w:p w14:paraId="5757F3B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因不可抗力解除合同的，</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应在商定或确定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14:paraId="13625A73">
      <w:pPr>
        <w:spacing w:beforeLines="0" w:afterLines="0"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有下列情形之一的，合同权利义务终止：</w:t>
      </w:r>
    </w:p>
    <w:p w14:paraId="41EFAA57">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本合同因已按约定履行完毕而自然终止；</w:t>
      </w:r>
    </w:p>
    <w:p w14:paraId="3632FFC2">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本合同经各方协商一致而终止；</w:t>
      </w:r>
    </w:p>
    <w:p w14:paraId="60C7180E">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本合同因一方出现本条第（一）款的违约情况（包括一方擅自转让本合同项下权利义务行为），另一方发出解除合同的通知；</w:t>
      </w:r>
    </w:p>
    <w:p w14:paraId="68483275">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法律法规规定终止的其他情形；</w:t>
      </w:r>
    </w:p>
    <w:p w14:paraId="04244EC3">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施工过程中发生重大安全责任事故的；</w:t>
      </w:r>
    </w:p>
    <w:p w14:paraId="3BEC6246">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的农民工闹访的；</w:t>
      </w:r>
    </w:p>
    <w:p w14:paraId="71752AD6">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原因停工累计达30天的。</w:t>
      </w:r>
    </w:p>
    <w:p w14:paraId="4B9C776C">
      <w:pPr>
        <w:spacing w:beforeLines="0" w:afterLines="0" w:line="5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合同解除后工程价款计取方式</w:t>
      </w:r>
    </w:p>
    <w:p w14:paraId="77D8076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结算价=中标单价×实际完成工程量+规费税金-发包方实际损失费（延误期限内的银行利息、工程咨询费用、因</w:t>
      </w:r>
      <w:r>
        <w:rPr>
          <w:rFonts w:hint="eastAsia" w:ascii="宋体" w:hAnsi="宋体" w:cs="宋体"/>
          <w:b/>
          <w:bCs/>
          <w:color w:val="auto"/>
          <w:sz w:val="24"/>
          <w:szCs w:val="24"/>
          <w:highlight w:val="none"/>
          <w:lang w:eastAsia="zh-CN"/>
        </w:rPr>
        <w:t>承包人</w:t>
      </w:r>
      <w:r>
        <w:rPr>
          <w:rFonts w:hint="eastAsia" w:ascii="宋体" w:hAnsi="宋体" w:cs="宋体"/>
          <w:b/>
          <w:bCs/>
          <w:color w:val="auto"/>
          <w:sz w:val="24"/>
          <w:szCs w:val="24"/>
          <w:highlight w:val="none"/>
        </w:rPr>
        <w:t>撤场造成</w:t>
      </w:r>
      <w:r>
        <w:rPr>
          <w:rFonts w:hint="eastAsia" w:ascii="宋体" w:hAnsi="宋体" w:cs="宋体"/>
          <w:b/>
          <w:bCs/>
          <w:color w:val="auto"/>
          <w:sz w:val="24"/>
          <w:szCs w:val="24"/>
          <w:highlight w:val="none"/>
          <w:lang w:eastAsia="zh-CN"/>
        </w:rPr>
        <w:t>发包人</w:t>
      </w:r>
      <w:r>
        <w:rPr>
          <w:rFonts w:hint="eastAsia" w:ascii="宋体" w:hAnsi="宋体" w:cs="宋体"/>
          <w:b/>
          <w:bCs/>
          <w:color w:val="auto"/>
          <w:sz w:val="24"/>
          <w:szCs w:val="24"/>
          <w:highlight w:val="none"/>
        </w:rPr>
        <w:t>增加的工程措施费等）</w:t>
      </w:r>
      <w:bookmarkStart w:id="829" w:name="_Toc373227772"/>
      <w:bookmarkStart w:id="830" w:name="_Toc373478419"/>
      <w:bookmarkStart w:id="831" w:name="_Toc12609430"/>
      <w:bookmarkStart w:id="832" w:name="_Toc407135275"/>
      <w:bookmarkStart w:id="833" w:name="_Toc389065337"/>
    </w:p>
    <w:p w14:paraId="0AEB73B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4" w:name="_Toc15749"/>
      <w:bookmarkStart w:id="835" w:name="_Toc28247"/>
      <w:bookmarkStart w:id="836" w:name="_Toc5550"/>
      <w:r>
        <w:rPr>
          <w:rFonts w:hint="eastAsia" w:ascii="宋体" w:hAnsi="宋体" w:eastAsia="宋体" w:cs="宋体"/>
          <w:b/>
          <w:bCs/>
          <w:color w:val="auto"/>
          <w:sz w:val="24"/>
          <w:szCs w:val="24"/>
          <w:highlight w:val="none"/>
        </w:rPr>
        <w:t>18. 保险</w:t>
      </w:r>
      <w:bookmarkEnd w:id="829"/>
      <w:bookmarkEnd w:id="830"/>
      <w:bookmarkEnd w:id="831"/>
      <w:bookmarkEnd w:id="832"/>
      <w:bookmarkEnd w:id="833"/>
      <w:bookmarkEnd w:id="834"/>
      <w:bookmarkEnd w:id="835"/>
      <w:bookmarkEnd w:id="836"/>
    </w:p>
    <w:p w14:paraId="5EA962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7" w:name="_Toc12609431"/>
      <w:bookmarkStart w:id="838" w:name="_Toc407135276"/>
      <w:bookmarkStart w:id="839" w:name="_Toc16674"/>
      <w:bookmarkStart w:id="840" w:name="_Toc19753"/>
      <w:bookmarkStart w:id="841" w:name="_Toc20075"/>
      <w:bookmarkStart w:id="842" w:name="_Toc389065338"/>
      <w:bookmarkStart w:id="843" w:name="_Toc373478420"/>
      <w:bookmarkStart w:id="844" w:name="_Toc373227773"/>
      <w:r>
        <w:rPr>
          <w:rFonts w:hint="eastAsia" w:ascii="宋体" w:hAnsi="宋体" w:eastAsia="宋体" w:cs="宋体"/>
          <w:b/>
          <w:bCs/>
          <w:color w:val="auto"/>
          <w:sz w:val="24"/>
          <w:szCs w:val="24"/>
          <w:highlight w:val="none"/>
        </w:rPr>
        <w:t>18.1 工程保险</w:t>
      </w:r>
      <w:bookmarkEnd w:id="837"/>
      <w:bookmarkEnd w:id="838"/>
      <w:bookmarkEnd w:id="839"/>
      <w:bookmarkEnd w:id="840"/>
      <w:bookmarkEnd w:id="841"/>
      <w:bookmarkEnd w:id="842"/>
      <w:bookmarkEnd w:id="843"/>
      <w:bookmarkEnd w:id="844"/>
    </w:p>
    <w:p w14:paraId="2E566F0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b/>
          <w:bCs/>
          <w:color w:val="auto"/>
          <w:sz w:val="24"/>
          <w:szCs w:val="24"/>
          <w:highlight w:val="none"/>
          <w:u w:val="single"/>
        </w:rPr>
        <w:t xml:space="preserve">包括建筑工程一切险和安装工程一切险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ABD4EE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45" w:name="_Toc27965"/>
      <w:bookmarkStart w:id="846" w:name="_Toc2313"/>
      <w:bookmarkStart w:id="847" w:name="_Toc373478421"/>
      <w:bookmarkStart w:id="848" w:name="_Toc29953"/>
      <w:bookmarkStart w:id="849" w:name="_Toc373227774"/>
      <w:bookmarkStart w:id="850" w:name="_Toc389065339"/>
      <w:bookmarkStart w:id="851" w:name="_Toc12609432"/>
      <w:bookmarkStart w:id="852" w:name="_Toc407135277"/>
      <w:r>
        <w:rPr>
          <w:rFonts w:hint="eastAsia" w:ascii="宋体" w:hAnsi="宋体" w:eastAsia="宋体" w:cs="宋体"/>
          <w:b/>
          <w:bCs/>
          <w:color w:val="auto"/>
          <w:sz w:val="24"/>
          <w:szCs w:val="24"/>
          <w:highlight w:val="none"/>
        </w:rPr>
        <w:t>18.3 其他保险</w:t>
      </w:r>
      <w:bookmarkEnd w:id="845"/>
      <w:bookmarkEnd w:id="846"/>
      <w:bookmarkEnd w:id="847"/>
      <w:bookmarkEnd w:id="848"/>
      <w:bookmarkEnd w:id="849"/>
      <w:bookmarkEnd w:id="850"/>
      <w:bookmarkEnd w:id="851"/>
      <w:bookmarkEnd w:id="852"/>
    </w:p>
    <w:p w14:paraId="7B61E44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承包人</w:t>
      </w:r>
      <w:r>
        <w:rPr>
          <w:rFonts w:hint="eastAsia" w:ascii="宋体" w:hAnsi="宋体" w:cs="宋体"/>
          <w:b/>
          <w:bCs/>
          <w:color w:val="auto"/>
          <w:sz w:val="24"/>
          <w:szCs w:val="24"/>
          <w:highlight w:val="none"/>
          <w:u w:val="single"/>
        </w:rPr>
        <w:t xml:space="preserve">必须为施工现场从事施工的所有作业人员和管理人员办理人身意外伤害保险，并支付保险费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3A0FB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C84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53" w:name="_Toc4779"/>
      <w:bookmarkStart w:id="854" w:name="_Toc373478422"/>
      <w:bookmarkStart w:id="855" w:name="_Toc12609433"/>
      <w:bookmarkStart w:id="856" w:name="_Toc389065340"/>
      <w:bookmarkStart w:id="857" w:name="_Toc407135278"/>
      <w:bookmarkStart w:id="858" w:name="_Toc373227775"/>
      <w:bookmarkStart w:id="859" w:name="_Toc701"/>
      <w:bookmarkStart w:id="860" w:name="_Toc26424"/>
      <w:r>
        <w:rPr>
          <w:rFonts w:hint="eastAsia" w:ascii="宋体" w:hAnsi="宋体" w:eastAsia="宋体" w:cs="宋体"/>
          <w:b/>
          <w:bCs/>
          <w:color w:val="auto"/>
          <w:sz w:val="24"/>
          <w:szCs w:val="24"/>
          <w:highlight w:val="none"/>
        </w:rPr>
        <w:t>18.7 通知义务</w:t>
      </w:r>
      <w:bookmarkEnd w:id="853"/>
      <w:bookmarkEnd w:id="854"/>
      <w:bookmarkEnd w:id="855"/>
      <w:bookmarkEnd w:id="856"/>
      <w:bookmarkEnd w:id="857"/>
      <w:bookmarkEnd w:id="858"/>
      <w:bookmarkEnd w:id="859"/>
      <w:bookmarkEnd w:id="860"/>
    </w:p>
    <w:p w14:paraId="5F1DF2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执行通用条款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6C2F9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1" w:name="_Toc373478423"/>
      <w:bookmarkStart w:id="862" w:name="_Toc407135279"/>
      <w:bookmarkStart w:id="863" w:name="_Toc389065341"/>
      <w:bookmarkStart w:id="864" w:name="_Toc12609434"/>
      <w:bookmarkStart w:id="865" w:name="_Toc4910"/>
      <w:bookmarkStart w:id="866" w:name="_Toc373227776"/>
      <w:bookmarkStart w:id="867" w:name="_Toc1285"/>
      <w:bookmarkStart w:id="868" w:name="_Toc8530"/>
      <w:r>
        <w:rPr>
          <w:rFonts w:hint="eastAsia" w:ascii="宋体" w:hAnsi="宋体" w:eastAsia="宋体" w:cs="宋体"/>
          <w:b/>
          <w:bCs/>
          <w:color w:val="auto"/>
          <w:sz w:val="24"/>
          <w:szCs w:val="24"/>
          <w:highlight w:val="none"/>
        </w:rPr>
        <w:t>20. 争议解决</w:t>
      </w:r>
      <w:bookmarkEnd w:id="861"/>
      <w:bookmarkEnd w:id="862"/>
      <w:bookmarkEnd w:id="863"/>
      <w:bookmarkEnd w:id="864"/>
      <w:bookmarkEnd w:id="865"/>
      <w:bookmarkEnd w:id="866"/>
      <w:bookmarkEnd w:id="867"/>
      <w:bookmarkEnd w:id="868"/>
    </w:p>
    <w:p w14:paraId="0093823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9" w:name="_Toc12609435"/>
      <w:bookmarkStart w:id="870" w:name="_Toc3371"/>
      <w:bookmarkStart w:id="871" w:name="_Toc389065342"/>
      <w:bookmarkStart w:id="872" w:name="_Toc373478424"/>
      <w:bookmarkStart w:id="873" w:name="_Toc407135280"/>
      <w:bookmarkStart w:id="874" w:name="_Toc373227777"/>
      <w:bookmarkStart w:id="875" w:name="_Toc6299"/>
      <w:bookmarkStart w:id="876" w:name="_Toc21010"/>
      <w:r>
        <w:rPr>
          <w:rFonts w:hint="eastAsia" w:ascii="宋体" w:hAnsi="宋体" w:eastAsia="宋体" w:cs="宋体"/>
          <w:b/>
          <w:bCs/>
          <w:color w:val="auto"/>
          <w:sz w:val="24"/>
          <w:szCs w:val="24"/>
          <w:highlight w:val="none"/>
        </w:rPr>
        <w:t>20.3 争议评审</w:t>
      </w:r>
      <w:bookmarkEnd w:id="869"/>
      <w:bookmarkEnd w:id="870"/>
      <w:bookmarkEnd w:id="871"/>
      <w:bookmarkEnd w:id="872"/>
      <w:bookmarkEnd w:id="873"/>
      <w:bookmarkEnd w:id="874"/>
      <w:bookmarkEnd w:id="875"/>
      <w:bookmarkEnd w:id="876"/>
    </w:p>
    <w:p w14:paraId="5319F113">
      <w:pPr>
        <w:spacing w:beforeLines="0" w:afterLines="0" w:line="560" w:lineRule="exact"/>
        <w:ind w:left="0" w:leftChars="0"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914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77" w:name="_Toc28748"/>
      <w:bookmarkStart w:id="878" w:name="_Toc23838"/>
      <w:bookmarkStart w:id="879" w:name="_Toc30980"/>
      <w:r>
        <w:rPr>
          <w:rFonts w:hint="eastAsia" w:ascii="宋体" w:hAnsi="宋体" w:eastAsia="宋体" w:cs="宋体"/>
          <w:b w:val="0"/>
          <w:bCs w:val="0"/>
          <w:color w:val="auto"/>
          <w:sz w:val="24"/>
          <w:szCs w:val="24"/>
          <w:highlight w:val="none"/>
        </w:rPr>
        <w:t>20.3.1 争议评审小组的确定</w:t>
      </w:r>
      <w:bookmarkEnd w:id="877"/>
      <w:bookmarkEnd w:id="878"/>
      <w:bookmarkEnd w:id="879"/>
    </w:p>
    <w:p w14:paraId="5F0FD29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B284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ABB7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63A4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E669A8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20.3.2 争议评审小组的决定</w:t>
      </w:r>
    </w:p>
    <w:p w14:paraId="69271B6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88C7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80" w:name="_Toc12609436"/>
      <w:bookmarkStart w:id="881" w:name="_Toc1772"/>
      <w:bookmarkStart w:id="882" w:name="_Toc407135281"/>
      <w:bookmarkStart w:id="883" w:name="_Toc389065343"/>
      <w:bookmarkStart w:id="884" w:name="_Toc18593"/>
      <w:bookmarkStart w:id="885" w:name="_Toc29893"/>
      <w:bookmarkStart w:id="886" w:name="_Toc373227778"/>
      <w:bookmarkStart w:id="887" w:name="_Toc373478425"/>
      <w:r>
        <w:rPr>
          <w:rFonts w:hint="eastAsia" w:ascii="宋体" w:hAnsi="宋体" w:eastAsia="宋体" w:cs="宋体"/>
          <w:b/>
          <w:bCs/>
          <w:color w:val="auto"/>
          <w:sz w:val="24"/>
          <w:szCs w:val="24"/>
          <w:highlight w:val="none"/>
        </w:rPr>
        <w:t>20.4 仲裁或诉讼</w:t>
      </w:r>
      <w:bookmarkEnd w:id="880"/>
      <w:bookmarkEnd w:id="881"/>
      <w:bookmarkEnd w:id="882"/>
      <w:bookmarkEnd w:id="883"/>
      <w:bookmarkEnd w:id="884"/>
      <w:bookmarkEnd w:id="885"/>
      <w:bookmarkEnd w:id="886"/>
      <w:bookmarkEnd w:id="887"/>
    </w:p>
    <w:p w14:paraId="75A04B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种方式解决：</w:t>
      </w:r>
    </w:p>
    <w:p w14:paraId="5CE9200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（1）提请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仲裁委员会按照该会仲裁规则进行仲裁，仲裁裁决是终局的，对合同双方均有约束力。</w:t>
      </w:r>
    </w:p>
    <w:p w14:paraId="6B2B682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人民法院起诉。</w:t>
      </w:r>
    </w:p>
    <w:p w14:paraId="5764FAE1">
      <w:pPr>
        <w:spacing w:line="360" w:lineRule="auto"/>
        <w:jc w:val="left"/>
        <w:outlineLvl w:val="9"/>
        <w:rPr>
          <w:rFonts w:hint="eastAsia" w:eastAsia="黑体" w:cs="黑体"/>
          <w:b/>
          <w:bCs/>
          <w:color w:val="auto"/>
          <w:sz w:val="28"/>
          <w:szCs w:val="28"/>
          <w:highlight w:val="none"/>
        </w:rPr>
      </w:pPr>
      <w:bookmarkStart w:id="888" w:name="_Toc351203652"/>
    </w:p>
    <w:p w14:paraId="04C8FA1D">
      <w:pPr>
        <w:spacing w:line="360" w:lineRule="auto"/>
        <w:jc w:val="left"/>
        <w:outlineLvl w:val="9"/>
        <w:rPr>
          <w:rFonts w:hint="eastAsia" w:eastAsia="黑体" w:cs="黑体"/>
          <w:b/>
          <w:bCs/>
          <w:color w:val="auto"/>
          <w:sz w:val="28"/>
          <w:szCs w:val="28"/>
          <w:highlight w:val="none"/>
        </w:rPr>
      </w:pPr>
    </w:p>
    <w:p w14:paraId="758EB12C">
      <w:pPr>
        <w:spacing w:line="360" w:lineRule="auto"/>
        <w:jc w:val="left"/>
        <w:outlineLvl w:val="9"/>
        <w:rPr>
          <w:rFonts w:hint="eastAsia" w:eastAsia="黑体" w:cs="黑体"/>
          <w:b/>
          <w:bCs/>
          <w:color w:val="auto"/>
          <w:sz w:val="28"/>
          <w:szCs w:val="28"/>
          <w:highlight w:val="none"/>
        </w:rPr>
      </w:pPr>
    </w:p>
    <w:p w14:paraId="16C1F965">
      <w:pPr>
        <w:spacing w:line="360" w:lineRule="auto"/>
        <w:jc w:val="left"/>
        <w:outlineLvl w:val="9"/>
        <w:rPr>
          <w:rFonts w:hint="eastAsia" w:eastAsia="黑体" w:cs="黑体"/>
          <w:b/>
          <w:bCs/>
          <w:color w:val="auto"/>
          <w:sz w:val="28"/>
          <w:szCs w:val="28"/>
          <w:highlight w:val="none"/>
        </w:rPr>
      </w:pPr>
    </w:p>
    <w:p w14:paraId="4EAFF015">
      <w:pPr>
        <w:spacing w:line="360" w:lineRule="auto"/>
        <w:jc w:val="left"/>
        <w:outlineLvl w:val="9"/>
        <w:rPr>
          <w:rFonts w:hint="eastAsia" w:eastAsia="黑体" w:cs="黑体"/>
          <w:b/>
          <w:bCs/>
          <w:color w:val="auto"/>
          <w:sz w:val="28"/>
          <w:szCs w:val="28"/>
          <w:highlight w:val="none"/>
        </w:rPr>
      </w:pPr>
    </w:p>
    <w:p w14:paraId="49D4D7CB">
      <w:pPr>
        <w:spacing w:line="360" w:lineRule="auto"/>
        <w:jc w:val="left"/>
        <w:outlineLvl w:val="9"/>
        <w:rPr>
          <w:rFonts w:hint="eastAsia" w:eastAsia="黑体" w:cs="黑体"/>
          <w:b/>
          <w:bCs/>
          <w:color w:val="auto"/>
          <w:sz w:val="28"/>
          <w:szCs w:val="28"/>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889" w:name="_Toc4447"/>
    </w:p>
    <w:p w14:paraId="0D1B03C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90" w:name="_Toc7464"/>
      <w:bookmarkStart w:id="891" w:name="_Toc3127"/>
      <w:r>
        <w:rPr>
          <w:rFonts w:hint="eastAsia" w:ascii="宋体" w:hAnsi="宋体" w:eastAsia="宋体" w:cs="宋体"/>
          <w:b/>
          <w:bCs/>
          <w:color w:val="auto"/>
          <w:sz w:val="24"/>
          <w:szCs w:val="24"/>
          <w:highlight w:val="none"/>
        </w:rPr>
        <w:t>附件</w:t>
      </w:r>
      <w:bookmarkEnd w:id="888"/>
      <w:bookmarkEnd w:id="889"/>
      <w:bookmarkEnd w:id="890"/>
      <w:bookmarkEnd w:id="891"/>
    </w:p>
    <w:p w14:paraId="4605CE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2" w:name="_Toc10001"/>
      <w:bookmarkStart w:id="893" w:name="_Toc7923"/>
      <w:bookmarkStart w:id="894" w:name="_Toc31231"/>
      <w:r>
        <w:rPr>
          <w:rFonts w:hint="eastAsia" w:ascii="宋体" w:hAnsi="宋体" w:eastAsia="宋体" w:cs="宋体"/>
          <w:b w:val="0"/>
          <w:bCs w:val="0"/>
          <w:color w:val="auto"/>
          <w:sz w:val="24"/>
          <w:szCs w:val="24"/>
          <w:highlight w:val="none"/>
        </w:rPr>
        <w:t>附件1：承包人承揽工程项目一览表</w:t>
      </w:r>
      <w:bookmarkEnd w:id="892"/>
      <w:bookmarkEnd w:id="893"/>
      <w:bookmarkEnd w:id="894"/>
    </w:p>
    <w:p w14:paraId="3C07443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5" w:name="_Toc22433"/>
      <w:bookmarkStart w:id="896" w:name="_Toc5023"/>
      <w:bookmarkStart w:id="897" w:name="_Toc8426"/>
      <w:r>
        <w:rPr>
          <w:rFonts w:hint="eastAsia" w:ascii="宋体" w:hAnsi="宋体" w:eastAsia="宋体" w:cs="宋体"/>
          <w:b w:val="0"/>
          <w:bCs w:val="0"/>
          <w:color w:val="auto"/>
          <w:sz w:val="24"/>
          <w:szCs w:val="24"/>
          <w:highlight w:val="none"/>
        </w:rPr>
        <w:t>附件2：工程质量保修书</w:t>
      </w:r>
      <w:bookmarkEnd w:id="895"/>
      <w:bookmarkEnd w:id="896"/>
      <w:bookmarkEnd w:id="897"/>
    </w:p>
    <w:p w14:paraId="7C25942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8" w:name="_Toc19012"/>
      <w:bookmarkStart w:id="899" w:name="_Toc7901"/>
      <w:bookmarkStart w:id="900" w:name="_Toc10747"/>
      <w:r>
        <w:rPr>
          <w:rFonts w:hint="eastAsia" w:ascii="宋体" w:hAnsi="宋体" w:eastAsia="宋体" w:cs="宋体"/>
          <w:b w:val="0"/>
          <w:bCs w:val="0"/>
          <w:color w:val="auto"/>
          <w:sz w:val="24"/>
          <w:szCs w:val="24"/>
          <w:highlight w:val="none"/>
        </w:rPr>
        <w:t>附件3：主要建设工程文件目录</w:t>
      </w:r>
      <w:bookmarkEnd w:id="898"/>
      <w:bookmarkEnd w:id="899"/>
      <w:bookmarkEnd w:id="900"/>
    </w:p>
    <w:p w14:paraId="20E5AF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1" w:name="_Toc4249"/>
      <w:bookmarkStart w:id="902" w:name="_Toc29301"/>
      <w:bookmarkStart w:id="903" w:name="_Toc31499"/>
      <w:r>
        <w:rPr>
          <w:rFonts w:hint="eastAsia" w:ascii="宋体" w:hAnsi="宋体" w:eastAsia="宋体" w:cs="宋体"/>
          <w:b w:val="0"/>
          <w:bCs w:val="0"/>
          <w:color w:val="auto"/>
          <w:sz w:val="24"/>
          <w:szCs w:val="24"/>
          <w:highlight w:val="none"/>
        </w:rPr>
        <w:t>附件4：承包人用于本工程施工的机械设备表</w:t>
      </w:r>
      <w:bookmarkEnd w:id="901"/>
      <w:bookmarkEnd w:id="902"/>
      <w:bookmarkEnd w:id="903"/>
    </w:p>
    <w:p w14:paraId="2843D2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4" w:name="_Toc32698"/>
      <w:bookmarkStart w:id="905" w:name="_Toc4691"/>
      <w:bookmarkStart w:id="906" w:name="_Toc9578"/>
      <w:r>
        <w:rPr>
          <w:rFonts w:hint="eastAsia" w:ascii="宋体" w:hAnsi="宋体" w:eastAsia="宋体" w:cs="宋体"/>
          <w:b w:val="0"/>
          <w:bCs w:val="0"/>
          <w:color w:val="auto"/>
          <w:sz w:val="24"/>
          <w:szCs w:val="24"/>
          <w:highlight w:val="none"/>
        </w:rPr>
        <w:t>附件5：承包人主要施工管理人员表</w:t>
      </w:r>
      <w:bookmarkEnd w:id="904"/>
      <w:bookmarkEnd w:id="905"/>
      <w:bookmarkEnd w:id="906"/>
    </w:p>
    <w:p w14:paraId="445CD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7" w:name="_Toc10218"/>
      <w:bookmarkStart w:id="908" w:name="_Toc6615"/>
      <w:bookmarkStart w:id="909" w:name="_Toc11575"/>
      <w:r>
        <w:rPr>
          <w:rFonts w:hint="eastAsia" w:ascii="宋体" w:hAnsi="宋体" w:eastAsia="宋体" w:cs="宋体"/>
          <w:b w:val="0"/>
          <w:bCs w:val="0"/>
          <w:color w:val="auto"/>
          <w:sz w:val="24"/>
          <w:szCs w:val="24"/>
          <w:highlight w:val="none"/>
        </w:rPr>
        <w:t>附件6：分包人主要施工管理人员表</w:t>
      </w:r>
      <w:bookmarkEnd w:id="907"/>
      <w:bookmarkEnd w:id="908"/>
      <w:bookmarkEnd w:id="909"/>
    </w:p>
    <w:p w14:paraId="03717D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0" w:name="_Toc31911"/>
      <w:bookmarkStart w:id="911" w:name="_Toc19651"/>
      <w:bookmarkStart w:id="912" w:name="_Toc7319"/>
      <w:r>
        <w:rPr>
          <w:rFonts w:hint="eastAsia" w:ascii="宋体" w:hAnsi="宋体" w:eastAsia="宋体" w:cs="宋体"/>
          <w:b w:val="0"/>
          <w:bCs w:val="0"/>
          <w:color w:val="auto"/>
          <w:sz w:val="24"/>
          <w:szCs w:val="24"/>
          <w:highlight w:val="none"/>
        </w:rPr>
        <w:t>附件7：履约担保格式</w:t>
      </w:r>
      <w:bookmarkEnd w:id="910"/>
      <w:bookmarkEnd w:id="911"/>
      <w:bookmarkEnd w:id="912"/>
    </w:p>
    <w:p w14:paraId="1C4D26D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3" w:name="_Toc10141"/>
      <w:bookmarkStart w:id="914" w:name="_Toc19354"/>
      <w:bookmarkStart w:id="915" w:name="_Toc7184"/>
      <w:r>
        <w:rPr>
          <w:rFonts w:hint="eastAsia" w:ascii="宋体" w:hAnsi="宋体" w:eastAsia="宋体" w:cs="宋体"/>
          <w:b w:val="0"/>
          <w:bCs w:val="0"/>
          <w:color w:val="auto"/>
          <w:sz w:val="24"/>
          <w:szCs w:val="24"/>
          <w:highlight w:val="none"/>
        </w:rPr>
        <w:t>附件8：预付款担保格式</w:t>
      </w:r>
      <w:bookmarkEnd w:id="913"/>
      <w:bookmarkEnd w:id="914"/>
      <w:bookmarkEnd w:id="915"/>
    </w:p>
    <w:p w14:paraId="781066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6" w:name="_Toc30983"/>
      <w:bookmarkStart w:id="917" w:name="_Toc2675"/>
      <w:bookmarkStart w:id="918" w:name="_Toc28575"/>
      <w:r>
        <w:rPr>
          <w:rFonts w:hint="eastAsia" w:ascii="宋体" w:hAnsi="宋体" w:eastAsia="宋体" w:cs="宋体"/>
          <w:b w:val="0"/>
          <w:bCs w:val="0"/>
          <w:color w:val="auto"/>
          <w:sz w:val="24"/>
          <w:szCs w:val="24"/>
          <w:highlight w:val="none"/>
        </w:rPr>
        <w:t>附件9：支付担保格式</w:t>
      </w:r>
      <w:bookmarkEnd w:id="916"/>
      <w:bookmarkEnd w:id="917"/>
      <w:bookmarkEnd w:id="918"/>
    </w:p>
    <w:p w14:paraId="271A130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9" w:name="_Toc11488"/>
      <w:bookmarkStart w:id="920" w:name="_Toc10214"/>
      <w:bookmarkStart w:id="921" w:name="_Toc29574"/>
      <w:r>
        <w:rPr>
          <w:rFonts w:hint="eastAsia" w:ascii="宋体" w:hAnsi="宋体" w:eastAsia="宋体" w:cs="宋体"/>
          <w:b w:val="0"/>
          <w:bCs w:val="0"/>
          <w:color w:val="auto"/>
          <w:sz w:val="24"/>
          <w:szCs w:val="24"/>
          <w:highlight w:val="none"/>
        </w:rPr>
        <w:t>附件10：预付款支付申请（核准）表</w:t>
      </w:r>
      <w:bookmarkEnd w:id="919"/>
      <w:bookmarkEnd w:id="920"/>
      <w:bookmarkEnd w:id="921"/>
    </w:p>
    <w:p w14:paraId="4594DD4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2" w:name="_Toc16445"/>
      <w:bookmarkStart w:id="923" w:name="_Toc9540"/>
      <w:bookmarkStart w:id="924" w:name="_Toc17034"/>
      <w:r>
        <w:rPr>
          <w:rFonts w:hint="eastAsia" w:ascii="宋体" w:hAnsi="宋体" w:eastAsia="宋体" w:cs="宋体"/>
          <w:b w:val="0"/>
          <w:bCs w:val="0"/>
          <w:color w:val="auto"/>
          <w:sz w:val="24"/>
          <w:szCs w:val="24"/>
          <w:highlight w:val="none"/>
        </w:rPr>
        <w:t>附件11：进度款支付申请（核准）表</w:t>
      </w:r>
      <w:bookmarkEnd w:id="922"/>
      <w:bookmarkEnd w:id="923"/>
      <w:bookmarkEnd w:id="924"/>
    </w:p>
    <w:p w14:paraId="0EFF1EA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5" w:name="_Toc31149"/>
      <w:bookmarkStart w:id="926" w:name="_Toc9228"/>
      <w:bookmarkStart w:id="927" w:name="_Toc26909"/>
      <w:r>
        <w:rPr>
          <w:rFonts w:hint="eastAsia" w:ascii="宋体" w:hAnsi="宋体" w:eastAsia="宋体" w:cs="宋体"/>
          <w:b w:val="0"/>
          <w:bCs w:val="0"/>
          <w:color w:val="auto"/>
          <w:sz w:val="24"/>
          <w:szCs w:val="24"/>
          <w:highlight w:val="none"/>
        </w:rPr>
        <w:t>附件12：竣工结算款支付申请（核准）表</w:t>
      </w:r>
      <w:bookmarkEnd w:id="925"/>
      <w:bookmarkEnd w:id="926"/>
      <w:bookmarkEnd w:id="927"/>
    </w:p>
    <w:p w14:paraId="19DD748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8" w:name="_Toc24331"/>
      <w:bookmarkStart w:id="929" w:name="_Toc14466"/>
      <w:bookmarkStart w:id="930" w:name="_Toc17567"/>
      <w:r>
        <w:rPr>
          <w:rFonts w:hint="eastAsia" w:ascii="宋体" w:hAnsi="宋体" w:eastAsia="宋体" w:cs="宋体"/>
          <w:b w:val="0"/>
          <w:bCs w:val="0"/>
          <w:color w:val="auto"/>
          <w:sz w:val="24"/>
          <w:szCs w:val="24"/>
          <w:highlight w:val="none"/>
        </w:rPr>
        <w:t>附件13：最终结算款支付申请（核准）表</w:t>
      </w:r>
      <w:bookmarkEnd w:id="928"/>
      <w:bookmarkEnd w:id="929"/>
      <w:bookmarkEnd w:id="930"/>
    </w:p>
    <w:p w14:paraId="5C8258A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31" w:name="_Toc29964"/>
      <w:bookmarkStart w:id="932" w:name="_Toc16724"/>
      <w:bookmarkStart w:id="933" w:name="_Toc19767"/>
      <w:r>
        <w:rPr>
          <w:rFonts w:hint="eastAsia" w:ascii="宋体" w:hAnsi="宋体" w:eastAsia="宋体" w:cs="宋体"/>
          <w:b w:val="0"/>
          <w:bCs w:val="0"/>
          <w:color w:val="auto"/>
          <w:sz w:val="24"/>
          <w:szCs w:val="24"/>
          <w:highlight w:val="none"/>
        </w:rPr>
        <w:t>附件14：总价合同进度款支付分解表</w:t>
      </w:r>
      <w:bookmarkEnd w:id="931"/>
      <w:bookmarkEnd w:id="932"/>
      <w:bookmarkEnd w:id="933"/>
    </w:p>
    <w:p w14:paraId="400FF89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：廉政责任书</w:t>
      </w:r>
    </w:p>
    <w:p w14:paraId="3ECAA08D">
      <w:pPr>
        <w:spacing w:line="360" w:lineRule="auto"/>
        <w:jc w:val="left"/>
        <w:outlineLvl w:val="9"/>
        <w:rPr>
          <w:rFonts w:hint="eastAsia"/>
          <w:color w:val="auto"/>
          <w:highlight w:val="none"/>
        </w:rPr>
      </w:pPr>
    </w:p>
    <w:p w14:paraId="0B7AB062">
      <w:pPr>
        <w:spacing w:line="460" w:lineRule="exact"/>
        <w:rPr>
          <w:color w:val="auto"/>
          <w:highlight w:val="none"/>
        </w:rPr>
      </w:pPr>
    </w:p>
    <w:p w14:paraId="52258194">
      <w:pPr>
        <w:spacing w:line="460" w:lineRule="exact"/>
        <w:ind w:firstLine="420" w:firstLineChars="200"/>
        <w:rPr>
          <w:color w:val="auto"/>
          <w:highlight w:val="none"/>
        </w:rPr>
      </w:pPr>
    </w:p>
    <w:p w14:paraId="2EFF2179">
      <w:pPr>
        <w:spacing w:line="460" w:lineRule="exact"/>
        <w:ind w:firstLine="420" w:firstLineChars="200"/>
        <w:rPr>
          <w:color w:val="auto"/>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3DE7D2A8">
      <w:pPr>
        <w:bidi w:val="0"/>
        <w:spacing w:line="360" w:lineRule="auto"/>
        <w:rPr>
          <w:rFonts w:hint="eastAsia" w:ascii="宋体" w:hAnsi="宋体" w:eastAsia="宋体" w:cs="宋体"/>
          <w:b/>
          <w:bCs/>
          <w:color w:val="auto"/>
          <w:sz w:val="22"/>
          <w:szCs w:val="24"/>
        </w:rPr>
      </w:pPr>
      <w:bookmarkStart w:id="934" w:name="_Toc28007"/>
      <w:bookmarkStart w:id="935" w:name="_Toc20572"/>
      <w:bookmarkStart w:id="936" w:name="_Toc9112"/>
      <w:r>
        <w:rPr>
          <w:rFonts w:hint="eastAsia" w:ascii="宋体" w:hAnsi="宋体" w:eastAsia="宋体" w:cs="宋体"/>
          <w:b/>
          <w:bCs/>
          <w:color w:val="auto"/>
          <w:sz w:val="22"/>
          <w:szCs w:val="24"/>
        </w:rPr>
        <w:t>附件1：</w:t>
      </w:r>
      <w:bookmarkEnd w:id="934"/>
      <w:bookmarkEnd w:id="935"/>
      <w:bookmarkEnd w:id="936"/>
    </w:p>
    <w:p w14:paraId="1B7A1F1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C0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3E9ADFA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1440" w:type="dxa"/>
            <w:noWrap w:val="0"/>
            <w:vAlign w:val="center"/>
          </w:tcPr>
          <w:p w14:paraId="0C123D6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620" w:type="dxa"/>
            <w:noWrap w:val="0"/>
            <w:vAlign w:val="center"/>
          </w:tcPr>
          <w:p w14:paraId="5B2FFE7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1661" w:type="dxa"/>
            <w:noWrap w:val="0"/>
            <w:vAlign w:val="center"/>
          </w:tcPr>
          <w:p w14:paraId="14ED79D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50" w:type="dxa"/>
            <w:noWrap w:val="0"/>
            <w:vAlign w:val="center"/>
          </w:tcPr>
          <w:p w14:paraId="05E2498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1560" w:type="dxa"/>
            <w:noWrap w:val="0"/>
            <w:vAlign w:val="center"/>
          </w:tcPr>
          <w:p w14:paraId="79F2AF6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2126" w:type="dxa"/>
            <w:noWrap w:val="0"/>
            <w:vAlign w:val="center"/>
          </w:tcPr>
          <w:p w14:paraId="1F3B71B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1417" w:type="dxa"/>
            <w:noWrap w:val="0"/>
            <w:vAlign w:val="center"/>
          </w:tcPr>
          <w:p w14:paraId="5A5BD8D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51" w:type="dxa"/>
            <w:noWrap w:val="0"/>
            <w:vAlign w:val="center"/>
          </w:tcPr>
          <w:p w14:paraId="69CA121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50" w:type="dxa"/>
            <w:noWrap w:val="0"/>
            <w:vAlign w:val="center"/>
          </w:tcPr>
          <w:p w14:paraId="4375235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1E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6DA801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D27A1D9">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90F84F9">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4607D32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2291E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D33C69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401DF10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08F6787">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9F5594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BEF5D05">
            <w:pPr>
              <w:pStyle w:val="10"/>
              <w:keepNext/>
              <w:spacing w:after="0" w:line="440" w:lineRule="exact"/>
              <w:ind w:left="63" w:right="63"/>
              <w:rPr>
                <w:rFonts w:hint="eastAsia" w:ascii="宋体" w:hAnsi="宋体" w:eastAsia="宋体" w:cs="宋体"/>
                <w:color w:val="auto"/>
                <w:sz w:val="24"/>
                <w:szCs w:val="24"/>
                <w:highlight w:val="none"/>
              </w:rPr>
            </w:pPr>
          </w:p>
        </w:tc>
      </w:tr>
      <w:tr w14:paraId="54C5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BCB2E4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C1D6A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DA49577">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69E19099">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AEFB03">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72CF4D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25555D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6F27925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D46323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3B2A4DF">
            <w:pPr>
              <w:pStyle w:val="10"/>
              <w:keepNext/>
              <w:spacing w:after="0" w:line="440" w:lineRule="exact"/>
              <w:ind w:left="63" w:right="63"/>
              <w:rPr>
                <w:rFonts w:hint="eastAsia" w:ascii="宋体" w:hAnsi="宋体" w:eastAsia="宋体" w:cs="宋体"/>
                <w:color w:val="auto"/>
                <w:sz w:val="24"/>
                <w:szCs w:val="24"/>
                <w:highlight w:val="none"/>
              </w:rPr>
            </w:pPr>
          </w:p>
        </w:tc>
      </w:tr>
      <w:tr w14:paraId="2FD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39D0867">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00934FF">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2403366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0A87AE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813FFCE">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E31599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99A1969">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8395602">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216F5BB">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90C7343">
            <w:pPr>
              <w:pStyle w:val="10"/>
              <w:keepNext/>
              <w:spacing w:after="0" w:line="440" w:lineRule="exact"/>
              <w:ind w:left="63" w:right="63"/>
              <w:rPr>
                <w:rFonts w:hint="eastAsia" w:ascii="宋体" w:hAnsi="宋体" w:eastAsia="宋体" w:cs="宋体"/>
                <w:color w:val="auto"/>
                <w:sz w:val="24"/>
                <w:szCs w:val="24"/>
                <w:highlight w:val="none"/>
              </w:rPr>
            </w:pPr>
          </w:p>
        </w:tc>
      </w:tr>
      <w:tr w14:paraId="1D09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4058D2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01D319D">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A10979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2B9B8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11A3F94">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5CFC785">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5E2B3E7">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D2EA0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9D3013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3B02290">
            <w:pPr>
              <w:pStyle w:val="10"/>
              <w:keepNext/>
              <w:spacing w:after="0" w:line="440" w:lineRule="exact"/>
              <w:ind w:left="63" w:right="63"/>
              <w:rPr>
                <w:rFonts w:hint="eastAsia" w:ascii="宋体" w:hAnsi="宋体" w:eastAsia="宋体" w:cs="宋体"/>
                <w:color w:val="auto"/>
                <w:sz w:val="24"/>
                <w:szCs w:val="24"/>
                <w:highlight w:val="none"/>
              </w:rPr>
            </w:pPr>
          </w:p>
        </w:tc>
      </w:tr>
      <w:tr w14:paraId="027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B755295">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9249C9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501310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F3B23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6E6C8CA">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04E798B9">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35061D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363A0E94">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1A8E86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1FA36E">
            <w:pPr>
              <w:pStyle w:val="10"/>
              <w:keepNext/>
              <w:spacing w:after="0" w:line="440" w:lineRule="exact"/>
              <w:ind w:left="63" w:right="63"/>
              <w:rPr>
                <w:rFonts w:hint="eastAsia" w:ascii="宋体" w:hAnsi="宋体" w:eastAsia="宋体" w:cs="宋体"/>
                <w:color w:val="auto"/>
                <w:sz w:val="24"/>
                <w:szCs w:val="24"/>
                <w:highlight w:val="none"/>
              </w:rPr>
            </w:pPr>
          </w:p>
        </w:tc>
      </w:tr>
      <w:tr w14:paraId="5BB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454403E">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7FDC04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4E2E1DE">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2DE773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980B249">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8EE912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583471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1B83A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4BAEC7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B872CD">
            <w:pPr>
              <w:pStyle w:val="10"/>
              <w:keepNext/>
              <w:spacing w:after="0" w:line="440" w:lineRule="exact"/>
              <w:ind w:left="63" w:right="63"/>
              <w:rPr>
                <w:rFonts w:hint="eastAsia" w:ascii="宋体" w:hAnsi="宋体" w:eastAsia="宋体" w:cs="宋体"/>
                <w:color w:val="auto"/>
                <w:sz w:val="24"/>
                <w:szCs w:val="24"/>
                <w:highlight w:val="none"/>
              </w:rPr>
            </w:pPr>
          </w:p>
        </w:tc>
      </w:tr>
      <w:tr w14:paraId="54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4C8B55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5F2707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7F67624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00E74F0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E62EFD8">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31EAA2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8B0AC0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2634FC6D">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7DF1EBA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E6DC52">
            <w:pPr>
              <w:pStyle w:val="10"/>
              <w:keepNext/>
              <w:spacing w:after="0" w:line="440" w:lineRule="exact"/>
              <w:ind w:left="63" w:right="63"/>
              <w:rPr>
                <w:rFonts w:hint="eastAsia" w:ascii="宋体" w:hAnsi="宋体" w:eastAsia="宋体" w:cs="宋体"/>
                <w:color w:val="auto"/>
                <w:sz w:val="24"/>
                <w:szCs w:val="24"/>
                <w:highlight w:val="none"/>
              </w:rPr>
            </w:pPr>
          </w:p>
        </w:tc>
      </w:tr>
      <w:tr w14:paraId="127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FB5392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8BFD862">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4E59A3E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3135A40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04F10C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3B7CA1C8">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18955B63">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2C48DE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5F4092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8152C9">
            <w:pPr>
              <w:pStyle w:val="10"/>
              <w:keepNext/>
              <w:spacing w:after="0" w:line="440" w:lineRule="exact"/>
              <w:ind w:left="63" w:right="63"/>
              <w:rPr>
                <w:rFonts w:hint="eastAsia" w:ascii="宋体" w:hAnsi="宋体" w:eastAsia="宋体" w:cs="宋体"/>
                <w:color w:val="auto"/>
                <w:sz w:val="24"/>
                <w:szCs w:val="24"/>
                <w:highlight w:val="none"/>
              </w:rPr>
            </w:pPr>
          </w:p>
        </w:tc>
      </w:tr>
      <w:tr w14:paraId="388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5415024">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AD20EA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EFEE38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21A8FF5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D165F1">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A582AE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72668D7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7709944A">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0124605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E278565">
            <w:pPr>
              <w:pStyle w:val="10"/>
              <w:keepNext/>
              <w:spacing w:after="0" w:line="440" w:lineRule="exact"/>
              <w:ind w:left="63" w:right="63"/>
              <w:rPr>
                <w:rFonts w:hint="eastAsia" w:ascii="宋体" w:hAnsi="宋体" w:eastAsia="宋体" w:cs="宋体"/>
                <w:color w:val="auto"/>
                <w:sz w:val="24"/>
                <w:szCs w:val="24"/>
                <w:highlight w:val="none"/>
              </w:rPr>
            </w:pPr>
          </w:p>
        </w:tc>
      </w:tr>
      <w:tr w14:paraId="2AF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BA57529">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5AB42C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519B226">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10A566C2">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C0BA6A7">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4B90B5EC">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3EC5B96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4CE354EF">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ED7A52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FF1F250">
            <w:pPr>
              <w:pStyle w:val="10"/>
              <w:keepNext/>
              <w:spacing w:after="0" w:line="440" w:lineRule="exact"/>
              <w:ind w:left="63" w:right="63"/>
              <w:rPr>
                <w:rFonts w:hint="eastAsia" w:ascii="宋体" w:hAnsi="宋体" w:eastAsia="宋体" w:cs="宋体"/>
                <w:color w:val="auto"/>
                <w:sz w:val="24"/>
                <w:szCs w:val="24"/>
                <w:highlight w:val="none"/>
              </w:rPr>
            </w:pPr>
          </w:p>
        </w:tc>
      </w:tr>
    </w:tbl>
    <w:p w14:paraId="6B41FC02">
      <w:pPr>
        <w:spacing w:line="460" w:lineRule="exact"/>
        <w:ind w:firstLine="420" w:firstLineChars="200"/>
        <w:rPr>
          <w:color w:val="auto"/>
          <w:highlight w:val="none"/>
        </w:rPr>
      </w:pPr>
    </w:p>
    <w:p w14:paraId="0AC65F76">
      <w:pPr>
        <w:spacing w:line="460" w:lineRule="exact"/>
        <w:ind w:firstLine="420" w:firstLineChars="200"/>
        <w:rPr>
          <w:color w:val="auto"/>
          <w:highlight w:val="none"/>
        </w:rPr>
      </w:pPr>
    </w:p>
    <w:p w14:paraId="2C3F8232">
      <w:pPr>
        <w:spacing w:line="460" w:lineRule="exact"/>
        <w:ind w:firstLine="420" w:firstLineChars="200"/>
        <w:rPr>
          <w:color w:val="auto"/>
          <w:highlight w:val="none"/>
        </w:rPr>
        <w:sectPr>
          <w:headerReference r:id="rId7" w:type="default"/>
          <w:footnotePr>
            <w:numFmt w:val="decimalEnclosedCircleChinese"/>
          </w:footnotePr>
          <w:pgSz w:w="16840" w:h="11907" w:orient="landscape"/>
          <w:pgMar w:top="1440" w:right="1440" w:bottom="1440" w:left="1797" w:header="1134" w:footer="851" w:gutter="0"/>
          <w:pgNumType w:fmt="decimal"/>
          <w:cols w:space="720" w:num="1"/>
          <w:docGrid w:linePitch="312" w:charSpace="0"/>
        </w:sectPr>
      </w:pPr>
    </w:p>
    <w:p w14:paraId="25E57109">
      <w:pPr>
        <w:bidi w:val="0"/>
        <w:spacing w:line="360" w:lineRule="auto"/>
        <w:rPr>
          <w:rFonts w:hint="eastAsia" w:ascii="宋体" w:hAnsi="宋体" w:eastAsia="宋体" w:cs="宋体"/>
          <w:b/>
          <w:bCs/>
          <w:color w:val="auto"/>
          <w:sz w:val="22"/>
          <w:szCs w:val="24"/>
        </w:rPr>
      </w:pPr>
      <w:bookmarkStart w:id="937" w:name="_Toc28463"/>
      <w:bookmarkStart w:id="938" w:name="_Toc19304"/>
      <w:bookmarkStart w:id="939" w:name="_Toc29309"/>
      <w:r>
        <w:rPr>
          <w:rFonts w:hint="eastAsia" w:ascii="宋体" w:hAnsi="宋体" w:eastAsia="宋体" w:cs="宋体"/>
          <w:b/>
          <w:bCs/>
          <w:color w:val="auto"/>
          <w:sz w:val="22"/>
          <w:szCs w:val="24"/>
        </w:rPr>
        <w:t>附件2：</w:t>
      </w:r>
      <w:bookmarkEnd w:id="937"/>
      <w:bookmarkEnd w:id="938"/>
      <w:bookmarkEnd w:id="939"/>
    </w:p>
    <w:p w14:paraId="5E96E0D2">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2E52D66B">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F415712">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234ADE98">
      <w:pPr>
        <w:wordWrap w:val="0"/>
        <w:topLinePunct/>
        <w:spacing w:line="360" w:lineRule="auto"/>
        <w:rPr>
          <w:rFonts w:ascii="宋体"/>
          <w:color w:val="auto"/>
          <w:highlight w:val="none"/>
        </w:rPr>
      </w:pPr>
    </w:p>
    <w:p w14:paraId="5C540E2A">
      <w:pPr>
        <w:wordWrap w:val="0"/>
        <w:topLinePunct/>
        <w:spacing w:line="360" w:lineRule="auto"/>
        <w:ind w:firstLine="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51F1B7AE">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882FEA9">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7A7F87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F75806E">
      <w:pPr>
        <w:wordWrap w:val="0"/>
        <w:topLinePunct/>
        <w:spacing w:line="360" w:lineRule="auto"/>
        <w:ind w:firstLine="0" w:firstLineChars="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430BC8D4">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二、质量保修期</w:t>
      </w:r>
    </w:p>
    <w:p w14:paraId="588BBFCF">
      <w:pPr>
        <w:wordWrap w:val="0"/>
        <w:topLinePunct/>
        <w:spacing w:line="360" w:lineRule="auto"/>
        <w:ind w:firstLine="0"/>
        <w:rPr>
          <w:rFonts w:hAnsi="宋体"/>
          <w:color w:val="auto"/>
          <w:highlight w:val="none"/>
        </w:rPr>
      </w:pPr>
      <w:r>
        <w:rPr>
          <w:rFonts w:hint="eastAsia" w:hAnsi="宋体" w:cs="宋体"/>
          <w:color w:val="auto"/>
          <w:highlight w:val="none"/>
          <w:lang w:eastAsia="zh-CN"/>
        </w:rPr>
        <w:t>本工程质量保修期自工程竣工且经甲乙双方验收合格之日起计，本合同工程质量保修年限为壹年</w:t>
      </w:r>
      <w:r>
        <w:rPr>
          <w:rFonts w:hint="eastAsia" w:hAnsi="宋体" w:cs="宋体"/>
          <w:color w:val="auto"/>
          <w:highlight w:val="none"/>
        </w:rPr>
        <w:t>。</w:t>
      </w:r>
    </w:p>
    <w:p w14:paraId="68F2E14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三、缺陷责任期</w:t>
      </w:r>
    </w:p>
    <w:p w14:paraId="4BE2472C">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13AED85E">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D67BA12">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四、质量保修责任</w:t>
      </w:r>
    </w:p>
    <w:p w14:paraId="3DB737FA">
      <w:pPr>
        <w:wordWrap w:val="0"/>
        <w:topLinePunct/>
        <w:spacing w:line="360" w:lineRule="auto"/>
        <w:ind w:firstLine="0" w:firstLineChars="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082EDB05">
      <w:pPr>
        <w:wordWrap w:val="0"/>
        <w:topLinePunct/>
        <w:spacing w:line="360" w:lineRule="auto"/>
        <w:ind w:firstLine="0" w:firstLineChars="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512F54F4">
      <w:pPr>
        <w:wordWrap w:val="0"/>
        <w:topLinePunct/>
        <w:spacing w:line="360" w:lineRule="auto"/>
        <w:ind w:firstLine="0" w:firstLineChars="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3FB7CC">
      <w:pPr>
        <w:wordWrap w:val="0"/>
        <w:topLinePunct/>
        <w:spacing w:line="360" w:lineRule="auto"/>
        <w:ind w:firstLine="0" w:firstLineChars="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39BF336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五、保修费用</w:t>
      </w:r>
    </w:p>
    <w:p w14:paraId="6AE446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保修费用由造成质量缺陷的责任方承担。</w:t>
      </w:r>
    </w:p>
    <w:p w14:paraId="335497F7">
      <w:pPr>
        <w:wordWrap w:val="0"/>
        <w:topLinePunct/>
        <w:spacing w:line="360" w:lineRule="auto"/>
        <w:ind w:firstLine="0" w:firstLineChars="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0A17DF80">
      <w:pPr>
        <w:wordWrap w:val="0"/>
        <w:topLinePunct/>
        <w:spacing w:line="360" w:lineRule="auto"/>
        <w:jc w:val="both"/>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5646FCD">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A0BD1C6">
      <w:pPr>
        <w:spacing w:line="360" w:lineRule="auto"/>
        <w:ind w:firstLine="420"/>
        <w:rPr>
          <w:rFonts w:ascii="宋体"/>
          <w:color w:val="auto"/>
          <w:highlight w:val="none"/>
        </w:rPr>
      </w:pPr>
    </w:p>
    <w:p w14:paraId="0C64EE17">
      <w:pPr>
        <w:spacing w:line="360" w:lineRule="auto"/>
        <w:ind w:firstLine="420"/>
        <w:rPr>
          <w:rFonts w:ascii="宋体"/>
          <w:color w:val="auto"/>
          <w:highlight w:val="none"/>
        </w:rPr>
      </w:pPr>
    </w:p>
    <w:p w14:paraId="0956B42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olor w:val="auto"/>
          <w:highlight w:val="none"/>
          <w:lang w:val="en-US" w:eastAsia="zh-CN"/>
        </w:rPr>
        <w:t>承包</w:t>
      </w:r>
      <w:r>
        <w:rPr>
          <w:rFonts w:hAnsi="宋体"/>
          <w:color w:val="auto"/>
          <w:highlight w:val="none"/>
        </w:rPr>
        <w:t>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334FA56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552F53C">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B18599C">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C5CE520">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7489EAA">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2AADE0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D1C1DFB">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7B66EFC">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65E78F8">
      <w:pPr>
        <w:spacing w:line="360" w:lineRule="auto"/>
        <w:rPr>
          <w:rFonts w:ascii="宋体"/>
          <w:color w:val="auto"/>
          <w:highlight w:val="none"/>
        </w:rPr>
      </w:pPr>
    </w:p>
    <w:p w14:paraId="2FE16711">
      <w:pPr>
        <w:spacing w:line="360" w:lineRule="auto"/>
        <w:rPr>
          <w:rFonts w:ascii="宋体"/>
          <w:color w:val="auto"/>
          <w:highlight w:val="none"/>
        </w:rPr>
      </w:pPr>
    </w:p>
    <w:p w14:paraId="0D7A86B1">
      <w:pPr>
        <w:bidi w:val="0"/>
        <w:rPr>
          <w:rFonts w:eastAsia="黑体"/>
          <w:color w:val="auto"/>
          <w:sz w:val="30"/>
          <w:szCs w:val="30"/>
          <w:highlight w:val="none"/>
        </w:rPr>
      </w:pPr>
      <w:r>
        <w:rPr>
          <w:rFonts w:eastAsia="仿宋_GB2312" w:cs="仿宋_GB2312"/>
          <w:color w:val="auto"/>
          <w:sz w:val="30"/>
          <w:szCs w:val="30"/>
          <w:highlight w:val="none"/>
        </w:rPr>
        <w:br w:type="page"/>
      </w:r>
      <w:bookmarkStart w:id="940" w:name="_Toc7043"/>
      <w:bookmarkStart w:id="941" w:name="_Toc16992"/>
      <w:bookmarkStart w:id="942" w:name="_Toc22992"/>
      <w:r>
        <w:rPr>
          <w:rFonts w:hint="eastAsia" w:ascii="宋体" w:hAnsi="宋体" w:eastAsia="宋体" w:cs="宋体"/>
          <w:b/>
          <w:bCs/>
          <w:color w:val="auto"/>
          <w:sz w:val="22"/>
          <w:szCs w:val="24"/>
        </w:rPr>
        <w:t>附件3：</w:t>
      </w:r>
      <w:bookmarkEnd w:id="940"/>
      <w:bookmarkEnd w:id="941"/>
      <w:bookmarkEnd w:id="942"/>
    </w:p>
    <w:p w14:paraId="2CF162C1">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95"/>
        <w:gridCol w:w="1367"/>
        <w:gridCol w:w="1555"/>
        <w:gridCol w:w="1332"/>
        <w:gridCol w:w="1555"/>
        <w:gridCol w:w="1787"/>
      </w:tblGrid>
      <w:tr w14:paraId="2FC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pct"/>
            <w:noWrap w:val="0"/>
            <w:vAlign w:val="center"/>
          </w:tcPr>
          <w:p w14:paraId="53B0D57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705" w:type="pct"/>
            <w:noWrap w:val="0"/>
            <w:vAlign w:val="center"/>
          </w:tcPr>
          <w:p w14:paraId="343B862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802" w:type="pct"/>
            <w:noWrap w:val="0"/>
            <w:vAlign w:val="center"/>
          </w:tcPr>
          <w:p w14:paraId="6D99FA4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费用（元）</w:t>
            </w:r>
          </w:p>
        </w:tc>
        <w:tc>
          <w:tcPr>
            <w:tcW w:w="687" w:type="pct"/>
            <w:noWrap w:val="0"/>
            <w:vAlign w:val="center"/>
          </w:tcPr>
          <w:p w14:paraId="233CEA7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802" w:type="pct"/>
            <w:noWrap w:val="0"/>
            <w:vAlign w:val="top"/>
          </w:tcPr>
          <w:p w14:paraId="3F4DD7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921" w:type="pct"/>
            <w:noWrap w:val="0"/>
            <w:vAlign w:val="top"/>
          </w:tcPr>
          <w:p w14:paraId="6335F6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82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58AFAD5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8C389A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ED77CC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E5124D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765D158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2C4BCAE1">
            <w:pPr>
              <w:pStyle w:val="10"/>
              <w:keepNext/>
              <w:spacing w:after="0" w:line="440" w:lineRule="exact"/>
              <w:ind w:left="63" w:right="63"/>
              <w:rPr>
                <w:rFonts w:hint="eastAsia" w:ascii="宋体" w:hAnsi="宋体" w:eastAsia="宋体" w:cs="宋体"/>
                <w:color w:val="auto"/>
                <w:sz w:val="24"/>
                <w:szCs w:val="24"/>
                <w:highlight w:val="none"/>
              </w:rPr>
            </w:pPr>
          </w:p>
        </w:tc>
      </w:tr>
      <w:tr w14:paraId="7DB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AEAA0C1">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B5E2BC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DAEEE13">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2A958CF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3BCF797">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630011C">
            <w:pPr>
              <w:pStyle w:val="10"/>
              <w:keepNext/>
              <w:spacing w:after="0" w:line="440" w:lineRule="exact"/>
              <w:ind w:left="63" w:right="63"/>
              <w:rPr>
                <w:rFonts w:hint="eastAsia" w:ascii="宋体" w:hAnsi="宋体" w:eastAsia="宋体" w:cs="宋体"/>
                <w:color w:val="auto"/>
                <w:sz w:val="24"/>
                <w:szCs w:val="24"/>
                <w:highlight w:val="none"/>
              </w:rPr>
            </w:pPr>
          </w:p>
        </w:tc>
      </w:tr>
      <w:tr w14:paraId="176A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744CEE66">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3EC38E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1CC5B3E">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3F9902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7B79489">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B878697">
            <w:pPr>
              <w:pStyle w:val="10"/>
              <w:keepNext/>
              <w:spacing w:after="0" w:line="440" w:lineRule="exact"/>
              <w:ind w:left="63" w:right="63"/>
              <w:rPr>
                <w:rFonts w:hint="eastAsia" w:ascii="宋体" w:hAnsi="宋体" w:eastAsia="宋体" w:cs="宋体"/>
                <w:color w:val="auto"/>
                <w:sz w:val="24"/>
                <w:szCs w:val="24"/>
                <w:highlight w:val="none"/>
              </w:rPr>
            </w:pPr>
          </w:p>
        </w:tc>
      </w:tr>
      <w:tr w14:paraId="20E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912382B">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38DF839C">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296A61">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3672C7A7">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3AEB9DA">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7299621">
            <w:pPr>
              <w:pStyle w:val="10"/>
              <w:keepNext/>
              <w:spacing w:after="0" w:line="440" w:lineRule="exact"/>
              <w:ind w:left="63" w:right="63"/>
              <w:rPr>
                <w:rFonts w:hint="eastAsia" w:ascii="宋体" w:hAnsi="宋体" w:eastAsia="宋体" w:cs="宋体"/>
                <w:color w:val="auto"/>
                <w:sz w:val="24"/>
                <w:szCs w:val="24"/>
                <w:highlight w:val="none"/>
              </w:rPr>
            </w:pPr>
          </w:p>
        </w:tc>
      </w:tr>
      <w:tr w14:paraId="41C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8B54927">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3703EE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B52BD4F">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23EC274">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49ADEF">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5855DB0">
            <w:pPr>
              <w:pStyle w:val="10"/>
              <w:keepNext/>
              <w:spacing w:after="0" w:line="440" w:lineRule="exact"/>
              <w:ind w:left="63" w:right="63"/>
              <w:rPr>
                <w:rFonts w:hint="eastAsia" w:ascii="宋体" w:hAnsi="宋体" w:eastAsia="宋体" w:cs="宋体"/>
                <w:color w:val="auto"/>
                <w:sz w:val="24"/>
                <w:szCs w:val="24"/>
                <w:highlight w:val="none"/>
              </w:rPr>
            </w:pPr>
          </w:p>
        </w:tc>
      </w:tr>
      <w:tr w14:paraId="431B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041C6F65">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0094AE2">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0844A94">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587AA67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694BC9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FAEDA93">
            <w:pPr>
              <w:pStyle w:val="10"/>
              <w:keepNext/>
              <w:spacing w:after="0" w:line="440" w:lineRule="exact"/>
              <w:ind w:left="63" w:right="63"/>
              <w:rPr>
                <w:rFonts w:hint="eastAsia" w:ascii="宋体" w:hAnsi="宋体" w:eastAsia="宋体" w:cs="宋体"/>
                <w:color w:val="auto"/>
                <w:sz w:val="24"/>
                <w:szCs w:val="24"/>
                <w:highlight w:val="none"/>
              </w:rPr>
            </w:pPr>
          </w:p>
        </w:tc>
      </w:tr>
      <w:tr w14:paraId="1090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37559BE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6AB8340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A7D986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6DB139D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BE77BDB">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454957A">
            <w:pPr>
              <w:pStyle w:val="10"/>
              <w:keepNext/>
              <w:spacing w:after="0" w:line="440" w:lineRule="exact"/>
              <w:ind w:left="63" w:right="63"/>
              <w:rPr>
                <w:rFonts w:hint="eastAsia" w:ascii="宋体" w:hAnsi="宋体" w:eastAsia="宋体" w:cs="宋体"/>
                <w:color w:val="auto"/>
                <w:sz w:val="24"/>
                <w:szCs w:val="24"/>
                <w:highlight w:val="none"/>
              </w:rPr>
            </w:pPr>
          </w:p>
        </w:tc>
      </w:tr>
      <w:tr w14:paraId="2DD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518A8AC">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2B13756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45EC34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A05921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56C3AF6">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25AB3FC">
            <w:pPr>
              <w:pStyle w:val="10"/>
              <w:keepNext/>
              <w:spacing w:after="0" w:line="440" w:lineRule="exact"/>
              <w:ind w:left="63" w:right="63"/>
              <w:rPr>
                <w:rFonts w:hint="eastAsia" w:ascii="宋体" w:hAnsi="宋体" w:eastAsia="宋体" w:cs="宋体"/>
                <w:color w:val="auto"/>
                <w:sz w:val="24"/>
                <w:szCs w:val="24"/>
                <w:highlight w:val="none"/>
              </w:rPr>
            </w:pPr>
          </w:p>
        </w:tc>
      </w:tr>
      <w:tr w14:paraId="50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34A78E98">
            <w:pPr>
              <w:rPr>
                <w:rFonts w:hint="eastAsia" w:ascii="宋体" w:hAnsi="宋体" w:eastAsia="宋体" w:cs="宋体"/>
                <w:color w:val="auto"/>
                <w:sz w:val="24"/>
                <w:szCs w:val="24"/>
                <w:highlight w:val="none"/>
              </w:rPr>
            </w:pPr>
          </w:p>
        </w:tc>
        <w:tc>
          <w:tcPr>
            <w:tcW w:w="705" w:type="pct"/>
            <w:noWrap w:val="0"/>
            <w:vAlign w:val="top"/>
          </w:tcPr>
          <w:p w14:paraId="330A1C8B">
            <w:pPr>
              <w:rPr>
                <w:rFonts w:hint="eastAsia" w:ascii="宋体" w:hAnsi="宋体" w:eastAsia="宋体" w:cs="宋体"/>
                <w:color w:val="auto"/>
                <w:sz w:val="24"/>
                <w:szCs w:val="24"/>
                <w:highlight w:val="none"/>
              </w:rPr>
            </w:pPr>
          </w:p>
        </w:tc>
        <w:tc>
          <w:tcPr>
            <w:tcW w:w="802" w:type="pct"/>
            <w:noWrap w:val="0"/>
            <w:vAlign w:val="top"/>
          </w:tcPr>
          <w:p w14:paraId="48218801">
            <w:pPr>
              <w:rPr>
                <w:rFonts w:hint="eastAsia" w:ascii="宋体" w:hAnsi="宋体" w:eastAsia="宋体" w:cs="宋体"/>
                <w:color w:val="auto"/>
                <w:sz w:val="24"/>
                <w:szCs w:val="24"/>
                <w:highlight w:val="none"/>
              </w:rPr>
            </w:pPr>
          </w:p>
        </w:tc>
        <w:tc>
          <w:tcPr>
            <w:tcW w:w="687" w:type="pct"/>
            <w:noWrap w:val="0"/>
            <w:vAlign w:val="top"/>
          </w:tcPr>
          <w:p w14:paraId="35F03181">
            <w:pPr>
              <w:rPr>
                <w:rFonts w:hint="eastAsia" w:ascii="宋体" w:hAnsi="宋体" w:eastAsia="宋体" w:cs="宋体"/>
                <w:color w:val="auto"/>
                <w:sz w:val="24"/>
                <w:szCs w:val="24"/>
                <w:highlight w:val="none"/>
              </w:rPr>
            </w:pPr>
          </w:p>
        </w:tc>
        <w:tc>
          <w:tcPr>
            <w:tcW w:w="802" w:type="pct"/>
            <w:noWrap w:val="0"/>
            <w:vAlign w:val="top"/>
          </w:tcPr>
          <w:p w14:paraId="31A84693">
            <w:pPr>
              <w:rPr>
                <w:rFonts w:hint="eastAsia" w:ascii="宋体" w:hAnsi="宋体" w:eastAsia="宋体" w:cs="宋体"/>
                <w:color w:val="auto"/>
                <w:sz w:val="24"/>
                <w:szCs w:val="24"/>
                <w:highlight w:val="none"/>
              </w:rPr>
            </w:pPr>
          </w:p>
        </w:tc>
        <w:tc>
          <w:tcPr>
            <w:tcW w:w="921" w:type="pct"/>
            <w:noWrap w:val="0"/>
            <w:vAlign w:val="top"/>
          </w:tcPr>
          <w:p w14:paraId="3A72CAE5">
            <w:pPr>
              <w:rPr>
                <w:rFonts w:hint="eastAsia" w:ascii="宋体" w:hAnsi="宋体" w:eastAsia="宋体" w:cs="宋体"/>
                <w:color w:val="auto"/>
                <w:sz w:val="24"/>
                <w:szCs w:val="24"/>
                <w:highlight w:val="none"/>
              </w:rPr>
            </w:pPr>
          </w:p>
        </w:tc>
      </w:tr>
      <w:tr w14:paraId="075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6548EEA">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1675B3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780999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70F0A67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8273AF0">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10C3CBE">
            <w:pPr>
              <w:pStyle w:val="10"/>
              <w:keepNext/>
              <w:spacing w:after="0" w:line="440" w:lineRule="exact"/>
              <w:ind w:left="63" w:right="63"/>
              <w:rPr>
                <w:rFonts w:hint="eastAsia" w:ascii="宋体" w:hAnsi="宋体" w:eastAsia="宋体" w:cs="宋体"/>
                <w:color w:val="auto"/>
                <w:sz w:val="24"/>
                <w:szCs w:val="24"/>
                <w:highlight w:val="none"/>
              </w:rPr>
            </w:pPr>
          </w:p>
        </w:tc>
      </w:tr>
      <w:tr w14:paraId="6E4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45760E2">
            <w:pPr>
              <w:rPr>
                <w:rFonts w:hint="eastAsia" w:ascii="宋体" w:hAnsi="宋体" w:eastAsia="宋体" w:cs="宋体"/>
                <w:color w:val="auto"/>
                <w:sz w:val="24"/>
                <w:szCs w:val="24"/>
                <w:highlight w:val="none"/>
              </w:rPr>
            </w:pPr>
          </w:p>
        </w:tc>
        <w:tc>
          <w:tcPr>
            <w:tcW w:w="705" w:type="pct"/>
            <w:noWrap w:val="0"/>
            <w:vAlign w:val="top"/>
          </w:tcPr>
          <w:p w14:paraId="2855DD01">
            <w:pPr>
              <w:rPr>
                <w:rFonts w:hint="eastAsia" w:ascii="宋体" w:hAnsi="宋体" w:eastAsia="宋体" w:cs="宋体"/>
                <w:color w:val="auto"/>
                <w:sz w:val="24"/>
                <w:szCs w:val="24"/>
                <w:highlight w:val="none"/>
              </w:rPr>
            </w:pPr>
          </w:p>
        </w:tc>
        <w:tc>
          <w:tcPr>
            <w:tcW w:w="802" w:type="pct"/>
            <w:noWrap w:val="0"/>
            <w:vAlign w:val="top"/>
          </w:tcPr>
          <w:p w14:paraId="43F0FB72">
            <w:pPr>
              <w:rPr>
                <w:rFonts w:hint="eastAsia" w:ascii="宋体" w:hAnsi="宋体" w:eastAsia="宋体" w:cs="宋体"/>
                <w:color w:val="auto"/>
                <w:sz w:val="24"/>
                <w:szCs w:val="24"/>
                <w:highlight w:val="none"/>
              </w:rPr>
            </w:pPr>
          </w:p>
        </w:tc>
        <w:tc>
          <w:tcPr>
            <w:tcW w:w="687" w:type="pct"/>
            <w:noWrap w:val="0"/>
            <w:vAlign w:val="top"/>
          </w:tcPr>
          <w:p w14:paraId="01BD3397">
            <w:pPr>
              <w:rPr>
                <w:rFonts w:hint="eastAsia" w:ascii="宋体" w:hAnsi="宋体" w:eastAsia="宋体" w:cs="宋体"/>
                <w:color w:val="auto"/>
                <w:sz w:val="24"/>
                <w:szCs w:val="24"/>
                <w:highlight w:val="none"/>
              </w:rPr>
            </w:pPr>
          </w:p>
        </w:tc>
        <w:tc>
          <w:tcPr>
            <w:tcW w:w="802" w:type="pct"/>
            <w:noWrap w:val="0"/>
            <w:vAlign w:val="top"/>
          </w:tcPr>
          <w:p w14:paraId="353E2FDA">
            <w:pPr>
              <w:rPr>
                <w:rFonts w:hint="eastAsia" w:ascii="宋体" w:hAnsi="宋体" w:eastAsia="宋体" w:cs="宋体"/>
                <w:color w:val="auto"/>
                <w:sz w:val="24"/>
                <w:szCs w:val="24"/>
                <w:highlight w:val="none"/>
              </w:rPr>
            </w:pPr>
          </w:p>
        </w:tc>
        <w:tc>
          <w:tcPr>
            <w:tcW w:w="921" w:type="pct"/>
            <w:noWrap w:val="0"/>
            <w:vAlign w:val="top"/>
          </w:tcPr>
          <w:p w14:paraId="191778DD">
            <w:pPr>
              <w:rPr>
                <w:rFonts w:hint="eastAsia" w:ascii="宋体" w:hAnsi="宋体" w:eastAsia="宋体" w:cs="宋体"/>
                <w:color w:val="auto"/>
                <w:sz w:val="24"/>
                <w:szCs w:val="24"/>
                <w:highlight w:val="none"/>
              </w:rPr>
            </w:pPr>
          </w:p>
        </w:tc>
      </w:tr>
      <w:tr w14:paraId="3913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104911D">
            <w:pPr>
              <w:rPr>
                <w:rFonts w:hint="eastAsia" w:ascii="宋体" w:hAnsi="宋体" w:eastAsia="宋体" w:cs="宋体"/>
                <w:color w:val="auto"/>
                <w:sz w:val="24"/>
                <w:szCs w:val="24"/>
                <w:highlight w:val="none"/>
              </w:rPr>
            </w:pPr>
          </w:p>
        </w:tc>
        <w:tc>
          <w:tcPr>
            <w:tcW w:w="705" w:type="pct"/>
            <w:noWrap w:val="0"/>
            <w:vAlign w:val="top"/>
          </w:tcPr>
          <w:p w14:paraId="655E09AC">
            <w:pPr>
              <w:rPr>
                <w:rFonts w:hint="eastAsia" w:ascii="宋体" w:hAnsi="宋体" w:eastAsia="宋体" w:cs="宋体"/>
                <w:color w:val="auto"/>
                <w:sz w:val="24"/>
                <w:szCs w:val="24"/>
                <w:highlight w:val="none"/>
              </w:rPr>
            </w:pPr>
          </w:p>
        </w:tc>
        <w:tc>
          <w:tcPr>
            <w:tcW w:w="802" w:type="pct"/>
            <w:noWrap w:val="0"/>
            <w:vAlign w:val="top"/>
          </w:tcPr>
          <w:p w14:paraId="759C0973">
            <w:pPr>
              <w:rPr>
                <w:rFonts w:hint="eastAsia" w:ascii="宋体" w:hAnsi="宋体" w:eastAsia="宋体" w:cs="宋体"/>
                <w:color w:val="auto"/>
                <w:sz w:val="24"/>
                <w:szCs w:val="24"/>
                <w:highlight w:val="none"/>
              </w:rPr>
            </w:pPr>
          </w:p>
        </w:tc>
        <w:tc>
          <w:tcPr>
            <w:tcW w:w="687" w:type="pct"/>
            <w:noWrap w:val="0"/>
            <w:vAlign w:val="top"/>
          </w:tcPr>
          <w:p w14:paraId="2E3A3038">
            <w:pPr>
              <w:rPr>
                <w:rFonts w:hint="eastAsia" w:ascii="宋体" w:hAnsi="宋体" w:eastAsia="宋体" w:cs="宋体"/>
                <w:color w:val="auto"/>
                <w:sz w:val="24"/>
                <w:szCs w:val="24"/>
                <w:highlight w:val="none"/>
              </w:rPr>
            </w:pPr>
          </w:p>
        </w:tc>
        <w:tc>
          <w:tcPr>
            <w:tcW w:w="802" w:type="pct"/>
            <w:noWrap w:val="0"/>
            <w:vAlign w:val="top"/>
          </w:tcPr>
          <w:p w14:paraId="5E6EA41E">
            <w:pPr>
              <w:rPr>
                <w:rFonts w:hint="eastAsia" w:ascii="宋体" w:hAnsi="宋体" w:eastAsia="宋体" w:cs="宋体"/>
                <w:color w:val="auto"/>
                <w:sz w:val="24"/>
                <w:szCs w:val="24"/>
                <w:highlight w:val="none"/>
              </w:rPr>
            </w:pPr>
          </w:p>
        </w:tc>
        <w:tc>
          <w:tcPr>
            <w:tcW w:w="921" w:type="pct"/>
            <w:noWrap w:val="0"/>
            <w:vAlign w:val="top"/>
          </w:tcPr>
          <w:p w14:paraId="36ADEBFF">
            <w:pPr>
              <w:rPr>
                <w:rFonts w:hint="eastAsia" w:ascii="宋体" w:hAnsi="宋体" w:eastAsia="宋体" w:cs="宋体"/>
                <w:color w:val="auto"/>
                <w:sz w:val="24"/>
                <w:szCs w:val="24"/>
                <w:highlight w:val="none"/>
              </w:rPr>
            </w:pPr>
          </w:p>
        </w:tc>
      </w:tr>
      <w:tr w14:paraId="516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A94E18C">
            <w:pPr>
              <w:rPr>
                <w:rFonts w:hint="eastAsia" w:ascii="宋体" w:hAnsi="宋体" w:eastAsia="宋体" w:cs="宋体"/>
                <w:color w:val="auto"/>
                <w:sz w:val="24"/>
                <w:szCs w:val="24"/>
                <w:highlight w:val="none"/>
              </w:rPr>
            </w:pPr>
          </w:p>
        </w:tc>
        <w:tc>
          <w:tcPr>
            <w:tcW w:w="705" w:type="pct"/>
            <w:noWrap w:val="0"/>
            <w:vAlign w:val="top"/>
          </w:tcPr>
          <w:p w14:paraId="04358DC4">
            <w:pPr>
              <w:rPr>
                <w:rFonts w:hint="eastAsia" w:ascii="宋体" w:hAnsi="宋体" w:eastAsia="宋体" w:cs="宋体"/>
                <w:color w:val="auto"/>
                <w:sz w:val="24"/>
                <w:szCs w:val="24"/>
                <w:highlight w:val="none"/>
              </w:rPr>
            </w:pPr>
          </w:p>
        </w:tc>
        <w:tc>
          <w:tcPr>
            <w:tcW w:w="802" w:type="pct"/>
            <w:noWrap w:val="0"/>
            <w:vAlign w:val="top"/>
          </w:tcPr>
          <w:p w14:paraId="4D13CB4C">
            <w:pPr>
              <w:rPr>
                <w:rFonts w:hint="eastAsia" w:ascii="宋体" w:hAnsi="宋体" w:eastAsia="宋体" w:cs="宋体"/>
                <w:color w:val="auto"/>
                <w:sz w:val="24"/>
                <w:szCs w:val="24"/>
                <w:highlight w:val="none"/>
              </w:rPr>
            </w:pPr>
          </w:p>
        </w:tc>
        <w:tc>
          <w:tcPr>
            <w:tcW w:w="687" w:type="pct"/>
            <w:noWrap w:val="0"/>
            <w:vAlign w:val="top"/>
          </w:tcPr>
          <w:p w14:paraId="0908E2C1">
            <w:pPr>
              <w:rPr>
                <w:rFonts w:hint="eastAsia" w:ascii="宋体" w:hAnsi="宋体" w:eastAsia="宋体" w:cs="宋体"/>
                <w:color w:val="auto"/>
                <w:sz w:val="24"/>
                <w:szCs w:val="24"/>
                <w:highlight w:val="none"/>
              </w:rPr>
            </w:pPr>
          </w:p>
        </w:tc>
        <w:tc>
          <w:tcPr>
            <w:tcW w:w="802" w:type="pct"/>
            <w:noWrap w:val="0"/>
            <w:vAlign w:val="top"/>
          </w:tcPr>
          <w:p w14:paraId="776C350E">
            <w:pPr>
              <w:rPr>
                <w:rFonts w:hint="eastAsia" w:ascii="宋体" w:hAnsi="宋体" w:eastAsia="宋体" w:cs="宋体"/>
                <w:color w:val="auto"/>
                <w:sz w:val="24"/>
                <w:szCs w:val="24"/>
                <w:highlight w:val="none"/>
              </w:rPr>
            </w:pPr>
          </w:p>
        </w:tc>
        <w:tc>
          <w:tcPr>
            <w:tcW w:w="921" w:type="pct"/>
            <w:noWrap w:val="0"/>
            <w:vAlign w:val="top"/>
          </w:tcPr>
          <w:p w14:paraId="4B274475">
            <w:pPr>
              <w:rPr>
                <w:rFonts w:hint="eastAsia" w:ascii="宋体" w:hAnsi="宋体" w:eastAsia="宋体" w:cs="宋体"/>
                <w:color w:val="auto"/>
                <w:sz w:val="24"/>
                <w:szCs w:val="24"/>
                <w:highlight w:val="none"/>
              </w:rPr>
            </w:pPr>
          </w:p>
        </w:tc>
      </w:tr>
      <w:tr w14:paraId="078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0BFD7FB">
            <w:pPr>
              <w:rPr>
                <w:rFonts w:hint="eastAsia" w:ascii="宋体" w:hAnsi="宋体" w:eastAsia="宋体" w:cs="宋体"/>
                <w:color w:val="auto"/>
                <w:sz w:val="24"/>
                <w:szCs w:val="24"/>
                <w:highlight w:val="none"/>
              </w:rPr>
            </w:pPr>
          </w:p>
        </w:tc>
        <w:tc>
          <w:tcPr>
            <w:tcW w:w="705" w:type="pct"/>
            <w:noWrap w:val="0"/>
            <w:vAlign w:val="top"/>
          </w:tcPr>
          <w:p w14:paraId="2BF860B0">
            <w:pPr>
              <w:rPr>
                <w:rFonts w:hint="eastAsia" w:ascii="宋体" w:hAnsi="宋体" w:eastAsia="宋体" w:cs="宋体"/>
                <w:color w:val="auto"/>
                <w:sz w:val="24"/>
                <w:szCs w:val="24"/>
                <w:highlight w:val="none"/>
              </w:rPr>
            </w:pPr>
          </w:p>
        </w:tc>
        <w:tc>
          <w:tcPr>
            <w:tcW w:w="802" w:type="pct"/>
            <w:noWrap w:val="0"/>
            <w:vAlign w:val="top"/>
          </w:tcPr>
          <w:p w14:paraId="44B95F2D">
            <w:pPr>
              <w:rPr>
                <w:rFonts w:hint="eastAsia" w:ascii="宋体" w:hAnsi="宋体" w:eastAsia="宋体" w:cs="宋体"/>
                <w:color w:val="auto"/>
                <w:sz w:val="24"/>
                <w:szCs w:val="24"/>
                <w:highlight w:val="none"/>
              </w:rPr>
            </w:pPr>
          </w:p>
        </w:tc>
        <w:tc>
          <w:tcPr>
            <w:tcW w:w="687" w:type="pct"/>
            <w:noWrap w:val="0"/>
            <w:vAlign w:val="top"/>
          </w:tcPr>
          <w:p w14:paraId="6B42074C">
            <w:pPr>
              <w:rPr>
                <w:rFonts w:hint="eastAsia" w:ascii="宋体" w:hAnsi="宋体" w:eastAsia="宋体" w:cs="宋体"/>
                <w:color w:val="auto"/>
                <w:sz w:val="24"/>
                <w:szCs w:val="24"/>
                <w:highlight w:val="none"/>
              </w:rPr>
            </w:pPr>
          </w:p>
        </w:tc>
        <w:tc>
          <w:tcPr>
            <w:tcW w:w="802" w:type="pct"/>
            <w:noWrap w:val="0"/>
            <w:vAlign w:val="top"/>
          </w:tcPr>
          <w:p w14:paraId="36F0626D">
            <w:pPr>
              <w:rPr>
                <w:rFonts w:hint="eastAsia" w:ascii="宋体" w:hAnsi="宋体" w:eastAsia="宋体" w:cs="宋体"/>
                <w:color w:val="auto"/>
                <w:sz w:val="24"/>
                <w:szCs w:val="24"/>
                <w:highlight w:val="none"/>
              </w:rPr>
            </w:pPr>
          </w:p>
        </w:tc>
        <w:tc>
          <w:tcPr>
            <w:tcW w:w="921" w:type="pct"/>
            <w:noWrap w:val="0"/>
            <w:vAlign w:val="top"/>
          </w:tcPr>
          <w:p w14:paraId="4AD2F297">
            <w:pPr>
              <w:rPr>
                <w:rFonts w:hint="eastAsia" w:ascii="宋体" w:hAnsi="宋体" w:eastAsia="宋体" w:cs="宋体"/>
                <w:color w:val="auto"/>
                <w:sz w:val="24"/>
                <w:szCs w:val="24"/>
                <w:highlight w:val="none"/>
              </w:rPr>
            </w:pPr>
          </w:p>
        </w:tc>
      </w:tr>
      <w:tr w14:paraId="42D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776782F">
            <w:pPr>
              <w:rPr>
                <w:rFonts w:hint="eastAsia" w:ascii="宋体" w:hAnsi="宋体" w:eastAsia="宋体" w:cs="宋体"/>
                <w:color w:val="auto"/>
                <w:sz w:val="24"/>
                <w:szCs w:val="24"/>
                <w:highlight w:val="none"/>
              </w:rPr>
            </w:pPr>
          </w:p>
        </w:tc>
        <w:tc>
          <w:tcPr>
            <w:tcW w:w="705" w:type="pct"/>
            <w:noWrap w:val="0"/>
            <w:vAlign w:val="top"/>
          </w:tcPr>
          <w:p w14:paraId="14717866">
            <w:pPr>
              <w:rPr>
                <w:rFonts w:hint="eastAsia" w:ascii="宋体" w:hAnsi="宋体" w:eastAsia="宋体" w:cs="宋体"/>
                <w:color w:val="auto"/>
                <w:sz w:val="24"/>
                <w:szCs w:val="24"/>
                <w:highlight w:val="none"/>
              </w:rPr>
            </w:pPr>
          </w:p>
        </w:tc>
        <w:tc>
          <w:tcPr>
            <w:tcW w:w="802" w:type="pct"/>
            <w:noWrap w:val="0"/>
            <w:vAlign w:val="top"/>
          </w:tcPr>
          <w:p w14:paraId="3829796B">
            <w:pPr>
              <w:rPr>
                <w:rFonts w:hint="eastAsia" w:ascii="宋体" w:hAnsi="宋体" w:eastAsia="宋体" w:cs="宋体"/>
                <w:color w:val="auto"/>
                <w:sz w:val="24"/>
                <w:szCs w:val="24"/>
                <w:highlight w:val="none"/>
              </w:rPr>
            </w:pPr>
          </w:p>
        </w:tc>
        <w:tc>
          <w:tcPr>
            <w:tcW w:w="687" w:type="pct"/>
            <w:noWrap w:val="0"/>
            <w:vAlign w:val="top"/>
          </w:tcPr>
          <w:p w14:paraId="6B113616">
            <w:pPr>
              <w:rPr>
                <w:rFonts w:hint="eastAsia" w:ascii="宋体" w:hAnsi="宋体" w:eastAsia="宋体" w:cs="宋体"/>
                <w:color w:val="auto"/>
                <w:sz w:val="24"/>
                <w:szCs w:val="24"/>
                <w:highlight w:val="none"/>
              </w:rPr>
            </w:pPr>
          </w:p>
        </w:tc>
        <w:tc>
          <w:tcPr>
            <w:tcW w:w="802" w:type="pct"/>
            <w:noWrap w:val="0"/>
            <w:vAlign w:val="top"/>
          </w:tcPr>
          <w:p w14:paraId="390FD294">
            <w:pPr>
              <w:rPr>
                <w:rFonts w:hint="eastAsia" w:ascii="宋体" w:hAnsi="宋体" w:eastAsia="宋体" w:cs="宋体"/>
                <w:color w:val="auto"/>
                <w:sz w:val="24"/>
                <w:szCs w:val="24"/>
                <w:highlight w:val="none"/>
              </w:rPr>
            </w:pPr>
          </w:p>
        </w:tc>
        <w:tc>
          <w:tcPr>
            <w:tcW w:w="921" w:type="pct"/>
            <w:noWrap w:val="0"/>
            <w:vAlign w:val="top"/>
          </w:tcPr>
          <w:p w14:paraId="2E548AC2">
            <w:pPr>
              <w:rPr>
                <w:rFonts w:hint="eastAsia" w:ascii="宋体" w:hAnsi="宋体" w:eastAsia="宋体" w:cs="宋体"/>
                <w:color w:val="auto"/>
                <w:sz w:val="24"/>
                <w:szCs w:val="24"/>
                <w:highlight w:val="none"/>
              </w:rPr>
            </w:pPr>
          </w:p>
        </w:tc>
      </w:tr>
      <w:tr w14:paraId="3DF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7C24345">
            <w:pPr>
              <w:rPr>
                <w:rFonts w:hint="eastAsia" w:ascii="宋体" w:hAnsi="宋体" w:eastAsia="宋体" w:cs="宋体"/>
                <w:color w:val="auto"/>
                <w:sz w:val="24"/>
                <w:szCs w:val="24"/>
                <w:highlight w:val="none"/>
              </w:rPr>
            </w:pPr>
          </w:p>
        </w:tc>
        <w:tc>
          <w:tcPr>
            <w:tcW w:w="705" w:type="pct"/>
            <w:noWrap w:val="0"/>
            <w:vAlign w:val="top"/>
          </w:tcPr>
          <w:p w14:paraId="1856903C">
            <w:pPr>
              <w:rPr>
                <w:rFonts w:hint="eastAsia" w:ascii="宋体" w:hAnsi="宋体" w:eastAsia="宋体" w:cs="宋体"/>
                <w:color w:val="auto"/>
                <w:sz w:val="24"/>
                <w:szCs w:val="24"/>
                <w:highlight w:val="none"/>
              </w:rPr>
            </w:pPr>
          </w:p>
        </w:tc>
        <w:tc>
          <w:tcPr>
            <w:tcW w:w="802" w:type="pct"/>
            <w:noWrap w:val="0"/>
            <w:vAlign w:val="top"/>
          </w:tcPr>
          <w:p w14:paraId="7A8CD857">
            <w:pPr>
              <w:rPr>
                <w:rFonts w:hint="eastAsia" w:ascii="宋体" w:hAnsi="宋体" w:eastAsia="宋体" w:cs="宋体"/>
                <w:color w:val="auto"/>
                <w:sz w:val="24"/>
                <w:szCs w:val="24"/>
                <w:highlight w:val="none"/>
              </w:rPr>
            </w:pPr>
          </w:p>
        </w:tc>
        <w:tc>
          <w:tcPr>
            <w:tcW w:w="687" w:type="pct"/>
            <w:noWrap w:val="0"/>
            <w:vAlign w:val="top"/>
          </w:tcPr>
          <w:p w14:paraId="24FD75E1">
            <w:pPr>
              <w:rPr>
                <w:rFonts w:hint="eastAsia" w:ascii="宋体" w:hAnsi="宋体" w:eastAsia="宋体" w:cs="宋体"/>
                <w:color w:val="auto"/>
                <w:sz w:val="24"/>
                <w:szCs w:val="24"/>
                <w:highlight w:val="none"/>
              </w:rPr>
            </w:pPr>
          </w:p>
        </w:tc>
        <w:tc>
          <w:tcPr>
            <w:tcW w:w="802" w:type="pct"/>
            <w:noWrap w:val="0"/>
            <w:vAlign w:val="top"/>
          </w:tcPr>
          <w:p w14:paraId="71903655">
            <w:pPr>
              <w:rPr>
                <w:rFonts w:hint="eastAsia" w:ascii="宋体" w:hAnsi="宋体" w:eastAsia="宋体" w:cs="宋体"/>
                <w:color w:val="auto"/>
                <w:sz w:val="24"/>
                <w:szCs w:val="24"/>
                <w:highlight w:val="none"/>
              </w:rPr>
            </w:pPr>
          </w:p>
        </w:tc>
        <w:tc>
          <w:tcPr>
            <w:tcW w:w="921" w:type="pct"/>
            <w:noWrap w:val="0"/>
            <w:vAlign w:val="top"/>
          </w:tcPr>
          <w:p w14:paraId="428225AF">
            <w:pPr>
              <w:rPr>
                <w:rFonts w:hint="eastAsia" w:ascii="宋体" w:hAnsi="宋体" w:eastAsia="宋体" w:cs="宋体"/>
                <w:color w:val="auto"/>
                <w:sz w:val="24"/>
                <w:szCs w:val="24"/>
                <w:highlight w:val="none"/>
              </w:rPr>
            </w:pPr>
          </w:p>
        </w:tc>
      </w:tr>
      <w:tr w14:paraId="0D34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26350BD1">
            <w:pPr>
              <w:rPr>
                <w:rFonts w:hint="eastAsia" w:ascii="宋体" w:hAnsi="宋体" w:eastAsia="宋体" w:cs="宋体"/>
                <w:color w:val="auto"/>
                <w:sz w:val="24"/>
                <w:szCs w:val="24"/>
                <w:highlight w:val="none"/>
              </w:rPr>
            </w:pPr>
          </w:p>
        </w:tc>
        <w:tc>
          <w:tcPr>
            <w:tcW w:w="705" w:type="pct"/>
            <w:noWrap w:val="0"/>
            <w:vAlign w:val="top"/>
          </w:tcPr>
          <w:p w14:paraId="4517CABB">
            <w:pPr>
              <w:rPr>
                <w:rFonts w:hint="eastAsia" w:ascii="宋体" w:hAnsi="宋体" w:eastAsia="宋体" w:cs="宋体"/>
                <w:color w:val="auto"/>
                <w:sz w:val="24"/>
                <w:szCs w:val="24"/>
                <w:highlight w:val="none"/>
              </w:rPr>
            </w:pPr>
          </w:p>
        </w:tc>
        <w:tc>
          <w:tcPr>
            <w:tcW w:w="802" w:type="pct"/>
            <w:noWrap w:val="0"/>
            <w:vAlign w:val="top"/>
          </w:tcPr>
          <w:p w14:paraId="30948578">
            <w:pPr>
              <w:rPr>
                <w:rFonts w:hint="eastAsia" w:ascii="宋体" w:hAnsi="宋体" w:eastAsia="宋体" w:cs="宋体"/>
                <w:color w:val="auto"/>
                <w:sz w:val="24"/>
                <w:szCs w:val="24"/>
                <w:highlight w:val="none"/>
              </w:rPr>
            </w:pPr>
          </w:p>
        </w:tc>
        <w:tc>
          <w:tcPr>
            <w:tcW w:w="687" w:type="pct"/>
            <w:noWrap w:val="0"/>
            <w:vAlign w:val="top"/>
          </w:tcPr>
          <w:p w14:paraId="30389BE7">
            <w:pPr>
              <w:rPr>
                <w:rFonts w:hint="eastAsia" w:ascii="宋体" w:hAnsi="宋体" w:eastAsia="宋体" w:cs="宋体"/>
                <w:color w:val="auto"/>
                <w:sz w:val="24"/>
                <w:szCs w:val="24"/>
                <w:highlight w:val="none"/>
              </w:rPr>
            </w:pPr>
          </w:p>
        </w:tc>
        <w:tc>
          <w:tcPr>
            <w:tcW w:w="802" w:type="pct"/>
            <w:noWrap w:val="0"/>
            <w:vAlign w:val="top"/>
          </w:tcPr>
          <w:p w14:paraId="40C1092C">
            <w:pPr>
              <w:rPr>
                <w:rFonts w:hint="eastAsia" w:ascii="宋体" w:hAnsi="宋体" w:eastAsia="宋体" w:cs="宋体"/>
                <w:color w:val="auto"/>
                <w:sz w:val="24"/>
                <w:szCs w:val="24"/>
                <w:highlight w:val="none"/>
              </w:rPr>
            </w:pPr>
          </w:p>
        </w:tc>
        <w:tc>
          <w:tcPr>
            <w:tcW w:w="921" w:type="pct"/>
            <w:noWrap w:val="0"/>
            <w:vAlign w:val="top"/>
          </w:tcPr>
          <w:p w14:paraId="53CD231C">
            <w:pPr>
              <w:rPr>
                <w:rFonts w:hint="eastAsia" w:ascii="宋体" w:hAnsi="宋体" w:eastAsia="宋体" w:cs="宋体"/>
                <w:color w:val="auto"/>
                <w:sz w:val="24"/>
                <w:szCs w:val="24"/>
                <w:highlight w:val="none"/>
              </w:rPr>
            </w:pPr>
          </w:p>
        </w:tc>
      </w:tr>
      <w:tr w14:paraId="6DB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879FA58">
            <w:pPr>
              <w:rPr>
                <w:rFonts w:hint="eastAsia" w:ascii="宋体" w:hAnsi="宋体" w:eastAsia="宋体" w:cs="宋体"/>
                <w:color w:val="auto"/>
                <w:sz w:val="24"/>
                <w:szCs w:val="24"/>
                <w:highlight w:val="none"/>
              </w:rPr>
            </w:pPr>
          </w:p>
        </w:tc>
        <w:tc>
          <w:tcPr>
            <w:tcW w:w="705" w:type="pct"/>
            <w:noWrap w:val="0"/>
            <w:vAlign w:val="top"/>
          </w:tcPr>
          <w:p w14:paraId="3B139E41">
            <w:pPr>
              <w:rPr>
                <w:rFonts w:hint="eastAsia" w:ascii="宋体" w:hAnsi="宋体" w:eastAsia="宋体" w:cs="宋体"/>
                <w:color w:val="auto"/>
                <w:sz w:val="24"/>
                <w:szCs w:val="24"/>
                <w:highlight w:val="none"/>
              </w:rPr>
            </w:pPr>
          </w:p>
        </w:tc>
        <w:tc>
          <w:tcPr>
            <w:tcW w:w="802" w:type="pct"/>
            <w:noWrap w:val="0"/>
            <w:vAlign w:val="top"/>
          </w:tcPr>
          <w:p w14:paraId="2734F850">
            <w:pPr>
              <w:rPr>
                <w:rFonts w:hint="eastAsia" w:ascii="宋体" w:hAnsi="宋体" w:eastAsia="宋体" w:cs="宋体"/>
                <w:color w:val="auto"/>
                <w:sz w:val="24"/>
                <w:szCs w:val="24"/>
                <w:highlight w:val="none"/>
              </w:rPr>
            </w:pPr>
          </w:p>
        </w:tc>
        <w:tc>
          <w:tcPr>
            <w:tcW w:w="687" w:type="pct"/>
            <w:noWrap w:val="0"/>
            <w:vAlign w:val="top"/>
          </w:tcPr>
          <w:p w14:paraId="3C906CF2">
            <w:pPr>
              <w:rPr>
                <w:rFonts w:hint="eastAsia" w:ascii="宋体" w:hAnsi="宋体" w:eastAsia="宋体" w:cs="宋体"/>
                <w:color w:val="auto"/>
                <w:sz w:val="24"/>
                <w:szCs w:val="24"/>
                <w:highlight w:val="none"/>
              </w:rPr>
            </w:pPr>
          </w:p>
        </w:tc>
        <w:tc>
          <w:tcPr>
            <w:tcW w:w="802" w:type="pct"/>
            <w:noWrap w:val="0"/>
            <w:vAlign w:val="top"/>
          </w:tcPr>
          <w:p w14:paraId="7F3EB414">
            <w:pPr>
              <w:rPr>
                <w:rFonts w:hint="eastAsia" w:ascii="宋体" w:hAnsi="宋体" w:eastAsia="宋体" w:cs="宋体"/>
                <w:color w:val="auto"/>
                <w:sz w:val="24"/>
                <w:szCs w:val="24"/>
                <w:highlight w:val="none"/>
              </w:rPr>
            </w:pPr>
          </w:p>
        </w:tc>
        <w:tc>
          <w:tcPr>
            <w:tcW w:w="921" w:type="pct"/>
            <w:noWrap w:val="0"/>
            <w:vAlign w:val="top"/>
          </w:tcPr>
          <w:p w14:paraId="56364C19">
            <w:pPr>
              <w:rPr>
                <w:rFonts w:hint="eastAsia" w:ascii="宋体" w:hAnsi="宋体" w:eastAsia="宋体" w:cs="宋体"/>
                <w:color w:val="auto"/>
                <w:sz w:val="24"/>
                <w:szCs w:val="24"/>
                <w:highlight w:val="none"/>
              </w:rPr>
            </w:pPr>
          </w:p>
        </w:tc>
      </w:tr>
      <w:tr w14:paraId="2A60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46D31E66">
            <w:pPr>
              <w:rPr>
                <w:rFonts w:hint="eastAsia" w:ascii="宋体" w:hAnsi="宋体" w:eastAsia="宋体" w:cs="宋体"/>
                <w:color w:val="auto"/>
                <w:sz w:val="24"/>
                <w:szCs w:val="24"/>
                <w:highlight w:val="none"/>
              </w:rPr>
            </w:pPr>
          </w:p>
        </w:tc>
        <w:tc>
          <w:tcPr>
            <w:tcW w:w="705" w:type="pct"/>
            <w:noWrap w:val="0"/>
            <w:vAlign w:val="top"/>
          </w:tcPr>
          <w:p w14:paraId="7FA27399">
            <w:pPr>
              <w:rPr>
                <w:rFonts w:hint="eastAsia" w:ascii="宋体" w:hAnsi="宋体" w:eastAsia="宋体" w:cs="宋体"/>
                <w:color w:val="auto"/>
                <w:sz w:val="24"/>
                <w:szCs w:val="24"/>
                <w:highlight w:val="none"/>
              </w:rPr>
            </w:pPr>
          </w:p>
        </w:tc>
        <w:tc>
          <w:tcPr>
            <w:tcW w:w="802" w:type="pct"/>
            <w:noWrap w:val="0"/>
            <w:vAlign w:val="top"/>
          </w:tcPr>
          <w:p w14:paraId="5261918A">
            <w:pPr>
              <w:rPr>
                <w:rFonts w:hint="eastAsia" w:ascii="宋体" w:hAnsi="宋体" w:eastAsia="宋体" w:cs="宋体"/>
                <w:color w:val="auto"/>
                <w:sz w:val="24"/>
                <w:szCs w:val="24"/>
                <w:highlight w:val="none"/>
              </w:rPr>
            </w:pPr>
          </w:p>
        </w:tc>
        <w:tc>
          <w:tcPr>
            <w:tcW w:w="687" w:type="pct"/>
            <w:noWrap w:val="0"/>
            <w:vAlign w:val="top"/>
          </w:tcPr>
          <w:p w14:paraId="6CE0EFF1">
            <w:pPr>
              <w:rPr>
                <w:rFonts w:hint="eastAsia" w:ascii="宋体" w:hAnsi="宋体" w:eastAsia="宋体" w:cs="宋体"/>
                <w:color w:val="auto"/>
                <w:sz w:val="24"/>
                <w:szCs w:val="24"/>
                <w:highlight w:val="none"/>
              </w:rPr>
            </w:pPr>
          </w:p>
        </w:tc>
        <w:tc>
          <w:tcPr>
            <w:tcW w:w="802" w:type="pct"/>
            <w:noWrap w:val="0"/>
            <w:vAlign w:val="top"/>
          </w:tcPr>
          <w:p w14:paraId="3790CCD8">
            <w:pPr>
              <w:rPr>
                <w:rFonts w:hint="eastAsia" w:ascii="宋体" w:hAnsi="宋体" w:eastAsia="宋体" w:cs="宋体"/>
                <w:color w:val="auto"/>
                <w:sz w:val="24"/>
                <w:szCs w:val="24"/>
                <w:highlight w:val="none"/>
              </w:rPr>
            </w:pPr>
          </w:p>
        </w:tc>
        <w:tc>
          <w:tcPr>
            <w:tcW w:w="921" w:type="pct"/>
            <w:noWrap w:val="0"/>
            <w:vAlign w:val="top"/>
          </w:tcPr>
          <w:p w14:paraId="0B5E2D84">
            <w:pPr>
              <w:rPr>
                <w:rFonts w:hint="eastAsia" w:ascii="宋体" w:hAnsi="宋体" w:eastAsia="宋体" w:cs="宋体"/>
                <w:color w:val="auto"/>
                <w:sz w:val="24"/>
                <w:szCs w:val="24"/>
                <w:highlight w:val="none"/>
              </w:rPr>
            </w:pPr>
          </w:p>
        </w:tc>
      </w:tr>
    </w:tbl>
    <w:p w14:paraId="7060CB81">
      <w:pPr>
        <w:spacing w:line="440" w:lineRule="exact"/>
        <w:rPr>
          <w:rFonts w:hint="eastAsia" w:eastAsia="仿宋_GB2312"/>
          <w:color w:val="auto"/>
          <w:sz w:val="30"/>
          <w:szCs w:val="30"/>
          <w:highlight w:val="none"/>
        </w:rPr>
      </w:pPr>
    </w:p>
    <w:p w14:paraId="004FFC89">
      <w:pPr>
        <w:bidi w:val="0"/>
        <w:rPr>
          <w:rFonts w:eastAsia="黑体"/>
          <w:color w:val="auto"/>
          <w:sz w:val="30"/>
          <w:szCs w:val="30"/>
          <w:highlight w:val="none"/>
        </w:rPr>
      </w:pPr>
      <w:r>
        <w:rPr>
          <w:rFonts w:eastAsia="仿宋_GB2312"/>
          <w:color w:val="auto"/>
          <w:sz w:val="30"/>
          <w:szCs w:val="30"/>
          <w:highlight w:val="none"/>
        </w:rPr>
        <w:br w:type="page"/>
      </w:r>
      <w:bookmarkStart w:id="943" w:name="_Toc27380"/>
      <w:bookmarkStart w:id="944" w:name="_Toc18682"/>
      <w:bookmarkStart w:id="945" w:name="_Toc1041"/>
      <w:r>
        <w:rPr>
          <w:rFonts w:hint="eastAsia" w:ascii="宋体" w:hAnsi="宋体" w:eastAsia="宋体" w:cs="宋体"/>
          <w:b/>
          <w:bCs/>
          <w:color w:val="auto"/>
          <w:sz w:val="22"/>
          <w:szCs w:val="24"/>
        </w:rPr>
        <w:t>附件4：</w:t>
      </w:r>
      <w:bookmarkEnd w:id="943"/>
      <w:bookmarkEnd w:id="944"/>
      <w:bookmarkEnd w:id="945"/>
    </w:p>
    <w:p w14:paraId="62193A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891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31040E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noWrap w:val="0"/>
            <w:vAlign w:val="center"/>
          </w:tcPr>
          <w:p w14:paraId="44135AD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noWrap w:val="0"/>
            <w:vAlign w:val="center"/>
          </w:tcPr>
          <w:p w14:paraId="3EBFAC28">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noWrap w:val="0"/>
            <w:vAlign w:val="center"/>
          </w:tcPr>
          <w:p w14:paraId="1194BDF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noWrap w:val="0"/>
            <w:vAlign w:val="center"/>
          </w:tcPr>
          <w:p w14:paraId="7ACA18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noWrap w:val="0"/>
            <w:vAlign w:val="center"/>
          </w:tcPr>
          <w:p w14:paraId="66F6DDE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noWrap w:val="0"/>
            <w:vAlign w:val="center"/>
          </w:tcPr>
          <w:p w14:paraId="1055137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noWrap w:val="0"/>
            <w:vAlign w:val="center"/>
          </w:tcPr>
          <w:p w14:paraId="7A4C5F2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noWrap w:val="0"/>
            <w:vAlign w:val="center"/>
          </w:tcPr>
          <w:p w14:paraId="778DC5B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D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8C02BDF">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ECFEC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4B17D83">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F25CD1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6DEEB1AD">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596F05C">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0F0E06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3E295F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1BAEE4A2">
            <w:pPr>
              <w:pStyle w:val="10"/>
              <w:keepNext/>
              <w:spacing w:after="0" w:line="440" w:lineRule="exact"/>
              <w:ind w:left="63" w:right="63"/>
              <w:rPr>
                <w:rFonts w:hint="eastAsia" w:ascii="宋体" w:hAnsi="宋体" w:eastAsia="宋体" w:cs="宋体"/>
                <w:color w:val="auto"/>
                <w:sz w:val="24"/>
                <w:szCs w:val="24"/>
                <w:highlight w:val="none"/>
              </w:rPr>
            </w:pPr>
          </w:p>
        </w:tc>
      </w:tr>
      <w:tr w14:paraId="09ED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F5289C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833D9A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ABFEF2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E17478A">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5383EA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653A582">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0A2613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04C8855">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236C1EF">
            <w:pPr>
              <w:pStyle w:val="10"/>
              <w:keepNext/>
              <w:spacing w:after="0" w:line="440" w:lineRule="exact"/>
              <w:ind w:left="63" w:right="63"/>
              <w:rPr>
                <w:rFonts w:hint="eastAsia" w:ascii="宋体" w:hAnsi="宋体" w:eastAsia="宋体" w:cs="宋体"/>
                <w:color w:val="auto"/>
                <w:sz w:val="24"/>
                <w:szCs w:val="24"/>
                <w:highlight w:val="none"/>
              </w:rPr>
            </w:pPr>
          </w:p>
        </w:tc>
      </w:tr>
      <w:tr w14:paraId="64C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1B7598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D4D33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7E94C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047A5582">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23DBDA5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0AF8959">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E0A1B9F">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A5561E3">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475BF5">
            <w:pPr>
              <w:pStyle w:val="10"/>
              <w:keepNext/>
              <w:spacing w:after="0" w:line="440" w:lineRule="exact"/>
              <w:ind w:left="63" w:right="63"/>
              <w:rPr>
                <w:rFonts w:hint="eastAsia" w:ascii="宋体" w:hAnsi="宋体" w:eastAsia="宋体" w:cs="宋体"/>
                <w:color w:val="auto"/>
                <w:sz w:val="24"/>
                <w:szCs w:val="24"/>
                <w:highlight w:val="none"/>
              </w:rPr>
            </w:pPr>
          </w:p>
        </w:tc>
      </w:tr>
      <w:tr w14:paraId="1B5E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6BDDCF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29D61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69552C">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4D9D5B7">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F4EF0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E398F2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A1A328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0341733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049599E">
            <w:pPr>
              <w:pStyle w:val="10"/>
              <w:keepNext/>
              <w:spacing w:after="0" w:line="440" w:lineRule="exact"/>
              <w:ind w:left="63" w:right="63"/>
              <w:rPr>
                <w:rFonts w:hint="eastAsia" w:ascii="宋体" w:hAnsi="宋体" w:eastAsia="宋体" w:cs="宋体"/>
                <w:color w:val="auto"/>
                <w:sz w:val="24"/>
                <w:szCs w:val="24"/>
                <w:highlight w:val="none"/>
              </w:rPr>
            </w:pPr>
          </w:p>
        </w:tc>
      </w:tr>
      <w:tr w14:paraId="6BA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192C95">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A0C483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D53224E">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3CD4F0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749F6131">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9A7828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FC566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778C4C6">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C15EDF4">
            <w:pPr>
              <w:pStyle w:val="10"/>
              <w:keepNext/>
              <w:spacing w:after="0" w:line="440" w:lineRule="exact"/>
              <w:ind w:left="63" w:right="63"/>
              <w:rPr>
                <w:rFonts w:hint="eastAsia" w:ascii="宋体" w:hAnsi="宋体" w:eastAsia="宋体" w:cs="宋体"/>
                <w:color w:val="auto"/>
                <w:sz w:val="24"/>
                <w:szCs w:val="24"/>
                <w:highlight w:val="none"/>
              </w:rPr>
            </w:pPr>
          </w:p>
        </w:tc>
      </w:tr>
      <w:tr w14:paraId="688F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BCBACB">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2AB94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A76B0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C027C28">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E78CE1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2F17A4D">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713A3FA">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68F27C3D">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538A3CA">
            <w:pPr>
              <w:pStyle w:val="10"/>
              <w:keepNext/>
              <w:spacing w:after="0" w:line="440" w:lineRule="exact"/>
              <w:ind w:left="63" w:right="63"/>
              <w:rPr>
                <w:rFonts w:hint="eastAsia" w:ascii="宋体" w:hAnsi="宋体" w:eastAsia="宋体" w:cs="宋体"/>
                <w:color w:val="auto"/>
                <w:sz w:val="24"/>
                <w:szCs w:val="24"/>
                <w:highlight w:val="none"/>
              </w:rPr>
            </w:pPr>
          </w:p>
        </w:tc>
      </w:tr>
      <w:tr w14:paraId="479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B72F56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AF99B2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63C1E1D">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034B7AC">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4FEFD078">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14526D2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AFD231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026FCA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D271846">
            <w:pPr>
              <w:pStyle w:val="10"/>
              <w:keepNext/>
              <w:spacing w:after="0" w:line="440" w:lineRule="exact"/>
              <w:ind w:left="63" w:right="63"/>
              <w:rPr>
                <w:rFonts w:hint="eastAsia" w:ascii="宋体" w:hAnsi="宋体" w:eastAsia="宋体" w:cs="宋体"/>
                <w:color w:val="auto"/>
                <w:sz w:val="24"/>
                <w:szCs w:val="24"/>
                <w:highlight w:val="none"/>
              </w:rPr>
            </w:pPr>
          </w:p>
        </w:tc>
      </w:tr>
      <w:tr w14:paraId="434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C1F64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32E8FD4">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26C8C5F4">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47630D99">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58E0502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15FFF8A">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4BF8A99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26C49D0">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B71C1A4">
            <w:pPr>
              <w:pStyle w:val="10"/>
              <w:keepNext/>
              <w:spacing w:after="0" w:line="440" w:lineRule="exact"/>
              <w:ind w:left="63" w:right="63"/>
              <w:rPr>
                <w:rFonts w:hint="eastAsia" w:ascii="宋体" w:hAnsi="宋体" w:eastAsia="宋体" w:cs="宋体"/>
                <w:color w:val="auto"/>
                <w:sz w:val="24"/>
                <w:szCs w:val="24"/>
                <w:highlight w:val="none"/>
              </w:rPr>
            </w:pPr>
          </w:p>
        </w:tc>
      </w:tr>
      <w:tr w14:paraId="58C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5B8FC1">
            <w:pPr>
              <w:rPr>
                <w:rFonts w:hint="eastAsia" w:ascii="宋体" w:hAnsi="宋体" w:eastAsia="宋体" w:cs="宋体"/>
                <w:color w:val="auto"/>
                <w:sz w:val="24"/>
                <w:szCs w:val="24"/>
                <w:highlight w:val="none"/>
              </w:rPr>
            </w:pPr>
          </w:p>
        </w:tc>
        <w:tc>
          <w:tcPr>
            <w:tcW w:w="1418" w:type="dxa"/>
            <w:noWrap w:val="0"/>
            <w:vAlign w:val="top"/>
          </w:tcPr>
          <w:p w14:paraId="729A1ECE">
            <w:pPr>
              <w:rPr>
                <w:rFonts w:hint="eastAsia" w:ascii="宋体" w:hAnsi="宋体" w:eastAsia="宋体" w:cs="宋体"/>
                <w:color w:val="auto"/>
                <w:sz w:val="24"/>
                <w:szCs w:val="24"/>
                <w:highlight w:val="none"/>
              </w:rPr>
            </w:pPr>
          </w:p>
        </w:tc>
        <w:tc>
          <w:tcPr>
            <w:tcW w:w="850" w:type="dxa"/>
            <w:noWrap w:val="0"/>
            <w:vAlign w:val="top"/>
          </w:tcPr>
          <w:p w14:paraId="0106C7C8">
            <w:pPr>
              <w:rPr>
                <w:rFonts w:hint="eastAsia" w:ascii="宋体" w:hAnsi="宋体" w:eastAsia="宋体" w:cs="宋体"/>
                <w:color w:val="auto"/>
                <w:sz w:val="24"/>
                <w:szCs w:val="24"/>
                <w:highlight w:val="none"/>
              </w:rPr>
            </w:pPr>
          </w:p>
        </w:tc>
        <w:tc>
          <w:tcPr>
            <w:tcW w:w="1058" w:type="dxa"/>
            <w:noWrap w:val="0"/>
            <w:vAlign w:val="top"/>
          </w:tcPr>
          <w:p w14:paraId="18714DA1">
            <w:pPr>
              <w:rPr>
                <w:rFonts w:hint="eastAsia" w:ascii="宋体" w:hAnsi="宋体" w:eastAsia="宋体" w:cs="宋体"/>
                <w:color w:val="auto"/>
                <w:sz w:val="24"/>
                <w:szCs w:val="24"/>
                <w:highlight w:val="none"/>
              </w:rPr>
            </w:pPr>
          </w:p>
        </w:tc>
        <w:tc>
          <w:tcPr>
            <w:tcW w:w="880" w:type="dxa"/>
            <w:noWrap w:val="0"/>
            <w:vAlign w:val="top"/>
          </w:tcPr>
          <w:p w14:paraId="46662464">
            <w:pPr>
              <w:rPr>
                <w:rFonts w:hint="eastAsia" w:ascii="宋体" w:hAnsi="宋体" w:eastAsia="宋体" w:cs="宋体"/>
                <w:color w:val="auto"/>
                <w:sz w:val="24"/>
                <w:szCs w:val="24"/>
                <w:highlight w:val="none"/>
              </w:rPr>
            </w:pPr>
          </w:p>
        </w:tc>
        <w:tc>
          <w:tcPr>
            <w:tcW w:w="1020" w:type="dxa"/>
            <w:noWrap w:val="0"/>
            <w:vAlign w:val="top"/>
          </w:tcPr>
          <w:p w14:paraId="258B0BD8">
            <w:pPr>
              <w:rPr>
                <w:rFonts w:hint="eastAsia" w:ascii="宋体" w:hAnsi="宋体" w:eastAsia="宋体" w:cs="宋体"/>
                <w:color w:val="auto"/>
                <w:sz w:val="24"/>
                <w:szCs w:val="24"/>
                <w:highlight w:val="none"/>
              </w:rPr>
            </w:pPr>
          </w:p>
        </w:tc>
        <w:tc>
          <w:tcPr>
            <w:tcW w:w="1480" w:type="dxa"/>
            <w:noWrap w:val="0"/>
            <w:vAlign w:val="top"/>
          </w:tcPr>
          <w:p w14:paraId="05F79487">
            <w:pPr>
              <w:rPr>
                <w:rFonts w:hint="eastAsia" w:ascii="宋体" w:hAnsi="宋体" w:eastAsia="宋体" w:cs="宋体"/>
                <w:color w:val="auto"/>
                <w:sz w:val="24"/>
                <w:szCs w:val="24"/>
                <w:highlight w:val="none"/>
              </w:rPr>
            </w:pPr>
          </w:p>
        </w:tc>
        <w:tc>
          <w:tcPr>
            <w:tcW w:w="1020" w:type="dxa"/>
            <w:noWrap w:val="0"/>
            <w:vAlign w:val="top"/>
          </w:tcPr>
          <w:p w14:paraId="224C170F">
            <w:pPr>
              <w:rPr>
                <w:rFonts w:hint="eastAsia" w:ascii="宋体" w:hAnsi="宋体" w:eastAsia="宋体" w:cs="宋体"/>
                <w:color w:val="auto"/>
                <w:sz w:val="24"/>
                <w:szCs w:val="24"/>
                <w:highlight w:val="none"/>
              </w:rPr>
            </w:pPr>
          </w:p>
        </w:tc>
        <w:tc>
          <w:tcPr>
            <w:tcW w:w="921" w:type="dxa"/>
            <w:noWrap w:val="0"/>
            <w:vAlign w:val="top"/>
          </w:tcPr>
          <w:p w14:paraId="7FE5B089">
            <w:pPr>
              <w:rPr>
                <w:rFonts w:hint="eastAsia" w:ascii="宋体" w:hAnsi="宋体" w:eastAsia="宋体" w:cs="宋体"/>
                <w:color w:val="auto"/>
                <w:sz w:val="24"/>
                <w:szCs w:val="24"/>
                <w:highlight w:val="none"/>
              </w:rPr>
            </w:pPr>
          </w:p>
        </w:tc>
      </w:tr>
      <w:tr w14:paraId="46A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9B5A4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78C091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10006B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1DE88D03">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3A5427D5">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54D0F6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1D5C353">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2D7B47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2A5B36">
            <w:pPr>
              <w:pStyle w:val="10"/>
              <w:keepNext/>
              <w:spacing w:after="0" w:line="440" w:lineRule="exact"/>
              <w:ind w:left="63" w:right="63"/>
              <w:rPr>
                <w:rFonts w:hint="eastAsia" w:ascii="宋体" w:hAnsi="宋体" w:eastAsia="宋体" w:cs="宋体"/>
                <w:color w:val="auto"/>
                <w:sz w:val="24"/>
                <w:szCs w:val="24"/>
                <w:highlight w:val="none"/>
              </w:rPr>
            </w:pPr>
          </w:p>
        </w:tc>
      </w:tr>
      <w:tr w14:paraId="0A3B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CFAF573">
            <w:pPr>
              <w:rPr>
                <w:rFonts w:hint="eastAsia" w:ascii="宋体" w:hAnsi="宋体" w:eastAsia="宋体" w:cs="宋体"/>
                <w:color w:val="auto"/>
                <w:sz w:val="24"/>
                <w:szCs w:val="24"/>
                <w:highlight w:val="none"/>
              </w:rPr>
            </w:pPr>
          </w:p>
        </w:tc>
        <w:tc>
          <w:tcPr>
            <w:tcW w:w="1418" w:type="dxa"/>
            <w:noWrap w:val="0"/>
            <w:vAlign w:val="top"/>
          </w:tcPr>
          <w:p w14:paraId="3EC95344">
            <w:pPr>
              <w:rPr>
                <w:rFonts w:hint="eastAsia" w:ascii="宋体" w:hAnsi="宋体" w:eastAsia="宋体" w:cs="宋体"/>
                <w:color w:val="auto"/>
                <w:sz w:val="24"/>
                <w:szCs w:val="24"/>
                <w:highlight w:val="none"/>
              </w:rPr>
            </w:pPr>
          </w:p>
        </w:tc>
        <w:tc>
          <w:tcPr>
            <w:tcW w:w="850" w:type="dxa"/>
            <w:noWrap w:val="0"/>
            <w:vAlign w:val="top"/>
          </w:tcPr>
          <w:p w14:paraId="0A49C3E8">
            <w:pPr>
              <w:rPr>
                <w:rFonts w:hint="eastAsia" w:ascii="宋体" w:hAnsi="宋体" w:eastAsia="宋体" w:cs="宋体"/>
                <w:color w:val="auto"/>
                <w:sz w:val="24"/>
                <w:szCs w:val="24"/>
                <w:highlight w:val="none"/>
              </w:rPr>
            </w:pPr>
          </w:p>
        </w:tc>
        <w:tc>
          <w:tcPr>
            <w:tcW w:w="1058" w:type="dxa"/>
            <w:noWrap w:val="0"/>
            <w:vAlign w:val="top"/>
          </w:tcPr>
          <w:p w14:paraId="5C1349E5">
            <w:pPr>
              <w:rPr>
                <w:rFonts w:hint="eastAsia" w:ascii="宋体" w:hAnsi="宋体" w:eastAsia="宋体" w:cs="宋体"/>
                <w:color w:val="auto"/>
                <w:sz w:val="24"/>
                <w:szCs w:val="24"/>
                <w:highlight w:val="none"/>
              </w:rPr>
            </w:pPr>
          </w:p>
        </w:tc>
        <w:tc>
          <w:tcPr>
            <w:tcW w:w="880" w:type="dxa"/>
            <w:noWrap w:val="0"/>
            <w:vAlign w:val="top"/>
          </w:tcPr>
          <w:p w14:paraId="4455E6CA">
            <w:pPr>
              <w:rPr>
                <w:rFonts w:hint="eastAsia" w:ascii="宋体" w:hAnsi="宋体" w:eastAsia="宋体" w:cs="宋体"/>
                <w:color w:val="auto"/>
                <w:sz w:val="24"/>
                <w:szCs w:val="24"/>
                <w:highlight w:val="none"/>
              </w:rPr>
            </w:pPr>
          </w:p>
        </w:tc>
        <w:tc>
          <w:tcPr>
            <w:tcW w:w="1020" w:type="dxa"/>
            <w:noWrap w:val="0"/>
            <w:vAlign w:val="top"/>
          </w:tcPr>
          <w:p w14:paraId="5D15346A">
            <w:pPr>
              <w:rPr>
                <w:rFonts w:hint="eastAsia" w:ascii="宋体" w:hAnsi="宋体" w:eastAsia="宋体" w:cs="宋体"/>
                <w:color w:val="auto"/>
                <w:sz w:val="24"/>
                <w:szCs w:val="24"/>
                <w:highlight w:val="none"/>
              </w:rPr>
            </w:pPr>
          </w:p>
        </w:tc>
        <w:tc>
          <w:tcPr>
            <w:tcW w:w="1480" w:type="dxa"/>
            <w:noWrap w:val="0"/>
            <w:vAlign w:val="top"/>
          </w:tcPr>
          <w:p w14:paraId="5420C013">
            <w:pPr>
              <w:rPr>
                <w:rFonts w:hint="eastAsia" w:ascii="宋体" w:hAnsi="宋体" w:eastAsia="宋体" w:cs="宋体"/>
                <w:color w:val="auto"/>
                <w:sz w:val="24"/>
                <w:szCs w:val="24"/>
                <w:highlight w:val="none"/>
              </w:rPr>
            </w:pPr>
          </w:p>
        </w:tc>
        <w:tc>
          <w:tcPr>
            <w:tcW w:w="1020" w:type="dxa"/>
            <w:noWrap w:val="0"/>
            <w:vAlign w:val="top"/>
          </w:tcPr>
          <w:p w14:paraId="50687CBF">
            <w:pPr>
              <w:rPr>
                <w:rFonts w:hint="eastAsia" w:ascii="宋体" w:hAnsi="宋体" w:eastAsia="宋体" w:cs="宋体"/>
                <w:color w:val="auto"/>
                <w:sz w:val="24"/>
                <w:szCs w:val="24"/>
                <w:highlight w:val="none"/>
              </w:rPr>
            </w:pPr>
          </w:p>
        </w:tc>
        <w:tc>
          <w:tcPr>
            <w:tcW w:w="921" w:type="dxa"/>
            <w:noWrap w:val="0"/>
            <w:vAlign w:val="top"/>
          </w:tcPr>
          <w:p w14:paraId="56278A3B">
            <w:pPr>
              <w:rPr>
                <w:rFonts w:hint="eastAsia" w:ascii="宋体" w:hAnsi="宋体" w:eastAsia="宋体" w:cs="宋体"/>
                <w:color w:val="auto"/>
                <w:sz w:val="24"/>
                <w:szCs w:val="24"/>
                <w:highlight w:val="none"/>
              </w:rPr>
            </w:pPr>
          </w:p>
        </w:tc>
      </w:tr>
      <w:tr w14:paraId="1CF4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182F1">
            <w:pPr>
              <w:rPr>
                <w:rFonts w:hint="eastAsia" w:ascii="宋体" w:hAnsi="宋体" w:eastAsia="宋体" w:cs="宋体"/>
                <w:color w:val="auto"/>
                <w:sz w:val="24"/>
                <w:szCs w:val="24"/>
                <w:highlight w:val="none"/>
              </w:rPr>
            </w:pPr>
          </w:p>
        </w:tc>
        <w:tc>
          <w:tcPr>
            <w:tcW w:w="1418" w:type="dxa"/>
            <w:noWrap w:val="0"/>
            <w:vAlign w:val="top"/>
          </w:tcPr>
          <w:p w14:paraId="11A4EE6C">
            <w:pPr>
              <w:rPr>
                <w:rFonts w:hint="eastAsia" w:ascii="宋体" w:hAnsi="宋体" w:eastAsia="宋体" w:cs="宋体"/>
                <w:color w:val="auto"/>
                <w:sz w:val="24"/>
                <w:szCs w:val="24"/>
                <w:highlight w:val="none"/>
              </w:rPr>
            </w:pPr>
          </w:p>
        </w:tc>
        <w:tc>
          <w:tcPr>
            <w:tcW w:w="850" w:type="dxa"/>
            <w:noWrap w:val="0"/>
            <w:vAlign w:val="top"/>
          </w:tcPr>
          <w:p w14:paraId="619BFA00">
            <w:pPr>
              <w:rPr>
                <w:rFonts w:hint="eastAsia" w:ascii="宋体" w:hAnsi="宋体" w:eastAsia="宋体" w:cs="宋体"/>
                <w:color w:val="auto"/>
                <w:sz w:val="24"/>
                <w:szCs w:val="24"/>
                <w:highlight w:val="none"/>
              </w:rPr>
            </w:pPr>
          </w:p>
        </w:tc>
        <w:tc>
          <w:tcPr>
            <w:tcW w:w="1058" w:type="dxa"/>
            <w:noWrap w:val="0"/>
            <w:vAlign w:val="top"/>
          </w:tcPr>
          <w:p w14:paraId="1E086E17">
            <w:pPr>
              <w:rPr>
                <w:rFonts w:hint="eastAsia" w:ascii="宋体" w:hAnsi="宋体" w:eastAsia="宋体" w:cs="宋体"/>
                <w:color w:val="auto"/>
                <w:sz w:val="24"/>
                <w:szCs w:val="24"/>
                <w:highlight w:val="none"/>
              </w:rPr>
            </w:pPr>
          </w:p>
        </w:tc>
        <w:tc>
          <w:tcPr>
            <w:tcW w:w="880" w:type="dxa"/>
            <w:noWrap w:val="0"/>
            <w:vAlign w:val="top"/>
          </w:tcPr>
          <w:p w14:paraId="2824E650">
            <w:pPr>
              <w:rPr>
                <w:rFonts w:hint="eastAsia" w:ascii="宋体" w:hAnsi="宋体" w:eastAsia="宋体" w:cs="宋体"/>
                <w:color w:val="auto"/>
                <w:sz w:val="24"/>
                <w:szCs w:val="24"/>
                <w:highlight w:val="none"/>
              </w:rPr>
            </w:pPr>
          </w:p>
        </w:tc>
        <w:tc>
          <w:tcPr>
            <w:tcW w:w="1020" w:type="dxa"/>
            <w:noWrap w:val="0"/>
            <w:vAlign w:val="top"/>
          </w:tcPr>
          <w:p w14:paraId="5E337806">
            <w:pPr>
              <w:rPr>
                <w:rFonts w:hint="eastAsia" w:ascii="宋体" w:hAnsi="宋体" w:eastAsia="宋体" w:cs="宋体"/>
                <w:color w:val="auto"/>
                <w:sz w:val="24"/>
                <w:szCs w:val="24"/>
                <w:highlight w:val="none"/>
              </w:rPr>
            </w:pPr>
          </w:p>
        </w:tc>
        <w:tc>
          <w:tcPr>
            <w:tcW w:w="1480" w:type="dxa"/>
            <w:noWrap w:val="0"/>
            <w:vAlign w:val="top"/>
          </w:tcPr>
          <w:p w14:paraId="3E86DAE6">
            <w:pPr>
              <w:rPr>
                <w:rFonts w:hint="eastAsia" w:ascii="宋体" w:hAnsi="宋体" w:eastAsia="宋体" w:cs="宋体"/>
                <w:color w:val="auto"/>
                <w:sz w:val="24"/>
                <w:szCs w:val="24"/>
                <w:highlight w:val="none"/>
              </w:rPr>
            </w:pPr>
          </w:p>
        </w:tc>
        <w:tc>
          <w:tcPr>
            <w:tcW w:w="1020" w:type="dxa"/>
            <w:noWrap w:val="0"/>
            <w:vAlign w:val="top"/>
          </w:tcPr>
          <w:p w14:paraId="28A91FE5">
            <w:pPr>
              <w:rPr>
                <w:rFonts w:hint="eastAsia" w:ascii="宋体" w:hAnsi="宋体" w:eastAsia="宋体" w:cs="宋体"/>
                <w:color w:val="auto"/>
                <w:sz w:val="24"/>
                <w:szCs w:val="24"/>
                <w:highlight w:val="none"/>
              </w:rPr>
            </w:pPr>
          </w:p>
        </w:tc>
        <w:tc>
          <w:tcPr>
            <w:tcW w:w="921" w:type="dxa"/>
            <w:noWrap w:val="0"/>
            <w:vAlign w:val="top"/>
          </w:tcPr>
          <w:p w14:paraId="6C200156">
            <w:pPr>
              <w:rPr>
                <w:rFonts w:hint="eastAsia" w:ascii="宋体" w:hAnsi="宋体" w:eastAsia="宋体" w:cs="宋体"/>
                <w:color w:val="auto"/>
                <w:sz w:val="24"/>
                <w:szCs w:val="24"/>
                <w:highlight w:val="none"/>
              </w:rPr>
            </w:pPr>
          </w:p>
        </w:tc>
      </w:tr>
      <w:tr w14:paraId="478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AB1BD">
            <w:pPr>
              <w:rPr>
                <w:rFonts w:hint="eastAsia" w:ascii="宋体" w:hAnsi="宋体" w:eastAsia="宋体" w:cs="宋体"/>
                <w:color w:val="auto"/>
                <w:sz w:val="24"/>
                <w:szCs w:val="24"/>
                <w:highlight w:val="none"/>
              </w:rPr>
            </w:pPr>
          </w:p>
        </w:tc>
        <w:tc>
          <w:tcPr>
            <w:tcW w:w="1418" w:type="dxa"/>
            <w:noWrap w:val="0"/>
            <w:vAlign w:val="top"/>
          </w:tcPr>
          <w:p w14:paraId="110043DF">
            <w:pPr>
              <w:rPr>
                <w:rFonts w:hint="eastAsia" w:ascii="宋体" w:hAnsi="宋体" w:eastAsia="宋体" w:cs="宋体"/>
                <w:color w:val="auto"/>
                <w:sz w:val="24"/>
                <w:szCs w:val="24"/>
                <w:highlight w:val="none"/>
              </w:rPr>
            </w:pPr>
          </w:p>
        </w:tc>
        <w:tc>
          <w:tcPr>
            <w:tcW w:w="850" w:type="dxa"/>
            <w:noWrap w:val="0"/>
            <w:vAlign w:val="top"/>
          </w:tcPr>
          <w:p w14:paraId="2EEFB9B1">
            <w:pPr>
              <w:rPr>
                <w:rFonts w:hint="eastAsia" w:ascii="宋体" w:hAnsi="宋体" w:eastAsia="宋体" w:cs="宋体"/>
                <w:color w:val="auto"/>
                <w:sz w:val="24"/>
                <w:szCs w:val="24"/>
                <w:highlight w:val="none"/>
              </w:rPr>
            </w:pPr>
          </w:p>
        </w:tc>
        <w:tc>
          <w:tcPr>
            <w:tcW w:w="1058" w:type="dxa"/>
            <w:noWrap w:val="0"/>
            <w:vAlign w:val="top"/>
          </w:tcPr>
          <w:p w14:paraId="4E714037">
            <w:pPr>
              <w:rPr>
                <w:rFonts w:hint="eastAsia" w:ascii="宋体" w:hAnsi="宋体" w:eastAsia="宋体" w:cs="宋体"/>
                <w:color w:val="auto"/>
                <w:sz w:val="24"/>
                <w:szCs w:val="24"/>
                <w:highlight w:val="none"/>
              </w:rPr>
            </w:pPr>
          </w:p>
        </w:tc>
        <w:tc>
          <w:tcPr>
            <w:tcW w:w="880" w:type="dxa"/>
            <w:noWrap w:val="0"/>
            <w:vAlign w:val="top"/>
          </w:tcPr>
          <w:p w14:paraId="423DF310">
            <w:pPr>
              <w:rPr>
                <w:rFonts w:hint="eastAsia" w:ascii="宋体" w:hAnsi="宋体" w:eastAsia="宋体" w:cs="宋体"/>
                <w:color w:val="auto"/>
                <w:sz w:val="24"/>
                <w:szCs w:val="24"/>
                <w:highlight w:val="none"/>
              </w:rPr>
            </w:pPr>
          </w:p>
        </w:tc>
        <w:tc>
          <w:tcPr>
            <w:tcW w:w="1020" w:type="dxa"/>
            <w:noWrap w:val="0"/>
            <w:vAlign w:val="top"/>
          </w:tcPr>
          <w:p w14:paraId="7F44E0D3">
            <w:pPr>
              <w:rPr>
                <w:rFonts w:hint="eastAsia" w:ascii="宋体" w:hAnsi="宋体" w:eastAsia="宋体" w:cs="宋体"/>
                <w:color w:val="auto"/>
                <w:sz w:val="24"/>
                <w:szCs w:val="24"/>
                <w:highlight w:val="none"/>
              </w:rPr>
            </w:pPr>
          </w:p>
        </w:tc>
        <w:tc>
          <w:tcPr>
            <w:tcW w:w="1480" w:type="dxa"/>
            <w:noWrap w:val="0"/>
            <w:vAlign w:val="top"/>
          </w:tcPr>
          <w:p w14:paraId="02ACB6A0">
            <w:pPr>
              <w:rPr>
                <w:rFonts w:hint="eastAsia" w:ascii="宋体" w:hAnsi="宋体" w:eastAsia="宋体" w:cs="宋体"/>
                <w:color w:val="auto"/>
                <w:sz w:val="24"/>
                <w:szCs w:val="24"/>
                <w:highlight w:val="none"/>
              </w:rPr>
            </w:pPr>
          </w:p>
        </w:tc>
        <w:tc>
          <w:tcPr>
            <w:tcW w:w="1020" w:type="dxa"/>
            <w:noWrap w:val="0"/>
            <w:vAlign w:val="top"/>
          </w:tcPr>
          <w:p w14:paraId="7A2D79F5">
            <w:pPr>
              <w:rPr>
                <w:rFonts w:hint="eastAsia" w:ascii="宋体" w:hAnsi="宋体" w:eastAsia="宋体" w:cs="宋体"/>
                <w:color w:val="auto"/>
                <w:sz w:val="24"/>
                <w:szCs w:val="24"/>
                <w:highlight w:val="none"/>
              </w:rPr>
            </w:pPr>
          </w:p>
        </w:tc>
        <w:tc>
          <w:tcPr>
            <w:tcW w:w="921" w:type="dxa"/>
            <w:noWrap w:val="0"/>
            <w:vAlign w:val="top"/>
          </w:tcPr>
          <w:p w14:paraId="48EDC443">
            <w:pPr>
              <w:rPr>
                <w:rFonts w:hint="eastAsia" w:ascii="宋体" w:hAnsi="宋体" w:eastAsia="宋体" w:cs="宋体"/>
                <w:color w:val="auto"/>
                <w:sz w:val="24"/>
                <w:szCs w:val="24"/>
                <w:highlight w:val="none"/>
              </w:rPr>
            </w:pPr>
          </w:p>
        </w:tc>
      </w:tr>
      <w:tr w14:paraId="4F7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C1C9A34">
            <w:pPr>
              <w:rPr>
                <w:rFonts w:hint="eastAsia" w:ascii="宋体" w:hAnsi="宋体" w:eastAsia="宋体" w:cs="宋体"/>
                <w:color w:val="auto"/>
                <w:sz w:val="24"/>
                <w:szCs w:val="24"/>
                <w:highlight w:val="none"/>
              </w:rPr>
            </w:pPr>
          </w:p>
        </w:tc>
        <w:tc>
          <w:tcPr>
            <w:tcW w:w="1418" w:type="dxa"/>
            <w:noWrap w:val="0"/>
            <w:vAlign w:val="top"/>
          </w:tcPr>
          <w:p w14:paraId="6163270B">
            <w:pPr>
              <w:rPr>
                <w:rFonts w:hint="eastAsia" w:ascii="宋体" w:hAnsi="宋体" w:eastAsia="宋体" w:cs="宋体"/>
                <w:color w:val="auto"/>
                <w:sz w:val="24"/>
                <w:szCs w:val="24"/>
                <w:highlight w:val="none"/>
              </w:rPr>
            </w:pPr>
          </w:p>
        </w:tc>
        <w:tc>
          <w:tcPr>
            <w:tcW w:w="850" w:type="dxa"/>
            <w:noWrap w:val="0"/>
            <w:vAlign w:val="top"/>
          </w:tcPr>
          <w:p w14:paraId="5B182F10">
            <w:pPr>
              <w:rPr>
                <w:rFonts w:hint="eastAsia" w:ascii="宋体" w:hAnsi="宋体" w:eastAsia="宋体" w:cs="宋体"/>
                <w:color w:val="auto"/>
                <w:sz w:val="24"/>
                <w:szCs w:val="24"/>
                <w:highlight w:val="none"/>
              </w:rPr>
            </w:pPr>
          </w:p>
        </w:tc>
        <w:tc>
          <w:tcPr>
            <w:tcW w:w="1058" w:type="dxa"/>
            <w:noWrap w:val="0"/>
            <w:vAlign w:val="top"/>
          </w:tcPr>
          <w:p w14:paraId="608E0FA3">
            <w:pPr>
              <w:rPr>
                <w:rFonts w:hint="eastAsia" w:ascii="宋体" w:hAnsi="宋体" w:eastAsia="宋体" w:cs="宋体"/>
                <w:color w:val="auto"/>
                <w:sz w:val="24"/>
                <w:szCs w:val="24"/>
                <w:highlight w:val="none"/>
              </w:rPr>
            </w:pPr>
          </w:p>
        </w:tc>
        <w:tc>
          <w:tcPr>
            <w:tcW w:w="880" w:type="dxa"/>
            <w:noWrap w:val="0"/>
            <w:vAlign w:val="top"/>
          </w:tcPr>
          <w:p w14:paraId="764EA801">
            <w:pPr>
              <w:rPr>
                <w:rFonts w:hint="eastAsia" w:ascii="宋体" w:hAnsi="宋体" w:eastAsia="宋体" w:cs="宋体"/>
                <w:color w:val="auto"/>
                <w:sz w:val="24"/>
                <w:szCs w:val="24"/>
                <w:highlight w:val="none"/>
              </w:rPr>
            </w:pPr>
          </w:p>
        </w:tc>
        <w:tc>
          <w:tcPr>
            <w:tcW w:w="1020" w:type="dxa"/>
            <w:noWrap w:val="0"/>
            <w:vAlign w:val="top"/>
          </w:tcPr>
          <w:p w14:paraId="00EAB028">
            <w:pPr>
              <w:rPr>
                <w:rFonts w:hint="eastAsia" w:ascii="宋体" w:hAnsi="宋体" w:eastAsia="宋体" w:cs="宋体"/>
                <w:color w:val="auto"/>
                <w:sz w:val="24"/>
                <w:szCs w:val="24"/>
                <w:highlight w:val="none"/>
              </w:rPr>
            </w:pPr>
          </w:p>
        </w:tc>
        <w:tc>
          <w:tcPr>
            <w:tcW w:w="1480" w:type="dxa"/>
            <w:noWrap w:val="0"/>
            <w:vAlign w:val="top"/>
          </w:tcPr>
          <w:p w14:paraId="6A28C20F">
            <w:pPr>
              <w:rPr>
                <w:rFonts w:hint="eastAsia" w:ascii="宋体" w:hAnsi="宋体" w:eastAsia="宋体" w:cs="宋体"/>
                <w:color w:val="auto"/>
                <w:sz w:val="24"/>
                <w:szCs w:val="24"/>
                <w:highlight w:val="none"/>
              </w:rPr>
            </w:pPr>
          </w:p>
        </w:tc>
        <w:tc>
          <w:tcPr>
            <w:tcW w:w="1020" w:type="dxa"/>
            <w:noWrap w:val="0"/>
            <w:vAlign w:val="top"/>
          </w:tcPr>
          <w:p w14:paraId="0D0022ED">
            <w:pPr>
              <w:rPr>
                <w:rFonts w:hint="eastAsia" w:ascii="宋体" w:hAnsi="宋体" w:eastAsia="宋体" w:cs="宋体"/>
                <w:color w:val="auto"/>
                <w:sz w:val="24"/>
                <w:szCs w:val="24"/>
                <w:highlight w:val="none"/>
              </w:rPr>
            </w:pPr>
          </w:p>
        </w:tc>
        <w:tc>
          <w:tcPr>
            <w:tcW w:w="921" w:type="dxa"/>
            <w:noWrap w:val="0"/>
            <w:vAlign w:val="top"/>
          </w:tcPr>
          <w:p w14:paraId="73440281">
            <w:pPr>
              <w:rPr>
                <w:rFonts w:hint="eastAsia" w:ascii="宋体" w:hAnsi="宋体" w:eastAsia="宋体" w:cs="宋体"/>
                <w:color w:val="auto"/>
                <w:sz w:val="24"/>
                <w:szCs w:val="24"/>
                <w:highlight w:val="none"/>
              </w:rPr>
            </w:pPr>
          </w:p>
        </w:tc>
      </w:tr>
      <w:tr w14:paraId="4E9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E1A5E72">
            <w:pPr>
              <w:rPr>
                <w:rFonts w:hint="eastAsia" w:ascii="宋体" w:hAnsi="宋体" w:eastAsia="宋体" w:cs="宋体"/>
                <w:color w:val="auto"/>
                <w:sz w:val="24"/>
                <w:szCs w:val="24"/>
                <w:highlight w:val="none"/>
              </w:rPr>
            </w:pPr>
          </w:p>
        </w:tc>
        <w:tc>
          <w:tcPr>
            <w:tcW w:w="1418" w:type="dxa"/>
            <w:noWrap w:val="0"/>
            <w:vAlign w:val="top"/>
          </w:tcPr>
          <w:p w14:paraId="3871D95E">
            <w:pPr>
              <w:rPr>
                <w:rFonts w:hint="eastAsia" w:ascii="宋体" w:hAnsi="宋体" w:eastAsia="宋体" w:cs="宋体"/>
                <w:color w:val="auto"/>
                <w:sz w:val="24"/>
                <w:szCs w:val="24"/>
                <w:highlight w:val="none"/>
              </w:rPr>
            </w:pPr>
          </w:p>
        </w:tc>
        <w:tc>
          <w:tcPr>
            <w:tcW w:w="850" w:type="dxa"/>
            <w:noWrap w:val="0"/>
            <w:vAlign w:val="top"/>
          </w:tcPr>
          <w:p w14:paraId="3F7981D5">
            <w:pPr>
              <w:rPr>
                <w:rFonts w:hint="eastAsia" w:ascii="宋体" w:hAnsi="宋体" w:eastAsia="宋体" w:cs="宋体"/>
                <w:color w:val="auto"/>
                <w:sz w:val="24"/>
                <w:szCs w:val="24"/>
                <w:highlight w:val="none"/>
              </w:rPr>
            </w:pPr>
          </w:p>
        </w:tc>
        <w:tc>
          <w:tcPr>
            <w:tcW w:w="1058" w:type="dxa"/>
            <w:noWrap w:val="0"/>
            <w:vAlign w:val="top"/>
          </w:tcPr>
          <w:p w14:paraId="3653F181">
            <w:pPr>
              <w:rPr>
                <w:rFonts w:hint="eastAsia" w:ascii="宋体" w:hAnsi="宋体" w:eastAsia="宋体" w:cs="宋体"/>
                <w:color w:val="auto"/>
                <w:sz w:val="24"/>
                <w:szCs w:val="24"/>
                <w:highlight w:val="none"/>
              </w:rPr>
            </w:pPr>
          </w:p>
        </w:tc>
        <w:tc>
          <w:tcPr>
            <w:tcW w:w="880" w:type="dxa"/>
            <w:noWrap w:val="0"/>
            <w:vAlign w:val="top"/>
          </w:tcPr>
          <w:p w14:paraId="7B59B652">
            <w:pPr>
              <w:rPr>
                <w:rFonts w:hint="eastAsia" w:ascii="宋体" w:hAnsi="宋体" w:eastAsia="宋体" w:cs="宋体"/>
                <w:color w:val="auto"/>
                <w:sz w:val="24"/>
                <w:szCs w:val="24"/>
                <w:highlight w:val="none"/>
              </w:rPr>
            </w:pPr>
          </w:p>
        </w:tc>
        <w:tc>
          <w:tcPr>
            <w:tcW w:w="1020" w:type="dxa"/>
            <w:noWrap w:val="0"/>
            <w:vAlign w:val="top"/>
          </w:tcPr>
          <w:p w14:paraId="02FAF162">
            <w:pPr>
              <w:rPr>
                <w:rFonts w:hint="eastAsia" w:ascii="宋体" w:hAnsi="宋体" w:eastAsia="宋体" w:cs="宋体"/>
                <w:color w:val="auto"/>
                <w:sz w:val="24"/>
                <w:szCs w:val="24"/>
                <w:highlight w:val="none"/>
              </w:rPr>
            </w:pPr>
          </w:p>
        </w:tc>
        <w:tc>
          <w:tcPr>
            <w:tcW w:w="1480" w:type="dxa"/>
            <w:noWrap w:val="0"/>
            <w:vAlign w:val="top"/>
          </w:tcPr>
          <w:p w14:paraId="769459FB">
            <w:pPr>
              <w:rPr>
                <w:rFonts w:hint="eastAsia" w:ascii="宋体" w:hAnsi="宋体" w:eastAsia="宋体" w:cs="宋体"/>
                <w:color w:val="auto"/>
                <w:sz w:val="24"/>
                <w:szCs w:val="24"/>
                <w:highlight w:val="none"/>
              </w:rPr>
            </w:pPr>
          </w:p>
        </w:tc>
        <w:tc>
          <w:tcPr>
            <w:tcW w:w="1020" w:type="dxa"/>
            <w:noWrap w:val="0"/>
            <w:vAlign w:val="top"/>
          </w:tcPr>
          <w:p w14:paraId="0C6CC50D">
            <w:pPr>
              <w:rPr>
                <w:rFonts w:hint="eastAsia" w:ascii="宋体" w:hAnsi="宋体" w:eastAsia="宋体" w:cs="宋体"/>
                <w:color w:val="auto"/>
                <w:sz w:val="24"/>
                <w:szCs w:val="24"/>
                <w:highlight w:val="none"/>
              </w:rPr>
            </w:pPr>
          </w:p>
        </w:tc>
        <w:tc>
          <w:tcPr>
            <w:tcW w:w="921" w:type="dxa"/>
            <w:noWrap w:val="0"/>
            <w:vAlign w:val="top"/>
          </w:tcPr>
          <w:p w14:paraId="40201F5C">
            <w:pPr>
              <w:rPr>
                <w:rFonts w:hint="eastAsia" w:ascii="宋体" w:hAnsi="宋体" w:eastAsia="宋体" w:cs="宋体"/>
                <w:color w:val="auto"/>
                <w:sz w:val="24"/>
                <w:szCs w:val="24"/>
                <w:highlight w:val="none"/>
              </w:rPr>
            </w:pPr>
          </w:p>
        </w:tc>
      </w:tr>
      <w:tr w14:paraId="0F3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4121E13">
            <w:pPr>
              <w:rPr>
                <w:rFonts w:hint="eastAsia" w:ascii="宋体" w:hAnsi="宋体" w:eastAsia="宋体" w:cs="宋体"/>
                <w:color w:val="auto"/>
                <w:sz w:val="24"/>
                <w:szCs w:val="24"/>
                <w:highlight w:val="none"/>
              </w:rPr>
            </w:pPr>
          </w:p>
        </w:tc>
        <w:tc>
          <w:tcPr>
            <w:tcW w:w="1418" w:type="dxa"/>
            <w:noWrap w:val="0"/>
            <w:vAlign w:val="top"/>
          </w:tcPr>
          <w:p w14:paraId="62A89D38">
            <w:pPr>
              <w:rPr>
                <w:rFonts w:hint="eastAsia" w:ascii="宋体" w:hAnsi="宋体" w:eastAsia="宋体" w:cs="宋体"/>
                <w:color w:val="auto"/>
                <w:sz w:val="24"/>
                <w:szCs w:val="24"/>
                <w:highlight w:val="none"/>
              </w:rPr>
            </w:pPr>
          </w:p>
        </w:tc>
        <w:tc>
          <w:tcPr>
            <w:tcW w:w="850" w:type="dxa"/>
            <w:noWrap w:val="0"/>
            <w:vAlign w:val="top"/>
          </w:tcPr>
          <w:p w14:paraId="3CAFC1F5">
            <w:pPr>
              <w:rPr>
                <w:rFonts w:hint="eastAsia" w:ascii="宋体" w:hAnsi="宋体" w:eastAsia="宋体" w:cs="宋体"/>
                <w:color w:val="auto"/>
                <w:sz w:val="24"/>
                <w:szCs w:val="24"/>
                <w:highlight w:val="none"/>
              </w:rPr>
            </w:pPr>
          </w:p>
        </w:tc>
        <w:tc>
          <w:tcPr>
            <w:tcW w:w="1058" w:type="dxa"/>
            <w:noWrap w:val="0"/>
            <w:vAlign w:val="top"/>
          </w:tcPr>
          <w:p w14:paraId="4DC6B209">
            <w:pPr>
              <w:rPr>
                <w:rFonts w:hint="eastAsia" w:ascii="宋体" w:hAnsi="宋体" w:eastAsia="宋体" w:cs="宋体"/>
                <w:color w:val="auto"/>
                <w:sz w:val="24"/>
                <w:szCs w:val="24"/>
                <w:highlight w:val="none"/>
              </w:rPr>
            </w:pPr>
          </w:p>
        </w:tc>
        <w:tc>
          <w:tcPr>
            <w:tcW w:w="880" w:type="dxa"/>
            <w:noWrap w:val="0"/>
            <w:vAlign w:val="top"/>
          </w:tcPr>
          <w:p w14:paraId="03A04E3B">
            <w:pPr>
              <w:rPr>
                <w:rFonts w:hint="eastAsia" w:ascii="宋体" w:hAnsi="宋体" w:eastAsia="宋体" w:cs="宋体"/>
                <w:color w:val="auto"/>
                <w:sz w:val="24"/>
                <w:szCs w:val="24"/>
                <w:highlight w:val="none"/>
              </w:rPr>
            </w:pPr>
          </w:p>
        </w:tc>
        <w:tc>
          <w:tcPr>
            <w:tcW w:w="1020" w:type="dxa"/>
            <w:noWrap w:val="0"/>
            <w:vAlign w:val="top"/>
          </w:tcPr>
          <w:p w14:paraId="4EA28DDF">
            <w:pPr>
              <w:rPr>
                <w:rFonts w:hint="eastAsia" w:ascii="宋体" w:hAnsi="宋体" w:eastAsia="宋体" w:cs="宋体"/>
                <w:color w:val="auto"/>
                <w:sz w:val="24"/>
                <w:szCs w:val="24"/>
                <w:highlight w:val="none"/>
              </w:rPr>
            </w:pPr>
          </w:p>
        </w:tc>
        <w:tc>
          <w:tcPr>
            <w:tcW w:w="1480" w:type="dxa"/>
            <w:noWrap w:val="0"/>
            <w:vAlign w:val="top"/>
          </w:tcPr>
          <w:p w14:paraId="390EFBB5">
            <w:pPr>
              <w:rPr>
                <w:rFonts w:hint="eastAsia" w:ascii="宋体" w:hAnsi="宋体" w:eastAsia="宋体" w:cs="宋体"/>
                <w:color w:val="auto"/>
                <w:sz w:val="24"/>
                <w:szCs w:val="24"/>
                <w:highlight w:val="none"/>
              </w:rPr>
            </w:pPr>
          </w:p>
        </w:tc>
        <w:tc>
          <w:tcPr>
            <w:tcW w:w="1020" w:type="dxa"/>
            <w:noWrap w:val="0"/>
            <w:vAlign w:val="top"/>
          </w:tcPr>
          <w:p w14:paraId="443D1E32">
            <w:pPr>
              <w:rPr>
                <w:rFonts w:hint="eastAsia" w:ascii="宋体" w:hAnsi="宋体" w:eastAsia="宋体" w:cs="宋体"/>
                <w:color w:val="auto"/>
                <w:sz w:val="24"/>
                <w:szCs w:val="24"/>
                <w:highlight w:val="none"/>
              </w:rPr>
            </w:pPr>
          </w:p>
        </w:tc>
        <w:tc>
          <w:tcPr>
            <w:tcW w:w="921" w:type="dxa"/>
            <w:noWrap w:val="0"/>
            <w:vAlign w:val="top"/>
          </w:tcPr>
          <w:p w14:paraId="43CDB015">
            <w:pPr>
              <w:rPr>
                <w:rFonts w:hint="eastAsia" w:ascii="宋体" w:hAnsi="宋体" w:eastAsia="宋体" w:cs="宋体"/>
                <w:color w:val="auto"/>
                <w:sz w:val="24"/>
                <w:szCs w:val="24"/>
                <w:highlight w:val="none"/>
              </w:rPr>
            </w:pPr>
          </w:p>
        </w:tc>
      </w:tr>
      <w:tr w14:paraId="50B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4558C8C">
            <w:pPr>
              <w:rPr>
                <w:rFonts w:hint="eastAsia" w:ascii="宋体" w:hAnsi="宋体" w:eastAsia="宋体" w:cs="宋体"/>
                <w:color w:val="auto"/>
                <w:sz w:val="24"/>
                <w:szCs w:val="24"/>
                <w:highlight w:val="none"/>
              </w:rPr>
            </w:pPr>
          </w:p>
        </w:tc>
        <w:tc>
          <w:tcPr>
            <w:tcW w:w="1418" w:type="dxa"/>
            <w:noWrap w:val="0"/>
            <w:vAlign w:val="top"/>
          </w:tcPr>
          <w:p w14:paraId="79E4858D">
            <w:pPr>
              <w:rPr>
                <w:rFonts w:hint="eastAsia" w:ascii="宋体" w:hAnsi="宋体" w:eastAsia="宋体" w:cs="宋体"/>
                <w:color w:val="auto"/>
                <w:sz w:val="24"/>
                <w:szCs w:val="24"/>
                <w:highlight w:val="none"/>
              </w:rPr>
            </w:pPr>
          </w:p>
        </w:tc>
        <w:tc>
          <w:tcPr>
            <w:tcW w:w="850" w:type="dxa"/>
            <w:noWrap w:val="0"/>
            <w:vAlign w:val="top"/>
          </w:tcPr>
          <w:p w14:paraId="561E2F27">
            <w:pPr>
              <w:rPr>
                <w:rFonts w:hint="eastAsia" w:ascii="宋体" w:hAnsi="宋体" w:eastAsia="宋体" w:cs="宋体"/>
                <w:color w:val="auto"/>
                <w:sz w:val="24"/>
                <w:szCs w:val="24"/>
                <w:highlight w:val="none"/>
              </w:rPr>
            </w:pPr>
          </w:p>
        </w:tc>
        <w:tc>
          <w:tcPr>
            <w:tcW w:w="1058" w:type="dxa"/>
            <w:noWrap w:val="0"/>
            <w:vAlign w:val="top"/>
          </w:tcPr>
          <w:p w14:paraId="37EE6A57">
            <w:pPr>
              <w:rPr>
                <w:rFonts w:hint="eastAsia" w:ascii="宋体" w:hAnsi="宋体" w:eastAsia="宋体" w:cs="宋体"/>
                <w:color w:val="auto"/>
                <w:sz w:val="24"/>
                <w:szCs w:val="24"/>
                <w:highlight w:val="none"/>
              </w:rPr>
            </w:pPr>
          </w:p>
        </w:tc>
        <w:tc>
          <w:tcPr>
            <w:tcW w:w="880" w:type="dxa"/>
            <w:noWrap w:val="0"/>
            <w:vAlign w:val="top"/>
          </w:tcPr>
          <w:p w14:paraId="25BE61B3">
            <w:pPr>
              <w:rPr>
                <w:rFonts w:hint="eastAsia" w:ascii="宋体" w:hAnsi="宋体" w:eastAsia="宋体" w:cs="宋体"/>
                <w:color w:val="auto"/>
                <w:sz w:val="24"/>
                <w:szCs w:val="24"/>
                <w:highlight w:val="none"/>
              </w:rPr>
            </w:pPr>
          </w:p>
        </w:tc>
        <w:tc>
          <w:tcPr>
            <w:tcW w:w="1020" w:type="dxa"/>
            <w:noWrap w:val="0"/>
            <w:vAlign w:val="top"/>
          </w:tcPr>
          <w:p w14:paraId="587D2959">
            <w:pPr>
              <w:rPr>
                <w:rFonts w:hint="eastAsia" w:ascii="宋体" w:hAnsi="宋体" w:eastAsia="宋体" w:cs="宋体"/>
                <w:color w:val="auto"/>
                <w:sz w:val="24"/>
                <w:szCs w:val="24"/>
                <w:highlight w:val="none"/>
              </w:rPr>
            </w:pPr>
          </w:p>
        </w:tc>
        <w:tc>
          <w:tcPr>
            <w:tcW w:w="1480" w:type="dxa"/>
            <w:noWrap w:val="0"/>
            <w:vAlign w:val="top"/>
          </w:tcPr>
          <w:p w14:paraId="4007AFAC">
            <w:pPr>
              <w:rPr>
                <w:rFonts w:hint="eastAsia" w:ascii="宋体" w:hAnsi="宋体" w:eastAsia="宋体" w:cs="宋体"/>
                <w:color w:val="auto"/>
                <w:sz w:val="24"/>
                <w:szCs w:val="24"/>
                <w:highlight w:val="none"/>
              </w:rPr>
            </w:pPr>
          </w:p>
        </w:tc>
        <w:tc>
          <w:tcPr>
            <w:tcW w:w="1020" w:type="dxa"/>
            <w:noWrap w:val="0"/>
            <w:vAlign w:val="top"/>
          </w:tcPr>
          <w:p w14:paraId="5298B554">
            <w:pPr>
              <w:rPr>
                <w:rFonts w:hint="eastAsia" w:ascii="宋体" w:hAnsi="宋体" w:eastAsia="宋体" w:cs="宋体"/>
                <w:color w:val="auto"/>
                <w:sz w:val="24"/>
                <w:szCs w:val="24"/>
                <w:highlight w:val="none"/>
              </w:rPr>
            </w:pPr>
          </w:p>
        </w:tc>
        <w:tc>
          <w:tcPr>
            <w:tcW w:w="921" w:type="dxa"/>
            <w:noWrap w:val="0"/>
            <w:vAlign w:val="top"/>
          </w:tcPr>
          <w:p w14:paraId="13903BB3">
            <w:pPr>
              <w:rPr>
                <w:rFonts w:hint="eastAsia" w:ascii="宋体" w:hAnsi="宋体" w:eastAsia="宋体" w:cs="宋体"/>
                <w:color w:val="auto"/>
                <w:sz w:val="24"/>
                <w:szCs w:val="24"/>
                <w:highlight w:val="none"/>
              </w:rPr>
            </w:pPr>
          </w:p>
        </w:tc>
      </w:tr>
      <w:tr w14:paraId="6DE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39351B1">
            <w:pPr>
              <w:rPr>
                <w:rFonts w:hint="eastAsia" w:ascii="宋体" w:hAnsi="宋体" w:eastAsia="宋体" w:cs="宋体"/>
                <w:color w:val="auto"/>
                <w:sz w:val="24"/>
                <w:szCs w:val="24"/>
                <w:highlight w:val="none"/>
              </w:rPr>
            </w:pPr>
          </w:p>
        </w:tc>
        <w:tc>
          <w:tcPr>
            <w:tcW w:w="1418" w:type="dxa"/>
            <w:noWrap w:val="0"/>
            <w:vAlign w:val="top"/>
          </w:tcPr>
          <w:p w14:paraId="3AB863B3">
            <w:pPr>
              <w:rPr>
                <w:rFonts w:hint="eastAsia" w:ascii="宋体" w:hAnsi="宋体" w:eastAsia="宋体" w:cs="宋体"/>
                <w:color w:val="auto"/>
                <w:sz w:val="24"/>
                <w:szCs w:val="24"/>
                <w:highlight w:val="none"/>
              </w:rPr>
            </w:pPr>
          </w:p>
        </w:tc>
        <w:tc>
          <w:tcPr>
            <w:tcW w:w="850" w:type="dxa"/>
            <w:noWrap w:val="0"/>
            <w:vAlign w:val="top"/>
          </w:tcPr>
          <w:p w14:paraId="0428120D">
            <w:pPr>
              <w:rPr>
                <w:rFonts w:hint="eastAsia" w:ascii="宋体" w:hAnsi="宋体" w:eastAsia="宋体" w:cs="宋体"/>
                <w:color w:val="auto"/>
                <w:sz w:val="24"/>
                <w:szCs w:val="24"/>
                <w:highlight w:val="none"/>
              </w:rPr>
            </w:pPr>
          </w:p>
        </w:tc>
        <w:tc>
          <w:tcPr>
            <w:tcW w:w="1058" w:type="dxa"/>
            <w:noWrap w:val="0"/>
            <w:vAlign w:val="top"/>
          </w:tcPr>
          <w:p w14:paraId="67F69669">
            <w:pPr>
              <w:rPr>
                <w:rFonts w:hint="eastAsia" w:ascii="宋体" w:hAnsi="宋体" w:eastAsia="宋体" w:cs="宋体"/>
                <w:color w:val="auto"/>
                <w:sz w:val="24"/>
                <w:szCs w:val="24"/>
                <w:highlight w:val="none"/>
              </w:rPr>
            </w:pPr>
          </w:p>
        </w:tc>
        <w:tc>
          <w:tcPr>
            <w:tcW w:w="880" w:type="dxa"/>
            <w:noWrap w:val="0"/>
            <w:vAlign w:val="top"/>
          </w:tcPr>
          <w:p w14:paraId="3C7D9693">
            <w:pPr>
              <w:rPr>
                <w:rFonts w:hint="eastAsia" w:ascii="宋体" w:hAnsi="宋体" w:eastAsia="宋体" w:cs="宋体"/>
                <w:color w:val="auto"/>
                <w:sz w:val="24"/>
                <w:szCs w:val="24"/>
                <w:highlight w:val="none"/>
              </w:rPr>
            </w:pPr>
          </w:p>
        </w:tc>
        <w:tc>
          <w:tcPr>
            <w:tcW w:w="1020" w:type="dxa"/>
            <w:noWrap w:val="0"/>
            <w:vAlign w:val="top"/>
          </w:tcPr>
          <w:p w14:paraId="4A582BAB">
            <w:pPr>
              <w:rPr>
                <w:rFonts w:hint="eastAsia" w:ascii="宋体" w:hAnsi="宋体" w:eastAsia="宋体" w:cs="宋体"/>
                <w:color w:val="auto"/>
                <w:sz w:val="24"/>
                <w:szCs w:val="24"/>
                <w:highlight w:val="none"/>
              </w:rPr>
            </w:pPr>
          </w:p>
        </w:tc>
        <w:tc>
          <w:tcPr>
            <w:tcW w:w="1480" w:type="dxa"/>
            <w:noWrap w:val="0"/>
            <w:vAlign w:val="top"/>
          </w:tcPr>
          <w:p w14:paraId="05AF8AE9">
            <w:pPr>
              <w:rPr>
                <w:rFonts w:hint="eastAsia" w:ascii="宋体" w:hAnsi="宋体" w:eastAsia="宋体" w:cs="宋体"/>
                <w:color w:val="auto"/>
                <w:sz w:val="24"/>
                <w:szCs w:val="24"/>
                <w:highlight w:val="none"/>
              </w:rPr>
            </w:pPr>
          </w:p>
        </w:tc>
        <w:tc>
          <w:tcPr>
            <w:tcW w:w="1020" w:type="dxa"/>
            <w:noWrap w:val="0"/>
            <w:vAlign w:val="top"/>
          </w:tcPr>
          <w:p w14:paraId="7A751523">
            <w:pPr>
              <w:rPr>
                <w:rFonts w:hint="eastAsia" w:ascii="宋体" w:hAnsi="宋体" w:eastAsia="宋体" w:cs="宋体"/>
                <w:color w:val="auto"/>
                <w:sz w:val="24"/>
                <w:szCs w:val="24"/>
                <w:highlight w:val="none"/>
              </w:rPr>
            </w:pPr>
          </w:p>
        </w:tc>
        <w:tc>
          <w:tcPr>
            <w:tcW w:w="921" w:type="dxa"/>
            <w:noWrap w:val="0"/>
            <w:vAlign w:val="top"/>
          </w:tcPr>
          <w:p w14:paraId="36CA734A">
            <w:pPr>
              <w:rPr>
                <w:rFonts w:hint="eastAsia" w:ascii="宋体" w:hAnsi="宋体" w:eastAsia="宋体" w:cs="宋体"/>
                <w:color w:val="auto"/>
                <w:sz w:val="24"/>
                <w:szCs w:val="24"/>
                <w:highlight w:val="none"/>
              </w:rPr>
            </w:pPr>
          </w:p>
        </w:tc>
      </w:tr>
      <w:tr w14:paraId="2921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D3E5B5B">
            <w:pPr>
              <w:rPr>
                <w:rFonts w:hint="eastAsia" w:ascii="宋体" w:hAnsi="宋体" w:eastAsia="宋体" w:cs="宋体"/>
                <w:color w:val="auto"/>
                <w:sz w:val="24"/>
                <w:szCs w:val="24"/>
                <w:highlight w:val="none"/>
              </w:rPr>
            </w:pPr>
          </w:p>
        </w:tc>
        <w:tc>
          <w:tcPr>
            <w:tcW w:w="1418" w:type="dxa"/>
            <w:noWrap w:val="0"/>
            <w:vAlign w:val="top"/>
          </w:tcPr>
          <w:p w14:paraId="68E84502">
            <w:pPr>
              <w:rPr>
                <w:rFonts w:hint="eastAsia" w:ascii="宋体" w:hAnsi="宋体" w:eastAsia="宋体" w:cs="宋体"/>
                <w:color w:val="auto"/>
                <w:sz w:val="24"/>
                <w:szCs w:val="24"/>
                <w:highlight w:val="none"/>
              </w:rPr>
            </w:pPr>
          </w:p>
        </w:tc>
        <w:tc>
          <w:tcPr>
            <w:tcW w:w="850" w:type="dxa"/>
            <w:noWrap w:val="0"/>
            <w:vAlign w:val="top"/>
          </w:tcPr>
          <w:p w14:paraId="4F186CC7">
            <w:pPr>
              <w:rPr>
                <w:rFonts w:hint="eastAsia" w:ascii="宋体" w:hAnsi="宋体" w:eastAsia="宋体" w:cs="宋体"/>
                <w:color w:val="auto"/>
                <w:sz w:val="24"/>
                <w:szCs w:val="24"/>
                <w:highlight w:val="none"/>
              </w:rPr>
            </w:pPr>
          </w:p>
        </w:tc>
        <w:tc>
          <w:tcPr>
            <w:tcW w:w="1058" w:type="dxa"/>
            <w:noWrap w:val="0"/>
            <w:vAlign w:val="top"/>
          </w:tcPr>
          <w:p w14:paraId="748A45FE">
            <w:pPr>
              <w:rPr>
                <w:rFonts w:hint="eastAsia" w:ascii="宋体" w:hAnsi="宋体" w:eastAsia="宋体" w:cs="宋体"/>
                <w:color w:val="auto"/>
                <w:sz w:val="24"/>
                <w:szCs w:val="24"/>
                <w:highlight w:val="none"/>
              </w:rPr>
            </w:pPr>
          </w:p>
        </w:tc>
        <w:tc>
          <w:tcPr>
            <w:tcW w:w="880" w:type="dxa"/>
            <w:noWrap w:val="0"/>
            <w:vAlign w:val="top"/>
          </w:tcPr>
          <w:p w14:paraId="5D22ECA0">
            <w:pPr>
              <w:rPr>
                <w:rFonts w:hint="eastAsia" w:ascii="宋体" w:hAnsi="宋体" w:eastAsia="宋体" w:cs="宋体"/>
                <w:color w:val="auto"/>
                <w:sz w:val="24"/>
                <w:szCs w:val="24"/>
                <w:highlight w:val="none"/>
              </w:rPr>
            </w:pPr>
          </w:p>
        </w:tc>
        <w:tc>
          <w:tcPr>
            <w:tcW w:w="1020" w:type="dxa"/>
            <w:noWrap w:val="0"/>
            <w:vAlign w:val="top"/>
          </w:tcPr>
          <w:p w14:paraId="7FAC0679">
            <w:pPr>
              <w:rPr>
                <w:rFonts w:hint="eastAsia" w:ascii="宋体" w:hAnsi="宋体" w:eastAsia="宋体" w:cs="宋体"/>
                <w:color w:val="auto"/>
                <w:sz w:val="24"/>
                <w:szCs w:val="24"/>
                <w:highlight w:val="none"/>
              </w:rPr>
            </w:pPr>
          </w:p>
        </w:tc>
        <w:tc>
          <w:tcPr>
            <w:tcW w:w="1480" w:type="dxa"/>
            <w:noWrap w:val="0"/>
            <w:vAlign w:val="top"/>
          </w:tcPr>
          <w:p w14:paraId="60730DF4">
            <w:pPr>
              <w:rPr>
                <w:rFonts w:hint="eastAsia" w:ascii="宋体" w:hAnsi="宋体" w:eastAsia="宋体" w:cs="宋体"/>
                <w:color w:val="auto"/>
                <w:sz w:val="24"/>
                <w:szCs w:val="24"/>
                <w:highlight w:val="none"/>
              </w:rPr>
            </w:pPr>
          </w:p>
        </w:tc>
        <w:tc>
          <w:tcPr>
            <w:tcW w:w="1020" w:type="dxa"/>
            <w:noWrap w:val="0"/>
            <w:vAlign w:val="top"/>
          </w:tcPr>
          <w:p w14:paraId="0508BAAE">
            <w:pPr>
              <w:rPr>
                <w:rFonts w:hint="eastAsia" w:ascii="宋体" w:hAnsi="宋体" w:eastAsia="宋体" w:cs="宋体"/>
                <w:color w:val="auto"/>
                <w:sz w:val="24"/>
                <w:szCs w:val="24"/>
                <w:highlight w:val="none"/>
              </w:rPr>
            </w:pPr>
          </w:p>
        </w:tc>
        <w:tc>
          <w:tcPr>
            <w:tcW w:w="921" w:type="dxa"/>
            <w:noWrap w:val="0"/>
            <w:vAlign w:val="top"/>
          </w:tcPr>
          <w:p w14:paraId="5953CA61">
            <w:pPr>
              <w:rPr>
                <w:rFonts w:hint="eastAsia" w:ascii="宋体" w:hAnsi="宋体" w:eastAsia="宋体" w:cs="宋体"/>
                <w:color w:val="auto"/>
                <w:sz w:val="24"/>
                <w:szCs w:val="24"/>
                <w:highlight w:val="none"/>
              </w:rPr>
            </w:pPr>
          </w:p>
        </w:tc>
      </w:tr>
    </w:tbl>
    <w:p w14:paraId="4FC6D1BA">
      <w:pPr>
        <w:spacing w:line="440" w:lineRule="exact"/>
        <w:rPr>
          <w:rFonts w:eastAsia="仿宋_GB2312"/>
          <w:color w:val="auto"/>
          <w:sz w:val="30"/>
          <w:szCs w:val="30"/>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5EE5A5A6">
      <w:pPr>
        <w:bidi w:val="0"/>
        <w:spacing w:line="360" w:lineRule="auto"/>
        <w:rPr>
          <w:rFonts w:hint="eastAsia" w:ascii="宋体" w:hAnsi="宋体" w:eastAsia="宋体" w:cs="宋体"/>
          <w:b/>
          <w:bCs/>
          <w:color w:val="auto"/>
          <w:sz w:val="22"/>
          <w:szCs w:val="24"/>
        </w:rPr>
      </w:pPr>
      <w:bookmarkStart w:id="946" w:name="_Toc28255"/>
      <w:bookmarkStart w:id="947" w:name="_Toc777"/>
      <w:bookmarkStart w:id="948" w:name="_Toc26760"/>
      <w:r>
        <w:rPr>
          <w:rFonts w:hint="eastAsia" w:ascii="宋体" w:hAnsi="宋体" w:eastAsia="宋体" w:cs="宋体"/>
          <w:b/>
          <w:bCs/>
          <w:color w:val="auto"/>
          <w:sz w:val="22"/>
          <w:szCs w:val="24"/>
        </w:rPr>
        <w:t>附件5：</w:t>
      </w:r>
      <w:bookmarkEnd w:id="946"/>
      <w:bookmarkEnd w:id="947"/>
      <w:bookmarkEnd w:id="948"/>
    </w:p>
    <w:p w14:paraId="3FC26178">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74D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2A7F5E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02570DF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77C0A67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2116E2D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0FA6B5C7">
            <w:pPr>
              <w:pStyle w:val="10"/>
              <w:keepNext/>
              <w:spacing w:after="0" w:line="440" w:lineRule="exact"/>
              <w:ind w:left="0" w:leftChars="0"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13D4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9FF3E9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29BF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E76AB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2F5288A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AB150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07624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A5A0C6">
            <w:pPr>
              <w:pStyle w:val="10"/>
              <w:keepNext/>
              <w:spacing w:after="0" w:line="440" w:lineRule="exact"/>
              <w:ind w:left="63" w:right="63"/>
              <w:rPr>
                <w:rFonts w:hint="eastAsia" w:ascii="宋体" w:hAnsi="宋体" w:eastAsia="宋体" w:cs="宋体"/>
                <w:color w:val="auto"/>
                <w:sz w:val="24"/>
                <w:szCs w:val="24"/>
                <w:highlight w:val="none"/>
              </w:rPr>
            </w:pPr>
          </w:p>
        </w:tc>
      </w:tr>
      <w:tr w14:paraId="7F5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7B86B56">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207C62F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6CE61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F110C0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7C87C59">
            <w:pPr>
              <w:pStyle w:val="10"/>
              <w:keepNext/>
              <w:spacing w:after="0" w:line="440" w:lineRule="exact"/>
              <w:ind w:left="63" w:right="63"/>
              <w:rPr>
                <w:rFonts w:hint="eastAsia" w:ascii="宋体" w:hAnsi="宋体" w:eastAsia="宋体" w:cs="宋体"/>
                <w:color w:val="auto"/>
                <w:sz w:val="24"/>
                <w:szCs w:val="24"/>
                <w:highlight w:val="none"/>
              </w:rPr>
            </w:pPr>
          </w:p>
        </w:tc>
      </w:tr>
      <w:tr w14:paraId="10D8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96E487E">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00A79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94A6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6E003E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791FAF8">
            <w:pPr>
              <w:pStyle w:val="10"/>
              <w:keepNext/>
              <w:spacing w:after="0" w:line="440" w:lineRule="exact"/>
              <w:ind w:left="63" w:right="63"/>
              <w:rPr>
                <w:rFonts w:hint="eastAsia" w:ascii="宋体" w:hAnsi="宋体" w:eastAsia="宋体" w:cs="宋体"/>
                <w:color w:val="auto"/>
                <w:sz w:val="24"/>
                <w:szCs w:val="24"/>
                <w:highlight w:val="none"/>
              </w:rPr>
            </w:pPr>
          </w:p>
        </w:tc>
      </w:tr>
      <w:tr w14:paraId="5A7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BC52EA">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A5CE61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08E3E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BD506B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A52CE13">
            <w:pPr>
              <w:pStyle w:val="10"/>
              <w:keepNext/>
              <w:spacing w:after="0" w:line="440" w:lineRule="exact"/>
              <w:ind w:left="63" w:right="63"/>
              <w:rPr>
                <w:rFonts w:hint="eastAsia" w:ascii="宋体" w:hAnsi="宋体" w:eastAsia="宋体" w:cs="宋体"/>
                <w:color w:val="auto"/>
                <w:sz w:val="24"/>
                <w:szCs w:val="24"/>
                <w:highlight w:val="none"/>
              </w:rPr>
            </w:pPr>
          </w:p>
        </w:tc>
      </w:tr>
      <w:tr w14:paraId="53C7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40B2A1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7489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29AAB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7A77C21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775844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CC7076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2CF2D6C">
            <w:pPr>
              <w:pStyle w:val="10"/>
              <w:keepNext/>
              <w:spacing w:after="0" w:line="440" w:lineRule="exact"/>
              <w:ind w:left="63" w:right="63"/>
              <w:rPr>
                <w:rFonts w:hint="eastAsia" w:ascii="宋体" w:hAnsi="宋体" w:eastAsia="宋体" w:cs="宋体"/>
                <w:color w:val="auto"/>
                <w:sz w:val="24"/>
                <w:szCs w:val="24"/>
                <w:highlight w:val="none"/>
              </w:rPr>
            </w:pPr>
          </w:p>
        </w:tc>
      </w:tr>
      <w:tr w14:paraId="145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A39B5F">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51E1AB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B6FDF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1B5A71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BFE5DAC">
            <w:pPr>
              <w:pStyle w:val="10"/>
              <w:keepNext/>
              <w:spacing w:after="0" w:line="440" w:lineRule="exact"/>
              <w:ind w:left="63" w:right="63"/>
              <w:rPr>
                <w:rFonts w:hint="eastAsia" w:ascii="宋体" w:hAnsi="宋体" w:eastAsia="宋体" w:cs="宋体"/>
                <w:color w:val="auto"/>
                <w:sz w:val="24"/>
                <w:szCs w:val="24"/>
                <w:highlight w:val="none"/>
              </w:rPr>
            </w:pPr>
          </w:p>
        </w:tc>
      </w:tr>
      <w:tr w14:paraId="589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0F9E6C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0EFBB6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F2122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FCB39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EB225A">
            <w:pPr>
              <w:pStyle w:val="10"/>
              <w:keepNext/>
              <w:spacing w:after="0" w:line="440" w:lineRule="exact"/>
              <w:ind w:left="63" w:right="63"/>
              <w:rPr>
                <w:rFonts w:hint="eastAsia" w:ascii="宋体" w:hAnsi="宋体" w:eastAsia="宋体" w:cs="宋体"/>
                <w:color w:val="auto"/>
                <w:sz w:val="24"/>
                <w:szCs w:val="24"/>
                <w:highlight w:val="none"/>
              </w:rPr>
            </w:pPr>
          </w:p>
        </w:tc>
      </w:tr>
      <w:tr w14:paraId="5B1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EB4956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3060259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8A2A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26806D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4DE00F5">
            <w:pPr>
              <w:pStyle w:val="10"/>
              <w:keepNext/>
              <w:spacing w:after="0" w:line="440" w:lineRule="exact"/>
              <w:ind w:left="63" w:right="63"/>
              <w:rPr>
                <w:rFonts w:hint="eastAsia" w:ascii="宋体" w:hAnsi="宋体" w:eastAsia="宋体" w:cs="宋体"/>
                <w:color w:val="auto"/>
                <w:sz w:val="24"/>
                <w:szCs w:val="24"/>
                <w:highlight w:val="none"/>
              </w:rPr>
            </w:pPr>
          </w:p>
        </w:tc>
      </w:tr>
      <w:tr w14:paraId="42CA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865D762">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1D18265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2A0F9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C771A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56CD839">
            <w:pPr>
              <w:pStyle w:val="10"/>
              <w:keepNext/>
              <w:spacing w:after="0" w:line="440" w:lineRule="exact"/>
              <w:ind w:left="63" w:right="63"/>
              <w:rPr>
                <w:rFonts w:hint="eastAsia" w:ascii="宋体" w:hAnsi="宋体" w:eastAsia="宋体" w:cs="宋体"/>
                <w:color w:val="auto"/>
                <w:sz w:val="24"/>
                <w:szCs w:val="24"/>
                <w:highlight w:val="none"/>
              </w:rPr>
            </w:pPr>
          </w:p>
        </w:tc>
      </w:tr>
      <w:tr w14:paraId="67DA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51D29A">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FF5AE7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261413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7280B9">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F0556D1">
            <w:pPr>
              <w:pStyle w:val="10"/>
              <w:keepNext/>
              <w:spacing w:after="0" w:line="440" w:lineRule="exact"/>
              <w:ind w:left="63" w:right="63"/>
              <w:rPr>
                <w:rFonts w:hint="eastAsia" w:ascii="宋体" w:hAnsi="宋体" w:eastAsia="宋体" w:cs="宋体"/>
                <w:color w:val="auto"/>
                <w:sz w:val="24"/>
                <w:szCs w:val="24"/>
                <w:highlight w:val="none"/>
              </w:rPr>
            </w:pPr>
          </w:p>
        </w:tc>
      </w:tr>
      <w:tr w14:paraId="5859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1785D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1E43A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440A0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ECB35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6997135">
            <w:pPr>
              <w:pStyle w:val="10"/>
              <w:keepNext/>
              <w:spacing w:after="0" w:line="440" w:lineRule="exact"/>
              <w:ind w:left="63" w:right="63"/>
              <w:rPr>
                <w:rFonts w:hint="eastAsia" w:ascii="宋体" w:hAnsi="宋体" w:eastAsia="宋体" w:cs="宋体"/>
                <w:color w:val="auto"/>
                <w:sz w:val="24"/>
                <w:szCs w:val="24"/>
                <w:highlight w:val="none"/>
              </w:rPr>
            </w:pPr>
          </w:p>
        </w:tc>
      </w:tr>
      <w:tr w14:paraId="552D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3DFE6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5E2F0A5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9DC37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60795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4C7ACFE">
            <w:pPr>
              <w:pStyle w:val="10"/>
              <w:keepNext/>
              <w:spacing w:after="0" w:line="440" w:lineRule="exact"/>
              <w:ind w:left="63" w:right="63"/>
              <w:rPr>
                <w:rFonts w:hint="eastAsia" w:ascii="宋体" w:hAnsi="宋体" w:eastAsia="宋体" w:cs="宋体"/>
                <w:color w:val="auto"/>
                <w:sz w:val="24"/>
                <w:szCs w:val="24"/>
                <w:highlight w:val="none"/>
              </w:rPr>
            </w:pPr>
          </w:p>
        </w:tc>
      </w:tr>
      <w:tr w14:paraId="0F78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8E73C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D9D3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EDB4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DCFC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5FB864">
            <w:pPr>
              <w:pStyle w:val="10"/>
              <w:keepNext/>
              <w:spacing w:after="0" w:line="440" w:lineRule="exact"/>
              <w:ind w:left="63" w:right="63"/>
              <w:rPr>
                <w:rFonts w:hint="eastAsia" w:ascii="宋体" w:hAnsi="宋体" w:eastAsia="宋体" w:cs="宋体"/>
                <w:color w:val="auto"/>
                <w:sz w:val="24"/>
                <w:szCs w:val="24"/>
                <w:highlight w:val="none"/>
              </w:rPr>
            </w:pPr>
          </w:p>
        </w:tc>
      </w:tr>
      <w:tr w14:paraId="167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408950D">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2FAB43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12BE5B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2C43A8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B851FA5">
            <w:pPr>
              <w:pStyle w:val="10"/>
              <w:keepNext/>
              <w:spacing w:after="0" w:line="440" w:lineRule="exact"/>
              <w:ind w:left="63" w:right="63"/>
              <w:rPr>
                <w:rFonts w:hint="eastAsia" w:ascii="宋体" w:hAnsi="宋体" w:eastAsia="宋体" w:cs="宋体"/>
                <w:color w:val="auto"/>
                <w:sz w:val="24"/>
                <w:szCs w:val="24"/>
                <w:highlight w:val="none"/>
              </w:rPr>
            </w:pPr>
          </w:p>
        </w:tc>
      </w:tr>
      <w:tr w14:paraId="718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91946A1">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3251F6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C387BB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0A2F0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AC0DDBD">
            <w:pPr>
              <w:pStyle w:val="10"/>
              <w:keepNext/>
              <w:spacing w:after="0" w:line="440" w:lineRule="exact"/>
              <w:ind w:left="63" w:right="63"/>
              <w:rPr>
                <w:rFonts w:hint="eastAsia" w:ascii="宋体" w:hAnsi="宋体" w:eastAsia="宋体" w:cs="宋体"/>
                <w:color w:val="auto"/>
                <w:sz w:val="24"/>
                <w:szCs w:val="24"/>
                <w:highlight w:val="none"/>
              </w:rPr>
            </w:pPr>
          </w:p>
        </w:tc>
      </w:tr>
      <w:tr w14:paraId="3DE1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22F0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AFD6FC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311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6CBB8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01B36D">
            <w:pPr>
              <w:pStyle w:val="10"/>
              <w:keepNext/>
              <w:spacing w:after="0" w:line="440" w:lineRule="exact"/>
              <w:ind w:left="63" w:right="63"/>
              <w:rPr>
                <w:rFonts w:hint="eastAsia" w:ascii="宋体" w:hAnsi="宋体" w:eastAsia="宋体" w:cs="宋体"/>
                <w:color w:val="auto"/>
                <w:sz w:val="24"/>
                <w:szCs w:val="24"/>
                <w:highlight w:val="none"/>
              </w:rPr>
            </w:pPr>
          </w:p>
        </w:tc>
      </w:tr>
      <w:tr w14:paraId="366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2ED8A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718BC21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B92658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9F933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4BA9D6">
            <w:pPr>
              <w:pStyle w:val="10"/>
              <w:keepNext/>
              <w:spacing w:after="0" w:line="440" w:lineRule="exact"/>
              <w:ind w:left="63" w:right="63"/>
              <w:rPr>
                <w:rFonts w:hint="eastAsia" w:ascii="宋体" w:hAnsi="宋体" w:eastAsia="宋体" w:cs="宋体"/>
                <w:color w:val="auto"/>
                <w:sz w:val="24"/>
                <w:szCs w:val="24"/>
                <w:highlight w:val="none"/>
              </w:rPr>
            </w:pPr>
          </w:p>
        </w:tc>
      </w:tr>
      <w:tr w14:paraId="040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CF99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1A4C7F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26263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C9A4E4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D123571">
            <w:pPr>
              <w:pStyle w:val="10"/>
              <w:keepNext/>
              <w:spacing w:after="0" w:line="440" w:lineRule="exact"/>
              <w:ind w:left="63" w:right="63"/>
              <w:rPr>
                <w:rFonts w:hint="eastAsia" w:ascii="宋体" w:hAnsi="宋体" w:eastAsia="宋体" w:cs="宋体"/>
                <w:color w:val="auto"/>
                <w:sz w:val="24"/>
                <w:szCs w:val="24"/>
                <w:highlight w:val="none"/>
              </w:rPr>
            </w:pPr>
          </w:p>
        </w:tc>
      </w:tr>
      <w:tr w14:paraId="4A7F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9DB14A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9BE37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17CE6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D219F3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DDE79C">
            <w:pPr>
              <w:pStyle w:val="10"/>
              <w:keepNext/>
              <w:spacing w:after="0" w:line="440" w:lineRule="exact"/>
              <w:ind w:left="63" w:right="63"/>
              <w:rPr>
                <w:rFonts w:hint="eastAsia" w:ascii="宋体" w:hAnsi="宋体" w:eastAsia="宋体" w:cs="宋体"/>
                <w:color w:val="auto"/>
                <w:sz w:val="24"/>
                <w:szCs w:val="24"/>
                <w:highlight w:val="none"/>
              </w:rPr>
            </w:pPr>
          </w:p>
        </w:tc>
      </w:tr>
      <w:tr w14:paraId="0B8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5F62D1">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5DA7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35BA25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0C4B2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273B07D">
            <w:pPr>
              <w:pStyle w:val="10"/>
              <w:keepNext/>
              <w:spacing w:after="0" w:line="440" w:lineRule="exact"/>
              <w:ind w:left="63" w:right="63"/>
              <w:rPr>
                <w:rFonts w:hint="eastAsia" w:ascii="宋体" w:hAnsi="宋体" w:eastAsia="宋体" w:cs="宋体"/>
                <w:color w:val="auto"/>
                <w:sz w:val="24"/>
                <w:szCs w:val="24"/>
                <w:highlight w:val="none"/>
              </w:rPr>
            </w:pPr>
          </w:p>
        </w:tc>
      </w:tr>
      <w:tr w14:paraId="568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D131A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800663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D543FA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5C10D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3862B9A">
            <w:pPr>
              <w:pStyle w:val="10"/>
              <w:keepNext/>
              <w:spacing w:after="0" w:line="440" w:lineRule="exact"/>
              <w:ind w:left="63" w:right="63"/>
              <w:rPr>
                <w:rFonts w:hint="eastAsia" w:ascii="宋体" w:hAnsi="宋体" w:eastAsia="宋体" w:cs="宋体"/>
                <w:color w:val="auto"/>
                <w:sz w:val="24"/>
                <w:szCs w:val="24"/>
                <w:highlight w:val="none"/>
              </w:rPr>
            </w:pPr>
          </w:p>
        </w:tc>
      </w:tr>
      <w:tr w14:paraId="6E7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69E87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9E1787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807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5C7B06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F584309">
            <w:pPr>
              <w:pStyle w:val="10"/>
              <w:keepNext/>
              <w:spacing w:after="0" w:line="440" w:lineRule="exact"/>
              <w:ind w:left="63" w:right="63"/>
              <w:rPr>
                <w:rFonts w:hint="eastAsia" w:ascii="宋体" w:hAnsi="宋体" w:eastAsia="宋体" w:cs="宋体"/>
                <w:color w:val="auto"/>
                <w:sz w:val="24"/>
                <w:szCs w:val="24"/>
                <w:highlight w:val="none"/>
              </w:rPr>
            </w:pPr>
          </w:p>
        </w:tc>
      </w:tr>
    </w:tbl>
    <w:p w14:paraId="07EC5681">
      <w:pPr>
        <w:bidi w:val="0"/>
        <w:rPr>
          <w:rFonts w:eastAsia="黑体"/>
          <w:color w:val="auto"/>
          <w:sz w:val="30"/>
          <w:szCs w:val="30"/>
          <w:highlight w:val="none"/>
        </w:rPr>
      </w:pPr>
      <w:r>
        <w:rPr>
          <w:rFonts w:eastAsia="仿宋_GB2312"/>
          <w:color w:val="auto"/>
          <w:sz w:val="30"/>
          <w:szCs w:val="30"/>
          <w:highlight w:val="none"/>
        </w:rPr>
        <w:br w:type="page"/>
      </w:r>
      <w:bookmarkStart w:id="949" w:name="_Toc20011"/>
      <w:bookmarkStart w:id="950" w:name="_Toc5888"/>
      <w:bookmarkStart w:id="951" w:name="_Toc23680"/>
      <w:r>
        <w:rPr>
          <w:rFonts w:hint="eastAsia" w:ascii="宋体" w:hAnsi="宋体" w:eastAsia="宋体" w:cs="宋体"/>
          <w:b/>
          <w:bCs/>
          <w:color w:val="auto"/>
          <w:sz w:val="22"/>
          <w:szCs w:val="24"/>
        </w:rPr>
        <w:t>附件6：</w:t>
      </w:r>
      <w:bookmarkEnd w:id="949"/>
      <w:bookmarkEnd w:id="950"/>
      <w:bookmarkEnd w:id="951"/>
    </w:p>
    <w:p w14:paraId="5AECF69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18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D9963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2BD5F53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4C0298A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36FC3B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556E4FA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6972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1B34C5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EF7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B5C00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62DBC26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C7780D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57553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B20C434">
            <w:pPr>
              <w:pStyle w:val="10"/>
              <w:keepNext/>
              <w:spacing w:after="0" w:line="440" w:lineRule="exact"/>
              <w:ind w:left="63" w:right="63"/>
              <w:rPr>
                <w:rFonts w:hint="eastAsia" w:ascii="宋体" w:hAnsi="宋体" w:eastAsia="宋体" w:cs="宋体"/>
                <w:color w:val="auto"/>
                <w:sz w:val="24"/>
                <w:szCs w:val="24"/>
                <w:highlight w:val="none"/>
              </w:rPr>
            </w:pPr>
          </w:p>
        </w:tc>
      </w:tr>
      <w:tr w14:paraId="5CD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859EEB1">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134F992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63482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57D9D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43943D">
            <w:pPr>
              <w:pStyle w:val="10"/>
              <w:keepNext/>
              <w:spacing w:after="0" w:line="440" w:lineRule="exact"/>
              <w:ind w:left="63" w:right="63"/>
              <w:rPr>
                <w:rFonts w:hint="eastAsia" w:ascii="宋体" w:hAnsi="宋体" w:eastAsia="宋体" w:cs="宋体"/>
                <w:color w:val="auto"/>
                <w:sz w:val="24"/>
                <w:szCs w:val="24"/>
                <w:highlight w:val="none"/>
              </w:rPr>
            </w:pPr>
          </w:p>
        </w:tc>
      </w:tr>
      <w:tr w14:paraId="140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DD2ED1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8CE2D2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F2BD7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B47E14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8E13CA6">
            <w:pPr>
              <w:pStyle w:val="10"/>
              <w:keepNext/>
              <w:spacing w:after="0" w:line="440" w:lineRule="exact"/>
              <w:ind w:left="63" w:right="63"/>
              <w:rPr>
                <w:rFonts w:hint="eastAsia" w:ascii="宋体" w:hAnsi="宋体" w:eastAsia="宋体" w:cs="宋体"/>
                <w:color w:val="auto"/>
                <w:sz w:val="24"/>
                <w:szCs w:val="24"/>
                <w:highlight w:val="none"/>
              </w:rPr>
            </w:pPr>
          </w:p>
        </w:tc>
      </w:tr>
      <w:tr w14:paraId="292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B798D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39DD69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1AC7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175C6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4BBCC8D">
            <w:pPr>
              <w:pStyle w:val="10"/>
              <w:keepNext/>
              <w:spacing w:after="0" w:line="440" w:lineRule="exact"/>
              <w:ind w:left="63" w:right="63"/>
              <w:rPr>
                <w:rFonts w:hint="eastAsia" w:ascii="宋体" w:hAnsi="宋体" w:eastAsia="宋体" w:cs="宋体"/>
                <w:color w:val="auto"/>
                <w:sz w:val="24"/>
                <w:szCs w:val="24"/>
                <w:highlight w:val="none"/>
              </w:rPr>
            </w:pPr>
          </w:p>
        </w:tc>
      </w:tr>
      <w:tr w14:paraId="18F5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9C8892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675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AE593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106BBEB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5CAAF9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CAE440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DBD1DA6">
            <w:pPr>
              <w:pStyle w:val="10"/>
              <w:keepNext/>
              <w:spacing w:after="0" w:line="440" w:lineRule="exact"/>
              <w:ind w:left="63" w:right="63"/>
              <w:rPr>
                <w:rFonts w:hint="eastAsia" w:ascii="宋体" w:hAnsi="宋体" w:eastAsia="宋体" w:cs="宋体"/>
                <w:color w:val="auto"/>
                <w:sz w:val="24"/>
                <w:szCs w:val="24"/>
                <w:highlight w:val="none"/>
              </w:rPr>
            </w:pPr>
          </w:p>
        </w:tc>
      </w:tr>
      <w:tr w14:paraId="4B5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D8C45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012154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AC1270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E13271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AFE54CA">
            <w:pPr>
              <w:pStyle w:val="10"/>
              <w:keepNext/>
              <w:spacing w:after="0" w:line="440" w:lineRule="exact"/>
              <w:ind w:left="63" w:right="63"/>
              <w:rPr>
                <w:rFonts w:hint="eastAsia" w:ascii="宋体" w:hAnsi="宋体" w:eastAsia="宋体" w:cs="宋体"/>
                <w:color w:val="auto"/>
                <w:sz w:val="24"/>
                <w:szCs w:val="24"/>
                <w:highlight w:val="none"/>
              </w:rPr>
            </w:pPr>
          </w:p>
        </w:tc>
      </w:tr>
      <w:tr w14:paraId="615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6074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775C8EE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B45358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6E43F4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E32164D">
            <w:pPr>
              <w:pStyle w:val="10"/>
              <w:keepNext/>
              <w:spacing w:after="0" w:line="440" w:lineRule="exact"/>
              <w:ind w:left="63" w:right="63"/>
              <w:rPr>
                <w:rFonts w:hint="eastAsia" w:ascii="宋体" w:hAnsi="宋体" w:eastAsia="宋体" w:cs="宋体"/>
                <w:color w:val="auto"/>
                <w:sz w:val="24"/>
                <w:szCs w:val="24"/>
                <w:highlight w:val="none"/>
              </w:rPr>
            </w:pPr>
          </w:p>
        </w:tc>
      </w:tr>
      <w:tr w14:paraId="3A3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6FEB5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27C1E5E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311E27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1B732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C072614">
            <w:pPr>
              <w:pStyle w:val="10"/>
              <w:keepNext/>
              <w:spacing w:after="0" w:line="440" w:lineRule="exact"/>
              <w:ind w:left="63" w:right="63"/>
              <w:rPr>
                <w:rFonts w:hint="eastAsia" w:ascii="宋体" w:hAnsi="宋体" w:eastAsia="宋体" w:cs="宋体"/>
                <w:color w:val="auto"/>
                <w:sz w:val="24"/>
                <w:szCs w:val="24"/>
                <w:highlight w:val="none"/>
              </w:rPr>
            </w:pPr>
          </w:p>
        </w:tc>
      </w:tr>
      <w:tr w14:paraId="5EE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C26003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30C9BE2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75F5CE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EE3993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405283E">
            <w:pPr>
              <w:pStyle w:val="10"/>
              <w:keepNext/>
              <w:spacing w:after="0" w:line="440" w:lineRule="exact"/>
              <w:ind w:left="63" w:right="63"/>
              <w:rPr>
                <w:rFonts w:hint="eastAsia" w:ascii="宋体" w:hAnsi="宋体" w:eastAsia="宋体" w:cs="宋体"/>
                <w:color w:val="auto"/>
                <w:sz w:val="24"/>
                <w:szCs w:val="24"/>
                <w:highlight w:val="none"/>
              </w:rPr>
            </w:pPr>
          </w:p>
        </w:tc>
      </w:tr>
      <w:tr w14:paraId="2BA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B236B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2BFA229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ADFC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C68DD9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553C30C">
            <w:pPr>
              <w:pStyle w:val="10"/>
              <w:keepNext/>
              <w:spacing w:after="0" w:line="440" w:lineRule="exact"/>
              <w:ind w:left="63" w:right="63"/>
              <w:rPr>
                <w:rFonts w:hint="eastAsia" w:ascii="宋体" w:hAnsi="宋体" w:eastAsia="宋体" w:cs="宋体"/>
                <w:color w:val="auto"/>
                <w:sz w:val="24"/>
                <w:szCs w:val="24"/>
                <w:highlight w:val="none"/>
              </w:rPr>
            </w:pPr>
          </w:p>
        </w:tc>
      </w:tr>
      <w:tr w14:paraId="29E7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CDBF1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31E3B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99553D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D8AA26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9F9CF99">
            <w:pPr>
              <w:pStyle w:val="10"/>
              <w:keepNext/>
              <w:spacing w:after="0" w:line="440" w:lineRule="exact"/>
              <w:ind w:left="63" w:right="63"/>
              <w:rPr>
                <w:rFonts w:hint="eastAsia" w:ascii="宋体" w:hAnsi="宋体" w:eastAsia="宋体" w:cs="宋体"/>
                <w:color w:val="auto"/>
                <w:sz w:val="24"/>
                <w:szCs w:val="24"/>
                <w:highlight w:val="none"/>
              </w:rPr>
            </w:pPr>
          </w:p>
        </w:tc>
      </w:tr>
      <w:tr w14:paraId="4CF4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0D5B6B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6F1383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210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3D863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3DC13D">
            <w:pPr>
              <w:pStyle w:val="10"/>
              <w:keepNext/>
              <w:spacing w:after="0" w:line="440" w:lineRule="exact"/>
              <w:ind w:left="63" w:right="63"/>
              <w:rPr>
                <w:rFonts w:hint="eastAsia" w:ascii="宋体" w:hAnsi="宋体" w:eastAsia="宋体" w:cs="宋体"/>
                <w:color w:val="auto"/>
                <w:sz w:val="24"/>
                <w:szCs w:val="24"/>
                <w:highlight w:val="none"/>
              </w:rPr>
            </w:pPr>
          </w:p>
        </w:tc>
      </w:tr>
      <w:tr w14:paraId="1320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797AE8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4E678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8EAAB6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DA865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894BE9C">
            <w:pPr>
              <w:pStyle w:val="10"/>
              <w:keepNext/>
              <w:spacing w:after="0" w:line="440" w:lineRule="exact"/>
              <w:ind w:left="63" w:right="63"/>
              <w:rPr>
                <w:rFonts w:hint="eastAsia" w:ascii="宋体" w:hAnsi="宋体" w:eastAsia="宋体" w:cs="宋体"/>
                <w:color w:val="auto"/>
                <w:sz w:val="24"/>
                <w:szCs w:val="24"/>
                <w:highlight w:val="none"/>
              </w:rPr>
            </w:pPr>
          </w:p>
        </w:tc>
      </w:tr>
      <w:tr w14:paraId="1C63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3C3500">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89551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8FBAA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03217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18F5B9E">
            <w:pPr>
              <w:pStyle w:val="10"/>
              <w:keepNext/>
              <w:spacing w:after="0" w:line="440" w:lineRule="exact"/>
              <w:ind w:left="63" w:right="63"/>
              <w:rPr>
                <w:rFonts w:hint="eastAsia" w:ascii="宋体" w:hAnsi="宋体" w:eastAsia="宋体" w:cs="宋体"/>
                <w:color w:val="auto"/>
                <w:sz w:val="24"/>
                <w:szCs w:val="24"/>
                <w:highlight w:val="none"/>
              </w:rPr>
            </w:pPr>
          </w:p>
        </w:tc>
      </w:tr>
      <w:tr w14:paraId="583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B8E993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E73A0C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119B5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AA7544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A97BA91">
            <w:pPr>
              <w:pStyle w:val="10"/>
              <w:keepNext/>
              <w:spacing w:after="0" w:line="440" w:lineRule="exact"/>
              <w:ind w:left="63" w:right="63"/>
              <w:rPr>
                <w:rFonts w:hint="eastAsia" w:ascii="宋体" w:hAnsi="宋体" w:eastAsia="宋体" w:cs="宋体"/>
                <w:color w:val="auto"/>
                <w:sz w:val="24"/>
                <w:szCs w:val="24"/>
                <w:highlight w:val="none"/>
              </w:rPr>
            </w:pPr>
          </w:p>
        </w:tc>
      </w:tr>
      <w:tr w14:paraId="433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42D73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D52BCC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A5894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017F68C">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6D3205E">
            <w:pPr>
              <w:pStyle w:val="10"/>
              <w:keepNext/>
              <w:spacing w:after="0" w:line="440" w:lineRule="exact"/>
              <w:ind w:left="63" w:right="63"/>
              <w:rPr>
                <w:rFonts w:hint="eastAsia" w:ascii="宋体" w:hAnsi="宋体" w:eastAsia="宋体" w:cs="宋体"/>
                <w:color w:val="auto"/>
                <w:sz w:val="24"/>
                <w:szCs w:val="24"/>
                <w:highlight w:val="none"/>
              </w:rPr>
            </w:pPr>
          </w:p>
        </w:tc>
      </w:tr>
      <w:tr w14:paraId="101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3D019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1C6B3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BE544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170F7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9B597EA">
            <w:pPr>
              <w:pStyle w:val="10"/>
              <w:keepNext/>
              <w:spacing w:after="0" w:line="440" w:lineRule="exact"/>
              <w:ind w:left="63" w:right="63"/>
              <w:rPr>
                <w:rFonts w:hint="eastAsia" w:ascii="宋体" w:hAnsi="宋体" w:eastAsia="宋体" w:cs="宋体"/>
                <w:color w:val="auto"/>
                <w:sz w:val="24"/>
                <w:szCs w:val="24"/>
                <w:highlight w:val="none"/>
              </w:rPr>
            </w:pPr>
          </w:p>
        </w:tc>
      </w:tr>
      <w:tr w14:paraId="2DC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0AD42F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6A48F94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1E68E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FD250C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011C79">
            <w:pPr>
              <w:pStyle w:val="10"/>
              <w:keepNext/>
              <w:spacing w:after="0" w:line="440" w:lineRule="exact"/>
              <w:ind w:left="63" w:right="63"/>
              <w:rPr>
                <w:rFonts w:hint="eastAsia" w:ascii="宋体" w:hAnsi="宋体" w:eastAsia="宋体" w:cs="宋体"/>
                <w:color w:val="auto"/>
                <w:sz w:val="24"/>
                <w:szCs w:val="24"/>
                <w:highlight w:val="none"/>
              </w:rPr>
            </w:pPr>
          </w:p>
        </w:tc>
      </w:tr>
    </w:tbl>
    <w:p w14:paraId="1156923F">
      <w:pPr>
        <w:bidi w:val="0"/>
        <w:spacing w:line="360" w:lineRule="auto"/>
        <w:rPr>
          <w:rFonts w:eastAsia="黑体"/>
          <w:color w:val="auto"/>
          <w:sz w:val="30"/>
          <w:szCs w:val="30"/>
          <w:highlight w:val="none"/>
        </w:rPr>
      </w:pPr>
      <w:r>
        <w:rPr>
          <w:rFonts w:eastAsia="仿宋_GB2312"/>
          <w:color w:val="auto"/>
          <w:sz w:val="30"/>
          <w:szCs w:val="30"/>
          <w:highlight w:val="none"/>
        </w:rPr>
        <w:br w:type="page"/>
      </w:r>
      <w:bookmarkStart w:id="952" w:name="_Toc28174"/>
      <w:bookmarkStart w:id="953" w:name="_Toc17773"/>
      <w:bookmarkStart w:id="954" w:name="_Toc3110"/>
      <w:bookmarkStart w:id="955" w:name="_Toc267261701"/>
      <w:r>
        <w:rPr>
          <w:rFonts w:hint="eastAsia" w:ascii="宋体" w:hAnsi="宋体" w:eastAsia="宋体" w:cs="宋体"/>
          <w:b/>
          <w:bCs/>
          <w:color w:val="auto"/>
          <w:sz w:val="22"/>
          <w:szCs w:val="24"/>
        </w:rPr>
        <w:t>附</w:t>
      </w:r>
      <w:bookmarkStart w:id="956" w:name="_Toc296346732"/>
      <w:bookmarkStart w:id="957" w:name="_Toc296891059"/>
      <w:bookmarkStart w:id="958" w:name="_Toc296347230"/>
      <w:bookmarkStart w:id="959" w:name="_Toc296503231"/>
      <w:bookmarkStart w:id="960" w:name="_Toc296944570"/>
      <w:bookmarkStart w:id="961" w:name="_Toc296891271"/>
      <w:r>
        <w:rPr>
          <w:rFonts w:hint="eastAsia" w:ascii="宋体" w:hAnsi="宋体" w:eastAsia="宋体" w:cs="宋体"/>
          <w:b/>
          <w:bCs/>
          <w:color w:val="auto"/>
          <w:sz w:val="22"/>
          <w:szCs w:val="24"/>
        </w:rPr>
        <w:t>件7：</w:t>
      </w:r>
      <w:bookmarkEnd w:id="952"/>
      <w:bookmarkEnd w:id="953"/>
      <w:bookmarkEnd w:id="954"/>
    </w:p>
    <w:bookmarkEnd w:id="955"/>
    <w:bookmarkEnd w:id="956"/>
    <w:bookmarkEnd w:id="957"/>
    <w:bookmarkEnd w:id="958"/>
    <w:bookmarkEnd w:id="959"/>
    <w:bookmarkEnd w:id="960"/>
    <w:bookmarkEnd w:id="961"/>
    <w:p w14:paraId="5067C786">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46CF89BA">
      <w:pPr>
        <w:spacing w:line="360" w:lineRule="auto"/>
        <w:rPr>
          <w:color w:val="auto"/>
          <w:highlight w:val="none"/>
          <w:u w:val="single"/>
        </w:rPr>
      </w:pPr>
    </w:p>
    <w:p w14:paraId="4EC682FF">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14:paraId="29C3E54C">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14:paraId="448ED668">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27539201">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14:paraId="31C5C02A">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14:paraId="154B4884">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14:paraId="2330996A">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8DAC483">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5746F453">
      <w:pPr>
        <w:spacing w:line="360" w:lineRule="auto"/>
        <w:rPr>
          <w:color w:val="auto"/>
          <w:highlight w:val="none"/>
        </w:rPr>
      </w:pPr>
    </w:p>
    <w:p w14:paraId="240D9381">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14:paraId="6C11ADA6">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437327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6B1784E3">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14:paraId="62BE3B47">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7B21ED97">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3EF7C40A">
      <w:pPr>
        <w:spacing w:line="360" w:lineRule="auto"/>
        <w:jc w:val="left"/>
        <w:rPr>
          <w:color w:val="auto"/>
          <w:highlight w:val="none"/>
          <w:u w:val="single"/>
        </w:rPr>
      </w:pPr>
    </w:p>
    <w:p w14:paraId="2695A416">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184DF3DC">
      <w:pPr>
        <w:spacing w:line="360" w:lineRule="auto"/>
        <w:ind w:left="1329" w:hanging="1329" w:hangingChars="633"/>
        <w:rPr>
          <w:color w:val="auto"/>
          <w:highlight w:val="none"/>
        </w:rPr>
      </w:pPr>
    </w:p>
    <w:p w14:paraId="5B806B27">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11DA0BA">
      <w:pPr>
        <w:pStyle w:val="2"/>
        <w:outlineLvl w:val="9"/>
        <w:rPr>
          <w:rFonts w:eastAsia="宋体"/>
          <w:color w:val="auto"/>
          <w:sz w:val="21"/>
          <w:szCs w:val="21"/>
          <w:highlight w:val="none"/>
          <w:lang w:val="en-US"/>
        </w:rPr>
        <w:sectPr>
          <w:headerReference r:id="rId8" w:type="default"/>
          <w:footnotePr>
            <w:numFmt w:val="decimalEnclosedCircleChinese"/>
          </w:footnotePr>
          <w:pgSz w:w="11907" w:h="16840"/>
          <w:pgMar w:top="1440" w:right="1080" w:bottom="1440" w:left="1080" w:header="1077" w:footer="851" w:gutter="0"/>
          <w:pgNumType w:fmt="decimal"/>
          <w:cols w:space="720" w:num="1"/>
          <w:docGrid w:linePitch="312" w:charSpace="0"/>
        </w:sectPr>
      </w:pPr>
    </w:p>
    <w:p w14:paraId="7641B669">
      <w:pPr>
        <w:bidi w:val="0"/>
        <w:spacing w:line="360" w:lineRule="auto"/>
        <w:rPr>
          <w:rFonts w:hint="eastAsia" w:ascii="宋体" w:hAnsi="宋体" w:eastAsia="宋体" w:cs="宋体"/>
          <w:b/>
          <w:bCs/>
          <w:color w:val="auto"/>
          <w:sz w:val="22"/>
          <w:szCs w:val="24"/>
        </w:rPr>
      </w:pPr>
      <w:bookmarkStart w:id="962" w:name="_Toc751"/>
      <w:bookmarkStart w:id="963" w:name="_Toc25706"/>
      <w:bookmarkStart w:id="964" w:name="_Toc9599"/>
      <w:r>
        <w:rPr>
          <w:rFonts w:hint="eastAsia" w:ascii="宋体" w:hAnsi="宋体" w:eastAsia="宋体" w:cs="宋体"/>
          <w:b/>
          <w:bCs/>
          <w:color w:val="auto"/>
          <w:sz w:val="22"/>
          <w:szCs w:val="24"/>
        </w:rPr>
        <w:t>附件8：</w:t>
      </w:r>
      <w:bookmarkEnd w:id="962"/>
      <w:bookmarkEnd w:id="963"/>
      <w:bookmarkEnd w:id="964"/>
    </w:p>
    <w:p w14:paraId="1004113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2B1AACF2">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14:paraId="53F45AA0">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8C4E015">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15F50C5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14:paraId="010FD03B">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86983">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14:paraId="78DF59CE">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D21B1EC">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3DB4A263">
      <w:pPr>
        <w:spacing w:line="360" w:lineRule="auto"/>
        <w:rPr>
          <w:color w:val="auto"/>
          <w:highlight w:val="none"/>
        </w:rPr>
      </w:pPr>
    </w:p>
    <w:p w14:paraId="337D7782">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14:paraId="0012BC78">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36E73C6E">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7DDD5A49">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14:paraId="6CFF493A">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32B0FBAE">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2F0D2022">
      <w:pPr>
        <w:spacing w:line="360" w:lineRule="auto"/>
        <w:rPr>
          <w:color w:val="auto"/>
          <w:highlight w:val="none"/>
          <w:u w:val="single"/>
        </w:rPr>
      </w:pPr>
    </w:p>
    <w:p w14:paraId="0E574DC7">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E5EDF86">
      <w:pPr>
        <w:spacing w:line="480" w:lineRule="auto"/>
        <w:rPr>
          <w:rFonts w:hAnsi="宋体"/>
          <w:color w:val="auto"/>
          <w:highlight w:val="none"/>
        </w:rPr>
      </w:pPr>
    </w:p>
    <w:p w14:paraId="4F3394D5">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81169E7">
      <w:pPr>
        <w:spacing w:line="480" w:lineRule="auto"/>
        <w:rPr>
          <w:rFonts w:hAnsi="宋体"/>
          <w:color w:val="auto"/>
          <w:highlight w:val="none"/>
        </w:rPr>
        <w:sectPr>
          <w:footnotePr>
            <w:numFmt w:val="decimalEnclosedCircleChinese"/>
          </w:footnotePr>
          <w:pgSz w:w="11907" w:h="16840"/>
          <w:pgMar w:top="1440" w:right="1080" w:bottom="1440" w:left="1080" w:header="1134" w:footer="851" w:gutter="0"/>
          <w:pgNumType w:fmt="decimal"/>
          <w:cols w:space="720" w:num="1"/>
          <w:docGrid w:linePitch="312" w:charSpace="0"/>
        </w:sectPr>
      </w:pPr>
    </w:p>
    <w:p w14:paraId="785B26C9">
      <w:pPr>
        <w:bidi w:val="0"/>
        <w:spacing w:line="360" w:lineRule="auto"/>
        <w:rPr>
          <w:rFonts w:hint="eastAsia" w:ascii="宋体" w:hAnsi="宋体" w:eastAsia="宋体" w:cs="宋体"/>
          <w:b/>
          <w:bCs/>
          <w:color w:val="auto"/>
          <w:sz w:val="22"/>
          <w:szCs w:val="24"/>
        </w:rPr>
      </w:pPr>
      <w:bookmarkStart w:id="965" w:name="_Toc2883"/>
      <w:bookmarkStart w:id="966" w:name="_Toc29152"/>
      <w:bookmarkStart w:id="967" w:name="_Toc24346"/>
      <w:r>
        <w:rPr>
          <w:rFonts w:hint="eastAsia" w:ascii="宋体" w:hAnsi="宋体" w:eastAsia="宋体" w:cs="宋体"/>
          <w:b/>
          <w:bCs/>
          <w:color w:val="auto"/>
          <w:sz w:val="22"/>
          <w:szCs w:val="24"/>
        </w:rPr>
        <w:t>附件9：</w:t>
      </w:r>
      <w:bookmarkEnd w:id="965"/>
      <w:bookmarkEnd w:id="966"/>
      <w:bookmarkEnd w:id="967"/>
    </w:p>
    <w:p w14:paraId="18C5D18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18A9F135">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14:paraId="26EA20E5">
      <w:pPr>
        <w:spacing w:line="360" w:lineRule="auto"/>
        <w:jc w:val="left"/>
        <w:rPr>
          <w:color w:val="auto"/>
          <w:highlight w:val="none"/>
        </w:rPr>
      </w:pPr>
    </w:p>
    <w:p w14:paraId="1438C88D">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14:paraId="1CEDE0B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14:paraId="3A74890E">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14:paraId="5EF32851">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14:paraId="4D6A29B9">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14:paraId="41ECF731">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14:paraId="3125641B">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14:paraId="3D649A5C">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14:paraId="7B9FDC72">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14:paraId="793823ED">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14:paraId="0623D239">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14:paraId="4A731548">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14:paraId="427F572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14:paraId="0438D87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90D16E5">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14:paraId="076235F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14:paraId="6656DCB9">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14:paraId="4BB2AB3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14:paraId="638A70A8">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14:paraId="773FB845">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14:paraId="55A661FF">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14:paraId="1A14792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14:paraId="316187D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14:paraId="0A172DF5">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14:paraId="13ADFE33">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14:paraId="7A9433A2">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14:paraId="3879D3AB">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14:paraId="4BCA1568">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14:paraId="509113F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14:paraId="49E12B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14:paraId="48DD2765">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14:paraId="4A7B9630">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14:paraId="4AEC7B00">
      <w:pPr>
        <w:spacing w:line="360" w:lineRule="auto"/>
        <w:jc w:val="left"/>
        <w:rPr>
          <w:color w:val="auto"/>
          <w:highlight w:val="none"/>
        </w:rPr>
      </w:pPr>
    </w:p>
    <w:p w14:paraId="075E3CD2">
      <w:pPr>
        <w:spacing w:line="360" w:lineRule="auto"/>
        <w:ind w:right="600"/>
        <w:jc w:val="left"/>
        <w:rPr>
          <w:color w:val="auto"/>
          <w:highlight w:val="none"/>
        </w:rPr>
      </w:pPr>
    </w:p>
    <w:p w14:paraId="3AC13055">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14:paraId="3BE1027F">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14:paraId="7957B7C4">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0A1D49C1">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14:paraId="450DBFB9">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5209A1E5">
      <w:pPr>
        <w:spacing w:line="360" w:lineRule="auto"/>
        <w:ind w:right="150" w:firstLine="420" w:firstLineChars="200"/>
        <w:jc w:val="left"/>
        <w:rPr>
          <w:color w:val="auto"/>
          <w:highlight w:val="none"/>
          <w:u w:val="single"/>
        </w:rPr>
      </w:pPr>
    </w:p>
    <w:p w14:paraId="21A2A3E6">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D29C603">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445393E4">
      <w:pPr>
        <w:bidi w:val="0"/>
        <w:rPr>
          <w:rFonts w:hint="eastAsia" w:hAnsi="宋体" w:cs="宋体"/>
          <w:color w:val="auto"/>
          <w:sz w:val="30"/>
          <w:szCs w:val="30"/>
          <w:highlight w:val="none"/>
        </w:rPr>
      </w:pPr>
      <w:r>
        <w:rPr>
          <w:rFonts w:hAnsi="宋体" w:cs="宋体"/>
          <w:color w:val="auto"/>
          <w:sz w:val="30"/>
          <w:szCs w:val="30"/>
          <w:highlight w:val="none"/>
        </w:rPr>
        <w:br w:type="page"/>
      </w:r>
      <w:bookmarkStart w:id="968" w:name="_Toc15038"/>
      <w:bookmarkStart w:id="969" w:name="_Toc1147"/>
      <w:bookmarkStart w:id="970" w:name="_Toc9411"/>
      <w:r>
        <w:rPr>
          <w:rFonts w:hint="eastAsia" w:ascii="宋体" w:hAnsi="宋体" w:eastAsia="宋体" w:cs="宋体"/>
          <w:b/>
          <w:bCs/>
          <w:color w:val="auto"/>
          <w:sz w:val="22"/>
          <w:szCs w:val="24"/>
        </w:rPr>
        <w:t>附件10：</w:t>
      </w:r>
      <w:bookmarkEnd w:id="968"/>
      <w:bookmarkEnd w:id="969"/>
      <w:bookmarkEnd w:id="970"/>
    </w:p>
    <w:p w14:paraId="5F10FD86">
      <w:pPr>
        <w:jc w:val="center"/>
        <w:rPr>
          <w:rFonts w:hint="eastAsia"/>
          <w:b/>
          <w:color w:val="auto"/>
          <w:sz w:val="36"/>
          <w:szCs w:val="36"/>
          <w:highlight w:val="none"/>
        </w:rPr>
      </w:pPr>
      <w:r>
        <w:rPr>
          <w:rFonts w:hint="eastAsia"/>
          <w:b/>
          <w:color w:val="auto"/>
          <w:sz w:val="36"/>
          <w:szCs w:val="36"/>
          <w:highlight w:val="none"/>
        </w:rPr>
        <w:t>预付款支付申请（核准）表</w:t>
      </w:r>
    </w:p>
    <w:p w14:paraId="41A2A6A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5041"/>
      </w:tblGrid>
      <w:tr w14:paraId="493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0373D90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6899BDD">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319B9AA4">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589"/>
              <w:gridCol w:w="1895"/>
              <w:gridCol w:w="2407"/>
              <w:gridCol w:w="1159"/>
            </w:tblGrid>
            <w:tr w14:paraId="61C4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98" w:type="pct"/>
                  <w:noWrap w:val="0"/>
                  <w:vAlign w:val="center"/>
                </w:tcPr>
                <w:p w14:paraId="5D431F32">
                  <w:pPr>
                    <w:spacing w:line="280" w:lineRule="exact"/>
                    <w:jc w:val="center"/>
                    <w:rPr>
                      <w:rFonts w:hint="eastAsia"/>
                      <w:color w:val="auto"/>
                      <w:highlight w:val="none"/>
                    </w:rPr>
                  </w:pPr>
                  <w:r>
                    <w:rPr>
                      <w:rFonts w:hint="eastAsia"/>
                      <w:color w:val="auto"/>
                      <w:highlight w:val="none"/>
                    </w:rPr>
                    <w:t>序号</w:t>
                  </w:r>
                </w:p>
              </w:tc>
              <w:tc>
                <w:tcPr>
                  <w:tcW w:w="1864" w:type="pct"/>
                  <w:noWrap w:val="0"/>
                  <w:vAlign w:val="center"/>
                </w:tcPr>
                <w:p w14:paraId="305EEBDB">
                  <w:pPr>
                    <w:spacing w:line="280" w:lineRule="exact"/>
                    <w:jc w:val="center"/>
                    <w:rPr>
                      <w:rFonts w:hint="eastAsia"/>
                      <w:color w:val="auto"/>
                      <w:highlight w:val="none"/>
                    </w:rPr>
                  </w:pPr>
                  <w:r>
                    <w:rPr>
                      <w:rFonts w:hint="eastAsia"/>
                      <w:color w:val="auto"/>
                      <w:highlight w:val="none"/>
                    </w:rPr>
                    <w:t>名      称</w:t>
                  </w:r>
                </w:p>
              </w:tc>
              <w:tc>
                <w:tcPr>
                  <w:tcW w:w="984" w:type="pct"/>
                  <w:noWrap w:val="0"/>
                  <w:vAlign w:val="center"/>
                </w:tcPr>
                <w:p w14:paraId="5A6B0534">
                  <w:pPr>
                    <w:spacing w:line="280" w:lineRule="exact"/>
                    <w:jc w:val="center"/>
                    <w:rPr>
                      <w:rFonts w:hint="eastAsia"/>
                      <w:color w:val="auto"/>
                      <w:highlight w:val="none"/>
                    </w:rPr>
                  </w:pPr>
                  <w:r>
                    <w:rPr>
                      <w:rFonts w:hint="eastAsia"/>
                      <w:color w:val="auto"/>
                      <w:highlight w:val="none"/>
                    </w:rPr>
                    <w:t>申请金额（元）</w:t>
                  </w:r>
                </w:p>
              </w:tc>
              <w:tc>
                <w:tcPr>
                  <w:tcW w:w="1250" w:type="pct"/>
                  <w:noWrap w:val="0"/>
                  <w:vAlign w:val="center"/>
                </w:tcPr>
                <w:p w14:paraId="20C73833">
                  <w:pPr>
                    <w:spacing w:line="280" w:lineRule="exact"/>
                    <w:jc w:val="center"/>
                    <w:rPr>
                      <w:rFonts w:hint="eastAsia"/>
                      <w:color w:val="auto"/>
                      <w:highlight w:val="none"/>
                    </w:rPr>
                  </w:pPr>
                  <w:r>
                    <w:rPr>
                      <w:rFonts w:hint="eastAsia"/>
                      <w:color w:val="auto"/>
                      <w:highlight w:val="none"/>
                    </w:rPr>
                    <w:t>复核金额（元）</w:t>
                  </w:r>
                </w:p>
              </w:tc>
              <w:tc>
                <w:tcPr>
                  <w:tcW w:w="602" w:type="pct"/>
                  <w:noWrap w:val="0"/>
                  <w:vAlign w:val="center"/>
                </w:tcPr>
                <w:p w14:paraId="3E726245">
                  <w:pPr>
                    <w:spacing w:line="280" w:lineRule="exact"/>
                    <w:jc w:val="center"/>
                    <w:rPr>
                      <w:rFonts w:hint="eastAsia"/>
                      <w:color w:val="auto"/>
                      <w:highlight w:val="none"/>
                    </w:rPr>
                  </w:pPr>
                  <w:r>
                    <w:rPr>
                      <w:rFonts w:hint="eastAsia"/>
                      <w:color w:val="auto"/>
                      <w:highlight w:val="none"/>
                    </w:rPr>
                    <w:t>备注</w:t>
                  </w:r>
                </w:p>
              </w:tc>
            </w:tr>
            <w:tr w14:paraId="37DE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2B4ABE47">
                  <w:pPr>
                    <w:spacing w:line="280" w:lineRule="exact"/>
                    <w:jc w:val="center"/>
                    <w:rPr>
                      <w:rFonts w:hint="eastAsia"/>
                      <w:color w:val="auto"/>
                      <w:highlight w:val="none"/>
                    </w:rPr>
                  </w:pPr>
                  <w:r>
                    <w:rPr>
                      <w:rFonts w:hint="eastAsia"/>
                      <w:color w:val="auto"/>
                      <w:highlight w:val="none"/>
                    </w:rPr>
                    <w:t>1</w:t>
                  </w:r>
                </w:p>
              </w:tc>
              <w:tc>
                <w:tcPr>
                  <w:tcW w:w="1864" w:type="pct"/>
                  <w:noWrap w:val="0"/>
                  <w:vAlign w:val="top"/>
                </w:tcPr>
                <w:p w14:paraId="7A92D32A">
                  <w:pPr>
                    <w:spacing w:line="280" w:lineRule="exact"/>
                    <w:rPr>
                      <w:rFonts w:hint="eastAsia"/>
                      <w:color w:val="auto"/>
                      <w:highlight w:val="none"/>
                    </w:rPr>
                  </w:pPr>
                  <w:r>
                    <w:rPr>
                      <w:rFonts w:hint="eastAsia"/>
                      <w:color w:val="auto"/>
                      <w:highlight w:val="none"/>
                    </w:rPr>
                    <w:t>已签约合同价款金额</w:t>
                  </w:r>
                </w:p>
              </w:tc>
              <w:tc>
                <w:tcPr>
                  <w:tcW w:w="984" w:type="pct"/>
                  <w:noWrap w:val="0"/>
                  <w:vAlign w:val="top"/>
                </w:tcPr>
                <w:p w14:paraId="3F07E628">
                  <w:pPr>
                    <w:spacing w:line="280" w:lineRule="exact"/>
                    <w:rPr>
                      <w:rFonts w:hint="eastAsia"/>
                      <w:color w:val="auto"/>
                      <w:highlight w:val="none"/>
                    </w:rPr>
                  </w:pPr>
                </w:p>
              </w:tc>
              <w:tc>
                <w:tcPr>
                  <w:tcW w:w="1250" w:type="pct"/>
                  <w:noWrap w:val="0"/>
                  <w:vAlign w:val="top"/>
                </w:tcPr>
                <w:p w14:paraId="53E0FC9F">
                  <w:pPr>
                    <w:spacing w:line="280" w:lineRule="exact"/>
                    <w:rPr>
                      <w:rFonts w:hint="eastAsia"/>
                      <w:color w:val="auto"/>
                      <w:highlight w:val="none"/>
                    </w:rPr>
                  </w:pPr>
                </w:p>
              </w:tc>
              <w:tc>
                <w:tcPr>
                  <w:tcW w:w="602" w:type="pct"/>
                  <w:noWrap w:val="0"/>
                  <w:vAlign w:val="top"/>
                </w:tcPr>
                <w:p w14:paraId="4AB3688B">
                  <w:pPr>
                    <w:spacing w:line="280" w:lineRule="exact"/>
                    <w:rPr>
                      <w:rFonts w:hint="eastAsia"/>
                      <w:color w:val="auto"/>
                      <w:highlight w:val="none"/>
                    </w:rPr>
                  </w:pPr>
                </w:p>
              </w:tc>
            </w:tr>
            <w:tr w14:paraId="6CD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226D49D">
                  <w:pPr>
                    <w:spacing w:line="280" w:lineRule="exact"/>
                    <w:jc w:val="center"/>
                    <w:rPr>
                      <w:rFonts w:hint="eastAsia"/>
                      <w:color w:val="auto"/>
                      <w:highlight w:val="none"/>
                    </w:rPr>
                  </w:pPr>
                  <w:r>
                    <w:rPr>
                      <w:rFonts w:hint="eastAsia"/>
                      <w:color w:val="auto"/>
                      <w:highlight w:val="none"/>
                    </w:rPr>
                    <w:t>2</w:t>
                  </w:r>
                </w:p>
              </w:tc>
              <w:tc>
                <w:tcPr>
                  <w:tcW w:w="1864" w:type="pct"/>
                  <w:noWrap w:val="0"/>
                  <w:vAlign w:val="top"/>
                </w:tcPr>
                <w:p w14:paraId="20450886">
                  <w:pPr>
                    <w:spacing w:line="280" w:lineRule="exact"/>
                    <w:rPr>
                      <w:rFonts w:hint="eastAsia"/>
                      <w:color w:val="auto"/>
                      <w:highlight w:val="none"/>
                    </w:rPr>
                  </w:pPr>
                  <w:r>
                    <w:rPr>
                      <w:rFonts w:hint="eastAsia"/>
                      <w:color w:val="auto"/>
                      <w:highlight w:val="none"/>
                    </w:rPr>
                    <w:t>其中：安全文明施工费</w:t>
                  </w:r>
                </w:p>
              </w:tc>
              <w:tc>
                <w:tcPr>
                  <w:tcW w:w="984" w:type="pct"/>
                  <w:noWrap w:val="0"/>
                  <w:vAlign w:val="top"/>
                </w:tcPr>
                <w:p w14:paraId="40CCDF55">
                  <w:pPr>
                    <w:spacing w:line="280" w:lineRule="exact"/>
                    <w:rPr>
                      <w:rFonts w:hint="eastAsia"/>
                      <w:color w:val="auto"/>
                      <w:highlight w:val="none"/>
                    </w:rPr>
                  </w:pPr>
                </w:p>
              </w:tc>
              <w:tc>
                <w:tcPr>
                  <w:tcW w:w="1250" w:type="pct"/>
                  <w:noWrap w:val="0"/>
                  <w:vAlign w:val="top"/>
                </w:tcPr>
                <w:p w14:paraId="24F22FF4">
                  <w:pPr>
                    <w:spacing w:line="280" w:lineRule="exact"/>
                    <w:rPr>
                      <w:rFonts w:hint="eastAsia"/>
                      <w:color w:val="auto"/>
                      <w:highlight w:val="none"/>
                    </w:rPr>
                  </w:pPr>
                </w:p>
              </w:tc>
              <w:tc>
                <w:tcPr>
                  <w:tcW w:w="602" w:type="pct"/>
                  <w:noWrap w:val="0"/>
                  <w:vAlign w:val="top"/>
                </w:tcPr>
                <w:p w14:paraId="35DE447E">
                  <w:pPr>
                    <w:spacing w:line="280" w:lineRule="exact"/>
                    <w:rPr>
                      <w:rFonts w:hint="eastAsia"/>
                      <w:color w:val="auto"/>
                      <w:highlight w:val="none"/>
                    </w:rPr>
                  </w:pPr>
                </w:p>
              </w:tc>
            </w:tr>
            <w:tr w14:paraId="289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7E83B0F">
                  <w:pPr>
                    <w:spacing w:line="280" w:lineRule="exact"/>
                    <w:jc w:val="center"/>
                    <w:rPr>
                      <w:rFonts w:hint="eastAsia"/>
                      <w:color w:val="auto"/>
                      <w:highlight w:val="none"/>
                    </w:rPr>
                  </w:pPr>
                  <w:r>
                    <w:rPr>
                      <w:rFonts w:hint="eastAsia"/>
                      <w:color w:val="auto"/>
                      <w:highlight w:val="none"/>
                    </w:rPr>
                    <w:t>3</w:t>
                  </w:r>
                </w:p>
              </w:tc>
              <w:tc>
                <w:tcPr>
                  <w:tcW w:w="1864" w:type="pct"/>
                  <w:noWrap w:val="0"/>
                  <w:vAlign w:val="top"/>
                </w:tcPr>
                <w:p w14:paraId="22695B16">
                  <w:pPr>
                    <w:spacing w:line="280" w:lineRule="exact"/>
                    <w:rPr>
                      <w:rFonts w:hint="eastAsia"/>
                      <w:color w:val="auto"/>
                      <w:highlight w:val="none"/>
                    </w:rPr>
                  </w:pPr>
                  <w:r>
                    <w:rPr>
                      <w:rFonts w:hint="eastAsia"/>
                      <w:color w:val="auto"/>
                      <w:highlight w:val="none"/>
                    </w:rPr>
                    <w:t>应支付的预付款</w:t>
                  </w:r>
                </w:p>
              </w:tc>
              <w:tc>
                <w:tcPr>
                  <w:tcW w:w="984" w:type="pct"/>
                  <w:noWrap w:val="0"/>
                  <w:vAlign w:val="top"/>
                </w:tcPr>
                <w:p w14:paraId="176DAE97">
                  <w:pPr>
                    <w:spacing w:line="280" w:lineRule="exact"/>
                    <w:rPr>
                      <w:rFonts w:hint="eastAsia"/>
                      <w:color w:val="auto"/>
                      <w:highlight w:val="none"/>
                    </w:rPr>
                  </w:pPr>
                </w:p>
              </w:tc>
              <w:tc>
                <w:tcPr>
                  <w:tcW w:w="1250" w:type="pct"/>
                  <w:noWrap w:val="0"/>
                  <w:vAlign w:val="top"/>
                </w:tcPr>
                <w:p w14:paraId="2A355DE1">
                  <w:pPr>
                    <w:spacing w:line="280" w:lineRule="exact"/>
                    <w:rPr>
                      <w:rFonts w:hint="eastAsia"/>
                      <w:color w:val="auto"/>
                      <w:highlight w:val="none"/>
                    </w:rPr>
                  </w:pPr>
                </w:p>
              </w:tc>
              <w:tc>
                <w:tcPr>
                  <w:tcW w:w="602" w:type="pct"/>
                  <w:noWrap w:val="0"/>
                  <w:vAlign w:val="top"/>
                </w:tcPr>
                <w:p w14:paraId="6D4F7699">
                  <w:pPr>
                    <w:spacing w:line="280" w:lineRule="exact"/>
                    <w:rPr>
                      <w:rFonts w:hint="eastAsia"/>
                      <w:color w:val="auto"/>
                      <w:highlight w:val="none"/>
                    </w:rPr>
                  </w:pPr>
                </w:p>
              </w:tc>
            </w:tr>
            <w:tr w14:paraId="7DE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D51C4D4">
                  <w:pPr>
                    <w:spacing w:line="280" w:lineRule="exact"/>
                    <w:jc w:val="center"/>
                    <w:rPr>
                      <w:rFonts w:hint="eastAsia"/>
                      <w:color w:val="auto"/>
                      <w:highlight w:val="none"/>
                    </w:rPr>
                  </w:pPr>
                  <w:r>
                    <w:rPr>
                      <w:rFonts w:hint="eastAsia"/>
                      <w:color w:val="auto"/>
                      <w:highlight w:val="none"/>
                    </w:rPr>
                    <w:t>4</w:t>
                  </w:r>
                </w:p>
              </w:tc>
              <w:tc>
                <w:tcPr>
                  <w:tcW w:w="1864" w:type="pct"/>
                  <w:noWrap w:val="0"/>
                  <w:vAlign w:val="top"/>
                </w:tcPr>
                <w:p w14:paraId="38790F1E">
                  <w:pPr>
                    <w:spacing w:line="280" w:lineRule="exact"/>
                    <w:rPr>
                      <w:rFonts w:hint="eastAsia"/>
                      <w:color w:val="auto"/>
                      <w:highlight w:val="none"/>
                    </w:rPr>
                  </w:pPr>
                  <w:r>
                    <w:rPr>
                      <w:rFonts w:hint="eastAsia"/>
                      <w:color w:val="auto"/>
                      <w:highlight w:val="none"/>
                    </w:rPr>
                    <w:t>应支付的安全文明施工费预付款</w:t>
                  </w:r>
                </w:p>
              </w:tc>
              <w:tc>
                <w:tcPr>
                  <w:tcW w:w="984" w:type="pct"/>
                  <w:noWrap w:val="0"/>
                  <w:vAlign w:val="top"/>
                </w:tcPr>
                <w:p w14:paraId="460CDDF9">
                  <w:pPr>
                    <w:spacing w:line="280" w:lineRule="exact"/>
                    <w:rPr>
                      <w:rFonts w:hint="eastAsia"/>
                      <w:color w:val="auto"/>
                      <w:highlight w:val="none"/>
                    </w:rPr>
                  </w:pPr>
                </w:p>
              </w:tc>
              <w:tc>
                <w:tcPr>
                  <w:tcW w:w="1250" w:type="pct"/>
                  <w:noWrap w:val="0"/>
                  <w:vAlign w:val="top"/>
                </w:tcPr>
                <w:p w14:paraId="2D5D08D3">
                  <w:pPr>
                    <w:spacing w:line="280" w:lineRule="exact"/>
                    <w:rPr>
                      <w:rFonts w:hint="eastAsia"/>
                      <w:color w:val="auto"/>
                      <w:highlight w:val="none"/>
                    </w:rPr>
                  </w:pPr>
                </w:p>
              </w:tc>
              <w:tc>
                <w:tcPr>
                  <w:tcW w:w="602" w:type="pct"/>
                  <w:noWrap w:val="0"/>
                  <w:vAlign w:val="top"/>
                </w:tcPr>
                <w:p w14:paraId="0237666B">
                  <w:pPr>
                    <w:spacing w:line="280" w:lineRule="exact"/>
                    <w:rPr>
                      <w:rFonts w:hint="eastAsia"/>
                      <w:color w:val="auto"/>
                      <w:highlight w:val="none"/>
                    </w:rPr>
                  </w:pPr>
                </w:p>
              </w:tc>
            </w:tr>
            <w:tr w14:paraId="719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6EE3252">
                  <w:pPr>
                    <w:spacing w:line="280" w:lineRule="exact"/>
                    <w:jc w:val="center"/>
                    <w:rPr>
                      <w:rFonts w:hint="eastAsia"/>
                      <w:color w:val="auto"/>
                      <w:highlight w:val="none"/>
                    </w:rPr>
                  </w:pPr>
                  <w:r>
                    <w:rPr>
                      <w:rFonts w:hint="eastAsia"/>
                      <w:color w:val="auto"/>
                      <w:highlight w:val="none"/>
                    </w:rPr>
                    <w:t>5</w:t>
                  </w:r>
                </w:p>
              </w:tc>
              <w:tc>
                <w:tcPr>
                  <w:tcW w:w="1864" w:type="pct"/>
                  <w:noWrap w:val="0"/>
                  <w:vAlign w:val="top"/>
                </w:tcPr>
                <w:p w14:paraId="3B262E3C">
                  <w:pPr>
                    <w:spacing w:line="280" w:lineRule="exact"/>
                    <w:rPr>
                      <w:rFonts w:hint="eastAsia"/>
                      <w:color w:val="auto"/>
                      <w:highlight w:val="none"/>
                    </w:rPr>
                  </w:pPr>
                  <w:r>
                    <w:rPr>
                      <w:rFonts w:hint="eastAsia"/>
                      <w:color w:val="auto"/>
                      <w:highlight w:val="none"/>
                    </w:rPr>
                    <w:t>合计应支付的预付款</w:t>
                  </w:r>
                </w:p>
              </w:tc>
              <w:tc>
                <w:tcPr>
                  <w:tcW w:w="984" w:type="pct"/>
                  <w:noWrap w:val="0"/>
                  <w:vAlign w:val="top"/>
                </w:tcPr>
                <w:p w14:paraId="5106FFE3">
                  <w:pPr>
                    <w:spacing w:line="280" w:lineRule="exact"/>
                    <w:rPr>
                      <w:rFonts w:hint="eastAsia"/>
                      <w:color w:val="auto"/>
                      <w:highlight w:val="none"/>
                    </w:rPr>
                  </w:pPr>
                </w:p>
              </w:tc>
              <w:tc>
                <w:tcPr>
                  <w:tcW w:w="1250" w:type="pct"/>
                  <w:noWrap w:val="0"/>
                  <w:vAlign w:val="top"/>
                </w:tcPr>
                <w:p w14:paraId="36CFFBD6">
                  <w:pPr>
                    <w:spacing w:line="280" w:lineRule="exact"/>
                    <w:rPr>
                      <w:rFonts w:hint="eastAsia"/>
                      <w:color w:val="auto"/>
                      <w:highlight w:val="none"/>
                    </w:rPr>
                  </w:pPr>
                </w:p>
              </w:tc>
              <w:tc>
                <w:tcPr>
                  <w:tcW w:w="602" w:type="pct"/>
                  <w:noWrap w:val="0"/>
                  <w:vAlign w:val="top"/>
                </w:tcPr>
                <w:p w14:paraId="40AE064A">
                  <w:pPr>
                    <w:spacing w:line="280" w:lineRule="exact"/>
                    <w:rPr>
                      <w:rFonts w:hint="eastAsia"/>
                      <w:color w:val="auto"/>
                      <w:highlight w:val="none"/>
                    </w:rPr>
                  </w:pPr>
                </w:p>
              </w:tc>
            </w:tr>
            <w:tr w14:paraId="10DB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181C17CF">
                  <w:pPr>
                    <w:spacing w:line="280" w:lineRule="exact"/>
                    <w:jc w:val="center"/>
                    <w:rPr>
                      <w:rFonts w:hint="eastAsia"/>
                      <w:color w:val="auto"/>
                      <w:highlight w:val="none"/>
                    </w:rPr>
                  </w:pPr>
                </w:p>
              </w:tc>
              <w:tc>
                <w:tcPr>
                  <w:tcW w:w="1864" w:type="pct"/>
                  <w:noWrap w:val="0"/>
                  <w:vAlign w:val="top"/>
                </w:tcPr>
                <w:p w14:paraId="598DE26E">
                  <w:pPr>
                    <w:spacing w:line="280" w:lineRule="exact"/>
                    <w:rPr>
                      <w:rFonts w:hint="eastAsia"/>
                      <w:color w:val="auto"/>
                      <w:highlight w:val="none"/>
                    </w:rPr>
                  </w:pPr>
                </w:p>
              </w:tc>
              <w:tc>
                <w:tcPr>
                  <w:tcW w:w="984" w:type="pct"/>
                  <w:noWrap w:val="0"/>
                  <w:vAlign w:val="top"/>
                </w:tcPr>
                <w:p w14:paraId="5775D0C1">
                  <w:pPr>
                    <w:spacing w:line="280" w:lineRule="exact"/>
                    <w:rPr>
                      <w:rFonts w:hint="eastAsia"/>
                      <w:color w:val="auto"/>
                      <w:highlight w:val="none"/>
                    </w:rPr>
                  </w:pPr>
                </w:p>
              </w:tc>
              <w:tc>
                <w:tcPr>
                  <w:tcW w:w="1250" w:type="pct"/>
                  <w:noWrap w:val="0"/>
                  <w:vAlign w:val="top"/>
                </w:tcPr>
                <w:p w14:paraId="49774948">
                  <w:pPr>
                    <w:spacing w:line="280" w:lineRule="exact"/>
                    <w:rPr>
                      <w:rFonts w:hint="eastAsia"/>
                      <w:color w:val="auto"/>
                      <w:highlight w:val="none"/>
                    </w:rPr>
                  </w:pPr>
                </w:p>
              </w:tc>
              <w:tc>
                <w:tcPr>
                  <w:tcW w:w="602" w:type="pct"/>
                  <w:noWrap w:val="0"/>
                  <w:vAlign w:val="top"/>
                </w:tcPr>
                <w:p w14:paraId="30C1B486">
                  <w:pPr>
                    <w:spacing w:line="280" w:lineRule="exact"/>
                    <w:rPr>
                      <w:rFonts w:hint="eastAsia"/>
                      <w:color w:val="auto"/>
                      <w:highlight w:val="none"/>
                    </w:rPr>
                  </w:pPr>
                </w:p>
              </w:tc>
            </w:tr>
          </w:tbl>
          <w:p w14:paraId="0F623045">
            <w:pPr>
              <w:wordWrap w:val="0"/>
              <w:spacing w:line="400" w:lineRule="exact"/>
              <w:ind w:right="420"/>
              <w:rPr>
                <w:rFonts w:hint="eastAsia"/>
                <w:color w:val="auto"/>
                <w:highlight w:val="none"/>
              </w:rPr>
            </w:pPr>
          </w:p>
          <w:p w14:paraId="1DCBAC41">
            <w:pPr>
              <w:wordWrap w:val="0"/>
              <w:spacing w:line="400" w:lineRule="exact"/>
              <w:ind w:right="420"/>
              <w:rPr>
                <w:rFonts w:hint="eastAsia"/>
                <w:color w:val="auto"/>
                <w:highlight w:val="none"/>
              </w:rPr>
            </w:pPr>
            <w:r>
              <w:rPr>
                <w:rFonts w:hint="eastAsia"/>
                <w:color w:val="auto"/>
                <w:highlight w:val="none"/>
              </w:rPr>
              <w:t xml:space="preserve">                                            承包人（章）             </w:t>
            </w:r>
          </w:p>
          <w:p w14:paraId="6A70116F">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796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42" w:type="pct"/>
            <w:noWrap w:val="0"/>
            <w:vAlign w:val="top"/>
          </w:tcPr>
          <w:p w14:paraId="13E1EAF0">
            <w:pPr>
              <w:spacing w:line="360" w:lineRule="exact"/>
              <w:rPr>
                <w:rFonts w:hint="eastAsia"/>
                <w:color w:val="auto"/>
                <w:highlight w:val="none"/>
              </w:rPr>
            </w:pPr>
            <w:r>
              <w:rPr>
                <w:rFonts w:hint="eastAsia"/>
                <w:color w:val="auto"/>
                <w:highlight w:val="none"/>
              </w:rPr>
              <w:t>复核意见：</w:t>
            </w:r>
          </w:p>
          <w:p w14:paraId="005FE191">
            <w:pPr>
              <w:spacing w:line="360" w:lineRule="exact"/>
              <w:ind w:firstLine="312"/>
              <w:rPr>
                <w:rFonts w:hint="eastAsia"/>
                <w:color w:val="auto"/>
                <w:highlight w:val="none"/>
              </w:rPr>
            </w:pPr>
            <w:r>
              <w:rPr>
                <w:rFonts w:hint="eastAsia"/>
                <w:color w:val="auto"/>
                <w:highlight w:val="none"/>
              </w:rPr>
              <w:t>□与合同约定不相符，修改意见见附件。</w:t>
            </w:r>
          </w:p>
          <w:p w14:paraId="6ED9A087">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57D309D3">
            <w:pPr>
              <w:spacing w:line="360" w:lineRule="exact"/>
              <w:ind w:firstLine="435"/>
              <w:jc w:val="right"/>
              <w:rPr>
                <w:rFonts w:hint="eastAsia"/>
                <w:color w:val="auto"/>
                <w:highlight w:val="none"/>
              </w:rPr>
            </w:pPr>
          </w:p>
          <w:p w14:paraId="20B2B246">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7872FB7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57" w:type="pct"/>
            <w:noWrap w:val="0"/>
            <w:vAlign w:val="top"/>
          </w:tcPr>
          <w:p w14:paraId="4F9D42C4">
            <w:pPr>
              <w:spacing w:line="360" w:lineRule="exact"/>
              <w:rPr>
                <w:rFonts w:hint="eastAsia"/>
                <w:color w:val="auto"/>
                <w:highlight w:val="none"/>
              </w:rPr>
            </w:pPr>
            <w:r>
              <w:rPr>
                <w:rFonts w:hint="eastAsia"/>
                <w:color w:val="auto"/>
                <w:highlight w:val="none"/>
              </w:rPr>
              <w:t>复核意见：</w:t>
            </w:r>
          </w:p>
          <w:p w14:paraId="5928221C">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3475A54F">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55A3EB0E">
            <w:pPr>
              <w:spacing w:line="360" w:lineRule="exact"/>
              <w:rPr>
                <w:rFonts w:hint="eastAsia"/>
                <w:color w:val="auto"/>
                <w:highlight w:val="none"/>
                <w:u w:val="single"/>
              </w:rPr>
            </w:pPr>
          </w:p>
          <w:p w14:paraId="4E9B8E90">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EE73EB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2A74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50C76CC9">
            <w:pPr>
              <w:spacing w:line="400" w:lineRule="exact"/>
              <w:rPr>
                <w:rFonts w:hint="eastAsia"/>
                <w:color w:val="auto"/>
                <w:highlight w:val="none"/>
              </w:rPr>
            </w:pPr>
            <w:r>
              <w:rPr>
                <w:rFonts w:hint="eastAsia"/>
                <w:color w:val="auto"/>
                <w:highlight w:val="none"/>
              </w:rPr>
              <w:t>审核意见：</w:t>
            </w:r>
          </w:p>
          <w:p w14:paraId="760E961F">
            <w:pPr>
              <w:spacing w:line="400" w:lineRule="exact"/>
              <w:ind w:firstLine="435"/>
              <w:rPr>
                <w:rFonts w:hint="eastAsia"/>
                <w:color w:val="auto"/>
                <w:highlight w:val="none"/>
              </w:rPr>
            </w:pPr>
            <w:r>
              <w:rPr>
                <w:rFonts w:hint="eastAsia"/>
                <w:color w:val="auto"/>
                <w:highlight w:val="none"/>
              </w:rPr>
              <w:t>□不同意。</w:t>
            </w:r>
          </w:p>
          <w:p w14:paraId="37302E3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87EE2D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DA23DA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C67A702">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01D92D15">
            <w:pPr>
              <w:pStyle w:val="8"/>
              <w:wordWrap/>
              <w:ind w:firstLine="6510" w:firstLineChars="3100"/>
              <w:rPr>
                <w:rFonts w:hint="eastAsia"/>
                <w:color w:val="auto"/>
                <w:highlight w:val="none"/>
              </w:rPr>
            </w:pPr>
          </w:p>
        </w:tc>
      </w:tr>
    </w:tbl>
    <w:p w14:paraId="08BBDCDF">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F823F8F">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1135516E">
      <w:pPr>
        <w:spacing w:before="120" w:beforeLines="50"/>
        <w:ind w:left="1200" w:hanging="1200" w:hangingChars="400"/>
        <w:rPr>
          <w:rFonts w:hint="eastAsia" w:eastAsia="仿宋_GB2312"/>
          <w:color w:val="auto"/>
          <w:sz w:val="30"/>
          <w:szCs w:val="30"/>
          <w:highlight w:val="none"/>
        </w:rPr>
      </w:pPr>
    </w:p>
    <w:p w14:paraId="785323C5">
      <w:pPr>
        <w:bidi w:val="0"/>
        <w:rPr>
          <w:rFonts w:hint="eastAsia"/>
          <w:color w:val="auto"/>
          <w:highlight w:val="none"/>
        </w:rPr>
        <w:sectPr>
          <w:headerReference r:id="rId9" w:type="default"/>
          <w:footerReference r:id="rId10"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1" w:name="_Toc15499"/>
      <w:bookmarkStart w:id="972" w:name="_Toc959"/>
      <w:bookmarkStart w:id="973" w:name="_Toc6523"/>
    </w:p>
    <w:p w14:paraId="409D3F69">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附件11：</w:t>
      </w:r>
      <w:bookmarkEnd w:id="971"/>
      <w:bookmarkEnd w:id="972"/>
      <w:bookmarkEnd w:id="973"/>
    </w:p>
    <w:p w14:paraId="29306EFD">
      <w:pPr>
        <w:jc w:val="center"/>
        <w:rPr>
          <w:rFonts w:hint="eastAsia"/>
          <w:b/>
          <w:color w:val="auto"/>
          <w:sz w:val="36"/>
          <w:szCs w:val="36"/>
          <w:highlight w:val="none"/>
        </w:rPr>
      </w:pPr>
      <w:r>
        <w:rPr>
          <w:rFonts w:hint="eastAsia"/>
          <w:b/>
          <w:color w:val="auto"/>
          <w:sz w:val="36"/>
          <w:szCs w:val="36"/>
          <w:highlight w:val="none"/>
        </w:rPr>
        <w:t>进度款支付申请（核准）表</w:t>
      </w:r>
    </w:p>
    <w:p w14:paraId="314D1F9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44"/>
      </w:tblGrid>
      <w:tr w14:paraId="5AA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3E4F809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312C426">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633"/>
              <w:gridCol w:w="1458"/>
              <w:gridCol w:w="1567"/>
              <w:gridCol w:w="1371"/>
              <w:gridCol w:w="1013"/>
            </w:tblGrid>
            <w:tr w14:paraId="766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0DC4D669">
                  <w:pPr>
                    <w:spacing w:line="280" w:lineRule="exact"/>
                    <w:jc w:val="center"/>
                    <w:rPr>
                      <w:rFonts w:hint="eastAsia"/>
                      <w:color w:val="auto"/>
                      <w:highlight w:val="none"/>
                    </w:rPr>
                  </w:pPr>
                  <w:r>
                    <w:rPr>
                      <w:rFonts w:hint="eastAsia"/>
                      <w:color w:val="auto"/>
                      <w:highlight w:val="none"/>
                    </w:rPr>
                    <w:t>序号</w:t>
                  </w:r>
                </w:p>
              </w:tc>
              <w:tc>
                <w:tcPr>
                  <w:tcW w:w="1887" w:type="pct"/>
                  <w:noWrap w:val="0"/>
                  <w:vAlign w:val="center"/>
                </w:tcPr>
                <w:p w14:paraId="4B2155FE">
                  <w:pPr>
                    <w:spacing w:line="280" w:lineRule="exact"/>
                    <w:jc w:val="center"/>
                    <w:rPr>
                      <w:rFonts w:hint="eastAsia"/>
                      <w:color w:val="auto"/>
                      <w:highlight w:val="none"/>
                    </w:rPr>
                  </w:pPr>
                  <w:r>
                    <w:rPr>
                      <w:rFonts w:hint="eastAsia"/>
                      <w:color w:val="auto"/>
                      <w:highlight w:val="none"/>
                    </w:rPr>
                    <w:t>名      称</w:t>
                  </w:r>
                </w:p>
              </w:tc>
              <w:tc>
                <w:tcPr>
                  <w:tcW w:w="757" w:type="pct"/>
                  <w:noWrap w:val="0"/>
                  <w:vAlign w:val="center"/>
                </w:tcPr>
                <w:p w14:paraId="40CF2437">
                  <w:pPr>
                    <w:spacing w:line="280" w:lineRule="exact"/>
                    <w:jc w:val="center"/>
                    <w:rPr>
                      <w:rFonts w:hint="eastAsia"/>
                      <w:color w:val="auto"/>
                      <w:highlight w:val="none"/>
                    </w:rPr>
                  </w:pPr>
                  <w:r>
                    <w:rPr>
                      <w:rFonts w:hint="eastAsia"/>
                      <w:color w:val="auto"/>
                      <w:highlight w:val="none"/>
                    </w:rPr>
                    <w:t>实际金额（元）</w:t>
                  </w:r>
                </w:p>
              </w:tc>
              <w:tc>
                <w:tcPr>
                  <w:tcW w:w="814" w:type="pct"/>
                  <w:noWrap w:val="0"/>
                  <w:vAlign w:val="center"/>
                </w:tcPr>
                <w:p w14:paraId="031274EC">
                  <w:pPr>
                    <w:spacing w:line="280" w:lineRule="exact"/>
                    <w:jc w:val="center"/>
                    <w:rPr>
                      <w:rFonts w:hint="eastAsia"/>
                      <w:color w:val="auto"/>
                      <w:highlight w:val="none"/>
                    </w:rPr>
                  </w:pPr>
                  <w:r>
                    <w:rPr>
                      <w:rFonts w:hint="eastAsia"/>
                      <w:color w:val="auto"/>
                      <w:highlight w:val="none"/>
                    </w:rPr>
                    <w:t>申请金额（元）</w:t>
                  </w:r>
                </w:p>
              </w:tc>
              <w:tc>
                <w:tcPr>
                  <w:tcW w:w="712" w:type="pct"/>
                  <w:noWrap w:val="0"/>
                  <w:vAlign w:val="center"/>
                </w:tcPr>
                <w:p w14:paraId="05530C1E">
                  <w:pPr>
                    <w:spacing w:line="280" w:lineRule="exact"/>
                    <w:jc w:val="center"/>
                    <w:rPr>
                      <w:rFonts w:hint="eastAsia"/>
                      <w:color w:val="auto"/>
                      <w:highlight w:val="none"/>
                    </w:rPr>
                  </w:pPr>
                  <w:r>
                    <w:rPr>
                      <w:rFonts w:hint="eastAsia"/>
                      <w:color w:val="auto"/>
                      <w:highlight w:val="none"/>
                    </w:rPr>
                    <w:t>复核金额（元）</w:t>
                  </w:r>
                </w:p>
              </w:tc>
              <w:tc>
                <w:tcPr>
                  <w:tcW w:w="526" w:type="pct"/>
                  <w:noWrap w:val="0"/>
                  <w:vAlign w:val="center"/>
                </w:tcPr>
                <w:p w14:paraId="5FBCBD60">
                  <w:pPr>
                    <w:spacing w:line="280" w:lineRule="exact"/>
                    <w:jc w:val="center"/>
                    <w:rPr>
                      <w:rFonts w:hint="eastAsia"/>
                      <w:color w:val="auto"/>
                      <w:highlight w:val="none"/>
                    </w:rPr>
                  </w:pPr>
                  <w:r>
                    <w:rPr>
                      <w:rFonts w:hint="eastAsia"/>
                      <w:color w:val="auto"/>
                      <w:highlight w:val="none"/>
                    </w:rPr>
                    <w:t>备注</w:t>
                  </w:r>
                </w:p>
              </w:tc>
            </w:tr>
            <w:tr w14:paraId="3DC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47CF61A">
                  <w:pPr>
                    <w:spacing w:line="280" w:lineRule="exact"/>
                    <w:jc w:val="center"/>
                    <w:rPr>
                      <w:rFonts w:hint="eastAsia"/>
                      <w:color w:val="auto"/>
                      <w:highlight w:val="none"/>
                    </w:rPr>
                  </w:pPr>
                  <w:r>
                    <w:rPr>
                      <w:rFonts w:hint="eastAsia"/>
                      <w:color w:val="auto"/>
                      <w:highlight w:val="none"/>
                    </w:rPr>
                    <w:t>1</w:t>
                  </w:r>
                </w:p>
              </w:tc>
              <w:tc>
                <w:tcPr>
                  <w:tcW w:w="1887" w:type="pct"/>
                  <w:noWrap w:val="0"/>
                  <w:vAlign w:val="top"/>
                </w:tcPr>
                <w:p w14:paraId="4481B7DD">
                  <w:pPr>
                    <w:spacing w:line="280" w:lineRule="exact"/>
                    <w:rPr>
                      <w:rFonts w:hint="eastAsia"/>
                      <w:color w:val="auto"/>
                      <w:highlight w:val="none"/>
                    </w:rPr>
                  </w:pPr>
                  <w:r>
                    <w:rPr>
                      <w:rFonts w:hint="eastAsia"/>
                      <w:color w:val="auto"/>
                      <w:highlight w:val="none"/>
                    </w:rPr>
                    <w:t>累计已完成的工程价款</w:t>
                  </w:r>
                </w:p>
              </w:tc>
              <w:tc>
                <w:tcPr>
                  <w:tcW w:w="757" w:type="pct"/>
                  <w:noWrap w:val="0"/>
                  <w:vAlign w:val="top"/>
                </w:tcPr>
                <w:p w14:paraId="4837D84F">
                  <w:pPr>
                    <w:spacing w:line="280" w:lineRule="exact"/>
                    <w:rPr>
                      <w:rFonts w:hint="eastAsia"/>
                      <w:color w:val="auto"/>
                      <w:highlight w:val="none"/>
                    </w:rPr>
                  </w:pPr>
                </w:p>
              </w:tc>
              <w:tc>
                <w:tcPr>
                  <w:tcW w:w="814" w:type="pct"/>
                  <w:noWrap w:val="0"/>
                  <w:vAlign w:val="top"/>
                </w:tcPr>
                <w:p w14:paraId="08E6749A">
                  <w:pPr>
                    <w:spacing w:line="280" w:lineRule="exact"/>
                    <w:rPr>
                      <w:rFonts w:hint="eastAsia"/>
                      <w:color w:val="auto"/>
                      <w:highlight w:val="none"/>
                    </w:rPr>
                  </w:pPr>
                </w:p>
              </w:tc>
              <w:tc>
                <w:tcPr>
                  <w:tcW w:w="712" w:type="pct"/>
                  <w:noWrap w:val="0"/>
                  <w:vAlign w:val="top"/>
                </w:tcPr>
                <w:p w14:paraId="407AD6D6">
                  <w:pPr>
                    <w:spacing w:line="280" w:lineRule="exact"/>
                    <w:rPr>
                      <w:rFonts w:hint="eastAsia"/>
                      <w:color w:val="auto"/>
                      <w:highlight w:val="none"/>
                    </w:rPr>
                  </w:pPr>
                </w:p>
              </w:tc>
              <w:tc>
                <w:tcPr>
                  <w:tcW w:w="526" w:type="pct"/>
                  <w:noWrap w:val="0"/>
                  <w:vAlign w:val="top"/>
                </w:tcPr>
                <w:p w14:paraId="2CD24428">
                  <w:pPr>
                    <w:spacing w:line="280" w:lineRule="exact"/>
                    <w:rPr>
                      <w:rFonts w:hint="eastAsia"/>
                      <w:color w:val="auto"/>
                      <w:highlight w:val="none"/>
                    </w:rPr>
                  </w:pPr>
                </w:p>
              </w:tc>
            </w:tr>
            <w:tr w14:paraId="55B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7AA852E">
                  <w:pPr>
                    <w:spacing w:line="280" w:lineRule="exact"/>
                    <w:jc w:val="center"/>
                    <w:rPr>
                      <w:rFonts w:hint="eastAsia"/>
                      <w:color w:val="auto"/>
                      <w:highlight w:val="none"/>
                    </w:rPr>
                  </w:pPr>
                </w:p>
              </w:tc>
              <w:tc>
                <w:tcPr>
                  <w:tcW w:w="1887" w:type="pct"/>
                  <w:noWrap w:val="0"/>
                  <w:vAlign w:val="top"/>
                </w:tcPr>
                <w:p w14:paraId="57205BD6">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5B65EC53">
                  <w:pPr>
                    <w:spacing w:line="280" w:lineRule="exact"/>
                    <w:rPr>
                      <w:rFonts w:hint="eastAsia"/>
                      <w:color w:val="auto"/>
                      <w:highlight w:val="none"/>
                    </w:rPr>
                  </w:pPr>
                </w:p>
              </w:tc>
              <w:tc>
                <w:tcPr>
                  <w:tcW w:w="814" w:type="pct"/>
                  <w:noWrap w:val="0"/>
                  <w:vAlign w:val="top"/>
                </w:tcPr>
                <w:p w14:paraId="5C035A2A">
                  <w:pPr>
                    <w:spacing w:line="280" w:lineRule="exact"/>
                    <w:rPr>
                      <w:rFonts w:hint="eastAsia"/>
                      <w:color w:val="auto"/>
                      <w:highlight w:val="none"/>
                    </w:rPr>
                  </w:pPr>
                </w:p>
              </w:tc>
              <w:tc>
                <w:tcPr>
                  <w:tcW w:w="712" w:type="pct"/>
                  <w:noWrap w:val="0"/>
                  <w:vAlign w:val="top"/>
                </w:tcPr>
                <w:p w14:paraId="3A1D91A4">
                  <w:pPr>
                    <w:spacing w:line="280" w:lineRule="exact"/>
                    <w:rPr>
                      <w:rFonts w:hint="eastAsia"/>
                      <w:color w:val="auto"/>
                      <w:highlight w:val="none"/>
                    </w:rPr>
                  </w:pPr>
                </w:p>
              </w:tc>
              <w:tc>
                <w:tcPr>
                  <w:tcW w:w="526" w:type="pct"/>
                  <w:noWrap w:val="0"/>
                  <w:vAlign w:val="top"/>
                </w:tcPr>
                <w:p w14:paraId="6AFBD654">
                  <w:pPr>
                    <w:spacing w:line="280" w:lineRule="exact"/>
                    <w:rPr>
                      <w:rFonts w:hint="eastAsia"/>
                      <w:color w:val="auto"/>
                      <w:highlight w:val="none"/>
                    </w:rPr>
                  </w:pPr>
                </w:p>
              </w:tc>
            </w:tr>
            <w:tr w14:paraId="110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0B0C5CC">
                  <w:pPr>
                    <w:spacing w:line="280" w:lineRule="exact"/>
                    <w:jc w:val="center"/>
                    <w:rPr>
                      <w:rFonts w:hint="eastAsia"/>
                      <w:color w:val="auto"/>
                      <w:highlight w:val="none"/>
                    </w:rPr>
                  </w:pPr>
                  <w:r>
                    <w:rPr>
                      <w:rFonts w:hint="eastAsia"/>
                      <w:color w:val="auto"/>
                      <w:highlight w:val="none"/>
                    </w:rPr>
                    <w:t>2</w:t>
                  </w:r>
                </w:p>
              </w:tc>
              <w:tc>
                <w:tcPr>
                  <w:tcW w:w="1887" w:type="pct"/>
                  <w:noWrap w:val="0"/>
                  <w:vAlign w:val="top"/>
                </w:tcPr>
                <w:p w14:paraId="141A09C7">
                  <w:pPr>
                    <w:spacing w:line="280" w:lineRule="exact"/>
                    <w:rPr>
                      <w:rFonts w:hint="eastAsia"/>
                      <w:color w:val="auto"/>
                      <w:highlight w:val="none"/>
                    </w:rPr>
                  </w:pPr>
                  <w:r>
                    <w:rPr>
                      <w:rFonts w:hint="eastAsia"/>
                      <w:color w:val="auto"/>
                      <w:highlight w:val="none"/>
                    </w:rPr>
                    <w:t>累计已实际支付的工程价款</w:t>
                  </w:r>
                </w:p>
              </w:tc>
              <w:tc>
                <w:tcPr>
                  <w:tcW w:w="757" w:type="pct"/>
                  <w:noWrap w:val="0"/>
                  <w:vAlign w:val="top"/>
                </w:tcPr>
                <w:p w14:paraId="6507022A">
                  <w:pPr>
                    <w:spacing w:line="280" w:lineRule="exact"/>
                    <w:rPr>
                      <w:rFonts w:hint="eastAsia"/>
                      <w:color w:val="auto"/>
                      <w:highlight w:val="none"/>
                    </w:rPr>
                  </w:pPr>
                </w:p>
              </w:tc>
              <w:tc>
                <w:tcPr>
                  <w:tcW w:w="814" w:type="pct"/>
                  <w:noWrap w:val="0"/>
                  <w:vAlign w:val="top"/>
                </w:tcPr>
                <w:p w14:paraId="3DBDDA2B">
                  <w:pPr>
                    <w:spacing w:line="280" w:lineRule="exact"/>
                    <w:rPr>
                      <w:rFonts w:hint="eastAsia"/>
                      <w:color w:val="auto"/>
                      <w:highlight w:val="none"/>
                    </w:rPr>
                  </w:pPr>
                </w:p>
              </w:tc>
              <w:tc>
                <w:tcPr>
                  <w:tcW w:w="712" w:type="pct"/>
                  <w:noWrap w:val="0"/>
                  <w:vAlign w:val="top"/>
                </w:tcPr>
                <w:p w14:paraId="05A5E267">
                  <w:pPr>
                    <w:spacing w:line="280" w:lineRule="exact"/>
                    <w:rPr>
                      <w:rFonts w:hint="eastAsia"/>
                      <w:color w:val="auto"/>
                      <w:highlight w:val="none"/>
                    </w:rPr>
                  </w:pPr>
                </w:p>
              </w:tc>
              <w:tc>
                <w:tcPr>
                  <w:tcW w:w="526" w:type="pct"/>
                  <w:noWrap w:val="0"/>
                  <w:vAlign w:val="top"/>
                </w:tcPr>
                <w:p w14:paraId="42359107">
                  <w:pPr>
                    <w:spacing w:line="280" w:lineRule="exact"/>
                    <w:rPr>
                      <w:rFonts w:hint="eastAsia"/>
                      <w:color w:val="auto"/>
                      <w:highlight w:val="none"/>
                    </w:rPr>
                  </w:pPr>
                </w:p>
              </w:tc>
            </w:tr>
            <w:tr w14:paraId="4BD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9DCF1B">
                  <w:pPr>
                    <w:spacing w:line="280" w:lineRule="exact"/>
                    <w:jc w:val="center"/>
                    <w:rPr>
                      <w:rFonts w:hint="eastAsia"/>
                      <w:color w:val="auto"/>
                      <w:highlight w:val="none"/>
                    </w:rPr>
                  </w:pPr>
                </w:p>
              </w:tc>
              <w:tc>
                <w:tcPr>
                  <w:tcW w:w="1887" w:type="pct"/>
                  <w:noWrap w:val="0"/>
                  <w:vAlign w:val="top"/>
                </w:tcPr>
                <w:p w14:paraId="22A36083">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463A7E4">
                  <w:pPr>
                    <w:spacing w:line="280" w:lineRule="exact"/>
                    <w:rPr>
                      <w:rFonts w:hint="eastAsia"/>
                      <w:color w:val="auto"/>
                      <w:highlight w:val="none"/>
                    </w:rPr>
                  </w:pPr>
                </w:p>
              </w:tc>
              <w:tc>
                <w:tcPr>
                  <w:tcW w:w="814" w:type="pct"/>
                  <w:noWrap w:val="0"/>
                  <w:vAlign w:val="top"/>
                </w:tcPr>
                <w:p w14:paraId="7A5BCF5A">
                  <w:pPr>
                    <w:spacing w:line="280" w:lineRule="exact"/>
                    <w:rPr>
                      <w:rFonts w:hint="eastAsia"/>
                      <w:color w:val="auto"/>
                      <w:highlight w:val="none"/>
                    </w:rPr>
                  </w:pPr>
                </w:p>
              </w:tc>
              <w:tc>
                <w:tcPr>
                  <w:tcW w:w="712" w:type="pct"/>
                  <w:noWrap w:val="0"/>
                  <w:vAlign w:val="top"/>
                </w:tcPr>
                <w:p w14:paraId="23E55D70">
                  <w:pPr>
                    <w:spacing w:line="280" w:lineRule="exact"/>
                    <w:rPr>
                      <w:rFonts w:hint="eastAsia"/>
                      <w:color w:val="auto"/>
                      <w:highlight w:val="none"/>
                    </w:rPr>
                  </w:pPr>
                </w:p>
              </w:tc>
              <w:tc>
                <w:tcPr>
                  <w:tcW w:w="526" w:type="pct"/>
                  <w:noWrap w:val="0"/>
                  <w:vAlign w:val="top"/>
                </w:tcPr>
                <w:p w14:paraId="4673BC09">
                  <w:pPr>
                    <w:spacing w:line="280" w:lineRule="exact"/>
                    <w:rPr>
                      <w:rFonts w:hint="eastAsia"/>
                      <w:color w:val="auto"/>
                      <w:highlight w:val="none"/>
                    </w:rPr>
                  </w:pPr>
                </w:p>
              </w:tc>
            </w:tr>
            <w:tr w14:paraId="37DE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F43C6D5">
                  <w:pPr>
                    <w:spacing w:line="280" w:lineRule="exact"/>
                    <w:jc w:val="center"/>
                    <w:rPr>
                      <w:rFonts w:hint="eastAsia"/>
                      <w:color w:val="auto"/>
                      <w:highlight w:val="none"/>
                    </w:rPr>
                  </w:pPr>
                  <w:r>
                    <w:rPr>
                      <w:rFonts w:hint="eastAsia"/>
                      <w:color w:val="auto"/>
                      <w:highlight w:val="none"/>
                    </w:rPr>
                    <w:t>3</w:t>
                  </w:r>
                </w:p>
              </w:tc>
              <w:tc>
                <w:tcPr>
                  <w:tcW w:w="1887" w:type="pct"/>
                  <w:noWrap w:val="0"/>
                  <w:vAlign w:val="top"/>
                </w:tcPr>
                <w:p w14:paraId="7534F851">
                  <w:pPr>
                    <w:spacing w:line="280" w:lineRule="exact"/>
                    <w:rPr>
                      <w:rFonts w:hint="eastAsia"/>
                      <w:color w:val="auto"/>
                      <w:highlight w:val="none"/>
                    </w:rPr>
                  </w:pPr>
                  <w:r>
                    <w:rPr>
                      <w:rFonts w:hint="eastAsia"/>
                      <w:color w:val="auto"/>
                      <w:highlight w:val="none"/>
                    </w:rPr>
                    <w:t>本周期已完成的工程价款</w:t>
                  </w:r>
                </w:p>
              </w:tc>
              <w:tc>
                <w:tcPr>
                  <w:tcW w:w="757" w:type="pct"/>
                  <w:noWrap w:val="0"/>
                  <w:vAlign w:val="top"/>
                </w:tcPr>
                <w:p w14:paraId="5DBA052A">
                  <w:pPr>
                    <w:spacing w:line="280" w:lineRule="exact"/>
                    <w:rPr>
                      <w:rFonts w:hint="eastAsia"/>
                      <w:color w:val="auto"/>
                      <w:highlight w:val="none"/>
                    </w:rPr>
                  </w:pPr>
                </w:p>
              </w:tc>
              <w:tc>
                <w:tcPr>
                  <w:tcW w:w="814" w:type="pct"/>
                  <w:noWrap w:val="0"/>
                  <w:vAlign w:val="top"/>
                </w:tcPr>
                <w:p w14:paraId="5A55289D">
                  <w:pPr>
                    <w:spacing w:line="280" w:lineRule="exact"/>
                    <w:rPr>
                      <w:rFonts w:hint="eastAsia"/>
                      <w:color w:val="auto"/>
                      <w:highlight w:val="none"/>
                    </w:rPr>
                  </w:pPr>
                </w:p>
              </w:tc>
              <w:tc>
                <w:tcPr>
                  <w:tcW w:w="712" w:type="pct"/>
                  <w:noWrap w:val="0"/>
                  <w:vAlign w:val="top"/>
                </w:tcPr>
                <w:p w14:paraId="3584E3EA">
                  <w:pPr>
                    <w:spacing w:line="280" w:lineRule="exact"/>
                    <w:rPr>
                      <w:rFonts w:hint="eastAsia"/>
                      <w:color w:val="auto"/>
                      <w:highlight w:val="none"/>
                    </w:rPr>
                  </w:pPr>
                </w:p>
              </w:tc>
              <w:tc>
                <w:tcPr>
                  <w:tcW w:w="526" w:type="pct"/>
                  <w:noWrap w:val="0"/>
                  <w:vAlign w:val="top"/>
                </w:tcPr>
                <w:p w14:paraId="651F2132">
                  <w:pPr>
                    <w:spacing w:line="280" w:lineRule="exact"/>
                    <w:rPr>
                      <w:rFonts w:hint="eastAsia"/>
                      <w:color w:val="auto"/>
                      <w:highlight w:val="none"/>
                    </w:rPr>
                  </w:pPr>
                </w:p>
              </w:tc>
            </w:tr>
            <w:tr w14:paraId="52F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1E4E7C">
                  <w:pPr>
                    <w:spacing w:line="280" w:lineRule="exact"/>
                    <w:jc w:val="center"/>
                    <w:rPr>
                      <w:rFonts w:hint="eastAsia"/>
                      <w:color w:val="auto"/>
                      <w:highlight w:val="none"/>
                    </w:rPr>
                  </w:pPr>
                </w:p>
              </w:tc>
              <w:tc>
                <w:tcPr>
                  <w:tcW w:w="1887" w:type="pct"/>
                  <w:noWrap w:val="0"/>
                  <w:vAlign w:val="top"/>
                </w:tcPr>
                <w:p w14:paraId="121F76AD">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DB24893">
                  <w:pPr>
                    <w:spacing w:line="280" w:lineRule="exact"/>
                    <w:rPr>
                      <w:rFonts w:hint="eastAsia"/>
                      <w:color w:val="auto"/>
                      <w:highlight w:val="none"/>
                    </w:rPr>
                  </w:pPr>
                </w:p>
              </w:tc>
              <w:tc>
                <w:tcPr>
                  <w:tcW w:w="814" w:type="pct"/>
                  <w:noWrap w:val="0"/>
                  <w:vAlign w:val="top"/>
                </w:tcPr>
                <w:p w14:paraId="155CB6C7">
                  <w:pPr>
                    <w:spacing w:line="280" w:lineRule="exact"/>
                    <w:rPr>
                      <w:rFonts w:hint="eastAsia"/>
                      <w:color w:val="auto"/>
                      <w:highlight w:val="none"/>
                    </w:rPr>
                  </w:pPr>
                </w:p>
              </w:tc>
              <w:tc>
                <w:tcPr>
                  <w:tcW w:w="712" w:type="pct"/>
                  <w:noWrap w:val="0"/>
                  <w:vAlign w:val="top"/>
                </w:tcPr>
                <w:p w14:paraId="2EB76023">
                  <w:pPr>
                    <w:spacing w:line="280" w:lineRule="exact"/>
                    <w:rPr>
                      <w:rFonts w:hint="eastAsia"/>
                      <w:color w:val="auto"/>
                      <w:highlight w:val="none"/>
                    </w:rPr>
                  </w:pPr>
                </w:p>
              </w:tc>
              <w:tc>
                <w:tcPr>
                  <w:tcW w:w="526" w:type="pct"/>
                  <w:noWrap w:val="0"/>
                  <w:vAlign w:val="top"/>
                </w:tcPr>
                <w:p w14:paraId="516C2AB5">
                  <w:pPr>
                    <w:spacing w:line="280" w:lineRule="exact"/>
                    <w:rPr>
                      <w:rFonts w:hint="eastAsia"/>
                      <w:color w:val="auto"/>
                      <w:highlight w:val="none"/>
                    </w:rPr>
                  </w:pPr>
                </w:p>
              </w:tc>
            </w:tr>
            <w:tr w14:paraId="1E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241ED62">
                  <w:pPr>
                    <w:spacing w:line="280" w:lineRule="exact"/>
                    <w:jc w:val="center"/>
                    <w:rPr>
                      <w:rFonts w:hint="eastAsia"/>
                      <w:color w:val="auto"/>
                      <w:highlight w:val="none"/>
                    </w:rPr>
                  </w:pPr>
                  <w:r>
                    <w:rPr>
                      <w:rFonts w:hint="eastAsia"/>
                      <w:color w:val="auto"/>
                      <w:highlight w:val="none"/>
                    </w:rPr>
                    <w:t>4</w:t>
                  </w:r>
                </w:p>
              </w:tc>
              <w:tc>
                <w:tcPr>
                  <w:tcW w:w="1887" w:type="pct"/>
                  <w:noWrap w:val="0"/>
                  <w:vAlign w:val="top"/>
                </w:tcPr>
                <w:p w14:paraId="759F6C2A">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4F570CFC">
                  <w:pPr>
                    <w:spacing w:line="280" w:lineRule="exact"/>
                    <w:rPr>
                      <w:rFonts w:hint="eastAsia"/>
                      <w:color w:val="auto"/>
                      <w:highlight w:val="none"/>
                    </w:rPr>
                  </w:pPr>
                </w:p>
              </w:tc>
              <w:tc>
                <w:tcPr>
                  <w:tcW w:w="814" w:type="pct"/>
                  <w:noWrap w:val="0"/>
                  <w:vAlign w:val="top"/>
                </w:tcPr>
                <w:p w14:paraId="60879962">
                  <w:pPr>
                    <w:spacing w:line="280" w:lineRule="exact"/>
                    <w:rPr>
                      <w:rFonts w:hint="eastAsia"/>
                      <w:color w:val="auto"/>
                      <w:highlight w:val="none"/>
                    </w:rPr>
                  </w:pPr>
                </w:p>
              </w:tc>
              <w:tc>
                <w:tcPr>
                  <w:tcW w:w="712" w:type="pct"/>
                  <w:noWrap w:val="0"/>
                  <w:vAlign w:val="top"/>
                </w:tcPr>
                <w:p w14:paraId="6341ED94">
                  <w:pPr>
                    <w:spacing w:line="280" w:lineRule="exact"/>
                    <w:rPr>
                      <w:rFonts w:hint="eastAsia"/>
                      <w:color w:val="auto"/>
                      <w:highlight w:val="none"/>
                    </w:rPr>
                  </w:pPr>
                </w:p>
              </w:tc>
              <w:tc>
                <w:tcPr>
                  <w:tcW w:w="526" w:type="pct"/>
                  <w:noWrap w:val="0"/>
                  <w:vAlign w:val="top"/>
                </w:tcPr>
                <w:p w14:paraId="1BFF1C00">
                  <w:pPr>
                    <w:spacing w:line="280" w:lineRule="exact"/>
                    <w:rPr>
                      <w:rFonts w:hint="eastAsia"/>
                      <w:color w:val="auto"/>
                      <w:highlight w:val="none"/>
                    </w:rPr>
                  </w:pPr>
                </w:p>
              </w:tc>
            </w:tr>
            <w:tr w14:paraId="4181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8653C5F">
                  <w:pPr>
                    <w:spacing w:line="280" w:lineRule="exact"/>
                    <w:jc w:val="center"/>
                    <w:rPr>
                      <w:rFonts w:hint="eastAsia"/>
                      <w:color w:val="auto"/>
                      <w:highlight w:val="none"/>
                    </w:rPr>
                  </w:pPr>
                  <w:r>
                    <w:rPr>
                      <w:rFonts w:hint="eastAsia"/>
                      <w:color w:val="auto"/>
                      <w:highlight w:val="none"/>
                    </w:rPr>
                    <w:t>4.1</w:t>
                  </w:r>
                </w:p>
              </w:tc>
              <w:tc>
                <w:tcPr>
                  <w:tcW w:w="1887" w:type="pct"/>
                  <w:noWrap w:val="0"/>
                  <w:vAlign w:val="top"/>
                </w:tcPr>
                <w:p w14:paraId="47BCFCDE">
                  <w:pPr>
                    <w:spacing w:line="280" w:lineRule="exact"/>
                    <w:rPr>
                      <w:rFonts w:hint="eastAsia"/>
                      <w:color w:val="auto"/>
                      <w:highlight w:val="none"/>
                    </w:rPr>
                  </w:pPr>
                  <w:r>
                    <w:rPr>
                      <w:rFonts w:hint="eastAsia"/>
                      <w:color w:val="auto"/>
                      <w:highlight w:val="none"/>
                    </w:rPr>
                    <w:t>本周期实际应抵扣的预付款</w:t>
                  </w:r>
                </w:p>
              </w:tc>
              <w:tc>
                <w:tcPr>
                  <w:tcW w:w="757" w:type="pct"/>
                  <w:noWrap w:val="0"/>
                  <w:vAlign w:val="top"/>
                </w:tcPr>
                <w:p w14:paraId="4582BD17">
                  <w:pPr>
                    <w:spacing w:line="280" w:lineRule="exact"/>
                    <w:rPr>
                      <w:rFonts w:hint="eastAsia"/>
                      <w:color w:val="auto"/>
                      <w:highlight w:val="none"/>
                    </w:rPr>
                  </w:pPr>
                </w:p>
              </w:tc>
              <w:tc>
                <w:tcPr>
                  <w:tcW w:w="814" w:type="pct"/>
                  <w:noWrap w:val="0"/>
                  <w:vAlign w:val="top"/>
                </w:tcPr>
                <w:p w14:paraId="4F2AD2FA">
                  <w:pPr>
                    <w:spacing w:line="280" w:lineRule="exact"/>
                    <w:rPr>
                      <w:rFonts w:hint="eastAsia"/>
                      <w:color w:val="auto"/>
                      <w:highlight w:val="none"/>
                    </w:rPr>
                  </w:pPr>
                </w:p>
              </w:tc>
              <w:tc>
                <w:tcPr>
                  <w:tcW w:w="712" w:type="pct"/>
                  <w:noWrap w:val="0"/>
                  <w:vAlign w:val="top"/>
                </w:tcPr>
                <w:p w14:paraId="301F2E16">
                  <w:pPr>
                    <w:spacing w:line="280" w:lineRule="exact"/>
                    <w:rPr>
                      <w:rFonts w:hint="eastAsia"/>
                      <w:color w:val="auto"/>
                      <w:highlight w:val="none"/>
                    </w:rPr>
                  </w:pPr>
                </w:p>
              </w:tc>
              <w:tc>
                <w:tcPr>
                  <w:tcW w:w="526" w:type="pct"/>
                  <w:noWrap w:val="0"/>
                  <w:vAlign w:val="top"/>
                </w:tcPr>
                <w:p w14:paraId="37E8C8B7">
                  <w:pPr>
                    <w:spacing w:line="280" w:lineRule="exact"/>
                    <w:rPr>
                      <w:rFonts w:hint="eastAsia"/>
                      <w:color w:val="auto"/>
                      <w:highlight w:val="none"/>
                    </w:rPr>
                  </w:pPr>
                </w:p>
              </w:tc>
            </w:tr>
            <w:tr w14:paraId="40D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F60DDAC">
                  <w:pPr>
                    <w:spacing w:line="280" w:lineRule="exact"/>
                    <w:jc w:val="center"/>
                    <w:rPr>
                      <w:rFonts w:hint="eastAsia"/>
                      <w:color w:val="auto"/>
                      <w:highlight w:val="none"/>
                    </w:rPr>
                  </w:pPr>
                  <w:r>
                    <w:rPr>
                      <w:rFonts w:hint="eastAsia"/>
                      <w:color w:val="auto"/>
                      <w:highlight w:val="none"/>
                    </w:rPr>
                    <w:t>4.2</w:t>
                  </w:r>
                </w:p>
              </w:tc>
              <w:tc>
                <w:tcPr>
                  <w:tcW w:w="1887" w:type="pct"/>
                  <w:noWrap w:val="0"/>
                  <w:vAlign w:val="top"/>
                </w:tcPr>
                <w:p w14:paraId="713E498E">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0AA6CD6F">
                  <w:pPr>
                    <w:spacing w:line="280" w:lineRule="exact"/>
                    <w:rPr>
                      <w:rFonts w:hint="eastAsia"/>
                      <w:color w:val="auto"/>
                      <w:highlight w:val="none"/>
                    </w:rPr>
                  </w:pPr>
                </w:p>
              </w:tc>
              <w:tc>
                <w:tcPr>
                  <w:tcW w:w="814" w:type="pct"/>
                  <w:noWrap w:val="0"/>
                  <w:vAlign w:val="top"/>
                </w:tcPr>
                <w:p w14:paraId="6C51C5E5">
                  <w:pPr>
                    <w:spacing w:line="280" w:lineRule="exact"/>
                    <w:rPr>
                      <w:rFonts w:hint="eastAsia"/>
                      <w:color w:val="auto"/>
                      <w:highlight w:val="none"/>
                    </w:rPr>
                  </w:pPr>
                </w:p>
              </w:tc>
              <w:tc>
                <w:tcPr>
                  <w:tcW w:w="712" w:type="pct"/>
                  <w:noWrap w:val="0"/>
                  <w:vAlign w:val="top"/>
                </w:tcPr>
                <w:p w14:paraId="184AE0A5">
                  <w:pPr>
                    <w:spacing w:line="280" w:lineRule="exact"/>
                    <w:rPr>
                      <w:rFonts w:hint="eastAsia"/>
                      <w:color w:val="auto"/>
                      <w:highlight w:val="none"/>
                    </w:rPr>
                  </w:pPr>
                </w:p>
              </w:tc>
              <w:tc>
                <w:tcPr>
                  <w:tcW w:w="526" w:type="pct"/>
                  <w:noWrap w:val="0"/>
                  <w:vAlign w:val="top"/>
                </w:tcPr>
                <w:p w14:paraId="3A39EC69">
                  <w:pPr>
                    <w:spacing w:line="280" w:lineRule="exact"/>
                    <w:rPr>
                      <w:rFonts w:hint="eastAsia"/>
                      <w:color w:val="auto"/>
                      <w:highlight w:val="none"/>
                    </w:rPr>
                  </w:pPr>
                </w:p>
              </w:tc>
            </w:tr>
            <w:tr w14:paraId="562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474318C">
                  <w:pPr>
                    <w:spacing w:line="280" w:lineRule="exact"/>
                    <w:jc w:val="center"/>
                    <w:rPr>
                      <w:rFonts w:hint="eastAsia"/>
                      <w:color w:val="auto"/>
                      <w:highlight w:val="none"/>
                    </w:rPr>
                  </w:pPr>
                  <w:r>
                    <w:rPr>
                      <w:rFonts w:hint="eastAsia"/>
                      <w:color w:val="auto"/>
                      <w:highlight w:val="none"/>
                    </w:rPr>
                    <w:t>5</w:t>
                  </w:r>
                </w:p>
              </w:tc>
              <w:tc>
                <w:tcPr>
                  <w:tcW w:w="1887" w:type="pct"/>
                  <w:noWrap w:val="0"/>
                  <w:vAlign w:val="top"/>
                </w:tcPr>
                <w:p w14:paraId="1B96859E">
                  <w:pPr>
                    <w:spacing w:line="280" w:lineRule="exact"/>
                    <w:rPr>
                      <w:rFonts w:hint="eastAsia"/>
                      <w:color w:val="auto"/>
                      <w:highlight w:val="none"/>
                    </w:rPr>
                  </w:pPr>
                  <w:r>
                    <w:rPr>
                      <w:rFonts w:hint="eastAsia"/>
                      <w:color w:val="auto"/>
                      <w:highlight w:val="none"/>
                    </w:rPr>
                    <w:t>本周期应支付的合同价款</w:t>
                  </w:r>
                </w:p>
              </w:tc>
              <w:tc>
                <w:tcPr>
                  <w:tcW w:w="757" w:type="pct"/>
                  <w:noWrap w:val="0"/>
                  <w:vAlign w:val="top"/>
                </w:tcPr>
                <w:p w14:paraId="6B0CC812">
                  <w:pPr>
                    <w:spacing w:line="280" w:lineRule="exact"/>
                    <w:rPr>
                      <w:rFonts w:hint="eastAsia"/>
                      <w:color w:val="auto"/>
                      <w:highlight w:val="none"/>
                    </w:rPr>
                  </w:pPr>
                </w:p>
              </w:tc>
              <w:tc>
                <w:tcPr>
                  <w:tcW w:w="814" w:type="pct"/>
                  <w:noWrap w:val="0"/>
                  <w:vAlign w:val="top"/>
                </w:tcPr>
                <w:p w14:paraId="3ABD7406">
                  <w:pPr>
                    <w:spacing w:line="280" w:lineRule="exact"/>
                    <w:rPr>
                      <w:rFonts w:hint="eastAsia"/>
                      <w:color w:val="auto"/>
                      <w:highlight w:val="none"/>
                    </w:rPr>
                  </w:pPr>
                </w:p>
              </w:tc>
              <w:tc>
                <w:tcPr>
                  <w:tcW w:w="712" w:type="pct"/>
                  <w:noWrap w:val="0"/>
                  <w:vAlign w:val="top"/>
                </w:tcPr>
                <w:p w14:paraId="6C0F4459">
                  <w:pPr>
                    <w:spacing w:line="280" w:lineRule="exact"/>
                    <w:rPr>
                      <w:rFonts w:hint="eastAsia"/>
                      <w:color w:val="auto"/>
                      <w:highlight w:val="none"/>
                    </w:rPr>
                  </w:pPr>
                </w:p>
              </w:tc>
              <w:tc>
                <w:tcPr>
                  <w:tcW w:w="526" w:type="pct"/>
                  <w:noWrap w:val="0"/>
                  <w:vAlign w:val="top"/>
                </w:tcPr>
                <w:p w14:paraId="5A363293">
                  <w:pPr>
                    <w:spacing w:line="280" w:lineRule="exact"/>
                    <w:rPr>
                      <w:rFonts w:hint="eastAsia"/>
                      <w:color w:val="auto"/>
                      <w:highlight w:val="none"/>
                    </w:rPr>
                  </w:pPr>
                </w:p>
              </w:tc>
            </w:tr>
            <w:tr w14:paraId="589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4C6A0F2">
                  <w:pPr>
                    <w:spacing w:line="280" w:lineRule="exact"/>
                    <w:jc w:val="center"/>
                    <w:rPr>
                      <w:rFonts w:hint="eastAsia"/>
                      <w:color w:val="auto"/>
                      <w:highlight w:val="none"/>
                    </w:rPr>
                  </w:pPr>
                </w:p>
              </w:tc>
              <w:tc>
                <w:tcPr>
                  <w:tcW w:w="1887" w:type="pct"/>
                  <w:noWrap w:val="0"/>
                  <w:vAlign w:val="top"/>
                </w:tcPr>
                <w:p w14:paraId="1091AB89">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4BE5F3A5">
                  <w:pPr>
                    <w:spacing w:line="280" w:lineRule="exact"/>
                    <w:rPr>
                      <w:rFonts w:hint="eastAsia"/>
                      <w:color w:val="auto"/>
                      <w:highlight w:val="none"/>
                    </w:rPr>
                  </w:pPr>
                </w:p>
              </w:tc>
              <w:tc>
                <w:tcPr>
                  <w:tcW w:w="814" w:type="pct"/>
                  <w:noWrap w:val="0"/>
                  <w:vAlign w:val="top"/>
                </w:tcPr>
                <w:p w14:paraId="4A9AFAA1">
                  <w:pPr>
                    <w:spacing w:line="280" w:lineRule="exact"/>
                    <w:rPr>
                      <w:rFonts w:hint="eastAsia"/>
                      <w:color w:val="auto"/>
                      <w:highlight w:val="none"/>
                    </w:rPr>
                  </w:pPr>
                </w:p>
              </w:tc>
              <w:tc>
                <w:tcPr>
                  <w:tcW w:w="712" w:type="pct"/>
                  <w:noWrap w:val="0"/>
                  <w:vAlign w:val="top"/>
                </w:tcPr>
                <w:p w14:paraId="70D7B2A7">
                  <w:pPr>
                    <w:spacing w:line="280" w:lineRule="exact"/>
                    <w:rPr>
                      <w:rFonts w:hint="eastAsia"/>
                      <w:color w:val="auto"/>
                      <w:highlight w:val="none"/>
                    </w:rPr>
                  </w:pPr>
                </w:p>
              </w:tc>
              <w:tc>
                <w:tcPr>
                  <w:tcW w:w="526" w:type="pct"/>
                  <w:noWrap w:val="0"/>
                  <w:vAlign w:val="top"/>
                </w:tcPr>
                <w:p w14:paraId="08C226AD">
                  <w:pPr>
                    <w:spacing w:line="280" w:lineRule="exact"/>
                    <w:rPr>
                      <w:rFonts w:hint="eastAsia"/>
                      <w:color w:val="auto"/>
                      <w:highlight w:val="none"/>
                    </w:rPr>
                  </w:pPr>
                </w:p>
              </w:tc>
            </w:tr>
          </w:tbl>
          <w:p w14:paraId="064DF972">
            <w:pPr>
              <w:wordWrap w:val="0"/>
              <w:spacing w:line="400" w:lineRule="exact"/>
              <w:ind w:right="420"/>
              <w:rPr>
                <w:rFonts w:hint="eastAsia"/>
                <w:color w:val="auto"/>
                <w:highlight w:val="none"/>
              </w:rPr>
            </w:pPr>
            <w:r>
              <w:rPr>
                <w:rFonts w:hint="eastAsia"/>
                <w:color w:val="auto"/>
                <w:highlight w:val="none"/>
              </w:rPr>
              <w:t>附：上述3、4详见附件清单。</w:t>
            </w:r>
          </w:p>
          <w:p w14:paraId="06D54779">
            <w:pPr>
              <w:wordWrap w:val="0"/>
              <w:spacing w:line="400" w:lineRule="exact"/>
              <w:ind w:right="420"/>
              <w:rPr>
                <w:rFonts w:hint="eastAsia"/>
                <w:color w:val="auto"/>
                <w:highlight w:val="none"/>
              </w:rPr>
            </w:pPr>
            <w:r>
              <w:rPr>
                <w:rFonts w:hint="eastAsia"/>
                <w:color w:val="auto"/>
                <w:highlight w:val="none"/>
              </w:rPr>
              <w:t xml:space="preserve">                                            承包人（章）             </w:t>
            </w:r>
          </w:p>
          <w:p w14:paraId="30885D6E">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53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91" w:type="pct"/>
            <w:noWrap w:val="0"/>
            <w:vAlign w:val="top"/>
          </w:tcPr>
          <w:p w14:paraId="0C790A00">
            <w:pPr>
              <w:spacing w:line="360" w:lineRule="exact"/>
              <w:rPr>
                <w:rFonts w:hint="eastAsia"/>
                <w:color w:val="auto"/>
                <w:highlight w:val="none"/>
              </w:rPr>
            </w:pPr>
            <w:r>
              <w:rPr>
                <w:rFonts w:hint="eastAsia"/>
                <w:color w:val="auto"/>
                <w:highlight w:val="none"/>
              </w:rPr>
              <w:t>复核意见：</w:t>
            </w:r>
          </w:p>
          <w:p w14:paraId="7E6B5538">
            <w:pPr>
              <w:spacing w:line="360" w:lineRule="exact"/>
              <w:ind w:firstLine="312"/>
              <w:rPr>
                <w:rFonts w:hint="eastAsia"/>
                <w:color w:val="auto"/>
                <w:highlight w:val="none"/>
              </w:rPr>
            </w:pPr>
            <w:r>
              <w:rPr>
                <w:rFonts w:hint="eastAsia"/>
                <w:color w:val="auto"/>
                <w:highlight w:val="none"/>
              </w:rPr>
              <w:t>□与实际施工情况不相符，修改意见见附件。</w:t>
            </w:r>
          </w:p>
          <w:p w14:paraId="3F06AED0">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06B5688B">
            <w:pPr>
              <w:spacing w:line="360" w:lineRule="exact"/>
              <w:ind w:firstLine="435"/>
              <w:jc w:val="right"/>
              <w:rPr>
                <w:rFonts w:hint="eastAsia"/>
                <w:color w:val="auto"/>
                <w:highlight w:val="none"/>
              </w:rPr>
            </w:pPr>
          </w:p>
          <w:p w14:paraId="1A9E5513">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3D3754B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08" w:type="pct"/>
            <w:noWrap w:val="0"/>
            <w:vAlign w:val="top"/>
          </w:tcPr>
          <w:p w14:paraId="7E4C55D6">
            <w:pPr>
              <w:spacing w:line="360" w:lineRule="exact"/>
              <w:rPr>
                <w:rFonts w:hint="eastAsia"/>
                <w:color w:val="auto"/>
                <w:highlight w:val="none"/>
              </w:rPr>
            </w:pPr>
            <w:r>
              <w:rPr>
                <w:rFonts w:hint="eastAsia"/>
                <w:color w:val="auto"/>
                <w:highlight w:val="none"/>
              </w:rPr>
              <w:t>复核意见：</w:t>
            </w:r>
          </w:p>
          <w:p w14:paraId="2AEC9320">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3C69F53B">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2992082C">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8DA373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557101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42B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4221C7AB">
            <w:pPr>
              <w:spacing w:line="400" w:lineRule="exact"/>
              <w:rPr>
                <w:rFonts w:hint="eastAsia"/>
                <w:color w:val="auto"/>
                <w:highlight w:val="none"/>
              </w:rPr>
            </w:pPr>
            <w:r>
              <w:rPr>
                <w:rFonts w:hint="eastAsia"/>
                <w:color w:val="auto"/>
                <w:highlight w:val="none"/>
              </w:rPr>
              <w:t>审核意见：</w:t>
            </w:r>
          </w:p>
          <w:p w14:paraId="1F78A3A8">
            <w:pPr>
              <w:spacing w:line="400" w:lineRule="exact"/>
              <w:ind w:firstLine="435"/>
              <w:rPr>
                <w:rFonts w:hint="eastAsia"/>
                <w:color w:val="auto"/>
                <w:highlight w:val="none"/>
              </w:rPr>
            </w:pPr>
            <w:r>
              <w:rPr>
                <w:rFonts w:hint="eastAsia"/>
                <w:color w:val="auto"/>
                <w:highlight w:val="none"/>
              </w:rPr>
              <w:t>□不同意。</w:t>
            </w:r>
          </w:p>
          <w:p w14:paraId="29EE174D">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0D99B89">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5007EF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6A7D5944">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27A457A3">
            <w:pPr>
              <w:pStyle w:val="8"/>
              <w:wordWrap/>
              <w:ind w:firstLine="6510" w:firstLineChars="3100"/>
              <w:rPr>
                <w:rFonts w:hint="eastAsia"/>
                <w:color w:val="auto"/>
                <w:highlight w:val="none"/>
              </w:rPr>
            </w:pPr>
          </w:p>
        </w:tc>
      </w:tr>
    </w:tbl>
    <w:p w14:paraId="40C96179">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671FE92">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0D67D111">
      <w:pPr>
        <w:spacing w:before="120" w:beforeLines="50"/>
        <w:ind w:left="840" w:hanging="840" w:hangingChars="400"/>
        <w:rPr>
          <w:rFonts w:hint="eastAsia" w:ascii="宋体"/>
          <w:color w:val="auto"/>
          <w:highlight w:val="none"/>
        </w:rPr>
      </w:pPr>
    </w:p>
    <w:p w14:paraId="7E4D9740">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74" w:name="_Toc20442"/>
      <w:bookmarkStart w:id="975" w:name="_Toc23834"/>
      <w:bookmarkStart w:id="976" w:name="_Toc6129"/>
    </w:p>
    <w:p w14:paraId="3AB8F0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附件12</w:t>
      </w:r>
      <w:bookmarkEnd w:id="974"/>
      <w:bookmarkEnd w:id="975"/>
      <w:bookmarkEnd w:id="976"/>
    </w:p>
    <w:p w14:paraId="0F0F8581">
      <w:pPr>
        <w:jc w:val="center"/>
        <w:rPr>
          <w:rFonts w:hint="eastAsia"/>
          <w:b/>
          <w:color w:val="auto"/>
          <w:sz w:val="36"/>
          <w:szCs w:val="36"/>
          <w:highlight w:val="none"/>
        </w:rPr>
      </w:pPr>
      <w:r>
        <w:rPr>
          <w:rFonts w:hint="eastAsia"/>
          <w:b/>
          <w:color w:val="auto"/>
          <w:sz w:val="36"/>
          <w:szCs w:val="36"/>
          <w:highlight w:val="none"/>
        </w:rPr>
        <w:t>竣工结算款支付申请（核准）表</w:t>
      </w:r>
    </w:p>
    <w:p w14:paraId="7CD845D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5"/>
      </w:tblGrid>
      <w:tr w14:paraId="198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5000" w:type="pct"/>
            <w:gridSpan w:val="2"/>
            <w:noWrap w:val="0"/>
            <w:vAlign w:val="top"/>
          </w:tcPr>
          <w:p w14:paraId="0F4547B6">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40F4CA1">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0DD6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3C78026D">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55A82708">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051C89F6">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4B1B8A0C">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3F3FC167">
                  <w:pPr>
                    <w:spacing w:line="280" w:lineRule="exact"/>
                    <w:jc w:val="center"/>
                    <w:rPr>
                      <w:rFonts w:hint="eastAsia"/>
                      <w:color w:val="auto"/>
                      <w:highlight w:val="none"/>
                    </w:rPr>
                  </w:pPr>
                  <w:r>
                    <w:rPr>
                      <w:rFonts w:hint="eastAsia"/>
                      <w:color w:val="auto"/>
                      <w:highlight w:val="none"/>
                    </w:rPr>
                    <w:t>备注</w:t>
                  </w:r>
                </w:p>
              </w:tc>
            </w:tr>
            <w:tr w14:paraId="2C02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038128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2FBF64ED">
                  <w:pPr>
                    <w:spacing w:line="280" w:lineRule="exact"/>
                    <w:rPr>
                      <w:rFonts w:hint="eastAsia"/>
                      <w:color w:val="auto"/>
                      <w:highlight w:val="none"/>
                    </w:rPr>
                  </w:pPr>
                  <w:r>
                    <w:rPr>
                      <w:rFonts w:hint="eastAsia"/>
                      <w:color w:val="auto"/>
                      <w:highlight w:val="none"/>
                    </w:rPr>
                    <w:t>竣工结算合同价款总额</w:t>
                  </w:r>
                </w:p>
              </w:tc>
              <w:tc>
                <w:tcPr>
                  <w:tcW w:w="915" w:type="pct"/>
                  <w:noWrap w:val="0"/>
                  <w:vAlign w:val="top"/>
                </w:tcPr>
                <w:p w14:paraId="3F75775D">
                  <w:pPr>
                    <w:spacing w:line="280" w:lineRule="exact"/>
                    <w:rPr>
                      <w:rFonts w:hint="eastAsia"/>
                      <w:color w:val="auto"/>
                      <w:highlight w:val="none"/>
                    </w:rPr>
                  </w:pPr>
                </w:p>
              </w:tc>
              <w:tc>
                <w:tcPr>
                  <w:tcW w:w="915" w:type="pct"/>
                  <w:noWrap w:val="0"/>
                  <w:vAlign w:val="top"/>
                </w:tcPr>
                <w:p w14:paraId="1AE10802">
                  <w:pPr>
                    <w:spacing w:line="280" w:lineRule="exact"/>
                    <w:rPr>
                      <w:rFonts w:hint="eastAsia"/>
                      <w:color w:val="auto"/>
                      <w:highlight w:val="none"/>
                    </w:rPr>
                  </w:pPr>
                </w:p>
              </w:tc>
              <w:tc>
                <w:tcPr>
                  <w:tcW w:w="932" w:type="pct"/>
                  <w:noWrap w:val="0"/>
                  <w:vAlign w:val="top"/>
                </w:tcPr>
                <w:p w14:paraId="60C5D2E5">
                  <w:pPr>
                    <w:spacing w:line="280" w:lineRule="exact"/>
                    <w:rPr>
                      <w:rFonts w:hint="eastAsia"/>
                      <w:color w:val="auto"/>
                      <w:highlight w:val="none"/>
                    </w:rPr>
                  </w:pPr>
                </w:p>
              </w:tc>
            </w:tr>
            <w:tr w14:paraId="7C4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FE854E">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D87E9E8">
                  <w:pPr>
                    <w:spacing w:line="280" w:lineRule="exact"/>
                    <w:rPr>
                      <w:rFonts w:hint="eastAsia"/>
                      <w:color w:val="auto"/>
                      <w:highlight w:val="none"/>
                    </w:rPr>
                  </w:pPr>
                  <w:r>
                    <w:rPr>
                      <w:rFonts w:hint="eastAsia"/>
                      <w:color w:val="auto"/>
                      <w:highlight w:val="none"/>
                    </w:rPr>
                    <w:t>累计已实际支付的合同价款</w:t>
                  </w:r>
                </w:p>
              </w:tc>
              <w:tc>
                <w:tcPr>
                  <w:tcW w:w="915" w:type="pct"/>
                  <w:noWrap w:val="0"/>
                  <w:vAlign w:val="top"/>
                </w:tcPr>
                <w:p w14:paraId="1CC3ABE6">
                  <w:pPr>
                    <w:spacing w:line="280" w:lineRule="exact"/>
                    <w:rPr>
                      <w:rFonts w:hint="eastAsia"/>
                      <w:color w:val="auto"/>
                      <w:highlight w:val="none"/>
                    </w:rPr>
                  </w:pPr>
                </w:p>
              </w:tc>
              <w:tc>
                <w:tcPr>
                  <w:tcW w:w="915" w:type="pct"/>
                  <w:noWrap w:val="0"/>
                  <w:vAlign w:val="top"/>
                </w:tcPr>
                <w:p w14:paraId="5D4FF57A">
                  <w:pPr>
                    <w:spacing w:line="280" w:lineRule="exact"/>
                    <w:rPr>
                      <w:rFonts w:hint="eastAsia"/>
                      <w:color w:val="auto"/>
                      <w:highlight w:val="none"/>
                    </w:rPr>
                  </w:pPr>
                </w:p>
              </w:tc>
              <w:tc>
                <w:tcPr>
                  <w:tcW w:w="932" w:type="pct"/>
                  <w:noWrap w:val="0"/>
                  <w:vAlign w:val="top"/>
                </w:tcPr>
                <w:p w14:paraId="3A1913D9">
                  <w:pPr>
                    <w:spacing w:line="280" w:lineRule="exact"/>
                    <w:rPr>
                      <w:rFonts w:hint="eastAsia"/>
                      <w:color w:val="auto"/>
                      <w:highlight w:val="none"/>
                    </w:rPr>
                  </w:pPr>
                </w:p>
              </w:tc>
            </w:tr>
            <w:tr w14:paraId="2779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1926637">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5371E9D1">
                  <w:pPr>
                    <w:spacing w:line="280" w:lineRule="exact"/>
                    <w:rPr>
                      <w:rFonts w:hint="eastAsia"/>
                      <w:color w:val="auto"/>
                      <w:highlight w:val="none"/>
                    </w:rPr>
                  </w:pPr>
                  <w:r>
                    <w:rPr>
                      <w:rFonts w:hint="eastAsia"/>
                      <w:color w:val="auto"/>
                      <w:highlight w:val="none"/>
                    </w:rPr>
                    <w:t>应预留的质量保证金</w:t>
                  </w:r>
                </w:p>
              </w:tc>
              <w:tc>
                <w:tcPr>
                  <w:tcW w:w="915" w:type="pct"/>
                  <w:noWrap w:val="0"/>
                  <w:vAlign w:val="top"/>
                </w:tcPr>
                <w:p w14:paraId="2F78BE5D">
                  <w:pPr>
                    <w:spacing w:line="280" w:lineRule="exact"/>
                    <w:rPr>
                      <w:rFonts w:hint="eastAsia"/>
                      <w:color w:val="auto"/>
                      <w:highlight w:val="none"/>
                    </w:rPr>
                  </w:pPr>
                </w:p>
              </w:tc>
              <w:tc>
                <w:tcPr>
                  <w:tcW w:w="915" w:type="pct"/>
                  <w:noWrap w:val="0"/>
                  <w:vAlign w:val="top"/>
                </w:tcPr>
                <w:p w14:paraId="25E3432C">
                  <w:pPr>
                    <w:spacing w:line="280" w:lineRule="exact"/>
                    <w:rPr>
                      <w:rFonts w:hint="eastAsia"/>
                      <w:color w:val="auto"/>
                      <w:highlight w:val="none"/>
                    </w:rPr>
                  </w:pPr>
                </w:p>
              </w:tc>
              <w:tc>
                <w:tcPr>
                  <w:tcW w:w="932" w:type="pct"/>
                  <w:noWrap w:val="0"/>
                  <w:vAlign w:val="top"/>
                </w:tcPr>
                <w:p w14:paraId="55605FC1">
                  <w:pPr>
                    <w:spacing w:line="280" w:lineRule="exact"/>
                    <w:rPr>
                      <w:rFonts w:hint="eastAsia"/>
                      <w:color w:val="auto"/>
                      <w:highlight w:val="none"/>
                    </w:rPr>
                  </w:pPr>
                </w:p>
              </w:tc>
            </w:tr>
            <w:tr w14:paraId="2BEF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08FD7FC">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D51F3E0">
                  <w:pPr>
                    <w:spacing w:line="280" w:lineRule="exact"/>
                    <w:rPr>
                      <w:rFonts w:hint="eastAsia"/>
                      <w:color w:val="auto"/>
                      <w:highlight w:val="none"/>
                    </w:rPr>
                  </w:pPr>
                  <w:r>
                    <w:rPr>
                      <w:rFonts w:hint="eastAsia"/>
                      <w:color w:val="auto"/>
                      <w:highlight w:val="none"/>
                    </w:rPr>
                    <w:t>应支付的竣工结算款金额</w:t>
                  </w:r>
                </w:p>
              </w:tc>
              <w:tc>
                <w:tcPr>
                  <w:tcW w:w="915" w:type="pct"/>
                  <w:noWrap w:val="0"/>
                  <w:vAlign w:val="top"/>
                </w:tcPr>
                <w:p w14:paraId="13BAF4EE">
                  <w:pPr>
                    <w:spacing w:line="280" w:lineRule="exact"/>
                    <w:rPr>
                      <w:rFonts w:hint="eastAsia"/>
                      <w:color w:val="auto"/>
                      <w:highlight w:val="none"/>
                    </w:rPr>
                  </w:pPr>
                </w:p>
              </w:tc>
              <w:tc>
                <w:tcPr>
                  <w:tcW w:w="915" w:type="pct"/>
                  <w:noWrap w:val="0"/>
                  <w:vAlign w:val="top"/>
                </w:tcPr>
                <w:p w14:paraId="6BE6CFDD">
                  <w:pPr>
                    <w:spacing w:line="280" w:lineRule="exact"/>
                    <w:rPr>
                      <w:rFonts w:hint="eastAsia"/>
                      <w:color w:val="auto"/>
                      <w:highlight w:val="none"/>
                    </w:rPr>
                  </w:pPr>
                </w:p>
              </w:tc>
              <w:tc>
                <w:tcPr>
                  <w:tcW w:w="932" w:type="pct"/>
                  <w:noWrap w:val="0"/>
                  <w:vAlign w:val="top"/>
                </w:tcPr>
                <w:p w14:paraId="10A3980A">
                  <w:pPr>
                    <w:spacing w:line="280" w:lineRule="exact"/>
                    <w:rPr>
                      <w:rFonts w:hint="eastAsia"/>
                      <w:color w:val="auto"/>
                      <w:highlight w:val="none"/>
                    </w:rPr>
                  </w:pPr>
                </w:p>
              </w:tc>
            </w:tr>
            <w:tr w14:paraId="6ED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E545D9">
                  <w:pPr>
                    <w:spacing w:line="280" w:lineRule="exact"/>
                    <w:jc w:val="center"/>
                    <w:rPr>
                      <w:rFonts w:hint="eastAsia"/>
                      <w:color w:val="auto"/>
                      <w:highlight w:val="none"/>
                    </w:rPr>
                  </w:pPr>
                </w:p>
              </w:tc>
              <w:tc>
                <w:tcPr>
                  <w:tcW w:w="1932" w:type="pct"/>
                  <w:noWrap w:val="0"/>
                  <w:vAlign w:val="top"/>
                </w:tcPr>
                <w:p w14:paraId="29CED3F7">
                  <w:pPr>
                    <w:spacing w:line="280" w:lineRule="exact"/>
                    <w:rPr>
                      <w:rFonts w:hint="eastAsia"/>
                      <w:color w:val="auto"/>
                      <w:highlight w:val="none"/>
                    </w:rPr>
                  </w:pPr>
                </w:p>
              </w:tc>
              <w:tc>
                <w:tcPr>
                  <w:tcW w:w="915" w:type="pct"/>
                  <w:noWrap w:val="0"/>
                  <w:vAlign w:val="top"/>
                </w:tcPr>
                <w:p w14:paraId="1E836952">
                  <w:pPr>
                    <w:spacing w:line="280" w:lineRule="exact"/>
                    <w:rPr>
                      <w:rFonts w:hint="eastAsia"/>
                      <w:color w:val="auto"/>
                      <w:highlight w:val="none"/>
                    </w:rPr>
                  </w:pPr>
                </w:p>
              </w:tc>
              <w:tc>
                <w:tcPr>
                  <w:tcW w:w="915" w:type="pct"/>
                  <w:noWrap w:val="0"/>
                  <w:vAlign w:val="top"/>
                </w:tcPr>
                <w:p w14:paraId="44C37F5F">
                  <w:pPr>
                    <w:spacing w:line="280" w:lineRule="exact"/>
                    <w:rPr>
                      <w:rFonts w:hint="eastAsia"/>
                      <w:color w:val="auto"/>
                      <w:highlight w:val="none"/>
                    </w:rPr>
                  </w:pPr>
                </w:p>
              </w:tc>
              <w:tc>
                <w:tcPr>
                  <w:tcW w:w="932" w:type="pct"/>
                  <w:noWrap w:val="0"/>
                  <w:vAlign w:val="top"/>
                </w:tcPr>
                <w:p w14:paraId="428BD1A3">
                  <w:pPr>
                    <w:spacing w:line="280" w:lineRule="exact"/>
                    <w:rPr>
                      <w:rFonts w:hint="eastAsia"/>
                      <w:color w:val="auto"/>
                      <w:highlight w:val="none"/>
                    </w:rPr>
                  </w:pPr>
                </w:p>
              </w:tc>
            </w:tr>
            <w:tr w14:paraId="1E16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DD19C80">
                  <w:pPr>
                    <w:spacing w:line="280" w:lineRule="exact"/>
                    <w:jc w:val="center"/>
                    <w:rPr>
                      <w:rFonts w:hint="eastAsia"/>
                      <w:color w:val="auto"/>
                      <w:highlight w:val="none"/>
                    </w:rPr>
                  </w:pPr>
                </w:p>
              </w:tc>
              <w:tc>
                <w:tcPr>
                  <w:tcW w:w="1932" w:type="pct"/>
                  <w:noWrap w:val="0"/>
                  <w:vAlign w:val="top"/>
                </w:tcPr>
                <w:p w14:paraId="1CCDBE4D">
                  <w:pPr>
                    <w:spacing w:line="280" w:lineRule="exact"/>
                    <w:rPr>
                      <w:rFonts w:hint="eastAsia"/>
                      <w:color w:val="auto"/>
                      <w:highlight w:val="none"/>
                    </w:rPr>
                  </w:pPr>
                </w:p>
              </w:tc>
              <w:tc>
                <w:tcPr>
                  <w:tcW w:w="915" w:type="pct"/>
                  <w:noWrap w:val="0"/>
                  <w:vAlign w:val="top"/>
                </w:tcPr>
                <w:p w14:paraId="21E32891">
                  <w:pPr>
                    <w:spacing w:line="280" w:lineRule="exact"/>
                    <w:rPr>
                      <w:rFonts w:hint="eastAsia"/>
                      <w:color w:val="auto"/>
                      <w:highlight w:val="none"/>
                    </w:rPr>
                  </w:pPr>
                </w:p>
              </w:tc>
              <w:tc>
                <w:tcPr>
                  <w:tcW w:w="915" w:type="pct"/>
                  <w:noWrap w:val="0"/>
                  <w:vAlign w:val="top"/>
                </w:tcPr>
                <w:p w14:paraId="0BA7D3CC">
                  <w:pPr>
                    <w:spacing w:line="280" w:lineRule="exact"/>
                    <w:rPr>
                      <w:rFonts w:hint="eastAsia"/>
                      <w:color w:val="auto"/>
                      <w:highlight w:val="none"/>
                    </w:rPr>
                  </w:pPr>
                </w:p>
              </w:tc>
              <w:tc>
                <w:tcPr>
                  <w:tcW w:w="932" w:type="pct"/>
                  <w:noWrap w:val="0"/>
                  <w:vAlign w:val="top"/>
                </w:tcPr>
                <w:p w14:paraId="76B7A2FA">
                  <w:pPr>
                    <w:spacing w:line="280" w:lineRule="exact"/>
                    <w:rPr>
                      <w:rFonts w:hint="eastAsia"/>
                      <w:color w:val="auto"/>
                      <w:highlight w:val="none"/>
                    </w:rPr>
                  </w:pPr>
                </w:p>
              </w:tc>
            </w:tr>
            <w:tr w14:paraId="780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1EC7E595">
                  <w:pPr>
                    <w:spacing w:line="280" w:lineRule="exact"/>
                    <w:jc w:val="center"/>
                    <w:rPr>
                      <w:rFonts w:hint="eastAsia"/>
                      <w:color w:val="auto"/>
                      <w:highlight w:val="none"/>
                    </w:rPr>
                  </w:pPr>
                </w:p>
              </w:tc>
              <w:tc>
                <w:tcPr>
                  <w:tcW w:w="1932" w:type="pct"/>
                  <w:noWrap w:val="0"/>
                  <w:vAlign w:val="top"/>
                </w:tcPr>
                <w:p w14:paraId="5461AC24">
                  <w:pPr>
                    <w:spacing w:line="280" w:lineRule="exact"/>
                    <w:rPr>
                      <w:rFonts w:hint="eastAsia"/>
                      <w:color w:val="auto"/>
                      <w:highlight w:val="none"/>
                    </w:rPr>
                  </w:pPr>
                </w:p>
              </w:tc>
              <w:tc>
                <w:tcPr>
                  <w:tcW w:w="915" w:type="pct"/>
                  <w:noWrap w:val="0"/>
                  <w:vAlign w:val="top"/>
                </w:tcPr>
                <w:p w14:paraId="2EBE6EBF">
                  <w:pPr>
                    <w:spacing w:line="280" w:lineRule="exact"/>
                    <w:rPr>
                      <w:rFonts w:hint="eastAsia"/>
                      <w:color w:val="auto"/>
                      <w:highlight w:val="none"/>
                    </w:rPr>
                  </w:pPr>
                </w:p>
              </w:tc>
              <w:tc>
                <w:tcPr>
                  <w:tcW w:w="915" w:type="pct"/>
                  <w:noWrap w:val="0"/>
                  <w:vAlign w:val="top"/>
                </w:tcPr>
                <w:p w14:paraId="03C34AE4">
                  <w:pPr>
                    <w:spacing w:line="280" w:lineRule="exact"/>
                    <w:rPr>
                      <w:rFonts w:hint="eastAsia"/>
                      <w:color w:val="auto"/>
                      <w:highlight w:val="none"/>
                    </w:rPr>
                  </w:pPr>
                </w:p>
              </w:tc>
              <w:tc>
                <w:tcPr>
                  <w:tcW w:w="932" w:type="pct"/>
                  <w:noWrap w:val="0"/>
                  <w:vAlign w:val="top"/>
                </w:tcPr>
                <w:p w14:paraId="48E8973F">
                  <w:pPr>
                    <w:spacing w:line="280" w:lineRule="exact"/>
                    <w:rPr>
                      <w:rFonts w:hint="eastAsia"/>
                      <w:color w:val="auto"/>
                      <w:highlight w:val="none"/>
                    </w:rPr>
                  </w:pPr>
                </w:p>
              </w:tc>
            </w:tr>
            <w:tr w14:paraId="7DE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1DF53BB">
                  <w:pPr>
                    <w:spacing w:line="280" w:lineRule="exact"/>
                    <w:jc w:val="center"/>
                    <w:rPr>
                      <w:rFonts w:hint="eastAsia"/>
                      <w:color w:val="auto"/>
                      <w:highlight w:val="none"/>
                    </w:rPr>
                  </w:pPr>
                </w:p>
              </w:tc>
              <w:tc>
                <w:tcPr>
                  <w:tcW w:w="1932" w:type="pct"/>
                  <w:noWrap w:val="0"/>
                  <w:vAlign w:val="top"/>
                </w:tcPr>
                <w:p w14:paraId="5D79795E">
                  <w:pPr>
                    <w:spacing w:line="280" w:lineRule="exact"/>
                    <w:rPr>
                      <w:rFonts w:hint="eastAsia"/>
                      <w:color w:val="auto"/>
                      <w:highlight w:val="none"/>
                    </w:rPr>
                  </w:pPr>
                </w:p>
              </w:tc>
              <w:tc>
                <w:tcPr>
                  <w:tcW w:w="915" w:type="pct"/>
                  <w:noWrap w:val="0"/>
                  <w:vAlign w:val="top"/>
                </w:tcPr>
                <w:p w14:paraId="427D0153">
                  <w:pPr>
                    <w:spacing w:line="280" w:lineRule="exact"/>
                    <w:rPr>
                      <w:rFonts w:hint="eastAsia"/>
                      <w:color w:val="auto"/>
                      <w:highlight w:val="none"/>
                    </w:rPr>
                  </w:pPr>
                </w:p>
              </w:tc>
              <w:tc>
                <w:tcPr>
                  <w:tcW w:w="915" w:type="pct"/>
                  <w:noWrap w:val="0"/>
                  <w:vAlign w:val="top"/>
                </w:tcPr>
                <w:p w14:paraId="7B9496B1">
                  <w:pPr>
                    <w:spacing w:line="280" w:lineRule="exact"/>
                    <w:rPr>
                      <w:rFonts w:hint="eastAsia"/>
                      <w:color w:val="auto"/>
                      <w:highlight w:val="none"/>
                    </w:rPr>
                  </w:pPr>
                </w:p>
              </w:tc>
              <w:tc>
                <w:tcPr>
                  <w:tcW w:w="932" w:type="pct"/>
                  <w:noWrap w:val="0"/>
                  <w:vAlign w:val="top"/>
                </w:tcPr>
                <w:p w14:paraId="1DF83033">
                  <w:pPr>
                    <w:spacing w:line="280" w:lineRule="exact"/>
                    <w:rPr>
                      <w:rFonts w:hint="eastAsia"/>
                      <w:color w:val="auto"/>
                      <w:highlight w:val="none"/>
                    </w:rPr>
                  </w:pPr>
                </w:p>
              </w:tc>
            </w:tr>
            <w:tr w14:paraId="528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2F3782C">
                  <w:pPr>
                    <w:spacing w:line="280" w:lineRule="exact"/>
                    <w:jc w:val="center"/>
                    <w:rPr>
                      <w:rFonts w:hint="eastAsia"/>
                      <w:color w:val="auto"/>
                      <w:highlight w:val="none"/>
                    </w:rPr>
                  </w:pPr>
                </w:p>
              </w:tc>
              <w:tc>
                <w:tcPr>
                  <w:tcW w:w="1932" w:type="pct"/>
                  <w:noWrap w:val="0"/>
                  <w:vAlign w:val="top"/>
                </w:tcPr>
                <w:p w14:paraId="02C0D07B">
                  <w:pPr>
                    <w:spacing w:line="280" w:lineRule="exact"/>
                    <w:rPr>
                      <w:rFonts w:hint="eastAsia"/>
                      <w:color w:val="auto"/>
                      <w:highlight w:val="none"/>
                    </w:rPr>
                  </w:pPr>
                </w:p>
              </w:tc>
              <w:tc>
                <w:tcPr>
                  <w:tcW w:w="915" w:type="pct"/>
                  <w:noWrap w:val="0"/>
                  <w:vAlign w:val="top"/>
                </w:tcPr>
                <w:p w14:paraId="016990F8">
                  <w:pPr>
                    <w:spacing w:line="280" w:lineRule="exact"/>
                    <w:rPr>
                      <w:rFonts w:hint="eastAsia"/>
                      <w:color w:val="auto"/>
                      <w:highlight w:val="none"/>
                    </w:rPr>
                  </w:pPr>
                </w:p>
              </w:tc>
              <w:tc>
                <w:tcPr>
                  <w:tcW w:w="915" w:type="pct"/>
                  <w:noWrap w:val="0"/>
                  <w:vAlign w:val="top"/>
                </w:tcPr>
                <w:p w14:paraId="247E9EA3">
                  <w:pPr>
                    <w:spacing w:line="280" w:lineRule="exact"/>
                    <w:rPr>
                      <w:rFonts w:hint="eastAsia"/>
                      <w:color w:val="auto"/>
                      <w:highlight w:val="none"/>
                    </w:rPr>
                  </w:pPr>
                </w:p>
              </w:tc>
              <w:tc>
                <w:tcPr>
                  <w:tcW w:w="932" w:type="pct"/>
                  <w:noWrap w:val="0"/>
                  <w:vAlign w:val="top"/>
                </w:tcPr>
                <w:p w14:paraId="20B76791">
                  <w:pPr>
                    <w:spacing w:line="280" w:lineRule="exact"/>
                    <w:rPr>
                      <w:rFonts w:hint="eastAsia"/>
                      <w:color w:val="auto"/>
                      <w:highlight w:val="none"/>
                    </w:rPr>
                  </w:pPr>
                </w:p>
              </w:tc>
            </w:tr>
          </w:tbl>
          <w:p w14:paraId="3EA4BA9B">
            <w:pPr>
              <w:spacing w:line="400" w:lineRule="exact"/>
              <w:ind w:right="420" w:firstLine="435"/>
              <w:jc w:val="center"/>
              <w:rPr>
                <w:rFonts w:hint="eastAsia"/>
                <w:color w:val="auto"/>
                <w:highlight w:val="none"/>
              </w:rPr>
            </w:pPr>
          </w:p>
          <w:p w14:paraId="420D790B">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DC53DC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15D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01" w:type="pct"/>
            <w:noWrap w:val="0"/>
            <w:vAlign w:val="top"/>
          </w:tcPr>
          <w:p w14:paraId="1B1F133D">
            <w:pPr>
              <w:spacing w:line="360" w:lineRule="exact"/>
              <w:rPr>
                <w:rFonts w:hint="eastAsia"/>
                <w:color w:val="auto"/>
                <w:highlight w:val="none"/>
              </w:rPr>
            </w:pPr>
            <w:r>
              <w:rPr>
                <w:rFonts w:hint="eastAsia"/>
                <w:color w:val="auto"/>
                <w:highlight w:val="none"/>
              </w:rPr>
              <w:t>复核意见：</w:t>
            </w:r>
          </w:p>
          <w:p w14:paraId="421E69DA">
            <w:pPr>
              <w:spacing w:line="360" w:lineRule="exact"/>
              <w:ind w:firstLine="312"/>
              <w:rPr>
                <w:rFonts w:hint="eastAsia"/>
                <w:color w:val="auto"/>
                <w:highlight w:val="none"/>
              </w:rPr>
            </w:pPr>
            <w:r>
              <w:rPr>
                <w:rFonts w:hint="eastAsia"/>
                <w:color w:val="auto"/>
                <w:highlight w:val="none"/>
              </w:rPr>
              <w:t>□与实际施工情况不相符，修改意见见附件。</w:t>
            </w:r>
          </w:p>
          <w:p w14:paraId="075AF72E">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B66D40">
            <w:pPr>
              <w:spacing w:line="360" w:lineRule="exact"/>
              <w:ind w:firstLine="435"/>
              <w:jc w:val="right"/>
              <w:rPr>
                <w:rFonts w:hint="eastAsia"/>
                <w:color w:val="auto"/>
                <w:highlight w:val="none"/>
              </w:rPr>
            </w:pPr>
          </w:p>
          <w:p w14:paraId="178DAF34">
            <w:pPr>
              <w:spacing w:line="360" w:lineRule="exact"/>
              <w:ind w:firstLine="435"/>
              <w:jc w:val="right"/>
              <w:rPr>
                <w:rFonts w:hint="eastAsia"/>
                <w:color w:val="auto"/>
                <w:highlight w:val="none"/>
              </w:rPr>
            </w:pPr>
          </w:p>
          <w:p w14:paraId="3A6CC79B">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25149807">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48DE2F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98" w:type="pct"/>
            <w:noWrap w:val="0"/>
            <w:vAlign w:val="top"/>
          </w:tcPr>
          <w:p w14:paraId="173E6B73">
            <w:pPr>
              <w:spacing w:line="360" w:lineRule="exact"/>
              <w:rPr>
                <w:rFonts w:hint="eastAsia"/>
                <w:color w:val="auto"/>
                <w:highlight w:val="none"/>
              </w:rPr>
            </w:pPr>
            <w:r>
              <w:rPr>
                <w:rFonts w:hint="eastAsia"/>
                <w:color w:val="auto"/>
                <w:highlight w:val="none"/>
              </w:rPr>
              <w:t>复核意见：</w:t>
            </w:r>
          </w:p>
          <w:p w14:paraId="69F38EC1">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11E50035">
            <w:pPr>
              <w:spacing w:line="360" w:lineRule="exact"/>
              <w:ind w:firstLine="435"/>
              <w:jc w:val="center"/>
              <w:rPr>
                <w:rFonts w:hint="eastAsia"/>
                <w:color w:val="auto"/>
                <w:highlight w:val="none"/>
              </w:rPr>
            </w:pPr>
            <w:r>
              <w:rPr>
                <w:color w:val="auto"/>
                <w:highlight w:val="none"/>
              </w:rPr>
              <w:t xml:space="preserve">    </w:t>
            </w:r>
          </w:p>
          <w:p w14:paraId="3A44AD91">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69774511">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4D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00C3E764">
            <w:pPr>
              <w:spacing w:line="400" w:lineRule="exact"/>
              <w:rPr>
                <w:rFonts w:hint="eastAsia"/>
                <w:color w:val="auto"/>
                <w:highlight w:val="none"/>
              </w:rPr>
            </w:pPr>
            <w:r>
              <w:rPr>
                <w:rFonts w:hint="eastAsia"/>
                <w:color w:val="auto"/>
                <w:highlight w:val="none"/>
              </w:rPr>
              <w:t>审核意见：</w:t>
            </w:r>
          </w:p>
          <w:p w14:paraId="1A31704C">
            <w:pPr>
              <w:spacing w:line="400" w:lineRule="exact"/>
              <w:ind w:firstLine="435"/>
              <w:rPr>
                <w:rFonts w:hint="eastAsia"/>
                <w:color w:val="auto"/>
                <w:highlight w:val="none"/>
              </w:rPr>
            </w:pPr>
            <w:r>
              <w:rPr>
                <w:rFonts w:hint="eastAsia"/>
                <w:color w:val="auto"/>
                <w:highlight w:val="none"/>
              </w:rPr>
              <w:t>□不同意。</w:t>
            </w:r>
          </w:p>
          <w:p w14:paraId="3C1856F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5EA8231E">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73EACC7A">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243A3CC">
            <w:pPr>
              <w:wordWrap w:val="0"/>
              <w:spacing w:line="400" w:lineRule="exact"/>
              <w:ind w:firstLine="1260" w:firstLineChars="600"/>
              <w:jc w:val="right"/>
              <w:rPr>
                <w:rFonts w:hint="eastAsia"/>
                <w:color w:val="auto"/>
                <w:highlight w:val="none"/>
              </w:rPr>
            </w:pPr>
            <w:r>
              <w:rPr>
                <w:rFonts w:hint="eastAsia"/>
                <w:color w:val="auto"/>
                <w:highlight w:val="none"/>
              </w:rPr>
              <w:t xml:space="preserve">日      期                       </w:t>
            </w:r>
          </w:p>
          <w:p w14:paraId="0EC71CAF">
            <w:pPr>
              <w:pStyle w:val="8"/>
              <w:wordWrap/>
              <w:ind w:firstLine="6510" w:firstLineChars="3100"/>
              <w:rPr>
                <w:rFonts w:hint="eastAsia"/>
                <w:color w:val="auto"/>
                <w:highlight w:val="none"/>
              </w:rPr>
            </w:pPr>
          </w:p>
        </w:tc>
      </w:tr>
    </w:tbl>
    <w:p w14:paraId="7B0A7038">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794C8AE9">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BFDEEF9">
      <w:pPr>
        <w:ind w:right="360"/>
        <w:rPr>
          <w:rFonts w:hint="eastAsia"/>
          <w:color w:val="auto"/>
          <w:sz w:val="18"/>
          <w:szCs w:val="18"/>
          <w:highlight w:val="none"/>
        </w:rPr>
      </w:pPr>
      <w:r>
        <w:rPr>
          <w:rFonts w:hint="eastAsia"/>
          <w:color w:val="auto"/>
          <w:sz w:val="18"/>
          <w:szCs w:val="18"/>
          <w:highlight w:val="none"/>
        </w:rPr>
        <w:t xml:space="preserve">                                                                                            </w:t>
      </w:r>
    </w:p>
    <w:p w14:paraId="7636BACD">
      <w:pPr>
        <w:jc w:val="center"/>
        <w:rPr>
          <w:rFonts w:hint="eastAsia" w:hAnsi="宋体" w:cs="宋体"/>
          <w:color w:val="auto"/>
          <w:highlight w:val="none"/>
        </w:rPr>
      </w:pPr>
    </w:p>
    <w:p w14:paraId="00D96295">
      <w:pPr>
        <w:jc w:val="left"/>
        <w:outlineLvl w:val="9"/>
        <w:rPr>
          <w:rFonts w:hint="eastAsia" w:hAnsi="宋体" w:cs="宋体"/>
          <w:color w:val="auto"/>
          <w:sz w:val="30"/>
          <w:szCs w:val="30"/>
          <w:highlight w:val="none"/>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7" w:name="_Toc99"/>
      <w:bookmarkStart w:id="978" w:name="_Toc26081"/>
      <w:bookmarkStart w:id="979" w:name="_Toc7463"/>
    </w:p>
    <w:p w14:paraId="3E21028A">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附件13：</w:t>
      </w:r>
      <w:bookmarkEnd w:id="977"/>
      <w:bookmarkEnd w:id="978"/>
      <w:bookmarkEnd w:id="979"/>
    </w:p>
    <w:p w14:paraId="13338FFD">
      <w:pPr>
        <w:jc w:val="center"/>
        <w:rPr>
          <w:rFonts w:hint="eastAsia"/>
          <w:b/>
          <w:color w:val="auto"/>
          <w:sz w:val="36"/>
          <w:szCs w:val="36"/>
          <w:highlight w:val="none"/>
        </w:rPr>
      </w:pPr>
      <w:r>
        <w:rPr>
          <w:rFonts w:hint="eastAsia"/>
          <w:b/>
          <w:color w:val="auto"/>
          <w:sz w:val="36"/>
          <w:szCs w:val="36"/>
          <w:highlight w:val="none"/>
        </w:rPr>
        <w:t>最终结算款支付申请（核准）表</w:t>
      </w:r>
    </w:p>
    <w:p w14:paraId="02BBAE5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2"/>
        <w:gridCol w:w="4881"/>
      </w:tblGrid>
      <w:tr w14:paraId="14D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5000" w:type="pct"/>
            <w:gridSpan w:val="2"/>
            <w:noWrap w:val="0"/>
            <w:vAlign w:val="top"/>
          </w:tcPr>
          <w:p w14:paraId="45AEA6D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1ED5767">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34EF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71FAE3F6">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0ED1E532">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15E85555">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0E68B166">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7D9B6D07">
                  <w:pPr>
                    <w:spacing w:line="280" w:lineRule="exact"/>
                    <w:jc w:val="center"/>
                    <w:rPr>
                      <w:rFonts w:hint="eastAsia"/>
                      <w:color w:val="auto"/>
                      <w:highlight w:val="none"/>
                    </w:rPr>
                  </w:pPr>
                  <w:r>
                    <w:rPr>
                      <w:rFonts w:hint="eastAsia"/>
                      <w:color w:val="auto"/>
                      <w:highlight w:val="none"/>
                    </w:rPr>
                    <w:t>备注</w:t>
                  </w:r>
                </w:p>
              </w:tc>
            </w:tr>
            <w:tr w14:paraId="55D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53019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62CB899E">
                  <w:pPr>
                    <w:spacing w:line="280" w:lineRule="exact"/>
                    <w:rPr>
                      <w:rFonts w:hint="eastAsia"/>
                      <w:color w:val="auto"/>
                      <w:highlight w:val="none"/>
                    </w:rPr>
                  </w:pPr>
                  <w:r>
                    <w:rPr>
                      <w:rFonts w:hint="eastAsia"/>
                      <w:color w:val="auto"/>
                      <w:highlight w:val="none"/>
                    </w:rPr>
                    <w:t>已预留的质量保证金</w:t>
                  </w:r>
                </w:p>
              </w:tc>
              <w:tc>
                <w:tcPr>
                  <w:tcW w:w="915" w:type="pct"/>
                  <w:noWrap w:val="0"/>
                  <w:vAlign w:val="top"/>
                </w:tcPr>
                <w:p w14:paraId="54F1B7CD">
                  <w:pPr>
                    <w:spacing w:line="280" w:lineRule="exact"/>
                    <w:rPr>
                      <w:rFonts w:hint="eastAsia"/>
                      <w:color w:val="auto"/>
                      <w:highlight w:val="none"/>
                    </w:rPr>
                  </w:pPr>
                </w:p>
              </w:tc>
              <w:tc>
                <w:tcPr>
                  <w:tcW w:w="915" w:type="pct"/>
                  <w:noWrap w:val="0"/>
                  <w:vAlign w:val="top"/>
                </w:tcPr>
                <w:p w14:paraId="57468743">
                  <w:pPr>
                    <w:spacing w:line="280" w:lineRule="exact"/>
                    <w:rPr>
                      <w:rFonts w:hint="eastAsia"/>
                      <w:color w:val="auto"/>
                      <w:highlight w:val="none"/>
                    </w:rPr>
                  </w:pPr>
                </w:p>
              </w:tc>
              <w:tc>
                <w:tcPr>
                  <w:tcW w:w="932" w:type="pct"/>
                  <w:noWrap w:val="0"/>
                  <w:vAlign w:val="top"/>
                </w:tcPr>
                <w:p w14:paraId="46FEDC8F">
                  <w:pPr>
                    <w:spacing w:line="280" w:lineRule="exact"/>
                    <w:rPr>
                      <w:rFonts w:hint="eastAsia"/>
                      <w:color w:val="auto"/>
                      <w:highlight w:val="none"/>
                    </w:rPr>
                  </w:pPr>
                </w:p>
              </w:tc>
            </w:tr>
            <w:tr w14:paraId="64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46B03F">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8C425B0">
                  <w:pPr>
                    <w:spacing w:line="280" w:lineRule="exact"/>
                    <w:rPr>
                      <w:rFonts w:hint="eastAsia"/>
                      <w:color w:val="auto"/>
                      <w:highlight w:val="none"/>
                    </w:rPr>
                  </w:pPr>
                  <w:r>
                    <w:rPr>
                      <w:rFonts w:hint="eastAsia"/>
                      <w:color w:val="auto"/>
                      <w:highlight w:val="none"/>
                    </w:rPr>
                    <w:t>应增加因发包人原因造成缺陷的修复金额</w:t>
                  </w:r>
                </w:p>
              </w:tc>
              <w:tc>
                <w:tcPr>
                  <w:tcW w:w="915" w:type="pct"/>
                  <w:noWrap w:val="0"/>
                  <w:vAlign w:val="top"/>
                </w:tcPr>
                <w:p w14:paraId="59CFE65F">
                  <w:pPr>
                    <w:spacing w:line="280" w:lineRule="exact"/>
                    <w:rPr>
                      <w:rFonts w:hint="eastAsia"/>
                      <w:color w:val="auto"/>
                      <w:highlight w:val="none"/>
                    </w:rPr>
                  </w:pPr>
                </w:p>
              </w:tc>
              <w:tc>
                <w:tcPr>
                  <w:tcW w:w="915" w:type="pct"/>
                  <w:noWrap w:val="0"/>
                  <w:vAlign w:val="top"/>
                </w:tcPr>
                <w:p w14:paraId="755F185D">
                  <w:pPr>
                    <w:spacing w:line="280" w:lineRule="exact"/>
                    <w:rPr>
                      <w:rFonts w:hint="eastAsia"/>
                      <w:color w:val="auto"/>
                      <w:highlight w:val="none"/>
                    </w:rPr>
                  </w:pPr>
                </w:p>
              </w:tc>
              <w:tc>
                <w:tcPr>
                  <w:tcW w:w="932" w:type="pct"/>
                  <w:noWrap w:val="0"/>
                  <w:vAlign w:val="top"/>
                </w:tcPr>
                <w:p w14:paraId="0BFA4CE5">
                  <w:pPr>
                    <w:spacing w:line="280" w:lineRule="exact"/>
                    <w:rPr>
                      <w:rFonts w:hint="eastAsia"/>
                      <w:color w:val="auto"/>
                      <w:highlight w:val="none"/>
                    </w:rPr>
                  </w:pPr>
                </w:p>
              </w:tc>
            </w:tr>
            <w:tr w14:paraId="3F4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679132">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3CFC7739">
                  <w:pPr>
                    <w:spacing w:line="280" w:lineRule="exact"/>
                    <w:rPr>
                      <w:rFonts w:hint="eastAsia"/>
                      <w:color w:val="auto"/>
                      <w:highlight w:val="none"/>
                    </w:rPr>
                  </w:pPr>
                  <w:r>
                    <w:rPr>
                      <w:rFonts w:hint="eastAsia"/>
                      <w:color w:val="auto"/>
                      <w:highlight w:val="none"/>
                    </w:rPr>
                    <w:t>应扣减承包人不修复缺陷、发包人组织修复的金额</w:t>
                  </w:r>
                </w:p>
              </w:tc>
              <w:tc>
                <w:tcPr>
                  <w:tcW w:w="915" w:type="pct"/>
                  <w:noWrap w:val="0"/>
                  <w:vAlign w:val="top"/>
                </w:tcPr>
                <w:p w14:paraId="4B187392">
                  <w:pPr>
                    <w:spacing w:line="280" w:lineRule="exact"/>
                    <w:rPr>
                      <w:rFonts w:hint="eastAsia"/>
                      <w:color w:val="auto"/>
                      <w:highlight w:val="none"/>
                    </w:rPr>
                  </w:pPr>
                </w:p>
              </w:tc>
              <w:tc>
                <w:tcPr>
                  <w:tcW w:w="915" w:type="pct"/>
                  <w:noWrap w:val="0"/>
                  <w:vAlign w:val="top"/>
                </w:tcPr>
                <w:p w14:paraId="3311ACF0">
                  <w:pPr>
                    <w:spacing w:line="280" w:lineRule="exact"/>
                    <w:rPr>
                      <w:rFonts w:hint="eastAsia"/>
                      <w:color w:val="auto"/>
                      <w:highlight w:val="none"/>
                    </w:rPr>
                  </w:pPr>
                </w:p>
              </w:tc>
              <w:tc>
                <w:tcPr>
                  <w:tcW w:w="932" w:type="pct"/>
                  <w:noWrap w:val="0"/>
                  <w:vAlign w:val="top"/>
                </w:tcPr>
                <w:p w14:paraId="4A7D3158">
                  <w:pPr>
                    <w:spacing w:line="280" w:lineRule="exact"/>
                    <w:rPr>
                      <w:rFonts w:hint="eastAsia"/>
                      <w:color w:val="auto"/>
                      <w:highlight w:val="none"/>
                    </w:rPr>
                  </w:pPr>
                </w:p>
              </w:tc>
            </w:tr>
            <w:tr w14:paraId="3A1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7D84D99">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C5BC255">
                  <w:pPr>
                    <w:spacing w:line="280" w:lineRule="exact"/>
                    <w:rPr>
                      <w:rFonts w:hint="eastAsia"/>
                      <w:color w:val="auto"/>
                      <w:highlight w:val="none"/>
                    </w:rPr>
                  </w:pPr>
                  <w:r>
                    <w:rPr>
                      <w:rFonts w:hint="eastAsia"/>
                      <w:color w:val="auto"/>
                      <w:highlight w:val="none"/>
                    </w:rPr>
                    <w:t>最终应支付的合同价款</w:t>
                  </w:r>
                </w:p>
              </w:tc>
              <w:tc>
                <w:tcPr>
                  <w:tcW w:w="915" w:type="pct"/>
                  <w:noWrap w:val="0"/>
                  <w:vAlign w:val="top"/>
                </w:tcPr>
                <w:p w14:paraId="4548715C">
                  <w:pPr>
                    <w:spacing w:line="280" w:lineRule="exact"/>
                    <w:rPr>
                      <w:rFonts w:hint="eastAsia"/>
                      <w:color w:val="auto"/>
                      <w:highlight w:val="none"/>
                    </w:rPr>
                  </w:pPr>
                </w:p>
              </w:tc>
              <w:tc>
                <w:tcPr>
                  <w:tcW w:w="915" w:type="pct"/>
                  <w:noWrap w:val="0"/>
                  <w:vAlign w:val="top"/>
                </w:tcPr>
                <w:p w14:paraId="77E1474A">
                  <w:pPr>
                    <w:spacing w:line="280" w:lineRule="exact"/>
                    <w:rPr>
                      <w:rFonts w:hint="eastAsia"/>
                      <w:color w:val="auto"/>
                      <w:highlight w:val="none"/>
                    </w:rPr>
                  </w:pPr>
                </w:p>
              </w:tc>
              <w:tc>
                <w:tcPr>
                  <w:tcW w:w="932" w:type="pct"/>
                  <w:noWrap w:val="0"/>
                  <w:vAlign w:val="top"/>
                </w:tcPr>
                <w:p w14:paraId="2D80A707">
                  <w:pPr>
                    <w:spacing w:line="280" w:lineRule="exact"/>
                    <w:rPr>
                      <w:rFonts w:hint="eastAsia"/>
                      <w:color w:val="auto"/>
                      <w:highlight w:val="none"/>
                    </w:rPr>
                  </w:pPr>
                </w:p>
              </w:tc>
            </w:tr>
            <w:tr w14:paraId="43C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9210D56">
                  <w:pPr>
                    <w:spacing w:line="280" w:lineRule="exact"/>
                    <w:jc w:val="center"/>
                    <w:rPr>
                      <w:rFonts w:hint="eastAsia"/>
                      <w:color w:val="auto"/>
                      <w:highlight w:val="none"/>
                    </w:rPr>
                  </w:pPr>
                </w:p>
              </w:tc>
              <w:tc>
                <w:tcPr>
                  <w:tcW w:w="1932" w:type="pct"/>
                  <w:noWrap w:val="0"/>
                  <w:vAlign w:val="top"/>
                </w:tcPr>
                <w:p w14:paraId="216533F0">
                  <w:pPr>
                    <w:spacing w:line="280" w:lineRule="exact"/>
                    <w:rPr>
                      <w:rFonts w:hint="eastAsia"/>
                      <w:color w:val="auto"/>
                      <w:highlight w:val="none"/>
                    </w:rPr>
                  </w:pPr>
                </w:p>
              </w:tc>
              <w:tc>
                <w:tcPr>
                  <w:tcW w:w="915" w:type="pct"/>
                  <w:noWrap w:val="0"/>
                  <w:vAlign w:val="top"/>
                </w:tcPr>
                <w:p w14:paraId="2BE8CA6A">
                  <w:pPr>
                    <w:spacing w:line="280" w:lineRule="exact"/>
                    <w:rPr>
                      <w:rFonts w:hint="eastAsia"/>
                      <w:color w:val="auto"/>
                      <w:highlight w:val="none"/>
                    </w:rPr>
                  </w:pPr>
                </w:p>
              </w:tc>
              <w:tc>
                <w:tcPr>
                  <w:tcW w:w="915" w:type="pct"/>
                  <w:noWrap w:val="0"/>
                  <w:vAlign w:val="top"/>
                </w:tcPr>
                <w:p w14:paraId="5D27D9D4">
                  <w:pPr>
                    <w:spacing w:line="280" w:lineRule="exact"/>
                    <w:rPr>
                      <w:rFonts w:hint="eastAsia"/>
                      <w:color w:val="auto"/>
                      <w:highlight w:val="none"/>
                    </w:rPr>
                  </w:pPr>
                </w:p>
              </w:tc>
              <w:tc>
                <w:tcPr>
                  <w:tcW w:w="932" w:type="pct"/>
                  <w:noWrap w:val="0"/>
                  <w:vAlign w:val="top"/>
                </w:tcPr>
                <w:p w14:paraId="14439E34">
                  <w:pPr>
                    <w:spacing w:line="280" w:lineRule="exact"/>
                    <w:rPr>
                      <w:rFonts w:hint="eastAsia"/>
                      <w:color w:val="auto"/>
                      <w:highlight w:val="none"/>
                    </w:rPr>
                  </w:pPr>
                </w:p>
              </w:tc>
            </w:tr>
            <w:tr w14:paraId="222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B490F5B">
                  <w:pPr>
                    <w:spacing w:line="280" w:lineRule="exact"/>
                    <w:jc w:val="center"/>
                    <w:rPr>
                      <w:rFonts w:hint="eastAsia"/>
                      <w:color w:val="auto"/>
                      <w:highlight w:val="none"/>
                    </w:rPr>
                  </w:pPr>
                </w:p>
              </w:tc>
              <w:tc>
                <w:tcPr>
                  <w:tcW w:w="1932" w:type="pct"/>
                  <w:noWrap w:val="0"/>
                  <w:vAlign w:val="top"/>
                </w:tcPr>
                <w:p w14:paraId="2294B317">
                  <w:pPr>
                    <w:spacing w:line="280" w:lineRule="exact"/>
                    <w:rPr>
                      <w:rFonts w:hint="eastAsia"/>
                      <w:color w:val="auto"/>
                      <w:highlight w:val="none"/>
                    </w:rPr>
                  </w:pPr>
                </w:p>
              </w:tc>
              <w:tc>
                <w:tcPr>
                  <w:tcW w:w="915" w:type="pct"/>
                  <w:noWrap w:val="0"/>
                  <w:vAlign w:val="top"/>
                </w:tcPr>
                <w:p w14:paraId="2EFAE3ED">
                  <w:pPr>
                    <w:spacing w:line="280" w:lineRule="exact"/>
                    <w:rPr>
                      <w:rFonts w:hint="eastAsia"/>
                      <w:color w:val="auto"/>
                      <w:highlight w:val="none"/>
                    </w:rPr>
                  </w:pPr>
                </w:p>
              </w:tc>
              <w:tc>
                <w:tcPr>
                  <w:tcW w:w="915" w:type="pct"/>
                  <w:noWrap w:val="0"/>
                  <w:vAlign w:val="top"/>
                </w:tcPr>
                <w:p w14:paraId="7A92B06C">
                  <w:pPr>
                    <w:spacing w:line="280" w:lineRule="exact"/>
                    <w:rPr>
                      <w:rFonts w:hint="eastAsia"/>
                      <w:color w:val="auto"/>
                      <w:highlight w:val="none"/>
                    </w:rPr>
                  </w:pPr>
                </w:p>
              </w:tc>
              <w:tc>
                <w:tcPr>
                  <w:tcW w:w="932" w:type="pct"/>
                  <w:noWrap w:val="0"/>
                  <w:vAlign w:val="top"/>
                </w:tcPr>
                <w:p w14:paraId="678F76DF">
                  <w:pPr>
                    <w:spacing w:line="280" w:lineRule="exact"/>
                    <w:rPr>
                      <w:rFonts w:hint="eastAsia"/>
                      <w:color w:val="auto"/>
                      <w:highlight w:val="none"/>
                    </w:rPr>
                  </w:pPr>
                </w:p>
              </w:tc>
            </w:tr>
            <w:tr w14:paraId="2EA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45BF2F7">
                  <w:pPr>
                    <w:spacing w:line="280" w:lineRule="exact"/>
                    <w:jc w:val="center"/>
                    <w:rPr>
                      <w:rFonts w:hint="eastAsia"/>
                      <w:color w:val="auto"/>
                      <w:highlight w:val="none"/>
                    </w:rPr>
                  </w:pPr>
                </w:p>
              </w:tc>
              <w:tc>
                <w:tcPr>
                  <w:tcW w:w="1932" w:type="pct"/>
                  <w:noWrap w:val="0"/>
                  <w:vAlign w:val="top"/>
                </w:tcPr>
                <w:p w14:paraId="33D7F4B0">
                  <w:pPr>
                    <w:spacing w:line="280" w:lineRule="exact"/>
                    <w:rPr>
                      <w:rFonts w:hint="eastAsia"/>
                      <w:color w:val="auto"/>
                      <w:highlight w:val="none"/>
                    </w:rPr>
                  </w:pPr>
                </w:p>
              </w:tc>
              <w:tc>
                <w:tcPr>
                  <w:tcW w:w="915" w:type="pct"/>
                  <w:noWrap w:val="0"/>
                  <w:vAlign w:val="top"/>
                </w:tcPr>
                <w:p w14:paraId="26F68401">
                  <w:pPr>
                    <w:spacing w:line="280" w:lineRule="exact"/>
                    <w:rPr>
                      <w:rFonts w:hint="eastAsia"/>
                      <w:color w:val="auto"/>
                      <w:highlight w:val="none"/>
                    </w:rPr>
                  </w:pPr>
                </w:p>
              </w:tc>
              <w:tc>
                <w:tcPr>
                  <w:tcW w:w="915" w:type="pct"/>
                  <w:noWrap w:val="0"/>
                  <w:vAlign w:val="top"/>
                </w:tcPr>
                <w:p w14:paraId="0F1713B4">
                  <w:pPr>
                    <w:spacing w:line="280" w:lineRule="exact"/>
                    <w:rPr>
                      <w:rFonts w:hint="eastAsia"/>
                      <w:color w:val="auto"/>
                      <w:highlight w:val="none"/>
                    </w:rPr>
                  </w:pPr>
                </w:p>
              </w:tc>
              <w:tc>
                <w:tcPr>
                  <w:tcW w:w="932" w:type="pct"/>
                  <w:noWrap w:val="0"/>
                  <w:vAlign w:val="top"/>
                </w:tcPr>
                <w:p w14:paraId="4700ADCC">
                  <w:pPr>
                    <w:spacing w:line="280" w:lineRule="exact"/>
                    <w:rPr>
                      <w:rFonts w:hint="eastAsia"/>
                      <w:color w:val="auto"/>
                      <w:highlight w:val="none"/>
                    </w:rPr>
                  </w:pPr>
                </w:p>
              </w:tc>
            </w:tr>
            <w:tr w14:paraId="4C1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09B409">
                  <w:pPr>
                    <w:spacing w:line="280" w:lineRule="exact"/>
                    <w:jc w:val="center"/>
                    <w:rPr>
                      <w:rFonts w:hint="eastAsia"/>
                      <w:color w:val="auto"/>
                      <w:highlight w:val="none"/>
                    </w:rPr>
                  </w:pPr>
                </w:p>
              </w:tc>
              <w:tc>
                <w:tcPr>
                  <w:tcW w:w="1932" w:type="pct"/>
                  <w:noWrap w:val="0"/>
                  <w:vAlign w:val="top"/>
                </w:tcPr>
                <w:p w14:paraId="01490E98">
                  <w:pPr>
                    <w:spacing w:line="280" w:lineRule="exact"/>
                    <w:rPr>
                      <w:rFonts w:hint="eastAsia"/>
                      <w:color w:val="auto"/>
                      <w:highlight w:val="none"/>
                    </w:rPr>
                  </w:pPr>
                </w:p>
              </w:tc>
              <w:tc>
                <w:tcPr>
                  <w:tcW w:w="915" w:type="pct"/>
                  <w:noWrap w:val="0"/>
                  <w:vAlign w:val="top"/>
                </w:tcPr>
                <w:p w14:paraId="3EC660A1">
                  <w:pPr>
                    <w:spacing w:line="280" w:lineRule="exact"/>
                    <w:rPr>
                      <w:rFonts w:hint="eastAsia"/>
                      <w:color w:val="auto"/>
                      <w:highlight w:val="none"/>
                    </w:rPr>
                  </w:pPr>
                </w:p>
              </w:tc>
              <w:tc>
                <w:tcPr>
                  <w:tcW w:w="915" w:type="pct"/>
                  <w:noWrap w:val="0"/>
                  <w:vAlign w:val="top"/>
                </w:tcPr>
                <w:p w14:paraId="51F8B5F7">
                  <w:pPr>
                    <w:spacing w:line="280" w:lineRule="exact"/>
                    <w:rPr>
                      <w:rFonts w:hint="eastAsia"/>
                      <w:color w:val="auto"/>
                      <w:highlight w:val="none"/>
                    </w:rPr>
                  </w:pPr>
                </w:p>
              </w:tc>
              <w:tc>
                <w:tcPr>
                  <w:tcW w:w="932" w:type="pct"/>
                  <w:noWrap w:val="0"/>
                  <w:vAlign w:val="top"/>
                </w:tcPr>
                <w:p w14:paraId="40D20BD4">
                  <w:pPr>
                    <w:spacing w:line="280" w:lineRule="exact"/>
                    <w:rPr>
                      <w:rFonts w:hint="eastAsia"/>
                      <w:color w:val="auto"/>
                      <w:highlight w:val="none"/>
                    </w:rPr>
                  </w:pPr>
                </w:p>
              </w:tc>
            </w:tr>
          </w:tbl>
          <w:p w14:paraId="1F6AC500">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AA09355">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373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23" w:type="pct"/>
            <w:noWrap w:val="0"/>
            <w:vAlign w:val="top"/>
          </w:tcPr>
          <w:p w14:paraId="2B1F007C">
            <w:pPr>
              <w:spacing w:line="360" w:lineRule="exact"/>
              <w:rPr>
                <w:rFonts w:hint="eastAsia"/>
                <w:color w:val="auto"/>
                <w:highlight w:val="none"/>
              </w:rPr>
            </w:pPr>
            <w:r>
              <w:rPr>
                <w:rFonts w:hint="eastAsia"/>
                <w:color w:val="auto"/>
                <w:highlight w:val="none"/>
              </w:rPr>
              <w:t>复核意见：</w:t>
            </w:r>
          </w:p>
          <w:p w14:paraId="144CCDAC">
            <w:pPr>
              <w:spacing w:line="360" w:lineRule="exact"/>
              <w:ind w:firstLine="312"/>
              <w:rPr>
                <w:rFonts w:hint="eastAsia"/>
                <w:color w:val="auto"/>
                <w:highlight w:val="none"/>
              </w:rPr>
            </w:pPr>
            <w:r>
              <w:rPr>
                <w:rFonts w:hint="eastAsia"/>
                <w:color w:val="auto"/>
                <w:highlight w:val="none"/>
              </w:rPr>
              <w:t>□与实际施工情况不相符，修改意见见附件。</w:t>
            </w:r>
          </w:p>
          <w:p w14:paraId="3A288C81">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769CF0">
            <w:pPr>
              <w:spacing w:line="360" w:lineRule="exact"/>
              <w:ind w:firstLine="435"/>
              <w:jc w:val="right"/>
              <w:rPr>
                <w:rFonts w:hint="eastAsia"/>
                <w:color w:val="auto"/>
                <w:highlight w:val="none"/>
              </w:rPr>
            </w:pPr>
          </w:p>
          <w:p w14:paraId="407A8C44">
            <w:pPr>
              <w:spacing w:line="360" w:lineRule="exact"/>
              <w:ind w:firstLine="435"/>
              <w:jc w:val="right"/>
              <w:rPr>
                <w:rFonts w:hint="eastAsia"/>
                <w:color w:val="auto"/>
                <w:highlight w:val="none"/>
              </w:rPr>
            </w:pPr>
          </w:p>
          <w:p w14:paraId="0307C700">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614716E3">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F37459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76" w:type="pct"/>
            <w:noWrap w:val="0"/>
            <w:vAlign w:val="top"/>
          </w:tcPr>
          <w:p w14:paraId="3CA0B92E">
            <w:pPr>
              <w:spacing w:line="360" w:lineRule="exact"/>
              <w:rPr>
                <w:rFonts w:hint="eastAsia"/>
                <w:color w:val="auto"/>
                <w:highlight w:val="none"/>
              </w:rPr>
            </w:pPr>
            <w:r>
              <w:rPr>
                <w:rFonts w:hint="eastAsia"/>
                <w:color w:val="auto"/>
                <w:highlight w:val="none"/>
              </w:rPr>
              <w:t>复核意见：</w:t>
            </w:r>
          </w:p>
          <w:p w14:paraId="72CB2DA9">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2AB53902">
            <w:pPr>
              <w:spacing w:line="360" w:lineRule="exact"/>
              <w:ind w:firstLine="435"/>
              <w:jc w:val="center"/>
              <w:rPr>
                <w:rFonts w:hint="eastAsia"/>
                <w:color w:val="auto"/>
                <w:highlight w:val="none"/>
              </w:rPr>
            </w:pPr>
            <w:r>
              <w:rPr>
                <w:color w:val="auto"/>
                <w:highlight w:val="none"/>
              </w:rPr>
              <w:t xml:space="preserve">    </w:t>
            </w:r>
          </w:p>
          <w:p w14:paraId="39AB70FA">
            <w:pPr>
              <w:spacing w:line="360" w:lineRule="exact"/>
              <w:ind w:firstLine="435"/>
              <w:jc w:val="center"/>
              <w:rPr>
                <w:rFonts w:hint="eastAsia"/>
                <w:color w:val="auto"/>
                <w:highlight w:val="none"/>
              </w:rPr>
            </w:pPr>
          </w:p>
          <w:p w14:paraId="75981C00">
            <w:pPr>
              <w:spacing w:line="360" w:lineRule="exact"/>
              <w:ind w:firstLine="435"/>
              <w:jc w:val="center"/>
              <w:rPr>
                <w:rFonts w:hint="eastAsia"/>
                <w:color w:val="auto"/>
                <w:highlight w:val="none"/>
              </w:rPr>
            </w:pPr>
          </w:p>
          <w:p w14:paraId="6D12624E">
            <w:pPr>
              <w:spacing w:line="360" w:lineRule="exact"/>
              <w:ind w:firstLine="435"/>
              <w:jc w:val="center"/>
              <w:rPr>
                <w:rFonts w:hint="eastAsia"/>
                <w:color w:val="auto"/>
                <w:highlight w:val="none"/>
              </w:rPr>
            </w:pPr>
          </w:p>
          <w:p w14:paraId="0F6FFF55">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0F5062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6C30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0" w:type="pct"/>
            <w:gridSpan w:val="2"/>
            <w:noWrap w:val="0"/>
            <w:vAlign w:val="top"/>
          </w:tcPr>
          <w:p w14:paraId="544E9A1A">
            <w:pPr>
              <w:spacing w:line="400" w:lineRule="exact"/>
              <w:rPr>
                <w:rFonts w:hint="eastAsia"/>
                <w:color w:val="auto"/>
                <w:highlight w:val="none"/>
              </w:rPr>
            </w:pPr>
            <w:r>
              <w:rPr>
                <w:rFonts w:hint="eastAsia"/>
                <w:color w:val="auto"/>
                <w:highlight w:val="none"/>
              </w:rPr>
              <w:t>审核意见：</w:t>
            </w:r>
          </w:p>
          <w:p w14:paraId="21B5098E">
            <w:pPr>
              <w:spacing w:line="400" w:lineRule="exact"/>
              <w:ind w:firstLine="435"/>
              <w:rPr>
                <w:rFonts w:hint="eastAsia"/>
                <w:color w:val="auto"/>
                <w:highlight w:val="none"/>
              </w:rPr>
            </w:pPr>
            <w:r>
              <w:rPr>
                <w:rFonts w:hint="eastAsia"/>
                <w:color w:val="auto"/>
                <w:highlight w:val="none"/>
              </w:rPr>
              <w:t>□不同意。</w:t>
            </w:r>
          </w:p>
          <w:p w14:paraId="24D8AEF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45B5944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51E8A57">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908CE8D">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55C739AA">
            <w:pPr>
              <w:pStyle w:val="8"/>
              <w:wordWrap/>
              <w:rPr>
                <w:rFonts w:hint="eastAsia"/>
                <w:color w:val="auto"/>
                <w:highlight w:val="none"/>
                <w:u w:val="single"/>
              </w:rPr>
            </w:pPr>
          </w:p>
          <w:p w14:paraId="4E89DDFC">
            <w:pPr>
              <w:pStyle w:val="8"/>
              <w:wordWrap/>
              <w:rPr>
                <w:rFonts w:hint="eastAsia"/>
                <w:color w:val="auto"/>
                <w:highlight w:val="none"/>
                <w:u w:val="single"/>
              </w:rPr>
            </w:pPr>
          </w:p>
        </w:tc>
      </w:tr>
    </w:tbl>
    <w:p w14:paraId="1D78A779">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2F96C505">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947E5ED">
      <w:pPr>
        <w:spacing w:line="360" w:lineRule="auto"/>
        <w:ind w:firstLine="420" w:firstLineChars="200"/>
        <w:jc w:val="left"/>
        <w:rPr>
          <w:color w:val="auto"/>
          <w:highlight w:val="none"/>
          <w:u w:val="single"/>
        </w:rPr>
      </w:pPr>
    </w:p>
    <w:p w14:paraId="26BE4958">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0" w:name="_Toc20907"/>
      <w:bookmarkStart w:id="981" w:name="_Toc23306"/>
      <w:bookmarkStart w:id="982" w:name="_Toc11142"/>
    </w:p>
    <w:p w14:paraId="541CD837">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附件14：</w:t>
      </w:r>
      <w:bookmarkEnd w:id="980"/>
      <w:bookmarkEnd w:id="981"/>
      <w:bookmarkEnd w:id="982"/>
    </w:p>
    <w:p w14:paraId="33EF2CE3">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2F593B7B">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514"/>
        <w:gridCol w:w="752"/>
        <w:gridCol w:w="2549"/>
        <w:gridCol w:w="1440"/>
      </w:tblGrid>
      <w:tr w14:paraId="45F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43542C">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2166" w:type="pct"/>
            <w:gridSpan w:val="2"/>
            <w:noWrap w:val="0"/>
            <w:vAlign w:val="top"/>
          </w:tcPr>
          <w:p w14:paraId="0A4B928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1294" w:type="pct"/>
            <w:noWrap w:val="0"/>
            <w:vAlign w:val="top"/>
          </w:tcPr>
          <w:p w14:paraId="3C9AE7B7">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731" w:type="pct"/>
            <w:noWrap w:val="0"/>
            <w:vAlign w:val="top"/>
          </w:tcPr>
          <w:p w14:paraId="4630BF1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1C5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E35DA9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2166" w:type="pct"/>
            <w:gridSpan w:val="2"/>
            <w:noWrap w:val="0"/>
            <w:vAlign w:val="top"/>
          </w:tcPr>
          <w:p w14:paraId="3182373F">
            <w:pPr>
              <w:spacing w:line="360" w:lineRule="auto"/>
              <w:jc w:val="center"/>
              <w:rPr>
                <w:rFonts w:hint="eastAsia" w:ascii="宋体" w:hAnsi="宋体" w:cs="宋体"/>
                <w:color w:val="auto"/>
                <w:kern w:val="0"/>
                <w:highlight w:val="none"/>
              </w:rPr>
            </w:pPr>
          </w:p>
        </w:tc>
        <w:tc>
          <w:tcPr>
            <w:tcW w:w="1294" w:type="pct"/>
            <w:noWrap w:val="0"/>
            <w:vAlign w:val="top"/>
          </w:tcPr>
          <w:p w14:paraId="657C25B5">
            <w:pPr>
              <w:spacing w:line="360" w:lineRule="auto"/>
              <w:jc w:val="center"/>
              <w:rPr>
                <w:rFonts w:hint="eastAsia" w:ascii="宋体" w:hAnsi="宋体" w:cs="宋体"/>
                <w:color w:val="auto"/>
                <w:kern w:val="0"/>
                <w:highlight w:val="none"/>
              </w:rPr>
            </w:pPr>
          </w:p>
        </w:tc>
        <w:tc>
          <w:tcPr>
            <w:tcW w:w="731" w:type="pct"/>
            <w:noWrap w:val="0"/>
            <w:vAlign w:val="top"/>
          </w:tcPr>
          <w:p w14:paraId="146E261B">
            <w:pPr>
              <w:spacing w:line="360" w:lineRule="auto"/>
              <w:jc w:val="center"/>
              <w:rPr>
                <w:rFonts w:hint="eastAsia" w:ascii="宋体" w:hAnsi="宋体" w:cs="宋体"/>
                <w:color w:val="auto"/>
                <w:kern w:val="0"/>
                <w:highlight w:val="none"/>
              </w:rPr>
            </w:pPr>
          </w:p>
        </w:tc>
      </w:tr>
      <w:tr w14:paraId="7A0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F017F82">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2166" w:type="pct"/>
            <w:gridSpan w:val="2"/>
            <w:noWrap w:val="0"/>
            <w:vAlign w:val="top"/>
          </w:tcPr>
          <w:p w14:paraId="65F46105">
            <w:pPr>
              <w:spacing w:line="360" w:lineRule="auto"/>
              <w:jc w:val="center"/>
              <w:rPr>
                <w:rFonts w:hint="eastAsia" w:ascii="宋体" w:hAnsi="宋体" w:cs="宋体"/>
                <w:color w:val="auto"/>
                <w:kern w:val="0"/>
                <w:highlight w:val="none"/>
              </w:rPr>
            </w:pPr>
          </w:p>
        </w:tc>
        <w:tc>
          <w:tcPr>
            <w:tcW w:w="1294" w:type="pct"/>
            <w:noWrap w:val="0"/>
            <w:vAlign w:val="top"/>
          </w:tcPr>
          <w:p w14:paraId="18D58C0C">
            <w:pPr>
              <w:spacing w:line="360" w:lineRule="auto"/>
              <w:jc w:val="center"/>
              <w:rPr>
                <w:rFonts w:hint="eastAsia" w:ascii="宋体" w:hAnsi="宋体" w:cs="宋体"/>
                <w:color w:val="auto"/>
                <w:kern w:val="0"/>
                <w:highlight w:val="none"/>
              </w:rPr>
            </w:pPr>
          </w:p>
        </w:tc>
        <w:tc>
          <w:tcPr>
            <w:tcW w:w="731" w:type="pct"/>
            <w:noWrap w:val="0"/>
            <w:vAlign w:val="top"/>
          </w:tcPr>
          <w:p w14:paraId="6F19524C">
            <w:pPr>
              <w:spacing w:line="360" w:lineRule="auto"/>
              <w:jc w:val="center"/>
              <w:rPr>
                <w:rFonts w:hint="eastAsia" w:ascii="宋体" w:hAnsi="宋体" w:cs="宋体"/>
                <w:color w:val="auto"/>
                <w:kern w:val="0"/>
                <w:highlight w:val="none"/>
              </w:rPr>
            </w:pPr>
          </w:p>
        </w:tc>
      </w:tr>
      <w:tr w14:paraId="3949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BE221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2166" w:type="pct"/>
            <w:gridSpan w:val="2"/>
            <w:noWrap w:val="0"/>
            <w:vAlign w:val="top"/>
          </w:tcPr>
          <w:p w14:paraId="045D142C">
            <w:pPr>
              <w:spacing w:line="360" w:lineRule="auto"/>
              <w:jc w:val="center"/>
              <w:rPr>
                <w:rFonts w:hint="eastAsia" w:ascii="宋体" w:hAnsi="宋体" w:cs="宋体"/>
                <w:color w:val="auto"/>
                <w:kern w:val="0"/>
                <w:highlight w:val="none"/>
              </w:rPr>
            </w:pPr>
          </w:p>
        </w:tc>
        <w:tc>
          <w:tcPr>
            <w:tcW w:w="1294" w:type="pct"/>
            <w:noWrap w:val="0"/>
            <w:vAlign w:val="top"/>
          </w:tcPr>
          <w:p w14:paraId="5B4C8792">
            <w:pPr>
              <w:spacing w:line="360" w:lineRule="auto"/>
              <w:jc w:val="center"/>
              <w:rPr>
                <w:rFonts w:hint="eastAsia" w:ascii="宋体" w:hAnsi="宋体" w:cs="宋体"/>
                <w:color w:val="auto"/>
                <w:kern w:val="0"/>
                <w:highlight w:val="none"/>
              </w:rPr>
            </w:pPr>
          </w:p>
        </w:tc>
        <w:tc>
          <w:tcPr>
            <w:tcW w:w="731" w:type="pct"/>
            <w:noWrap w:val="0"/>
            <w:vAlign w:val="top"/>
          </w:tcPr>
          <w:p w14:paraId="474F2B5D">
            <w:pPr>
              <w:spacing w:line="360" w:lineRule="auto"/>
              <w:jc w:val="center"/>
              <w:rPr>
                <w:rFonts w:hint="eastAsia" w:ascii="宋体" w:hAnsi="宋体" w:cs="宋体"/>
                <w:color w:val="auto"/>
                <w:kern w:val="0"/>
                <w:highlight w:val="none"/>
              </w:rPr>
            </w:pPr>
          </w:p>
        </w:tc>
      </w:tr>
      <w:tr w14:paraId="60E9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2B747AF5">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2166" w:type="pct"/>
            <w:gridSpan w:val="2"/>
            <w:noWrap w:val="0"/>
            <w:vAlign w:val="top"/>
          </w:tcPr>
          <w:p w14:paraId="5CFD3796">
            <w:pPr>
              <w:spacing w:line="360" w:lineRule="auto"/>
              <w:jc w:val="center"/>
              <w:rPr>
                <w:rFonts w:hint="eastAsia" w:ascii="宋体" w:hAnsi="宋体" w:cs="宋体"/>
                <w:color w:val="auto"/>
                <w:kern w:val="0"/>
                <w:highlight w:val="none"/>
              </w:rPr>
            </w:pPr>
          </w:p>
        </w:tc>
        <w:tc>
          <w:tcPr>
            <w:tcW w:w="1294" w:type="pct"/>
            <w:noWrap w:val="0"/>
            <w:vAlign w:val="top"/>
          </w:tcPr>
          <w:p w14:paraId="5A8B51CC">
            <w:pPr>
              <w:spacing w:line="360" w:lineRule="auto"/>
              <w:jc w:val="center"/>
              <w:rPr>
                <w:rFonts w:hint="eastAsia" w:ascii="宋体" w:hAnsi="宋体" w:cs="宋体"/>
                <w:color w:val="auto"/>
                <w:kern w:val="0"/>
                <w:highlight w:val="none"/>
              </w:rPr>
            </w:pPr>
          </w:p>
        </w:tc>
        <w:tc>
          <w:tcPr>
            <w:tcW w:w="731" w:type="pct"/>
            <w:noWrap w:val="0"/>
            <w:vAlign w:val="top"/>
          </w:tcPr>
          <w:p w14:paraId="7DA6866A">
            <w:pPr>
              <w:spacing w:line="360" w:lineRule="auto"/>
              <w:jc w:val="center"/>
              <w:rPr>
                <w:rFonts w:hint="eastAsia" w:ascii="宋体" w:hAnsi="宋体" w:cs="宋体"/>
                <w:color w:val="auto"/>
                <w:kern w:val="0"/>
                <w:highlight w:val="none"/>
              </w:rPr>
            </w:pPr>
          </w:p>
        </w:tc>
      </w:tr>
      <w:tr w14:paraId="4FD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592" w:type="pct"/>
            <w:gridSpan w:val="2"/>
            <w:noWrap w:val="0"/>
            <w:vAlign w:val="top"/>
          </w:tcPr>
          <w:p w14:paraId="4187E115">
            <w:pPr>
              <w:spacing w:line="360" w:lineRule="exact"/>
              <w:ind w:firstLine="435"/>
              <w:jc w:val="right"/>
              <w:rPr>
                <w:rFonts w:hint="eastAsia"/>
                <w:color w:val="auto"/>
                <w:highlight w:val="none"/>
              </w:rPr>
            </w:pPr>
          </w:p>
          <w:p w14:paraId="7B8DF3A9">
            <w:pPr>
              <w:spacing w:line="360" w:lineRule="exact"/>
              <w:ind w:firstLine="435"/>
              <w:jc w:val="center"/>
              <w:rPr>
                <w:rFonts w:hint="eastAsia"/>
                <w:color w:val="auto"/>
                <w:highlight w:val="none"/>
              </w:rPr>
            </w:pPr>
          </w:p>
          <w:p w14:paraId="7B182E67">
            <w:pPr>
              <w:spacing w:line="360" w:lineRule="exact"/>
              <w:ind w:firstLine="435"/>
              <w:jc w:val="center"/>
              <w:rPr>
                <w:rFonts w:hint="eastAsia"/>
                <w:color w:val="auto"/>
                <w:highlight w:val="none"/>
              </w:rPr>
            </w:pPr>
            <w:r>
              <w:rPr>
                <w:rFonts w:hint="eastAsia"/>
                <w:color w:val="auto"/>
                <w:highlight w:val="none"/>
              </w:rPr>
              <w:t>发包人代表签字：</w:t>
            </w:r>
          </w:p>
          <w:p w14:paraId="65473E54">
            <w:pPr>
              <w:spacing w:line="360" w:lineRule="exact"/>
              <w:ind w:firstLine="435"/>
              <w:jc w:val="center"/>
              <w:rPr>
                <w:rFonts w:hint="eastAsia"/>
                <w:color w:val="auto"/>
                <w:highlight w:val="none"/>
              </w:rPr>
            </w:pPr>
          </w:p>
          <w:p w14:paraId="7DFA38E2">
            <w:pPr>
              <w:spacing w:line="360" w:lineRule="exact"/>
              <w:ind w:firstLine="435"/>
              <w:jc w:val="center"/>
              <w:rPr>
                <w:rFonts w:hint="eastAsia"/>
                <w:color w:val="auto"/>
                <w:highlight w:val="none"/>
              </w:rPr>
            </w:pPr>
            <w:r>
              <w:rPr>
                <w:rFonts w:hint="eastAsia"/>
                <w:color w:val="auto"/>
                <w:highlight w:val="none"/>
              </w:rPr>
              <w:t>发包人（盖公章）</w:t>
            </w:r>
          </w:p>
          <w:p w14:paraId="77CC99F0">
            <w:pPr>
              <w:spacing w:line="360" w:lineRule="exact"/>
              <w:ind w:firstLine="435"/>
              <w:jc w:val="center"/>
              <w:rPr>
                <w:rFonts w:hint="eastAsia"/>
                <w:color w:val="auto"/>
                <w:highlight w:val="none"/>
              </w:rPr>
            </w:pPr>
          </w:p>
          <w:p w14:paraId="51B14E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2407" w:type="pct"/>
            <w:gridSpan w:val="3"/>
            <w:noWrap w:val="0"/>
            <w:vAlign w:val="top"/>
          </w:tcPr>
          <w:p w14:paraId="09A5125A">
            <w:pPr>
              <w:spacing w:line="360" w:lineRule="exact"/>
              <w:ind w:firstLine="435"/>
              <w:jc w:val="center"/>
              <w:rPr>
                <w:rFonts w:hint="eastAsia"/>
                <w:color w:val="auto"/>
                <w:highlight w:val="none"/>
              </w:rPr>
            </w:pPr>
          </w:p>
          <w:p w14:paraId="37DC9E8F">
            <w:pPr>
              <w:spacing w:line="360" w:lineRule="exact"/>
              <w:ind w:firstLine="435"/>
              <w:jc w:val="center"/>
              <w:rPr>
                <w:rFonts w:hint="eastAsia"/>
                <w:color w:val="auto"/>
                <w:highlight w:val="none"/>
                <w:u w:val="single"/>
              </w:rPr>
            </w:pPr>
          </w:p>
          <w:p w14:paraId="7EC54739">
            <w:pPr>
              <w:spacing w:line="360" w:lineRule="exact"/>
              <w:ind w:firstLine="435"/>
              <w:jc w:val="center"/>
              <w:rPr>
                <w:rFonts w:hint="eastAsia"/>
                <w:color w:val="auto"/>
                <w:highlight w:val="none"/>
              </w:rPr>
            </w:pPr>
            <w:r>
              <w:rPr>
                <w:rFonts w:hint="eastAsia"/>
                <w:color w:val="auto"/>
                <w:highlight w:val="none"/>
                <w:lang w:val="en-US" w:eastAsia="zh-CN"/>
              </w:rPr>
              <w:t>承包</w:t>
            </w:r>
            <w:r>
              <w:rPr>
                <w:rFonts w:hint="eastAsia"/>
                <w:color w:val="auto"/>
                <w:highlight w:val="none"/>
              </w:rPr>
              <w:t>人代表签字：</w:t>
            </w:r>
          </w:p>
          <w:p w14:paraId="4CFFE7F2">
            <w:pPr>
              <w:spacing w:line="360" w:lineRule="exact"/>
              <w:ind w:firstLine="435"/>
              <w:jc w:val="center"/>
              <w:rPr>
                <w:rFonts w:hint="eastAsia"/>
                <w:color w:val="auto"/>
                <w:highlight w:val="none"/>
              </w:rPr>
            </w:pPr>
          </w:p>
          <w:p w14:paraId="2D0EB481">
            <w:pPr>
              <w:spacing w:line="360" w:lineRule="exact"/>
              <w:ind w:firstLine="435"/>
              <w:jc w:val="center"/>
              <w:rPr>
                <w:rFonts w:hint="eastAsia"/>
                <w:color w:val="auto"/>
                <w:highlight w:val="none"/>
              </w:rPr>
            </w:pPr>
            <w:r>
              <w:rPr>
                <w:rFonts w:hint="eastAsia"/>
                <w:color w:val="auto"/>
                <w:highlight w:val="none"/>
              </w:rPr>
              <w:t>承包人（盖公章）</w:t>
            </w:r>
          </w:p>
          <w:p w14:paraId="484E6A8A">
            <w:pPr>
              <w:spacing w:line="360" w:lineRule="exact"/>
              <w:ind w:firstLine="435"/>
              <w:jc w:val="center"/>
              <w:rPr>
                <w:rFonts w:hint="eastAsia"/>
                <w:color w:val="auto"/>
                <w:highlight w:val="none"/>
              </w:rPr>
            </w:pPr>
          </w:p>
          <w:p w14:paraId="0AA3073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1D352667">
      <w:pPr>
        <w:spacing w:line="360" w:lineRule="auto"/>
        <w:rPr>
          <w:rFonts w:ascii="宋体"/>
          <w:color w:val="auto"/>
          <w:highlight w:val="none"/>
        </w:rPr>
      </w:pPr>
    </w:p>
    <w:p w14:paraId="52727DD9">
      <w:pPr>
        <w:spacing w:line="360" w:lineRule="auto"/>
        <w:rPr>
          <w:rFonts w:ascii="宋体"/>
          <w:color w:val="auto"/>
          <w:highlight w:val="none"/>
        </w:rPr>
      </w:pPr>
    </w:p>
    <w:p w14:paraId="00EEDB79">
      <w:pPr>
        <w:spacing w:line="360" w:lineRule="auto"/>
        <w:rPr>
          <w:rFonts w:ascii="宋体"/>
          <w:color w:val="auto"/>
          <w:highlight w:val="none"/>
        </w:rPr>
      </w:pPr>
    </w:p>
    <w:p w14:paraId="4305DDEE">
      <w:pPr>
        <w:rPr>
          <w:rFonts w:hint="eastAsia" w:ascii="宋体" w:hAnsi="宋体" w:cs="宋体"/>
          <w:color w:val="auto"/>
          <w:sz w:val="24"/>
          <w:szCs w:val="24"/>
          <w:highlight w:val="none"/>
        </w:rPr>
      </w:pPr>
    </w:p>
    <w:p w14:paraId="45D3AFAF">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3" w:name="_Toc14795"/>
      <w:bookmarkStart w:id="984" w:name="_Toc4314"/>
      <w:bookmarkStart w:id="985" w:name="_Toc28114"/>
    </w:p>
    <w:p w14:paraId="0334AA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w:t>
      </w:r>
      <w:r>
        <w:rPr>
          <w:rFonts w:hint="eastAsia" w:ascii="宋体" w:hAnsi="宋体" w:eastAsia="宋体" w:cs="宋体"/>
          <w:b/>
          <w:bCs/>
          <w:color w:val="auto"/>
          <w:sz w:val="22"/>
          <w:szCs w:val="24"/>
          <w:lang w:val="en-US" w:eastAsia="zh-CN"/>
        </w:rPr>
        <w:t>15</w:t>
      </w:r>
      <w:r>
        <w:rPr>
          <w:rFonts w:hint="eastAsia" w:ascii="宋体" w:hAnsi="宋体" w:eastAsia="宋体" w:cs="宋体"/>
          <w:b/>
          <w:bCs/>
          <w:color w:val="auto"/>
          <w:sz w:val="22"/>
          <w:szCs w:val="24"/>
        </w:rPr>
        <w:t>：</w:t>
      </w:r>
      <w:bookmarkEnd w:id="983"/>
      <w:bookmarkEnd w:id="984"/>
      <w:bookmarkEnd w:id="985"/>
    </w:p>
    <w:p w14:paraId="17037F0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宋体" w:hAnsi="宋体" w:cs="宋体"/>
          <w:b/>
          <w:bCs/>
          <w:color w:val="auto"/>
          <w:sz w:val="32"/>
          <w:szCs w:val="32"/>
          <w:highlight w:val="none"/>
        </w:rPr>
      </w:pPr>
      <w:bookmarkStart w:id="986" w:name="_Toc26409"/>
      <w:bookmarkStart w:id="987" w:name="_Toc28964"/>
      <w:bookmarkStart w:id="988" w:name="_Toc13315"/>
      <w:r>
        <w:rPr>
          <w:rFonts w:hint="eastAsia" w:ascii="宋体" w:hAnsi="宋体" w:cs="宋体"/>
          <w:b/>
          <w:bCs/>
          <w:color w:val="auto"/>
          <w:sz w:val="32"/>
          <w:szCs w:val="32"/>
          <w:highlight w:val="none"/>
        </w:rPr>
        <w:t>廉政责任书</w:t>
      </w:r>
      <w:bookmarkEnd w:id="986"/>
      <w:bookmarkEnd w:id="987"/>
      <w:bookmarkEnd w:id="988"/>
    </w:p>
    <w:p w14:paraId="7A7F3D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758E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9DEB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为加强建设工程廉政建设，规范建设工程各项活动中</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7C1F4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bookmarkStart w:id="989" w:name="_Toc15583"/>
      <w:bookmarkStart w:id="990" w:name="_Toc8883"/>
      <w:bookmarkStart w:id="991" w:name="_Toc25047"/>
      <w:r>
        <w:rPr>
          <w:rFonts w:hint="eastAsia" w:ascii="宋体" w:hAnsi="宋体" w:cs="宋体"/>
          <w:color w:val="auto"/>
          <w:sz w:val="24"/>
          <w:szCs w:val="24"/>
          <w:highlight w:val="none"/>
        </w:rPr>
        <w:t>一、双方的责任</w:t>
      </w:r>
      <w:bookmarkEnd w:id="989"/>
      <w:bookmarkEnd w:id="990"/>
      <w:bookmarkEnd w:id="991"/>
    </w:p>
    <w:p w14:paraId="0D1FE8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1.1应严格遵守国家关于建设工程的有关法律、法规，相关政策，以及廉政建设的各项规定。</w:t>
      </w:r>
    </w:p>
    <w:p w14:paraId="0C23C6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1.2严格执行建设工程合同文件，自觉按合同办事。</w:t>
      </w:r>
    </w:p>
    <w:p w14:paraId="765322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01C5BE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1.4发现对方在业务活动中有违规、违纪、违法行为的，应及时提醒对方，情节严重的，应向其上级主管部门或纪检监察、司法等有关机关举报。</w:t>
      </w:r>
    </w:p>
    <w:p w14:paraId="582E4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2" w:name="_Toc6478"/>
      <w:bookmarkStart w:id="993" w:name="_Toc32395"/>
      <w:bookmarkStart w:id="994" w:name="_Toc3436"/>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责任</w:t>
      </w:r>
      <w:bookmarkEnd w:id="992"/>
      <w:bookmarkEnd w:id="993"/>
      <w:bookmarkEnd w:id="994"/>
    </w:p>
    <w:p w14:paraId="26703B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的领导和从事该建设工程项目的工作人员，在工程建设的事前、事中、事后应遵守以下规定：</w:t>
      </w:r>
    </w:p>
    <w:p w14:paraId="0EC35D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和相关单位索要或接受回扣、礼金、有价证券、贵重物品和好处费、感谢费等。</w:t>
      </w:r>
    </w:p>
    <w:p w14:paraId="668583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2.2不得在</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或个人支付的费用。</w:t>
      </w:r>
    </w:p>
    <w:p w14:paraId="153160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2.3不得要求、暗示或接受</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和相关单位为个人装修住房、婚丧嫁娶、配偶子女的工作安排以及出国(境)、旅游等提供方便。</w:t>
      </w:r>
    </w:p>
    <w:p w14:paraId="545740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2.4不得参加有可能影响公正执行公务的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和相关单位的宴请、健身、娱乐等活动。</w:t>
      </w:r>
    </w:p>
    <w:p w14:paraId="441C895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和相关单位介绍或为配偶、子女、亲属参与同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工程建设管理合同有关的业务活动；不得以任何理由要求</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和相关单位使用某种产品、材料和设备。</w:t>
      </w:r>
    </w:p>
    <w:p w14:paraId="5C1ED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5" w:name="_Toc7530"/>
      <w:bookmarkStart w:id="996" w:name="_Toc14971"/>
      <w:bookmarkStart w:id="997" w:name="_Toc6429"/>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责任</w:t>
      </w:r>
      <w:bookmarkEnd w:id="995"/>
      <w:bookmarkEnd w:id="996"/>
      <w:bookmarkEnd w:id="997"/>
    </w:p>
    <w:p w14:paraId="4B8C44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应与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保持正常的业务交往，按照有关法律法规和程序开展业务工作，严格执行工程建设的有关方针、政策，执行工程建设强制性标准，并遵守以下规定：</w:t>
      </w:r>
    </w:p>
    <w:p w14:paraId="39FAD6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3.1不得以任何理由向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及其工作人员索要、接受或赠送礼金、有价证券、贵重物品及回扣、好处费、感谢费等。</w:t>
      </w:r>
    </w:p>
    <w:p w14:paraId="23ED1C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和相关单位报销应由对方或个人支付的费用。</w:t>
      </w:r>
    </w:p>
    <w:p w14:paraId="1B036A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3.3不得接受或暗示为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、相关单位或个人装修住房、婚丧嫁娶、配偶子女的工作安排以及出国(境)、旅游等提供方便。</w:t>
      </w:r>
    </w:p>
    <w:p w14:paraId="20E7E7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、相关单位或个人组织有可能影响公正执行公务的宴请、健身、娱乐等活动。</w:t>
      </w:r>
    </w:p>
    <w:p w14:paraId="06BF7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8" w:name="_Toc23510"/>
      <w:bookmarkStart w:id="999" w:name="_Toc2429"/>
      <w:bookmarkStart w:id="1000" w:name="_Toc20"/>
      <w:r>
        <w:rPr>
          <w:rFonts w:hint="eastAsia" w:ascii="宋体" w:hAnsi="宋体" w:eastAsia="宋体" w:cs="宋体"/>
          <w:color w:val="auto"/>
          <w:sz w:val="24"/>
          <w:szCs w:val="24"/>
          <w:highlight w:val="none"/>
        </w:rPr>
        <w:t>四、违约责任</w:t>
      </w:r>
      <w:bookmarkEnd w:id="998"/>
      <w:bookmarkEnd w:id="999"/>
      <w:bookmarkEnd w:id="1000"/>
    </w:p>
    <w:p w14:paraId="479BEA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工作人员有违反本责任书第一、二条责任行为的，依据有关法律、法规给予处理；涉嫌犯罪的，移交司法机关追究刑事责任；给</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单位造成经济损失的，应予以赔偿。</w:t>
      </w:r>
    </w:p>
    <w:p w14:paraId="4E5F4F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工作人员有违反本责任书第一、三条责任行为的，依据有关法律法规处理；涉嫌犯罪的，移交司法机关追究刑事责任；给</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单位造成经济损失的，应予以赔偿。</w:t>
      </w:r>
    </w:p>
    <w:p w14:paraId="230CF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4.3本责任书作为建设工程合同的组成部分，与建设工程合同具有同等法律效力。经双</w:t>
      </w:r>
      <w:r>
        <w:rPr>
          <w:rFonts w:hint="eastAsia" w:ascii="宋体" w:hAnsi="宋体" w:eastAsia="宋体" w:cs="宋体"/>
          <w:color w:val="auto"/>
          <w:sz w:val="24"/>
          <w:szCs w:val="24"/>
          <w:highlight w:val="none"/>
        </w:rPr>
        <w:t>方签署后立即生效。</w:t>
      </w:r>
    </w:p>
    <w:p w14:paraId="3A16C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1" w:name="_Toc25694"/>
      <w:bookmarkStart w:id="1002" w:name="_Toc5724"/>
      <w:bookmarkStart w:id="1003" w:name="_Toc26329"/>
      <w:r>
        <w:rPr>
          <w:rFonts w:hint="eastAsia" w:ascii="宋体" w:hAnsi="宋体" w:eastAsia="宋体" w:cs="宋体"/>
          <w:color w:val="auto"/>
          <w:sz w:val="24"/>
          <w:szCs w:val="24"/>
          <w:highlight w:val="none"/>
        </w:rPr>
        <w:t>五、责任书有效期</w:t>
      </w:r>
      <w:bookmarkEnd w:id="1001"/>
      <w:bookmarkEnd w:id="1002"/>
      <w:bookmarkEnd w:id="1003"/>
    </w:p>
    <w:p w14:paraId="3C5DA4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本责任书的有效期为双方签署之日起至该工程项目竣工验收合格时止。</w:t>
      </w:r>
    </w:p>
    <w:p w14:paraId="25FBB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4" w:name="_Toc24697"/>
      <w:bookmarkStart w:id="1005" w:name="_Toc26613"/>
      <w:bookmarkStart w:id="1006" w:name="_Toc630"/>
      <w:r>
        <w:rPr>
          <w:rFonts w:hint="eastAsia" w:ascii="宋体" w:hAnsi="宋体" w:eastAsia="宋体" w:cs="宋体"/>
          <w:color w:val="auto"/>
          <w:sz w:val="24"/>
          <w:szCs w:val="24"/>
          <w:highlight w:val="none"/>
        </w:rPr>
        <w:t>六、责任书份数</w:t>
      </w:r>
      <w:bookmarkEnd w:id="1004"/>
      <w:bookmarkEnd w:id="1005"/>
      <w:bookmarkEnd w:id="1006"/>
    </w:p>
    <w:p w14:paraId="2564E9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本责任书作为合同附件，</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各执份数按合同约定份数，具有同等效力。</w:t>
      </w:r>
    </w:p>
    <w:p w14:paraId="58AB2FB8">
      <w:pPr>
        <w:spacing w:line="360" w:lineRule="auto"/>
        <w:ind w:firstLine="480" w:firstLineChars="200"/>
        <w:rPr>
          <w:rFonts w:hint="eastAsia" w:ascii="宋体" w:hAnsi="宋体" w:cs="宋体"/>
          <w:color w:val="auto"/>
          <w:sz w:val="24"/>
          <w:szCs w:val="24"/>
          <w:highlight w:val="none"/>
        </w:rPr>
      </w:pPr>
    </w:p>
    <w:p w14:paraId="5DD434DD">
      <w:pPr>
        <w:spacing w:line="360" w:lineRule="auto"/>
        <w:ind w:firstLine="480" w:firstLineChars="200"/>
        <w:rPr>
          <w:rFonts w:hint="eastAsia" w:ascii="宋体" w:hAnsi="宋体" w:cs="宋体"/>
          <w:color w:val="auto"/>
          <w:sz w:val="24"/>
          <w:szCs w:val="24"/>
          <w:highlight w:val="none"/>
        </w:rPr>
      </w:pPr>
    </w:p>
    <w:p w14:paraId="174FE6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承</w:t>
      </w:r>
      <w:r>
        <w:rPr>
          <w:rFonts w:hint="eastAsia" w:ascii="宋体" w:hAnsi="宋体" w:cs="宋体"/>
          <w:color w:val="auto"/>
          <w:sz w:val="24"/>
          <w:szCs w:val="24"/>
          <w:highlight w:val="none"/>
          <w:lang w:eastAsia="zh-CN"/>
        </w:rPr>
        <w:t>包人</w:t>
      </w:r>
      <w:r>
        <w:rPr>
          <w:rFonts w:hint="eastAsia" w:ascii="宋体" w:hAnsi="宋体" w:cs="宋体"/>
          <w:color w:val="auto"/>
          <w:sz w:val="24"/>
          <w:szCs w:val="24"/>
          <w:highlight w:val="none"/>
        </w:rPr>
        <w:t>：***************　　</w:t>
      </w:r>
    </w:p>
    <w:p w14:paraId="58037983">
      <w:pPr>
        <w:spacing w:line="360" w:lineRule="auto"/>
        <w:rPr>
          <w:rFonts w:hint="eastAsia" w:ascii="宋体" w:hAnsi="宋体" w:cs="宋体"/>
          <w:color w:val="auto"/>
          <w:sz w:val="24"/>
          <w:szCs w:val="24"/>
          <w:highlight w:val="none"/>
        </w:rPr>
      </w:pPr>
    </w:p>
    <w:p w14:paraId="5F01CD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258D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373E2C9F">
      <w:pPr>
        <w:pStyle w:val="8"/>
        <w:rPr>
          <w:rFonts w:hint="eastAsia"/>
          <w:color w:val="auto"/>
          <w:highlight w:val="none"/>
        </w:rPr>
      </w:pPr>
    </w:p>
    <w:p w14:paraId="3FB798F3">
      <w:pPr>
        <w:pStyle w:val="24"/>
        <w:ind w:firstLine="200"/>
        <w:rPr>
          <w:color w:val="auto"/>
          <w:highlight w:val="none"/>
          <w:lang w:val="en-US"/>
        </w:rPr>
      </w:pPr>
    </w:p>
    <w:p w14:paraId="4C81C461">
      <w:pPr>
        <w:pStyle w:val="2"/>
        <w:snapToGrid w:val="0"/>
        <w:spacing w:line="240" w:lineRule="auto"/>
        <w:jc w:val="center"/>
        <w:outlineLvl w:val="9"/>
        <w:rPr>
          <w:rFonts w:hint="eastAsia" w:ascii="Calibri" w:hAnsi="Calibri" w:eastAsia="宋体" w:cs="Times New Roman"/>
          <w:b/>
          <w:color w:val="auto"/>
          <w:sz w:val="44"/>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1007" w:name="_Toc22336"/>
      <w:bookmarkStart w:id="1008" w:name="_Toc4106"/>
      <w:bookmarkStart w:id="1009" w:name="_Toc4013"/>
      <w:bookmarkStart w:id="1010" w:name="_Toc60608830"/>
    </w:p>
    <w:p w14:paraId="088E0D97">
      <w:pPr>
        <w:pStyle w:val="2"/>
        <w:snapToGrid w:val="0"/>
        <w:spacing w:line="240" w:lineRule="auto"/>
        <w:jc w:val="center"/>
        <w:rPr>
          <w:rFonts w:hint="eastAsia" w:ascii="Calibri" w:hAnsi="Calibri" w:eastAsia="宋体" w:cs="Times New Roman"/>
          <w:b/>
          <w:color w:val="auto"/>
          <w:sz w:val="72"/>
          <w:szCs w:val="72"/>
          <w:highlight w:val="none"/>
        </w:rPr>
      </w:pPr>
      <w:bookmarkStart w:id="1011" w:name="_Toc1618"/>
      <w:bookmarkStart w:id="1012" w:name="_Toc29166"/>
      <w:bookmarkStart w:id="1013" w:name="_Toc17625"/>
      <w:r>
        <w:rPr>
          <w:rFonts w:hint="eastAsia" w:ascii="Calibri" w:hAnsi="Calibri" w:eastAsia="宋体" w:cs="Times New Roman"/>
          <w:b/>
          <w:color w:val="auto"/>
          <w:sz w:val="72"/>
          <w:szCs w:val="72"/>
          <w:highlight w:val="none"/>
        </w:rPr>
        <w:t>第六章  响应文件格式</w:t>
      </w:r>
      <w:bookmarkEnd w:id="1007"/>
      <w:bookmarkEnd w:id="1008"/>
      <w:bookmarkEnd w:id="1009"/>
      <w:bookmarkEnd w:id="1010"/>
      <w:bookmarkEnd w:id="1011"/>
      <w:bookmarkEnd w:id="1012"/>
      <w:bookmarkEnd w:id="1013"/>
    </w:p>
    <w:p w14:paraId="19E35FC2">
      <w:pPr>
        <w:spacing w:line="500" w:lineRule="exact"/>
        <w:jc w:val="center"/>
        <w:outlineLvl w:val="9"/>
        <w:rPr>
          <w:rFonts w:hint="eastAsia" w:ascii="宋体" w:hAnsi="宋体" w:eastAsia="宋体"/>
          <w:b/>
          <w:color w:val="auto"/>
          <w:sz w:val="32"/>
          <w:highlight w:val="none"/>
        </w:rPr>
      </w:pPr>
    </w:p>
    <w:p w14:paraId="38FE7EA9">
      <w:pPr>
        <w:spacing w:line="500" w:lineRule="exact"/>
        <w:jc w:val="center"/>
        <w:outlineLvl w:val="9"/>
        <w:rPr>
          <w:rFonts w:hint="eastAsia" w:ascii="宋体" w:hAnsi="宋体" w:eastAsia="宋体"/>
          <w:b/>
          <w:color w:val="auto"/>
          <w:sz w:val="32"/>
          <w:highlight w:val="none"/>
        </w:rPr>
      </w:pPr>
    </w:p>
    <w:p w14:paraId="6BF76505">
      <w:pPr>
        <w:spacing w:line="500" w:lineRule="exact"/>
        <w:jc w:val="center"/>
        <w:outlineLvl w:val="9"/>
        <w:rPr>
          <w:rFonts w:hint="eastAsia" w:ascii="宋体" w:hAnsi="宋体" w:eastAsia="宋体"/>
          <w:b/>
          <w:color w:val="auto"/>
          <w:sz w:val="32"/>
          <w:highlight w:val="none"/>
        </w:rPr>
      </w:pPr>
    </w:p>
    <w:p w14:paraId="00E4B1F4">
      <w:pPr>
        <w:spacing w:line="500" w:lineRule="exact"/>
        <w:jc w:val="center"/>
        <w:outlineLvl w:val="9"/>
        <w:rPr>
          <w:rFonts w:hint="eastAsia" w:ascii="宋体" w:hAnsi="宋体" w:eastAsia="宋体"/>
          <w:b/>
          <w:color w:val="auto"/>
          <w:sz w:val="32"/>
          <w:highlight w:val="none"/>
        </w:rPr>
      </w:pPr>
    </w:p>
    <w:p w14:paraId="7273B342">
      <w:pPr>
        <w:spacing w:line="500" w:lineRule="exact"/>
        <w:jc w:val="center"/>
        <w:outlineLvl w:val="9"/>
        <w:rPr>
          <w:rFonts w:hint="eastAsia" w:ascii="宋体" w:hAnsi="宋体" w:eastAsia="宋体"/>
          <w:b/>
          <w:color w:val="auto"/>
          <w:sz w:val="32"/>
          <w:highlight w:val="none"/>
        </w:rPr>
      </w:pPr>
    </w:p>
    <w:p w14:paraId="1F735D5B">
      <w:pPr>
        <w:snapToGrid w:val="0"/>
        <w:spacing w:before="156" w:beforeLines="50" w:after="50" w:line="360" w:lineRule="auto"/>
        <w:outlineLvl w:val="1"/>
        <w:rPr>
          <w:rFonts w:hint="eastAsia" w:ascii="宋体" w:hAnsi="宋体"/>
          <w:b/>
          <w:bCs/>
          <w:color w:val="auto"/>
          <w:sz w:val="32"/>
          <w:szCs w:val="32"/>
          <w:highlight w:val="none"/>
        </w:rPr>
        <w:sectPr>
          <w:footnotePr>
            <w:numFmt w:val="decimalEnclosedCircleChinese"/>
          </w:footnotePr>
          <w:pgSz w:w="11911" w:h="16838"/>
          <w:pgMar w:top="1134" w:right="1134" w:bottom="1134" w:left="1134" w:header="879" w:footer="856" w:gutter="0"/>
          <w:pgNumType w:fmt="decimal"/>
          <w:cols w:space="720" w:num="1"/>
          <w:rtlGutter w:val="0"/>
          <w:docGrid w:linePitch="1" w:charSpace="0"/>
        </w:sectPr>
      </w:pPr>
      <w:bookmarkStart w:id="1014" w:name="_Toc31728084"/>
      <w:bookmarkStart w:id="1015" w:name="_Toc35611438"/>
      <w:bookmarkStart w:id="1016" w:name="_Toc44229899"/>
      <w:bookmarkStart w:id="1017" w:name="_Toc31723070"/>
      <w:bookmarkStart w:id="1018" w:name="_Toc35611516"/>
      <w:bookmarkStart w:id="1019" w:name="_Toc520983587"/>
      <w:bookmarkStart w:id="1020" w:name="_Toc461056631"/>
      <w:bookmarkStart w:id="1021" w:name="_Toc461053086"/>
    </w:p>
    <w:p w14:paraId="5C1F68B6">
      <w:pPr>
        <w:snapToGrid w:val="0"/>
        <w:spacing w:before="156" w:beforeLines="50" w:after="50" w:line="360" w:lineRule="auto"/>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一、资格证明文件格式</w:t>
      </w:r>
      <w:bookmarkEnd w:id="1014"/>
      <w:bookmarkEnd w:id="1015"/>
      <w:bookmarkEnd w:id="1016"/>
      <w:bookmarkEnd w:id="1017"/>
      <w:bookmarkEnd w:id="1018"/>
    </w:p>
    <w:p w14:paraId="42A8FA3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0D57862">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5A40D0B">
      <w:pPr>
        <w:snapToGrid w:val="0"/>
        <w:spacing w:before="156" w:beforeLines="50" w:after="50"/>
        <w:rPr>
          <w:rFonts w:hint="eastAsia" w:ascii="宋体" w:hAnsi="宋体"/>
          <w:color w:val="auto"/>
          <w:sz w:val="24"/>
          <w:szCs w:val="20"/>
          <w:highlight w:val="none"/>
        </w:rPr>
      </w:pPr>
    </w:p>
    <w:p w14:paraId="7979BD6A">
      <w:pPr>
        <w:snapToGrid w:val="0"/>
        <w:spacing w:before="156" w:beforeLines="50" w:after="50"/>
        <w:rPr>
          <w:rFonts w:hint="eastAsia" w:ascii="宋体" w:hAnsi="宋体"/>
          <w:color w:val="auto"/>
          <w:sz w:val="24"/>
          <w:szCs w:val="20"/>
          <w:highlight w:val="none"/>
        </w:rPr>
      </w:pPr>
    </w:p>
    <w:p w14:paraId="27E523ED">
      <w:pPr>
        <w:snapToGrid w:val="0"/>
        <w:spacing w:line="300" w:lineRule="auto"/>
        <w:jc w:val="center"/>
        <w:rPr>
          <w:rFonts w:hint="default" w:ascii="宋体" w:hAnsi="宋体" w:cs="宋体"/>
          <w:b w:val="0"/>
          <w:bCs/>
          <w:color w:val="auto"/>
          <w:sz w:val="96"/>
          <w:szCs w:val="21"/>
          <w:highlight w:val="none"/>
        </w:rPr>
      </w:pPr>
    </w:p>
    <w:p w14:paraId="0E771A1F">
      <w:pPr>
        <w:snapToGrid w:val="0"/>
        <w:spacing w:line="300" w:lineRule="auto"/>
        <w:jc w:val="center"/>
        <w:rPr>
          <w:rFonts w:hint="default" w:ascii="宋体" w:hAnsi="宋体" w:cs="宋体"/>
          <w:b w:val="0"/>
          <w:bCs/>
          <w:color w:val="auto"/>
          <w:sz w:val="96"/>
          <w:szCs w:val="21"/>
          <w:highlight w:val="none"/>
        </w:rPr>
      </w:pPr>
      <w:r>
        <w:rPr>
          <w:rFonts w:hint="default" w:ascii="宋体" w:hAnsi="宋体" w:cs="宋体"/>
          <w:b w:val="0"/>
          <w:bCs/>
          <w:color w:val="auto"/>
          <w:sz w:val="96"/>
          <w:szCs w:val="21"/>
          <w:highlight w:val="none"/>
        </w:rPr>
        <w:t>资格证明文件</w:t>
      </w:r>
    </w:p>
    <w:p w14:paraId="6DB97FFF">
      <w:pPr>
        <w:snapToGrid w:val="0"/>
        <w:spacing w:before="156" w:beforeLines="50" w:after="50"/>
        <w:rPr>
          <w:rFonts w:hint="eastAsia" w:ascii="宋体" w:hAnsi="宋体"/>
          <w:bCs/>
          <w:color w:val="auto"/>
          <w:sz w:val="24"/>
          <w:szCs w:val="20"/>
          <w:highlight w:val="none"/>
        </w:rPr>
      </w:pPr>
    </w:p>
    <w:p w14:paraId="2CBE72C6">
      <w:pPr>
        <w:snapToGrid w:val="0"/>
        <w:spacing w:before="156" w:beforeLines="50" w:after="50"/>
        <w:rPr>
          <w:rFonts w:hint="eastAsia" w:ascii="宋体" w:hAnsi="宋体"/>
          <w:bCs/>
          <w:color w:val="auto"/>
          <w:sz w:val="24"/>
          <w:szCs w:val="20"/>
          <w:highlight w:val="none"/>
        </w:rPr>
      </w:pPr>
    </w:p>
    <w:p w14:paraId="0BC235E9">
      <w:pPr>
        <w:snapToGrid w:val="0"/>
        <w:spacing w:before="156" w:beforeLines="50" w:after="50"/>
        <w:rPr>
          <w:rFonts w:hint="eastAsia" w:ascii="宋体" w:hAnsi="宋体"/>
          <w:bCs/>
          <w:color w:val="auto"/>
          <w:sz w:val="24"/>
          <w:szCs w:val="20"/>
          <w:highlight w:val="none"/>
        </w:rPr>
      </w:pPr>
    </w:p>
    <w:p w14:paraId="7BC4484B">
      <w:pPr>
        <w:snapToGrid w:val="0"/>
        <w:spacing w:before="156" w:beforeLines="50" w:after="50"/>
        <w:rPr>
          <w:rFonts w:hint="eastAsia" w:ascii="宋体" w:hAnsi="宋体"/>
          <w:bCs/>
          <w:color w:val="auto"/>
          <w:sz w:val="24"/>
          <w:szCs w:val="20"/>
          <w:highlight w:val="none"/>
        </w:rPr>
      </w:pPr>
    </w:p>
    <w:p w14:paraId="435F9301">
      <w:pPr>
        <w:pStyle w:val="3"/>
        <w:outlineLvl w:val="9"/>
        <w:rPr>
          <w:rFonts w:hint="eastAsia" w:ascii="宋体" w:hAnsi="宋体"/>
          <w:bCs/>
          <w:color w:val="auto"/>
          <w:sz w:val="24"/>
          <w:szCs w:val="20"/>
          <w:highlight w:val="none"/>
        </w:rPr>
      </w:pPr>
    </w:p>
    <w:p w14:paraId="238EEBBE">
      <w:pPr>
        <w:rPr>
          <w:rFonts w:hint="eastAsia" w:ascii="宋体" w:hAnsi="宋体"/>
          <w:bCs/>
          <w:color w:val="auto"/>
          <w:sz w:val="24"/>
          <w:szCs w:val="20"/>
          <w:highlight w:val="none"/>
        </w:rPr>
      </w:pPr>
    </w:p>
    <w:p w14:paraId="46DDC1D3">
      <w:pPr>
        <w:pStyle w:val="3"/>
        <w:outlineLvl w:val="9"/>
        <w:rPr>
          <w:rFonts w:hint="eastAsia" w:ascii="宋体" w:hAnsi="宋体"/>
          <w:bCs/>
          <w:color w:val="auto"/>
          <w:sz w:val="24"/>
          <w:szCs w:val="20"/>
          <w:highlight w:val="none"/>
        </w:rPr>
      </w:pPr>
    </w:p>
    <w:p w14:paraId="5AE80067">
      <w:pPr>
        <w:snapToGrid w:val="0"/>
        <w:spacing w:before="156" w:beforeLines="50" w:after="50"/>
        <w:rPr>
          <w:rFonts w:hint="eastAsia" w:ascii="宋体" w:hAnsi="宋体"/>
          <w:bCs/>
          <w:color w:val="auto"/>
          <w:sz w:val="24"/>
          <w:szCs w:val="20"/>
          <w:highlight w:val="none"/>
        </w:rPr>
      </w:pPr>
    </w:p>
    <w:p w14:paraId="54B9D7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12CDFDE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63CEAF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39D7712F">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79990EFF">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2025年  月   日</w:t>
      </w:r>
    </w:p>
    <w:p w14:paraId="633A8A4C">
      <w:pPr>
        <w:tabs>
          <w:tab w:val="left" w:pos="1305"/>
        </w:tabs>
        <w:adjustRightInd w:val="0"/>
        <w:snapToGrid w:val="0"/>
        <w:spacing w:line="520" w:lineRule="exact"/>
        <w:jc w:val="both"/>
        <w:rPr>
          <w:rFonts w:hint="eastAsia" w:ascii="宋体" w:hAnsi="宋体" w:cs="宋体"/>
          <w:b/>
          <w:color w:val="auto"/>
          <w:sz w:val="36"/>
          <w:szCs w:val="36"/>
          <w:highlight w:val="none"/>
        </w:rPr>
      </w:pPr>
    </w:p>
    <w:p w14:paraId="74AE3536">
      <w:pPr>
        <w:snapToGrid w:val="0"/>
        <w:spacing w:before="156" w:beforeLines="50" w:after="50" w:line="360" w:lineRule="auto"/>
        <w:ind w:left="142"/>
        <w:jc w:val="left"/>
        <w:rPr>
          <w:rFonts w:hint="eastAsia" w:ascii="宋体" w:hAnsi="宋体" w:cs="宋体"/>
          <w:b/>
          <w:bCs/>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p>
    <w:p w14:paraId="7892C8D1">
      <w:pPr>
        <w:snapToGrid w:val="0"/>
        <w:spacing w:before="156" w:beforeLines="50" w:after="50" w:line="360" w:lineRule="auto"/>
        <w:ind w:left="14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2.资格证明文件目录</w:t>
      </w:r>
    </w:p>
    <w:p w14:paraId="499F155A">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04119326">
      <w:pPr>
        <w:pStyle w:val="8"/>
        <w:spacing w:line="300" w:lineRule="auto"/>
        <w:rPr>
          <w:rFonts w:ascii="宋体" w:hAnsi="宋体" w:cs="宋体"/>
          <w:b/>
          <w:color w:val="auto"/>
          <w:sz w:val="28"/>
          <w:szCs w:val="28"/>
          <w:highlight w:val="none"/>
        </w:rPr>
      </w:pPr>
    </w:p>
    <w:p w14:paraId="774D8DCD">
      <w:pPr>
        <w:pStyle w:val="8"/>
        <w:spacing w:line="300" w:lineRule="auto"/>
        <w:rPr>
          <w:rFonts w:ascii="宋体" w:hAnsi="宋体" w:cs="宋体"/>
          <w:b/>
          <w:color w:val="auto"/>
          <w:sz w:val="28"/>
          <w:szCs w:val="28"/>
          <w:highlight w:val="none"/>
        </w:rPr>
      </w:pPr>
    </w:p>
    <w:p w14:paraId="3A922183">
      <w:pPr>
        <w:pStyle w:val="8"/>
        <w:spacing w:line="300" w:lineRule="auto"/>
        <w:rPr>
          <w:rFonts w:ascii="宋体" w:hAnsi="宋体" w:cs="宋体"/>
          <w:b/>
          <w:color w:val="auto"/>
          <w:sz w:val="28"/>
          <w:szCs w:val="28"/>
          <w:highlight w:val="none"/>
        </w:rPr>
      </w:pPr>
    </w:p>
    <w:p w14:paraId="5E6D6E24">
      <w:pPr>
        <w:pStyle w:val="8"/>
        <w:spacing w:line="300" w:lineRule="auto"/>
        <w:rPr>
          <w:rFonts w:ascii="宋体" w:hAnsi="宋体" w:cs="宋体"/>
          <w:b/>
          <w:color w:val="auto"/>
          <w:sz w:val="28"/>
          <w:szCs w:val="28"/>
          <w:highlight w:val="none"/>
        </w:rPr>
      </w:pPr>
    </w:p>
    <w:p w14:paraId="03395FAB">
      <w:pPr>
        <w:pStyle w:val="8"/>
        <w:spacing w:line="300" w:lineRule="auto"/>
        <w:rPr>
          <w:rFonts w:ascii="宋体" w:hAnsi="宋体" w:cs="宋体"/>
          <w:b/>
          <w:color w:val="auto"/>
          <w:sz w:val="28"/>
          <w:szCs w:val="28"/>
          <w:highlight w:val="none"/>
        </w:rPr>
      </w:pPr>
    </w:p>
    <w:p w14:paraId="19441F4D">
      <w:pPr>
        <w:pStyle w:val="8"/>
        <w:spacing w:line="300" w:lineRule="auto"/>
        <w:rPr>
          <w:rFonts w:ascii="宋体" w:hAnsi="宋体" w:cs="宋体"/>
          <w:b/>
          <w:color w:val="auto"/>
          <w:sz w:val="28"/>
          <w:szCs w:val="28"/>
          <w:highlight w:val="none"/>
        </w:rPr>
      </w:pPr>
    </w:p>
    <w:p w14:paraId="7C316119">
      <w:pPr>
        <w:pStyle w:val="8"/>
        <w:spacing w:line="300" w:lineRule="auto"/>
        <w:rPr>
          <w:rFonts w:ascii="宋体" w:hAnsi="宋体" w:cs="宋体"/>
          <w:b/>
          <w:color w:val="auto"/>
          <w:sz w:val="28"/>
          <w:szCs w:val="28"/>
          <w:highlight w:val="none"/>
        </w:rPr>
      </w:pPr>
    </w:p>
    <w:p w14:paraId="7CF98D5A">
      <w:pPr>
        <w:numPr>
          <w:ilvl w:val="0"/>
          <w:numId w:val="31"/>
        </w:numPr>
        <w:tabs>
          <w:tab w:val="left" w:pos="1305"/>
        </w:tabs>
        <w:spacing w:line="300" w:lineRule="auto"/>
        <w:jc w:val="center"/>
        <w:rPr>
          <w:rFonts w:hint="eastAsia" w:ascii="宋体" w:hAnsi="宋体" w:cs="宋体"/>
          <w:b w:val="0"/>
          <w:bCs w:val="0"/>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bookmarkStart w:id="1022" w:name="_Toc29202_WPSOffice_Level3"/>
    </w:p>
    <w:bookmarkEnd w:id="1022"/>
    <w:p w14:paraId="4972ADCC">
      <w:pPr>
        <w:pStyle w:val="4"/>
        <w:bidi w:val="0"/>
        <w:jc w:val="center"/>
        <w:rPr>
          <w:color w:val="auto"/>
        </w:rPr>
      </w:pPr>
      <w:bookmarkStart w:id="1023" w:name="_Toc30478_WPSOffice_Level3"/>
      <w:r>
        <w:rPr>
          <w:rFonts w:hint="eastAsia"/>
          <w:color w:val="auto"/>
          <w:lang w:val="en-US" w:eastAsia="zh-CN"/>
        </w:rPr>
        <w:t>崇左</w:t>
      </w:r>
      <w:r>
        <w:rPr>
          <w:color w:val="auto"/>
          <w:lang w:val="en-US" w:eastAsia="zh-CN"/>
        </w:rPr>
        <w:t>市政府采购供应商信用承诺函（格式）</w:t>
      </w:r>
      <w:r>
        <w:rPr>
          <w:rStyle w:val="33"/>
          <w:color w:val="auto"/>
          <w:lang w:val="en-US" w:eastAsia="zh-CN"/>
        </w:rPr>
        <w:footnoteReference w:id="0"/>
      </w:r>
    </w:p>
    <w:p w14:paraId="3AFA0A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85C8F4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28EC3BD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4E0ADF7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D6C5A8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076EE959">
      <w:pPr>
        <w:keepNext w:val="0"/>
        <w:keepLines w:val="0"/>
        <w:pageBreakBefore w:val="0"/>
        <w:widowControl/>
        <w:suppressLineNumbers w:val="0"/>
        <w:kinsoku/>
        <w:wordWrap/>
        <w:overflowPunct/>
        <w:topLinePunct w:val="0"/>
        <w:autoSpaceDE/>
        <w:autoSpaceDN/>
        <w:bidi w:val="0"/>
        <w:adjustRightInd/>
        <w:snapToGrid/>
        <w:spacing w:line="52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A9D704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10CFD48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7CF9AD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7E12DC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7C0E9CC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47A7D9C8">
      <w:pPr>
        <w:keepNext w:val="0"/>
        <w:keepLines w:val="0"/>
        <w:pageBreakBefore w:val="0"/>
        <w:widowControl/>
        <w:suppressLineNumbers w:val="0"/>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供应商名称（盖章）： </w:t>
      </w:r>
    </w:p>
    <w:p w14:paraId="7F8F9C1C">
      <w:pPr>
        <w:keepNext w:val="0"/>
        <w:keepLines w:val="0"/>
        <w:pageBreakBefore w:val="0"/>
        <w:tabs>
          <w:tab w:val="left" w:pos="7560"/>
        </w:tabs>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7DC71662">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750A70BB">
      <w:pPr>
        <w:spacing w:before="312" w:beforeLines="100" w:after="156" w:afterLines="50" w:line="520" w:lineRule="exact"/>
        <w:ind w:left="540"/>
        <w:jc w:val="center"/>
        <w:rPr>
          <w:rFonts w:hint="eastAsia" w:ascii="方正小标宋简体" w:hAnsi="方正小标宋简体" w:eastAsia="方正小标宋简体" w:cs="方正小标宋简体"/>
          <w:bCs/>
          <w:color w:val="auto"/>
          <w:sz w:val="44"/>
          <w:szCs w:val="44"/>
          <w:highlight w:val="none"/>
        </w:rPr>
        <w:sectPr>
          <w:footerReference r:id="rId11"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41E837B6">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r>
        <w:rPr>
          <w:rStyle w:val="33"/>
          <w:rFonts w:hint="eastAsia" w:ascii="方正小标宋简体" w:hAnsi="方正小标宋简体" w:eastAsia="方正小标宋简体" w:cs="方正小标宋简体"/>
          <w:bCs/>
          <w:color w:val="auto"/>
          <w:sz w:val="44"/>
          <w:szCs w:val="44"/>
          <w:highlight w:val="none"/>
        </w:rPr>
        <w:footnoteReference w:id="1"/>
      </w:r>
    </w:p>
    <w:p w14:paraId="5B9113E6">
      <w:pPr>
        <w:spacing w:line="520" w:lineRule="exact"/>
        <w:ind w:left="540"/>
        <w:rPr>
          <w:rFonts w:hint="eastAsia" w:ascii="仿宋_GB2312" w:hAnsi="仿宋_GB2312" w:eastAsia="仿宋_GB2312" w:cs="仿宋_GB2312"/>
          <w:color w:val="auto"/>
          <w:sz w:val="32"/>
          <w:szCs w:val="32"/>
          <w:highlight w:val="none"/>
        </w:rPr>
      </w:pPr>
    </w:p>
    <w:p w14:paraId="03DFE6E9">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FC5A10F">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2ECBF43">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5161ECA">
      <w:pPr>
        <w:spacing w:line="360" w:lineRule="auto"/>
        <w:ind w:left="540"/>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BB72501">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D78B07C">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7D38BAD6">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E4E83EE">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4E16734">
      <w:pPr>
        <w:spacing w:line="360" w:lineRule="auto"/>
        <w:ind w:left="540"/>
        <w:rPr>
          <w:rFonts w:hint="eastAsia" w:ascii="宋体" w:hAnsi="宋体" w:cs="仿宋_GB2312"/>
          <w:color w:val="auto"/>
          <w:sz w:val="24"/>
          <w:highlight w:val="none"/>
        </w:rPr>
      </w:pPr>
    </w:p>
    <w:p w14:paraId="0F277030">
      <w:pPr>
        <w:spacing w:line="360" w:lineRule="auto"/>
        <w:jc w:val="both"/>
        <w:rPr>
          <w:rFonts w:hint="eastAsia" w:ascii="宋体" w:hAnsi="宋体" w:cs="仿宋_GB2312"/>
          <w:color w:val="auto"/>
          <w:sz w:val="24"/>
          <w:highlight w:val="none"/>
        </w:rPr>
      </w:pPr>
    </w:p>
    <w:p w14:paraId="36AB3050">
      <w:pPr>
        <w:spacing w:line="360" w:lineRule="auto"/>
        <w:jc w:val="both"/>
        <w:rPr>
          <w:rFonts w:hint="eastAsia" w:ascii="宋体" w:hAnsi="宋体" w:cs="仿宋_GB2312"/>
          <w:color w:val="auto"/>
          <w:sz w:val="24"/>
          <w:highlight w:val="none"/>
        </w:rPr>
      </w:pPr>
    </w:p>
    <w:p w14:paraId="4C58F0F0">
      <w:pPr>
        <w:spacing w:line="360" w:lineRule="auto"/>
        <w:jc w:val="both"/>
        <w:rPr>
          <w:rFonts w:hint="eastAsia" w:ascii="宋体" w:hAnsi="宋体" w:cs="仿宋_GB2312"/>
          <w:color w:val="auto"/>
          <w:sz w:val="24"/>
          <w:highlight w:val="none"/>
        </w:rPr>
      </w:pPr>
    </w:p>
    <w:p w14:paraId="3F8A305C">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55CFB20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34EB7D6">
      <w:pPr>
        <w:snapToGrid w:val="0"/>
        <w:spacing w:before="156" w:beforeLines="50" w:after="50" w:line="360" w:lineRule="auto"/>
        <w:jc w:val="center"/>
        <w:rPr>
          <w:rFonts w:hint="eastAsia" w:ascii="宋体" w:hAnsi="宋体" w:cs="仿宋_GB2312"/>
          <w:b/>
          <w:color w:val="auto"/>
          <w:sz w:val="24"/>
          <w:highlight w:val="none"/>
        </w:rPr>
      </w:pPr>
    </w:p>
    <w:p w14:paraId="2C920177">
      <w:pPr>
        <w:adjustRightInd w:val="0"/>
        <w:snapToGrid w:val="0"/>
        <w:spacing w:line="300" w:lineRule="auto"/>
        <w:jc w:val="left"/>
        <w:rPr>
          <w:rFonts w:hint="eastAsia" w:ascii="宋体" w:hAnsi="宋体"/>
          <w:b/>
          <w:color w:val="auto"/>
          <w:szCs w:val="21"/>
          <w:highlight w:val="none"/>
        </w:rPr>
      </w:pPr>
    </w:p>
    <w:p w14:paraId="121212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法定代表人授权委托书</w:t>
      </w:r>
      <w:r>
        <w:rPr>
          <w:rStyle w:val="33"/>
          <w:rFonts w:hint="eastAsia" w:ascii="方正小标宋简体" w:hAnsi="方正小标宋简体" w:eastAsia="方正小标宋简体" w:cs="方正小标宋简体"/>
          <w:color w:val="auto"/>
          <w:sz w:val="24"/>
          <w:szCs w:val="24"/>
          <w:highlight w:val="none"/>
        </w:rPr>
        <w:footnoteReference w:id="2"/>
      </w:r>
    </w:p>
    <w:p w14:paraId="1319D6DC">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22024EE">
      <w:pPr>
        <w:spacing w:line="500" w:lineRule="exact"/>
        <w:rPr>
          <w:rFonts w:hint="eastAsia" w:ascii="仿宋_GB2312" w:hAnsi="仿宋_GB2312" w:eastAsia="仿宋_GB2312" w:cs="仿宋_GB2312"/>
          <w:color w:val="auto"/>
          <w:sz w:val="32"/>
          <w:szCs w:val="32"/>
          <w:highlight w:val="none"/>
        </w:rPr>
      </w:pPr>
    </w:p>
    <w:p w14:paraId="359342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5B867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ECFE1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4B6772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833D8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210EB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E30E3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_GB2312"/>
          <w:color w:val="auto"/>
          <w:sz w:val="24"/>
          <w:highlight w:val="none"/>
        </w:rPr>
      </w:pPr>
    </w:p>
    <w:p w14:paraId="695828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w:t>
      </w:r>
    </w:p>
    <w:p w14:paraId="5EAEBC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法定代表人（签字）：                    </w:t>
      </w:r>
    </w:p>
    <w:p w14:paraId="214650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FD7731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053FA7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DEDB68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2025</w:t>
      </w:r>
      <w:r>
        <w:rPr>
          <w:rFonts w:hint="eastAsia" w:ascii="宋体" w:hAnsi="宋体" w:cs="仿宋_GB2312"/>
          <w:color w:val="auto"/>
          <w:sz w:val="24"/>
          <w:highlight w:val="none"/>
        </w:rPr>
        <w:t>年    月    日</w:t>
      </w:r>
    </w:p>
    <w:p w14:paraId="2A70B454">
      <w:pPr>
        <w:spacing w:line="360" w:lineRule="auto"/>
        <w:ind w:leftChars="1900"/>
        <w:rPr>
          <w:rFonts w:hint="eastAsia" w:ascii="宋体" w:hAnsi="宋体" w:cs="仿宋_GB2312"/>
          <w:color w:val="auto"/>
          <w:sz w:val="24"/>
          <w:highlight w:val="none"/>
        </w:rPr>
      </w:pPr>
    </w:p>
    <w:p w14:paraId="63FCA2A9">
      <w:pPr>
        <w:numPr>
          <w:ilvl w:val="0"/>
          <w:numId w:val="0"/>
        </w:numPr>
        <w:snapToGrid w:val="0"/>
        <w:spacing w:before="120" w:beforeLines="50" w:after="50"/>
        <w:ind w:left="0" w:firstLine="0"/>
        <w:jc w:val="left"/>
        <w:rPr>
          <w:rFonts w:hint="eastAsia" w:ascii="宋体" w:hAnsi="宋体" w:eastAsia="宋体" w:cs="宋体"/>
          <w:b/>
          <w:color w:val="auto"/>
          <w:sz w:val="28"/>
          <w:szCs w:val="28"/>
          <w:highlight w:val="none"/>
        </w:rPr>
      </w:pPr>
      <w:r>
        <w:rPr>
          <w:rFonts w:hint="eastAsia" w:ascii="宋体" w:hAnsi="宋体" w:cs="宋体"/>
          <w:b/>
          <w:bCs/>
          <w:color w:val="auto"/>
          <w:sz w:val="28"/>
          <w:szCs w:val="28"/>
          <w:highlight w:val="none"/>
        </w:rPr>
        <w:br w:type="page"/>
      </w:r>
      <w:bookmarkEnd w:id="1023"/>
    </w:p>
    <w:p w14:paraId="64350DD7">
      <w:pPr>
        <w:snapToGrid w:val="0"/>
        <w:spacing w:before="50" w:after="120" w:afterLines="50"/>
        <w:jc w:val="both"/>
        <w:rPr>
          <w:rFonts w:hint="default" w:ascii="宋体" w:hAnsi="宋体" w:eastAsia="宋体" w:cs="宋体"/>
          <w:b/>
          <w:color w:val="auto"/>
          <w:sz w:val="28"/>
          <w:szCs w:val="28"/>
          <w:highlight w:val="none"/>
          <w:lang w:val="en-US" w:eastAsia="zh-CN"/>
        </w:rPr>
      </w:pPr>
    </w:p>
    <w:p w14:paraId="21E04529">
      <w:pPr>
        <w:snapToGrid w:val="0"/>
        <w:spacing w:before="50" w:after="120" w:afterLines="50" w:line="360" w:lineRule="auto"/>
        <w:jc w:val="center"/>
        <w:rPr>
          <w:rFonts w:hint="eastAsia" w:ascii="宋体" w:hAnsi="宋体" w:eastAsia="宋体" w:cs="宋体"/>
          <w:b/>
          <w:color w:val="auto"/>
          <w:sz w:val="36"/>
          <w:szCs w:val="36"/>
          <w:highlight w:val="none"/>
          <w:vertAlign w:val="superscript"/>
        </w:rPr>
      </w:pPr>
      <w:r>
        <w:rPr>
          <w:rFonts w:hint="eastAsia" w:ascii="宋体" w:hAnsi="宋体" w:eastAsia="宋体" w:cs="宋体"/>
          <w:b/>
          <w:color w:val="auto"/>
          <w:sz w:val="36"/>
          <w:szCs w:val="36"/>
          <w:highlight w:val="none"/>
        </w:rPr>
        <w:t>投标人直接控股股东信息表</w:t>
      </w:r>
      <w:r>
        <w:rPr>
          <w:rFonts w:hint="eastAsia" w:ascii="宋体" w:hAnsi="宋体" w:eastAsia="宋体" w:cs="宋体"/>
          <w:b/>
          <w:color w:val="auto"/>
          <w:sz w:val="36"/>
          <w:szCs w:val="36"/>
          <w:highlight w:val="none"/>
          <w:vertAlign w:val="superscript"/>
        </w:rPr>
        <w:t>④</w:t>
      </w:r>
    </w:p>
    <w:tbl>
      <w:tblPr>
        <w:tblStyle w:val="26"/>
        <w:tblW w:w="4995" w:type="pct"/>
        <w:tblInd w:w="0" w:type="dxa"/>
        <w:shd w:val="clear" w:color="auto" w:fill="FBFBFB"/>
        <w:tblLayout w:type="fixed"/>
        <w:tblCellMar>
          <w:top w:w="0" w:type="dxa"/>
          <w:left w:w="0" w:type="dxa"/>
          <w:bottom w:w="0" w:type="dxa"/>
          <w:right w:w="0" w:type="dxa"/>
        </w:tblCellMar>
      </w:tblPr>
      <w:tblGrid>
        <w:gridCol w:w="778"/>
        <w:gridCol w:w="2286"/>
        <w:gridCol w:w="1212"/>
        <w:gridCol w:w="4750"/>
        <w:gridCol w:w="841"/>
      </w:tblGrid>
      <w:tr w14:paraId="6063EE50">
        <w:tblPrEx>
          <w:tblCellMar>
            <w:top w:w="0" w:type="dxa"/>
            <w:left w:w="0" w:type="dxa"/>
            <w:bottom w:w="0" w:type="dxa"/>
            <w:right w:w="0" w:type="dxa"/>
          </w:tblCellMar>
        </w:tblPrEx>
        <w:trPr>
          <w:tblHeader/>
        </w:trPr>
        <w:tc>
          <w:tcPr>
            <w:tcW w:w="394"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397B7C2">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24"/>
                <w:kern w:val="0"/>
                <w:sz w:val="24"/>
                <w:highlight w:val="none"/>
              </w:rPr>
              <w:t>序</w:t>
            </w:r>
            <w:r>
              <w:rPr>
                <w:rFonts w:hint="eastAsia" w:ascii="宋体" w:hAnsi="宋体" w:eastAsia="宋体" w:cs="宋体"/>
                <w:b/>
                <w:bCs/>
                <w:color w:val="auto"/>
                <w:spacing w:val="0"/>
                <w:kern w:val="0"/>
                <w:sz w:val="24"/>
                <w:highlight w:val="none"/>
              </w:rPr>
              <w:t>号</w:t>
            </w:r>
          </w:p>
        </w:tc>
        <w:tc>
          <w:tcPr>
            <w:tcW w:w="1158"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79CCCFB3">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7"/>
                <w:kern w:val="0"/>
                <w:sz w:val="24"/>
                <w:highlight w:val="none"/>
              </w:rPr>
              <w:t>直接控股股东名</w:t>
            </w:r>
            <w:r>
              <w:rPr>
                <w:rFonts w:hint="eastAsia" w:ascii="宋体" w:hAnsi="宋体" w:eastAsia="宋体" w:cs="宋体"/>
                <w:b/>
                <w:bCs/>
                <w:color w:val="auto"/>
                <w:spacing w:val="0"/>
                <w:kern w:val="0"/>
                <w:sz w:val="24"/>
                <w:highlight w:val="none"/>
              </w:rPr>
              <w:t>称</w:t>
            </w:r>
          </w:p>
        </w:tc>
        <w:tc>
          <w:tcPr>
            <w:tcW w:w="613"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67A5A59">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w w:val="99"/>
                <w:kern w:val="0"/>
                <w:sz w:val="24"/>
                <w:highlight w:val="none"/>
              </w:rPr>
              <w:t>出资比例</w:t>
            </w:r>
          </w:p>
        </w:tc>
        <w:tc>
          <w:tcPr>
            <w:tcW w:w="2407"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7C489A70">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31"/>
                <w:kern w:val="0"/>
                <w:sz w:val="24"/>
                <w:highlight w:val="none"/>
              </w:rPr>
              <w:t>身份证号码或者统一社会信用代</w:t>
            </w:r>
            <w:r>
              <w:rPr>
                <w:rFonts w:hint="eastAsia" w:ascii="宋体" w:hAnsi="宋体" w:eastAsia="宋体" w:cs="宋体"/>
                <w:b/>
                <w:bCs/>
                <w:color w:val="auto"/>
                <w:spacing w:val="0"/>
                <w:kern w:val="0"/>
                <w:sz w:val="24"/>
                <w:highlight w:val="none"/>
              </w:rPr>
              <w:t>码</w:t>
            </w:r>
          </w:p>
        </w:tc>
        <w:tc>
          <w:tcPr>
            <w:tcW w:w="426"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3A158E26">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58"/>
                <w:w w:val="98"/>
                <w:kern w:val="0"/>
                <w:sz w:val="24"/>
                <w:highlight w:val="none"/>
              </w:rPr>
              <w:t>备</w:t>
            </w:r>
            <w:r>
              <w:rPr>
                <w:rFonts w:hint="eastAsia" w:ascii="宋体" w:hAnsi="宋体" w:eastAsia="宋体" w:cs="宋体"/>
                <w:b/>
                <w:bCs/>
                <w:color w:val="auto"/>
                <w:spacing w:val="0"/>
                <w:w w:val="98"/>
                <w:kern w:val="0"/>
                <w:sz w:val="24"/>
                <w:highlight w:val="none"/>
              </w:rPr>
              <w:t>注</w:t>
            </w:r>
          </w:p>
        </w:tc>
      </w:tr>
      <w:tr w14:paraId="4E9D59CB">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A7DDEC">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B99FB1">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17C658">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A17F73">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6EE2B6">
            <w:pPr>
              <w:spacing w:line="360" w:lineRule="auto"/>
              <w:jc w:val="center"/>
              <w:rPr>
                <w:rFonts w:hint="eastAsia" w:ascii="宋体" w:hAnsi="宋体" w:eastAsia="宋体" w:cs="宋体"/>
                <w:color w:val="auto"/>
                <w:kern w:val="0"/>
                <w:sz w:val="24"/>
                <w:highlight w:val="none"/>
              </w:rPr>
            </w:pPr>
          </w:p>
        </w:tc>
      </w:tr>
      <w:tr w14:paraId="5C1916A3">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F4AD6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3C10D9">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F90D08">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6DFCC8">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C86570">
            <w:pPr>
              <w:spacing w:line="360" w:lineRule="auto"/>
              <w:jc w:val="center"/>
              <w:rPr>
                <w:rFonts w:hint="eastAsia" w:ascii="宋体" w:hAnsi="宋体" w:eastAsia="宋体" w:cs="宋体"/>
                <w:color w:val="auto"/>
                <w:kern w:val="0"/>
                <w:sz w:val="24"/>
                <w:highlight w:val="none"/>
              </w:rPr>
            </w:pPr>
          </w:p>
        </w:tc>
      </w:tr>
      <w:tr w14:paraId="23710DEB">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0AEB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C6654">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AFB07">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8165CE">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E97A61">
            <w:pPr>
              <w:spacing w:line="360" w:lineRule="auto"/>
              <w:jc w:val="center"/>
              <w:rPr>
                <w:rFonts w:hint="eastAsia" w:ascii="宋体" w:hAnsi="宋体" w:eastAsia="宋体" w:cs="宋体"/>
                <w:color w:val="auto"/>
                <w:kern w:val="0"/>
                <w:sz w:val="24"/>
                <w:highlight w:val="none"/>
              </w:rPr>
            </w:pPr>
          </w:p>
        </w:tc>
      </w:tr>
      <w:tr w14:paraId="3DB26F06">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6CDD09">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D7AB6C">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E36DE3">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2FAA6A">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166CD0">
            <w:pPr>
              <w:spacing w:line="360" w:lineRule="auto"/>
              <w:jc w:val="center"/>
              <w:rPr>
                <w:rFonts w:hint="eastAsia" w:ascii="宋体" w:hAnsi="宋体" w:eastAsia="宋体" w:cs="宋体"/>
                <w:color w:val="auto"/>
                <w:kern w:val="0"/>
                <w:sz w:val="24"/>
                <w:highlight w:val="none"/>
              </w:rPr>
            </w:pPr>
          </w:p>
        </w:tc>
      </w:tr>
    </w:tbl>
    <w:p w14:paraId="0B5EEBA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72424BE">
      <w:pPr>
        <w:snapToGrid w:val="0"/>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694A8D">
      <w:pPr>
        <w:snapToGrid w:val="0"/>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5D1D861E">
      <w:pPr>
        <w:snapToGrid w:val="0"/>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不存在直接控股股东的，则填“无”。</w:t>
      </w:r>
    </w:p>
    <w:p w14:paraId="2C48E3A3">
      <w:pPr>
        <w:snapToGrid w:val="0"/>
        <w:spacing w:line="360" w:lineRule="auto"/>
        <w:jc w:val="left"/>
        <w:rPr>
          <w:rFonts w:hint="eastAsia" w:ascii="宋体" w:hAnsi="宋体" w:eastAsia="宋体" w:cs="宋体"/>
          <w:color w:val="auto"/>
          <w:sz w:val="24"/>
          <w:highlight w:val="none"/>
        </w:rPr>
      </w:pPr>
    </w:p>
    <w:p w14:paraId="218D1FA5">
      <w:pPr>
        <w:snapToGrid w:val="0"/>
        <w:spacing w:before="120" w:beforeLines="50" w:line="360" w:lineRule="auto"/>
        <w:ind w:right="480" w:firstLine="5520" w:firstLineChars="2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09BE161B">
      <w:pPr>
        <w:snapToGrid w:val="0"/>
        <w:spacing w:before="120" w:beforeLines="50" w:after="50" w:line="360" w:lineRule="auto"/>
        <w:ind w:right="480" w:firstLine="5520" w:firstLineChars="2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59F221B0">
      <w:pPr>
        <w:snapToGrid w:val="0"/>
        <w:spacing w:before="120" w:beforeLines="50" w:after="50" w:line="360" w:lineRule="auto"/>
        <w:ind w:right="480" w:firstLine="5520" w:firstLineChars="2300"/>
        <w:rPr>
          <w:rFonts w:hint="eastAsia" w:ascii="宋体" w:hAnsi="宋体" w:eastAsia="宋体" w:cs="宋体"/>
          <w:color w:val="auto"/>
          <w:szCs w:val="21"/>
          <w:highlight w:val="none"/>
        </w:rPr>
      </w:pPr>
      <w:r>
        <w:rPr>
          <w:rFonts w:hint="eastAsia" w:ascii="宋体" w:hAnsi="宋体" w:eastAsia="宋体" w:cs="宋体"/>
          <w:color w:val="auto"/>
          <w:sz w:val="24"/>
          <w:highlight w:val="none"/>
        </w:rPr>
        <w:t>年    月    日</w:t>
      </w:r>
    </w:p>
    <w:p w14:paraId="6C493EEE">
      <w:pPr>
        <w:snapToGrid w:val="0"/>
        <w:spacing w:line="360" w:lineRule="auto"/>
        <w:jc w:val="center"/>
        <w:rPr>
          <w:rFonts w:hint="eastAsia" w:ascii="宋体" w:hAnsi="宋体" w:eastAsia="宋体" w:cs="宋体"/>
          <w:b/>
          <w:color w:val="auto"/>
          <w:sz w:val="36"/>
          <w:szCs w:val="36"/>
          <w:highlight w:val="none"/>
        </w:rPr>
      </w:pPr>
    </w:p>
    <w:p w14:paraId="548A1C8A">
      <w:pPr>
        <w:snapToGrid w:val="0"/>
        <w:spacing w:line="360" w:lineRule="auto"/>
        <w:jc w:val="center"/>
        <w:rPr>
          <w:rFonts w:hint="eastAsia" w:ascii="宋体" w:hAnsi="宋体" w:eastAsia="宋体" w:cs="宋体"/>
          <w:b/>
          <w:color w:val="auto"/>
          <w:sz w:val="36"/>
          <w:szCs w:val="36"/>
          <w:highlight w:val="none"/>
        </w:rPr>
      </w:pPr>
    </w:p>
    <w:p w14:paraId="0F18336E">
      <w:pPr>
        <w:snapToGrid w:val="0"/>
        <w:spacing w:line="360" w:lineRule="auto"/>
        <w:jc w:val="center"/>
        <w:rPr>
          <w:rFonts w:hint="eastAsia" w:ascii="宋体" w:hAnsi="宋体" w:eastAsia="宋体" w:cs="宋体"/>
          <w:b/>
          <w:color w:val="auto"/>
          <w:sz w:val="36"/>
          <w:szCs w:val="36"/>
          <w:highlight w:val="none"/>
        </w:rPr>
      </w:pPr>
    </w:p>
    <w:p w14:paraId="519D5AA1">
      <w:pPr>
        <w:snapToGrid w:val="0"/>
        <w:spacing w:line="360" w:lineRule="auto"/>
        <w:jc w:val="center"/>
        <w:rPr>
          <w:rFonts w:hint="eastAsia" w:ascii="宋体" w:hAnsi="宋体" w:eastAsia="宋体" w:cs="宋体"/>
          <w:b/>
          <w:color w:val="auto"/>
          <w:sz w:val="36"/>
          <w:szCs w:val="36"/>
          <w:highlight w:val="none"/>
        </w:rPr>
      </w:pPr>
    </w:p>
    <w:p w14:paraId="30552A75">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投标人直接管理关系信息表</w:t>
      </w:r>
    </w:p>
    <w:tbl>
      <w:tblPr>
        <w:tblStyle w:val="26"/>
        <w:tblW w:w="4992" w:type="pct"/>
        <w:tblInd w:w="0" w:type="dxa"/>
        <w:shd w:val="clear" w:color="auto" w:fill="FBFBFB"/>
        <w:tblLayout w:type="fixed"/>
        <w:tblCellMar>
          <w:top w:w="0" w:type="dxa"/>
          <w:left w:w="0" w:type="dxa"/>
          <w:bottom w:w="0" w:type="dxa"/>
          <w:right w:w="0" w:type="dxa"/>
        </w:tblCellMar>
      </w:tblPr>
      <w:tblGrid>
        <w:gridCol w:w="1034"/>
        <w:gridCol w:w="3601"/>
        <w:gridCol w:w="3157"/>
        <w:gridCol w:w="2068"/>
      </w:tblGrid>
      <w:tr w14:paraId="613CA665">
        <w:tblPrEx>
          <w:shd w:val="clear" w:color="auto" w:fill="FBFBFB"/>
          <w:tblCellMar>
            <w:top w:w="0" w:type="dxa"/>
            <w:left w:w="0" w:type="dxa"/>
            <w:bottom w:w="0" w:type="dxa"/>
            <w:right w:w="0" w:type="dxa"/>
          </w:tblCellMar>
        </w:tblPrEx>
        <w:trPr>
          <w:tblHeader/>
        </w:trPr>
        <w:tc>
          <w:tcPr>
            <w:tcW w:w="462"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FBCCE02">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151"/>
                <w:kern w:val="0"/>
                <w:sz w:val="24"/>
                <w:highlight w:val="none"/>
              </w:rPr>
              <w:t>序</w:t>
            </w:r>
            <w:r>
              <w:rPr>
                <w:rFonts w:hint="eastAsia" w:ascii="宋体" w:hAnsi="宋体" w:eastAsia="宋体" w:cs="宋体"/>
                <w:b/>
                <w:bCs/>
                <w:color w:val="auto"/>
                <w:spacing w:val="0"/>
                <w:kern w:val="0"/>
                <w:sz w:val="24"/>
                <w:highlight w:val="none"/>
              </w:rPr>
              <w:t>号</w:t>
            </w:r>
          </w:p>
        </w:tc>
        <w:tc>
          <w:tcPr>
            <w:tcW w:w="1846"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77574BE6">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52"/>
                <w:kern w:val="0"/>
                <w:sz w:val="24"/>
                <w:highlight w:val="none"/>
              </w:rPr>
              <w:t>直接管理关系单位名</w:t>
            </w:r>
            <w:r>
              <w:rPr>
                <w:rFonts w:hint="eastAsia" w:ascii="宋体" w:hAnsi="宋体" w:eastAsia="宋体" w:cs="宋体"/>
                <w:b/>
                <w:bCs/>
                <w:color w:val="auto"/>
                <w:spacing w:val="0"/>
                <w:kern w:val="0"/>
                <w:sz w:val="24"/>
                <w:highlight w:val="none"/>
              </w:rPr>
              <w:t>称</w:t>
            </w:r>
          </w:p>
        </w:tc>
        <w:tc>
          <w:tcPr>
            <w:tcW w:w="1621"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4E5102DA">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70"/>
                <w:kern w:val="0"/>
                <w:sz w:val="24"/>
                <w:highlight w:val="none"/>
              </w:rPr>
              <w:t>统一社会信用代</w:t>
            </w:r>
            <w:r>
              <w:rPr>
                <w:rFonts w:hint="eastAsia" w:ascii="宋体" w:hAnsi="宋体" w:eastAsia="宋体" w:cs="宋体"/>
                <w:b/>
                <w:bCs/>
                <w:color w:val="auto"/>
                <w:spacing w:val="0"/>
                <w:kern w:val="0"/>
                <w:sz w:val="24"/>
                <w:highlight w:val="none"/>
              </w:rPr>
              <w:t>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E6CF50B">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669"/>
                <w:kern w:val="0"/>
                <w:sz w:val="24"/>
                <w:highlight w:val="none"/>
              </w:rPr>
              <w:t>备</w:t>
            </w:r>
            <w:r>
              <w:rPr>
                <w:rFonts w:hint="eastAsia" w:ascii="宋体" w:hAnsi="宋体" w:eastAsia="宋体" w:cs="宋体"/>
                <w:b/>
                <w:bCs/>
                <w:color w:val="auto"/>
                <w:spacing w:val="0"/>
                <w:kern w:val="0"/>
                <w:sz w:val="24"/>
                <w:highlight w:val="none"/>
              </w:rPr>
              <w:t>注</w:t>
            </w:r>
          </w:p>
        </w:tc>
      </w:tr>
      <w:tr w14:paraId="64841370">
        <w:tblPrEx>
          <w:shd w:val="clear" w:color="auto" w:fill="FBFBFB"/>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9B0D6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F97E08">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B55DF0">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671AE">
            <w:pPr>
              <w:spacing w:line="360" w:lineRule="auto"/>
              <w:jc w:val="center"/>
              <w:rPr>
                <w:rFonts w:hint="eastAsia" w:ascii="宋体" w:hAnsi="宋体" w:eastAsia="宋体" w:cs="宋体"/>
                <w:color w:val="auto"/>
                <w:kern w:val="0"/>
                <w:sz w:val="24"/>
                <w:highlight w:val="none"/>
              </w:rPr>
            </w:pPr>
          </w:p>
        </w:tc>
      </w:tr>
      <w:tr w14:paraId="51AA21FB">
        <w:tblPrEx>
          <w:shd w:val="clear" w:color="auto" w:fill="FBFBFB"/>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B3526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71BF">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28586">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2540FA">
            <w:pPr>
              <w:spacing w:line="360" w:lineRule="auto"/>
              <w:jc w:val="center"/>
              <w:rPr>
                <w:rFonts w:hint="eastAsia" w:ascii="宋体" w:hAnsi="宋体" w:eastAsia="宋体" w:cs="宋体"/>
                <w:color w:val="auto"/>
                <w:kern w:val="0"/>
                <w:sz w:val="24"/>
                <w:highlight w:val="none"/>
              </w:rPr>
            </w:pPr>
          </w:p>
        </w:tc>
      </w:tr>
      <w:tr w14:paraId="3E31958C">
        <w:tblPrEx>
          <w:shd w:val="clear" w:color="auto" w:fill="FBFBFB"/>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F65B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E93648">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7F1C3C">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E23C33">
            <w:pPr>
              <w:spacing w:line="360" w:lineRule="auto"/>
              <w:jc w:val="center"/>
              <w:rPr>
                <w:rFonts w:hint="eastAsia" w:ascii="宋体" w:hAnsi="宋体" w:eastAsia="宋体" w:cs="宋体"/>
                <w:color w:val="auto"/>
                <w:kern w:val="0"/>
                <w:sz w:val="24"/>
                <w:highlight w:val="none"/>
              </w:rPr>
            </w:pPr>
          </w:p>
        </w:tc>
      </w:tr>
      <w:tr w14:paraId="20AA7F43">
        <w:tblPrEx>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460BE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602848">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064867">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381F77">
            <w:pPr>
              <w:spacing w:line="360" w:lineRule="auto"/>
              <w:jc w:val="center"/>
              <w:rPr>
                <w:rFonts w:hint="eastAsia" w:ascii="宋体" w:hAnsi="宋体" w:eastAsia="宋体" w:cs="宋体"/>
                <w:color w:val="auto"/>
                <w:kern w:val="0"/>
                <w:sz w:val="24"/>
                <w:highlight w:val="none"/>
              </w:rPr>
            </w:pPr>
          </w:p>
        </w:tc>
      </w:tr>
    </w:tbl>
    <w:p w14:paraId="02C06FC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585E9E">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5BDF02EC">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26890F69">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不存在直接管理关系的，则填“无”。</w:t>
      </w:r>
    </w:p>
    <w:p w14:paraId="59626EB4">
      <w:pPr>
        <w:snapToGrid w:val="0"/>
        <w:spacing w:line="360" w:lineRule="auto"/>
        <w:jc w:val="left"/>
        <w:rPr>
          <w:rFonts w:hint="eastAsia" w:ascii="宋体" w:hAnsi="宋体" w:eastAsia="宋体" w:cs="宋体"/>
          <w:color w:val="auto"/>
          <w:sz w:val="24"/>
          <w:highlight w:val="none"/>
        </w:rPr>
      </w:pPr>
    </w:p>
    <w:p w14:paraId="048FAAD1">
      <w:pPr>
        <w:snapToGrid w:val="0"/>
        <w:spacing w:line="360" w:lineRule="auto"/>
        <w:jc w:val="left"/>
        <w:rPr>
          <w:rFonts w:hint="eastAsia" w:ascii="宋体" w:hAnsi="宋体" w:eastAsia="宋体" w:cs="宋体"/>
          <w:color w:val="auto"/>
          <w:sz w:val="24"/>
          <w:highlight w:val="none"/>
        </w:rPr>
      </w:pPr>
    </w:p>
    <w:p w14:paraId="49F43828">
      <w:pPr>
        <w:snapToGrid w:val="0"/>
        <w:spacing w:line="360" w:lineRule="auto"/>
        <w:jc w:val="left"/>
        <w:rPr>
          <w:rFonts w:hint="eastAsia" w:ascii="宋体" w:hAnsi="宋体" w:eastAsia="宋体" w:cs="宋体"/>
          <w:color w:val="auto"/>
          <w:sz w:val="24"/>
          <w:highlight w:val="none"/>
        </w:rPr>
      </w:pPr>
    </w:p>
    <w:p w14:paraId="7D171ECE">
      <w:pPr>
        <w:snapToGrid w:val="0"/>
        <w:spacing w:line="360" w:lineRule="auto"/>
        <w:jc w:val="left"/>
        <w:rPr>
          <w:rFonts w:hint="eastAsia" w:ascii="宋体" w:hAnsi="宋体" w:eastAsia="宋体" w:cs="宋体"/>
          <w:color w:val="auto"/>
          <w:sz w:val="24"/>
          <w:highlight w:val="none"/>
        </w:rPr>
      </w:pPr>
    </w:p>
    <w:p w14:paraId="16D357CF">
      <w:pPr>
        <w:snapToGrid w:val="0"/>
        <w:spacing w:line="360" w:lineRule="auto"/>
        <w:jc w:val="left"/>
        <w:rPr>
          <w:rFonts w:hint="eastAsia" w:ascii="宋体" w:hAnsi="宋体" w:eastAsia="宋体" w:cs="宋体"/>
          <w:color w:val="auto"/>
          <w:sz w:val="24"/>
          <w:highlight w:val="none"/>
        </w:rPr>
      </w:pPr>
    </w:p>
    <w:p w14:paraId="454D394C">
      <w:pPr>
        <w:snapToGrid w:val="0"/>
        <w:spacing w:line="360" w:lineRule="auto"/>
        <w:jc w:val="left"/>
        <w:rPr>
          <w:rFonts w:hint="eastAsia" w:ascii="宋体" w:hAnsi="宋体" w:eastAsia="宋体" w:cs="宋体"/>
          <w:color w:val="auto"/>
          <w:sz w:val="24"/>
          <w:highlight w:val="none"/>
        </w:rPr>
      </w:pPr>
    </w:p>
    <w:p w14:paraId="57524C13">
      <w:pPr>
        <w:snapToGrid w:val="0"/>
        <w:spacing w:line="360" w:lineRule="auto"/>
        <w:jc w:val="left"/>
        <w:rPr>
          <w:rFonts w:hint="eastAsia" w:ascii="宋体" w:hAnsi="宋体" w:eastAsia="宋体" w:cs="宋体"/>
          <w:color w:val="auto"/>
          <w:sz w:val="24"/>
          <w:highlight w:val="none"/>
        </w:rPr>
      </w:pPr>
    </w:p>
    <w:p w14:paraId="60197D10">
      <w:pPr>
        <w:snapToGrid w:val="0"/>
        <w:spacing w:before="120" w:beforeLines="50" w:line="360" w:lineRule="auto"/>
        <w:ind w:right="480" w:firstLine="3967" w:firstLineChars="165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17886645">
      <w:pPr>
        <w:snapToGrid w:val="0"/>
        <w:spacing w:before="120" w:beforeLines="50" w:after="50" w:line="360" w:lineRule="auto"/>
        <w:ind w:right="480"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18A6E961">
      <w:pPr>
        <w:snapToGrid w:val="0"/>
        <w:spacing w:before="120" w:beforeLines="50" w:after="50" w:line="360" w:lineRule="auto"/>
        <w:ind w:right="480" w:firstLine="240" w:firstLineChars="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4DFA5EB">
      <w:pPr>
        <w:snapToGrid/>
        <w:spacing w:before="0" w:beforeLines="-2147483648" w:after="0" w:line="360" w:lineRule="auto"/>
        <w:outlineLvl w:val="9"/>
        <w:rPr>
          <w:rFonts w:hint="eastAsia" w:ascii="宋体" w:hAnsi="宋体" w:cs="宋体"/>
          <w:b/>
          <w:bCs/>
          <w:color w:val="auto"/>
          <w:sz w:val="28"/>
          <w:szCs w:val="28"/>
          <w:highlight w:val="none"/>
        </w:rPr>
      </w:pPr>
      <w:r>
        <w:rPr>
          <w:rFonts w:hint="eastAsia" w:ascii="宋体" w:hAnsi="宋体" w:eastAsia="宋体" w:cs="宋体"/>
          <w:b/>
          <w:color w:val="auto"/>
          <w:sz w:val="24"/>
          <w:highlight w:val="none"/>
        </w:rPr>
        <w:br w:type="page"/>
      </w:r>
    </w:p>
    <w:p w14:paraId="3AA7F6E1">
      <w:pPr>
        <w:snapToGrid/>
        <w:spacing w:before="0" w:beforeLines="-2147483648" w:after="0" w:line="360" w:lineRule="auto"/>
        <w:outlineLvl w:val="9"/>
        <w:rPr>
          <w:rFonts w:hint="eastAsia" w:ascii="宋体" w:hAnsi="宋体" w:cs="宋体"/>
          <w:b/>
          <w:bCs/>
          <w:color w:val="auto"/>
          <w:sz w:val="28"/>
          <w:szCs w:val="28"/>
          <w:highlight w:val="none"/>
        </w:rPr>
      </w:pPr>
    </w:p>
    <w:p w14:paraId="53EAE9E0">
      <w:pPr>
        <w:snapToGrid/>
        <w:spacing w:before="0" w:beforeLines="-2147483648" w:after="0" w:line="360" w:lineRule="auto"/>
        <w:outlineLvl w:val="9"/>
        <w:rPr>
          <w:rFonts w:hint="eastAsia" w:ascii="宋体" w:hAnsi="宋体" w:cs="宋体"/>
          <w:b/>
          <w:bCs/>
          <w:color w:val="auto"/>
          <w:sz w:val="28"/>
          <w:szCs w:val="28"/>
          <w:highlight w:val="none"/>
        </w:rPr>
      </w:pPr>
    </w:p>
    <w:p w14:paraId="596CD296">
      <w:pPr>
        <w:snapToGrid/>
        <w:spacing w:before="0" w:beforeLines="-2147483648" w:after="0" w:line="360" w:lineRule="auto"/>
        <w:outlineLvl w:val="9"/>
        <w:rPr>
          <w:rFonts w:hint="eastAsia" w:ascii="宋体" w:hAnsi="宋体" w:cs="宋体"/>
          <w:b/>
          <w:bCs/>
          <w:color w:val="auto"/>
          <w:sz w:val="28"/>
          <w:szCs w:val="28"/>
          <w:highlight w:val="none"/>
        </w:rPr>
      </w:pPr>
    </w:p>
    <w:p w14:paraId="29560097">
      <w:pPr>
        <w:snapToGrid/>
        <w:spacing w:before="0" w:beforeLines="-2147483648" w:after="0" w:line="360" w:lineRule="auto"/>
        <w:outlineLvl w:val="9"/>
        <w:rPr>
          <w:rFonts w:hint="eastAsia" w:ascii="宋体" w:hAnsi="宋体" w:cs="宋体"/>
          <w:b/>
          <w:bCs/>
          <w:color w:val="auto"/>
          <w:sz w:val="28"/>
          <w:szCs w:val="28"/>
          <w:highlight w:val="none"/>
        </w:rPr>
      </w:pPr>
    </w:p>
    <w:p w14:paraId="5C0F4EB2">
      <w:pPr>
        <w:snapToGrid/>
        <w:spacing w:before="0" w:beforeLines="-2147483648" w:after="0" w:line="360" w:lineRule="auto"/>
        <w:outlineLvl w:val="9"/>
        <w:rPr>
          <w:rFonts w:hint="eastAsia" w:ascii="宋体" w:hAnsi="宋体" w:cs="宋体"/>
          <w:b/>
          <w:bCs/>
          <w:color w:val="auto"/>
          <w:sz w:val="28"/>
          <w:szCs w:val="28"/>
          <w:highlight w:val="none"/>
        </w:rPr>
      </w:pPr>
    </w:p>
    <w:p w14:paraId="2F2C751C">
      <w:pPr>
        <w:snapToGrid/>
        <w:spacing w:before="0" w:beforeLines="-2147483648" w:after="0" w:line="360" w:lineRule="auto"/>
        <w:outlineLvl w:val="9"/>
        <w:rPr>
          <w:rFonts w:hint="eastAsia" w:ascii="宋体" w:hAnsi="宋体" w:cs="宋体"/>
          <w:b/>
          <w:bCs/>
          <w:color w:val="auto"/>
          <w:sz w:val="28"/>
          <w:szCs w:val="28"/>
          <w:highlight w:val="none"/>
        </w:rPr>
      </w:pPr>
    </w:p>
    <w:p w14:paraId="5CF09F34">
      <w:pPr>
        <w:snapToGrid/>
        <w:spacing w:before="0" w:beforeLines="-2147483648" w:after="0" w:line="360" w:lineRule="auto"/>
        <w:outlineLvl w:val="9"/>
        <w:rPr>
          <w:rFonts w:hint="eastAsia" w:ascii="宋体" w:hAnsi="宋体" w:cs="宋体"/>
          <w:b/>
          <w:bCs/>
          <w:color w:val="auto"/>
          <w:sz w:val="28"/>
          <w:szCs w:val="28"/>
          <w:highlight w:val="none"/>
        </w:rPr>
      </w:pPr>
    </w:p>
    <w:p w14:paraId="4252AFFF">
      <w:pPr>
        <w:snapToGrid/>
        <w:spacing w:before="0" w:beforeLines="-2147483648" w:after="0" w:line="360" w:lineRule="auto"/>
        <w:outlineLvl w:val="9"/>
        <w:rPr>
          <w:rFonts w:hint="eastAsia" w:ascii="宋体" w:hAnsi="宋体" w:cs="宋体"/>
          <w:b/>
          <w:bCs/>
          <w:color w:val="auto"/>
          <w:sz w:val="28"/>
          <w:szCs w:val="28"/>
          <w:highlight w:val="none"/>
        </w:rPr>
      </w:pPr>
    </w:p>
    <w:p w14:paraId="7D5F7F5E">
      <w:pPr>
        <w:snapToGrid/>
        <w:spacing w:before="0" w:beforeLines="-2147483648" w:after="0" w:line="360" w:lineRule="auto"/>
        <w:outlineLvl w:val="9"/>
        <w:rPr>
          <w:rFonts w:hint="eastAsia" w:ascii="宋体" w:hAnsi="宋体" w:cs="宋体"/>
          <w:b/>
          <w:bCs/>
          <w:color w:val="auto"/>
          <w:sz w:val="28"/>
          <w:szCs w:val="28"/>
          <w:highlight w:val="none"/>
        </w:rPr>
      </w:pPr>
    </w:p>
    <w:p w14:paraId="5EC8001A">
      <w:pPr>
        <w:snapToGrid/>
        <w:spacing w:before="0" w:beforeLines="-2147483648" w:after="0" w:line="360" w:lineRule="auto"/>
        <w:outlineLvl w:val="9"/>
        <w:rPr>
          <w:rFonts w:hint="eastAsia" w:ascii="宋体" w:hAnsi="宋体" w:cs="宋体"/>
          <w:b/>
          <w:bCs/>
          <w:color w:val="auto"/>
          <w:sz w:val="28"/>
          <w:szCs w:val="28"/>
          <w:highlight w:val="none"/>
        </w:rPr>
      </w:pPr>
    </w:p>
    <w:p w14:paraId="3748A357">
      <w:pPr>
        <w:snapToGrid/>
        <w:spacing w:before="0" w:beforeLines="-2147483648" w:after="0" w:line="360" w:lineRule="auto"/>
        <w:outlineLvl w:val="9"/>
        <w:rPr>
          <w:rFonts w:hint="eastAsia" w:ascii="宋体" w:hAnsi="宋体" w:cs="宋体"/>
          <w:b/>
          <w:bCs/>
          <w:color w:val="auto"/>
          <w:sz w:val="28"/>
          <w:szCs w:val="28"/>
          <w:highlight w:val="none"/>
        </w:rPr>
      </w:pPr>
    </w:p>
    <w:p w14:paraId="5041DAE4">
      <w:pPr>
        <w:snapToGrid/>
        <w:spacing w:before="0" w:beforeLines="-2147483648" w:after="0" w:line="360" w:lineRule="auto"/>
        <w:outlineLvl w:val="9"/>
        <w:rPr>
          <w:rFonts w:hint="eastAsia" w:ascii="宋体" w:hAnsi="宋体" w:cs="宋体"/>
          <w:b/>
          <w:bCs/>
          <w:color w:val="auto"/>
          <w:sz w:val="28"/>
          <w:szCs w:val="28"/>
          <w:highlight w:val="none"/>
        </w:rPr>
      </w:pPr>
    </w:p>
    <w:p w14:paraId="7968C718">
      <w:pPr>
        <w:snapToGrid/>
        <w:spacing w:before="0" w:beforeLines="-2147483648" w:after="0" w:line="360" w:lineRule="auto"/>
        <w:outlineLvl w:val="9"/>
        <w:rPr>
          <w:rFonts w:hint="eastAsia" w:ascii="宋体" w:hAnsi="宋体" w:cs="宋体"/>
          <w:b/>
          <w:bCs/>
          <w:color w:val="auto"/>
          <w:sz w:val="28"/>
          <w:szCs w:val="28"/>
          <w:highlight w:val="none"/>
        </w:rPr>
      </w:pPr>
    </w:p>
    <w:p w14:paraId="03374D4B">
      <w:pPr>
        <w:snapToGrid/>
        <w:spacing w:before="0" w:beforeLines="-2147483648" w:after="0" w:line="360" w:lineRule="auto"/>
        <w:outlineLvl w:val="9"/>
        <w:rPr>
          <w:rFonts w:hint="eastAsia" w:ascii="宋体" w:hAnsi="宋体" w:cs="宋体"/>
          <w:b/>
          <w:bCs/>
          <w:color w:val="auto"/>
          <w:sz w:val="28"/>
          <w:szCs w:val="28"/>
          <w:highlight w:val="none"/>
        </w:rPr>
      </w:pPr>
    </w:p>
    <w:p w14:paraId="319337D7">
      <w:pPr>
        <w:snapToGrid/>
        <w:spacing w:before="0" w:beforeLines="-2147483648" w:after="0" w:line="360" w:lineRule="auto"/>
        <w:outlineLvl w:val="9"/>
        <w:rPr>
          <w:rFonts w:hint="eastAsia" w:ascii="宋体" w:hAnsi="宋体" w:cs="宋体"/>
          <w:b/>
          <w:bCs/>
          <w:color w:val="auto"/>
          <w:sz w:val="28"/>
          <w:szCs w:val="28"/>
          <w:highlight w:val="none"/>
        </w:rPr>
      </w:pPr>
    </w:p>
    <w:p w14:paraId="23F33372">
      <w:pPr>
        <w:snapToGrid/>
        <w:spacing w:before="0" w:beforeLines="-2147483648" w:after="0" w:line="360" w:lineRule="auto"/>
        <w:outlineLvl w:val="9"/>
        <w:rPr>
          <w:rFonts w:hint="eastAsia" w:ascii="宋体" w:hAnsi="宋体" w:cs="宋体"/>
          <w:b/>
          <w:bCs/>
          <w:color w:val="auto"/>
          <w:sz w:val="28"/>
          <w:szCs w:val="28"/>
          <w:highlight w:val="none"/>
        </w:rPr>
      </w:pPr>
    </w:p>
    <w:p w14:paraId="79FF62DD">
      <w:pPr>
        <w:snapToGrid/>
        <w:spacing w:before="0" w:beforeLines="-2147483648" w:after="0" w:line="360" w:lineRule="auto"/>
        <w:outlineLvl w:val="9"/>
        <w:rPr>
          <w:rFonts w:hint="eastAsia" w:ascii="宋体" w:hAnsi="宋体" w:cs="宋体"/>
          <w:b/>
          <w:bCs/>
          <w:color w:val="auto"/>
          <w:sz w:val="28"/>
          <w:szCs w:val="28"/>
          <w:highlight w:val="none"/>
        </w:rPr>
      </w:pPr>
    </w:p>
    <w:p w14:paraId="0D76C5C9">
      <w:pPr>
        <w:snapToGrid/>
        <w:spacing w:before="0" w:beforeLines="-2147483648" w:after="0" w:line="360" w:lineRule="auto"/>
        <w:outlineLvl w:val="9"/>
        <w:rPr>
          <w:rFonts w:hint="eastAsia" w:ascii="宋体" w:hAnsi="宋体" w:cs="宋体"/>
          <w:b/>
          <w:bCs/>
          <w:color w:val="auto"/>
          <w:sz w:val="28"/>
          <w:szCs w:val="28"/>
          <w:highlight w:val="none"/>
        </w:rPr>
      </w:pPr>
    </w:p>
    <w:p w14:paraId="76A900DA">
      <w:pPr>
        <w:snapToGrid/>
        <w:spacing w:before="0" w:beforeLines="-2147483648" w:after="0" w:line="360" w:lineRule="auto"/>
        <w:outlineLvl w:val="9"/>
        <w:rPr>
          <w:rFonts w:hint="eastAsia" w:ascii="宋体" w:hAnsi="宋体" w:cs="宋体"/>
          <w:b/>
          <w:bCs/>
          <w:color w:val="auto"/>
          <w:sz w:val="28"/>
          <w:szCs w:val="28"/>
          <w:highlight w:val="none"/>
        </w:rPr>
      </w:pPr>
    </w:p>
    <w:p w14:paraId="27C1FB5D">
      <w:pPr>
        <w:snapToGrid/>
        <w:spacing w:before="0" w:beforeLines="-2147483648" w:after="0" w:line="360" w:lineRule="auto"/>
        <w:outlineLvl w:val="9"/>
        <w:rPr>
          <w:rFonts w:hint="eastAsia" w:ascii="宋体" w:hAnsi="宋体" w:eastAsia="宋体" w:cs="宋体"/>
          <w:b/>
          <w:bCs/>
          <w:color w:val="auto"/>
          <w:sz w:val="28"/>
          <w:szCs w:val="32"/>
        </w:rPr>
      </w:pPr>
      <w:r>
        <w:rPr>
          <w:rFonts w:hint="eastAsia" w:ascii="宋体" w:hAnsi="宋体" w:eastAsia="宋体" w:cs="宋体"/>
          <w:b/>
          <w:bCs/>
          <w:color w:val="auto"/>
          <w:sz w:val="28"/>
          <w:szCs w:val="32"/>
        </w:rPr>
        <w:t>一、</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文件格式</w:t>
      </w:r>
    </w:p>
    <w:p w14:paraId="08CC9078">
      <w:pPr>
        <w:snapToGrid/>
        <w:spacing w:before="0" w:beforeLines="-2147483648" w:after="0" w:line="360" w:lineRule="auto"/>
        <w:jc w:val="left"/>
        <w:rPr>
          <w:rFonts w:hint="eastAsia" w:ascii="宋体" w:hAnsi="宋体" w:eastAsia="宋体" w:cs="宋体"/>
          <w:b/>
          <w:bCs/>
          <w:color w:val="auto"/>
          <w:sz w:val="28"/>
          <w:szCs w:val="32"/>
        </w:rPr>
      </w:pPr>
      <w:r>
        <w:rPr>
          <w:rFonts w:hint="eastAsia" w:ascii="宋体" w:hAnsi="宋体" w:eastAsia="宋体" w:cs="宋体"/>
          <w:b/>
          <w:bCs/>
          <w:color w:val="auto"/>
          <w:sz w:val="28"/>
          <w:szCs w:val="32"/>
        </w:rPr>
        <w:t>1.</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 xml:space="preserve">文件封面格式： </w:t>
      </w:r>
    </w:p>
    <w:p w14:paraId="278DC11B">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4D4C04D">
      <w:pPr>
        <w:snapToGrid w:val="0"/>
        <w:spacing w:before="156" w:beforeLines="50" w:after="50"/>
        <w:rPr>
          <w:rFonts w:hint="eastAsia" w:ascii="宋体" w:hAnsi="宋体"/>
          <w:color w:val="auto"/>
          <w:sz w:val="24"/>
          <w:szCs w:val="20"/>
          <w:highlight w:val="none"/>
        </w:rPr>
      </w:pPr>
    </w:p>
    <w:p w14:paraId="440E2FBF">
      <w:pPr>
        <w:pStyle w:val="3"/>
        <w:outlineLvl w:val="9"/>
        <w:rPr>
          <w:rFonts w:hint="eastAsia"/>
          <w:color w:val="auto"/>
          <w:highlight w:val="none"/>
        </w:rPr>
      </w:pPr>
    </w:p>
    <w:p w14:paraId="4E63E5F5">
      <w:pPr>
        <w:snapToGrid w:val="0"/>
        <w:spacing w:before="156" w:beforeLines="50" w:after="50"/>
        <w:rPr>
          <w:rFonts w:hint="eastAsia" w:ascii="宋体" w:hAnsi="宋体"/>
          <w:color w:val="auto"/>
          <w:sz w:val="24"/>
          <w:szCs w:val="20"/>
          <w:highlight w:val="none"/>
        </w:rPr>
      </w:pPr>
    </w:p>
    <w:p w14:paraId="110AE2DE">
      <w:pPr>
        <w:snapToGrid w:val="0"/>
        <w:spacing w:line="300" w:lineRule="auto"/>
        <w:jc w:val="center"/>
        <w:rPr>
          <w:rFonts w:hint="default" w:ascii="宋体" w:hAnsi="宋体" w:cs="宋体"/>
          <w:b w:val="0"/>
          <w:bCs/>
          <w:color w:val="auto"/>
          <w:sz w:val="96"/>
          <w:szCs w:val="21"/>
          <w:highlight w:val="none"/>
        </w:rPr>
      </w:pPr>
      <w:r>
        <w:rPr>
          <w:rFonts w:hint="eastAsia" w:ascii="宋体" w:hAnsi="宋体" w:cs="宋体"/>
          <w:b w:val="0"/>
          <w:bCs/>
          <w:color w:val="auto"/>
          <w:sz w:val="96"/>
          <w:szCs w:val="21"/>
          <w:highlight w:val="none"/>
          <w:lang w:val="en-US" w:eastAsia="zh-CN"/>
        </w:rPr>
        <w:t>报价</w:t>
      </w:r>
      <w:r>
        <w:rPr>
          <w:rFonts w:hint="default" w:ascii="宋体" w:hAnsi="宋体" w:cs="宋体"/>
          <w:b w:val="0"/>
          <w:bCs/>
          <w:color w:val="auto"/>
          <w:sz w:val="96"/>
          <w:szCs w:val="21"/>
          <w:highlight w:val="none"/>
        </w:rPr>
        <w:t>文件</w:t>
      </w:r>
    </w:p>
    <w:p w14:paraId="0B0B0407">
      <w:pPr>
        <w:snapToGrid w:val="0"/>
        <w:spacing w:before="156" w:beforeLines="50" w:after="50"/>
        <w:rPr>
          <w:rFonts w:hint="eastAsia" w:ascii="宋体" w:hAnsi="宋体"/>
          <w:bCs/>
          <w:color w:val="auto"/>
          <w:sz w:val="24"/>
          <w:szCs w:val="20"/>
          <w:highlight w:val="none"/>
        </w:rPr>
      </w:pPr>
    </w:p>
    <w:p w14:paraId="004C545A">
      <w:pPr>
        <w:snapToGrid w:val="0"/>
        <w:spacing w:before="156" w:beforeLines="50" w:after="50"/>
        <w:rPr>
          <w:rFonts w:hint="eastAsia" w:ascii="宋体" w:hAnsi="宋体"/>
          <w:bCs/>
          <w:color w:val="auto"/>
          <w:sz w:val="24"/>
          <w:szCs w:val="20"/>
          <w:highlight w:val="none"/>
        </w:rPr>
      </w:pPr>
    </w:p>
    <w:p w14:paraId="115EF913">
      <w:pPr>
        <w:snapToGrid w:val="0"/>
        <w:spacing w:before="156" w:beforeLines="50" w:after="50"/>
        <w:rPr>
          <w:rFonts w:hint="eastAsia" w:ascii="宋体" w:hAnsi="宋体"/>
          <w:bCs/>
          <w:color w:val="auto"/>
          <w:sz w:val="24"/>
          <w:szCs w:val="20"/>
          <w:highlight w:val="none"/>
        </w:rPr>
      </w:pPr>
    </w:p>
    <w:p w14:paraId="654D2BAF">
      <w:pPr>
        <w:snapToGrid w:val="0"/>
        <w:spacing w:before="156" w:beforeLines="50" w:after="50"/>
        <w:rPr>
          <w:rFonts w:hint="eastAsia" w:ascii="宋体" w:hAnsi="宋体"/>
          <w:bCs/>
          <w:color w:val="auto"/>
          <w:sz w:val="24"/>
          <w:szCs w:val="20"/>
          <w:highlight w:val="none"/>
        </w:rPr>
      </w:pPr>
    </w:p>
    <w:p w14:paraId="30B7DB64">
      <w:pPr>
        <w:pStyle w:val="3"/>
        <w:outlineLvl w:val="9"/>
        <w:rPr>
          <w:rFonts w:hint="eastAsia" w:ascii="宋体" w:hAnsi="宋体"/>
          <w:bCs/>
          <w:color w:val="auto"/>
          <w:sz w:val="24"/>
          <w:szCs w:val="20"/>
          <w:highlight w:val="none"/>
        </w:rPr>
      </w:pPr>
    </w:p>
    <w:p w14:paraId="7F2EFCC3">
      <w:pPr>
        <w:rPr>
          <w:rFonts w:hint="eastAsia"/>
          <w:color w:val="auto"/>
          <w:highlight w:val="none"/>
        </w:rPr>
      </w:pPr>
    </w:p>
    <w:p w14:paraId="2DFDA4C7">
      <w:pPr>
        <w:snapToGrid w:val="0"/>
        <w:spacing w:before="156" w:beforeLines="50" w:after="50"/>
        <w:rPr>
          <w:rFonts w:hint="eastAsia" w:ascii="宋体" w:hAnsi="宋体"/>
          <w:bCs/>
          <w:color w:val="auto"/>
          <w:sz w:val="24"/>
          <w:szCs w:val="20"/>
          <w:highlight w:val="none"/>
        </w:rPr>
      </w:pPr>
    </w:p>
    <w:p w14:paraId="48D0F6CD">
      <w:pPr>
        <w:snapToGrid w:val="0"/>
        <w:spacing w:before="156" w:beforeLines="50" w:after="50"/>
        <w:rPr>
          <w:rFonts w:hint="eastAsia" w:ascii="宋体" w:hAnsi="宋体"/>
          <w:bCs/>
          <w:color w:val="auto"/>
          <w:sz w:val="24"/>
          <w:szCs w:val="20"/>
          <w:highlight w:val="none"/>
        </w:rPr>
      </w:pPr>
    </w:p>
    <w:p w14:paraId="065AD72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26520477">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1ED8F14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0EA9FE1B">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15CD6F9E">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636E61E2">
      <w:pPr>
        <w:adjustRightInd w:val="0"/>
        <w:snapToGrid w:val="0"/>
        <w:spacing w:line="480" w:lineRule="auto"/>
        <w:jc w:val="center"/>
        <w:rPr>
          <w:rFonts w:hint="eastAsia" w:ascii="宋体" w:hAnsi="宋体" w:cs="宋体"/>
          <w:b/>
          <w:color w:val="auto"/>
          <w:sz w:val="28"/>
          <w:szCs w:val="28"/>
          <w:highlight w:val="none"/>
          <w:lang w:val="en-US" w:eastAsia="zh-CN"/>
        </w:rPr>
        <w:sectPr>
          <w:footerReference r:id="rId12" w:type="default"/>
          <w:footnotePr>
            <w:numFmt w:val="decimalEnclosedCircleChinese"/>
          </w:footnotePr>
          <w:pgSz w:w="11905" w:h="16838"/>
          <w:pgMar w:top="1134" w:right="1134" w:bottom="1134" w:left="1134" w:header="851" w:footer="907" w:gutter="0"/>
          <w:pgNumType w:fmt="decimal"/>
          <w:cols w:space="720" w:num="1"/>
          <w:rtlGutter w:val="0"/>
          <w:docGrid w:linePitch="312" w:charSpace="0"/>
        </w:sectPr>
      </w:pPr>
    </w:p>
    <w:bookmarkEnd w:id="1019"/>
    <w:bookmarkEnd w:id="1020"/>
    <w:bookmarkEnd w:id="1021"/>
    <w:p w14:paraId="449F08C7">
      <w:pPr>
        <w:snapToGrid w:val="0"/>
        <w:spacing w:before="156" w:beforeLines="50" w:after="50" w:line="360" w:lineRule="auto"/>
        <w:ind w:left="142"/>
        <w:jc w:val="left"/>
        <w:rPr>
          <w:rFonts w:hint="eastAsia" w:ascii="宋体" w:hAnsi="宋体" w:cs="宋体"/>
          <w:b/>
          <w:bCs/>
          <w:color w:val="auto"/>
          <w:sz w:val="24"/>
          <w:szCs w:val="24"/>
          <w:highlight w:val="none"/>
        </w:rPr>
      </w:pPr>
      <w:bookmarkStart w:id="1024" w:name="_Toc520983591"/>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报价</w:t>
      </w:r>
      <w:r>
        <w:rPr>
          <w:rFonts w:hint="eastAsia" w:ascii="宋体" w:hAnsi="宋体" w:cs="宋体"/>
          <w:b/>
          <w:bCs/>
          <w:color w:val="auto"/>
          <w:sz w:val="24"/>
          <w:szCs w:val="24"/>
          <w:highlight w:val="none"/>
        </w:rPr>
        <w:t>文件目录</w:t>
      </w:r>
    </w:p>
    <w:p w14:paraId="51F998E2">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2E3499A">
      <w:pPr>
        <w:widowControl/>
        <w:jc w:val="left"/>
        <w:rPr>
          <w:rFonts w:ascii="宋体" w:hAnsi="宋体" w:eastAsia="宋体"/>
          <w:b/>
          <w:color w:val="auto"/>
          <w:sz w:val="24"/>
          <w:highlight w:val="none"/>
        </w:rPr>
      </w:pPr>
    </w:p>
    <w:p w14:paraId="47E37F5A">
      <w:pPr>
        <w:spacing w:line="360" w:lineRule="auto"/>
        <w:jc w:val="center"/>
        <w:outlineLvl w:val="9"/>
        <w:rPr>
          <w:rFonts w:hint="eastAsia" w:ascii="宋体" w:hAnsi="宋体"/>
          <w:b/>
          <w:color w:val="auto"/>
          <w:sz w:val="24"/>
          <w:highlight w:val="none"/>
          <w:lang w:val="en-US" w:eastAsia="zh-CN"/>
        </w:rPr>
        <w:sectPr>
          <w:footerReference r:id="rId13"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CED793C">
      <w:pPr>
        <w:pStyle w:val="4"/>
        <w:bidi w:val="0"/>
        <w:jc w:val="center"/>
        <w:rPr>
          <w:color w:val="auto"/>
        </w:rPr>
      </w:pPr>
      <w:r>
        <w:rPr>
          <w:rFonts w:hint="eastAsia"/>
          <w:color w:val="auto"/>
        </w:rPr>
        <w:t>磋商响应函</w:t>
      </w:r>
      <w:bookmarkEnd w:id="1024"/>
    </w:p>
    <w:p w14:paraId="1D48AD33">
      <w:pPr>
        <w:adjustRightInd/>
        <w:snapToGrid/>
        <w:spacing w:line="360" w:lineRule="auto"/>
        <w:ind w:firstLine="0" w:firstLineChars="0"/>
        <w:jc w:val="left"/>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kern w:val="2"/>
          <w:sz w:val="24"/>
          <w:szCs w:val="24"/>
          <w:highlight w:val="none"/>
          <w:u w:val="none"/>
        </w:rPr>
        <w:t>致：</w:t>
      </w:r>
      <w:r>
        <w:rPr>
          <w:rFonts w:hint="eastAsia" w:ascii="宋体" w:hAnsi="宋体" w:cs="宋体"/>
          <w:b/>
          <w:bCs w:val="0"/>
          <w:color w:val="auto"/>
          <w:kern w:val="2"/>
          <w:sz w:val="24"/>
          <w:szCs w:val="24"/>
          <w:highlight w:val="none"/>
          <w:u w:val="none"/>
          <w:lang w:eastAsia="zh-CN"/>
        </w:rPr>
        <w:t xml:space="preserve">宁明县民族宗教服务中心 </w:t>
      </w:r>
    </w:p>
    <w:p w14:paraId="49EE6AC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根据你方项目编号为</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kern w:val="2"/>
          <w:sz w:val="24"/>
          <w:szCs w:val="24"/>
          <w:highlight w:val="none"/>
        </w:rPr>
        <w:t>，我方兹宣布同意如下：</w:t>
      </w:r>
    </w:p>
    <w:p w14:paraId="135D7A0D">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1．经踏勘项目现场和研究上述磋商文件的磋商须知、合同条款、图纸和工程建设技术标准及其他有关文件后，我方接受上述文件要求，并对工程量清单及最高投标限价（控制价）无异议。</w:t>
      </w:r>
      <w:r>
        <w:rPr>
          <w:rFonts w:hint="eastAsia" w:ascii="宋体" w:hAnsi="宋体" w:cs="宋体"/>
          <w:color w:val="auto"/>
          <w:kern w:val="2"/>
          <w:sz w:val="24"/>
          <w:szCs w:val="24"/>
          <w:highlight w:val="none"/>
          <w:lang w:val="en-US" w:eastAsia="zh-CN"/>
        </w:rPr>
        <w:t>本项目（____分标）（分标名称：___________）</w:t>
      </w:r>
      <w:r>
        <w:rPr>
          <w:rFonts w:hint="eastAsia" w:ascii="宋体" w:hAnsi="宋体" w:cs="宋体"/>
          <w:color w:val="auto"/>
          <w:sz w:val="22"/>
          <w:szCs w:val="22"/>
          <w:highlight w:val="none"/>
        </w:rPr>
        <w:t>我方投标报价为人民币（大写）</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eastAsia="宋体" w:cs="宋体"/>
          <w:color w:val="auto"/>
          <w:kern w:val="2"/>
          <w:sz w:val="24"/>
          <w:szCs w:val="24"/>
          <w:highlight w:val="none"/>
        </w:rPr>
        <w:t>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703150DA">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1204E9E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3．一旦我方成交，我方保证按磋商文件约定的工期和磋商文件或业主开工令的要求如期开工、竣工并移交整个工程。</w:t>
      </w:r>
    </w:p>
    <w:p w14:paraId="47661A1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4．一旦我方成交，我方保证工程质量达到合格标准。</w:t>
      </w:r>
    </w:p>
    <w:p w14:paraId="43975DA3">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5．一旦我方成交，我方保证响应文件中承诺的项目管理班子及施工机械设备到位，并按响应文件中的施工组织设计组织施工。</w:t>
      </w:r>
    </w:p>
    <w:p w14:paraId="18C4821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6F502809">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7．一旦我方成交，我方保证在规定的时间内由我方法定代表人亲自签订合同以及及时进场施工，并认真履行合同和其它各项承诺。</w:t>
      </w:r>
    </w:p>
    <w:p w14:paraId="6F0AAC95">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8．一旦我方成交，我方保证在规定的时间内按磋商文件规定的方式、金额向采购人提交履约担保。</w:t>
      </w:r>
    </w:p>
    <w:p w14:paraId="6CC230BC">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9．我方同意所提交的响应文件在磋商文件规定的磋商有效期内有效，在此期间内如果成交，我方将受此约束。</w:t>
      </w:r>
    </w:p>
    <w:p w14:paraId="0A68F6C0">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1D6F3CC7">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．我方承诺：</w:t>
      </w:r>
    </w:p>
    <w:p w14:paraId="447E8DB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）我方已对采购人提供的工程量清单和最高投标限价（控制价）进行认真复核，确认无误，成交后不再另行调整。</w:t>
      </w:r>
    </w:p>
    <w:p w14:paraId="5FAD947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本次磋商所提供企业业绩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采购人可取消我单位成交资格。采购人因此原因取消我单位成交资格的，视为我单位无正当理由放弃成交资格，同时贵单位可向我单位进一步追偿工期延误造成的一切损失。</w:t>
      </w:r>
    </w:p>
    <w:p w14:paraId="6D48CB88">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仿宋_GB2312"/>
          <w:color w:val="auto"/>
          <w:kern w:val="2"/>
          <w:sz w:val="24"/>
          <w:szCs w:val="24"/>
          <w:highlight w:val="none"/>
        </w:rPr>
        <w:t>（</w:t>
      </w:r>
      <w:r>
        <w:rPr>
          <w:rFonts w:hint="eastAsia" w:ascii="宋体" w:hAnsi="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rPr>
        <w:t>）我方报价中已包含磋商文件公布的施工扬尘污染防治费用和建筑工人实名制管理费用，未落实的施工扬尘污染防治和建筑工人实名制管理措施项目，</w:t>
      </w:r>
      <w:r>
        <w:rPr>
          <w:rFonts w:ascii="宋体" w:hAnsi="宋体" w:eastAsia="宋体" w:cs="@仿宋_GB2312"/>
          <w:color w:val="auto"/>
          <w:kern w:val="2"/>
          <w:sz w:val="24"/>
          <w:szCs w:val="24"/>
          <w:highlight w:val="none"/>
        </w:rPr>
        <w:t>工程竣工结算时按清单所列金额从工程结算价款中扣除。</w:t>
      </w:r>
    </w:p>
    <w:p w14:paraId="1FA07E11">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12</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补充说明事项（如有）       </w:t>
      </w:r>
    </w:p>
    <w:p w14:paraId="5BC78A4D">
      <w:pPr>
        <w:spacing w:line="360" w:lineRule="auto"/>
        <w:ind w:right="480" w:firstLine="3120" w:firstLineChars="1300"/>
        <w:rPr>
          <w:rFonts w:hint="eastAsia" w:ascii="宋体" w:hAnsi="宋体" w:eastAsia="宋体" w:cs="宋体"/>
          <w:color w:val="auto"/>
          <w:kern w:val="2"/>
          <w:sz w:val="24"/>
          <w:szCs w:val="24"/>
          <w:highlight w:val="none"/>
        </w:rPr>
      </w:pPr>
    </w:p>
    <w:p w14:paraId="3F63ED8A">
      <w:pPr>
        <w:spacing w:line="360" w:lineRule="auto"/>
        <w:ind w:right="480" w:firstLine="3120" w:firstLineChars="1300"/>
        <w:rPr>
          <w:rFonts w:hint="eastAsia" w:ascii="宋体" w:hAnsi="宋体" w:eastAsia="宋体" w:cs="宋体"/>
          <w:color w:val="auto"/>
          <w:kern w:val="2"/>
          <w:sz w:val="24"/>
          <w:szCs w:val="24"/>
          <w:highlight w:val="none"/>
        </w:rPr>
      </w:pPr>
    </w:p>
    <w:p w14:paraId="18E28377">
      <w:pPr>
        <w:spacing w:line="360" w:lineRule="auto"/>
        <w:ind w:right="480" w:firstLine="3120" w:firstLineChars="1300"/>
        <w:rPr>
          <w:rFonts w:hint="eastAsia" w:ascii="宋体" w:hAnsi="宋体" w:eastAsia="宋体" w:cs="宋体"/>
          <w:color w:val="auto"/>
          <w:kern w:val="2"/>
          <w:sz w:val="24"/>
          <w:szCs w:val="24"/>
          <w:highlight w:val="none"/>
        </w:rPr>
      </w:pPr>
    </w:p>
    <w:p w14:paraId="31D4223A">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497644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8EAB86A">
      <w:pPr>
        <w:widowControl/>
        <w:jc w:val="left"/>
        <w:rPr>
          <w:color w:val="auto"/>
          <w:sz w:val="24"/>
          <w:highlight w:val="none"/>
        </w:rPr>
        <w:sectPr>
          <w:footerReference r:id="rId14"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B9DAEA5">
      <w:pPr>
        <w:adjustRightInd w:val="0"/>
        <w:snapToGrid w:val="0"/>
        <w:spacing w:line="360" w:lineRule="auto"/>
        <w:jc w:val="center"/>
        <w:outlineLvl w:val="9"/>
        <w:rPr>
          <w:rFonts w:hint="eastAsia" w:ascii="宋体" w:hAnsi="宋体" w:eastAsia="宋体" w:cs="宋体"/>
          <w:b w:val="0"/>
          <w:bCs/>
          <w:color w:val="auto"/>
          <w:kern w:val="2"/>
          <w:sz w:val="44"/>
          <w:szCs w:val="44"/>
          <w:highlight w:val="none"/>
        </w:rPr>
      </w:pPr>
      <w:r>
        <w:rPr>
          <w:rFonts w:hint="eastAsia" w:ascii="宋体" w:hAnsi="宋体" w:eastAsia="宋体" w:cs="宋体"/>
          <w:b w:val="0"/>
          <w:bCs/>
          <w:color w:val="auto"/>
          <w:kern w:val="2"/>
          <w:sz w:val="44"/>
          <w:szCs w:val="44"/>
          <w:highlight w:val="none"/>
        </w:rPr>
        <w:t>工程量清单报价书</w:t>
      </w:r>
    </w:p>
    <w:p w14:paraId="122F102E">
      <w:pPr>
        <w:adjustRightInd w:val="0"/>
        <w:snapToGrid w:val="0"/>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1CC94A9C">
      <w:pPr>
        <w:pStyle w:val="3"/>
        <w:outlineLvl w:val="9"/>
        <w:rPr>
          <w:rFonts w:hint="default"/>
          <w:color w:val="auto"/>
          <w:highlight w:val="none"/>
          <w:lang w:val="en-US" w:eastAsia="zh-CN"/>
        </w:rPr>
        <w:sectPr>
          <w:footerReference r:id="rId15"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p>
    <w:p w14:paraId="4C5F0BA0">
      <w:pPr>
        <w:widowControl/>
        <w:jc w:val="left"/>
        <w:rPr>
          <w:rFonts w:ascii="宋体" w:hAnsi="宋体" w:eastAsia="宋体"/>
          <w:color w:val="auto"/>
          <w:sz w:val="24"/>
          <w:highlight w:val="none"/>
        </w:rPr>
      </w:pPr>
    </w:p>
    <w:p w14:paraId="5A4894DF">
      <w:pPr>
        <w:pStyle w:val="4"/>
        <w:bidi w:val="0"/>
        <w:jc w:val="center"/>
        <w:rPr>
          <w:color w:val="auto"/>
        </w:rPr>
      </w:pPr>
      <w:r>
        <w:rPr>
          <w:rFonts w:hint="eastAsia"/>
          <w:color w:val="auto"/>
        </w:rPr>
        <w:t>中小企业声明函</w:t>
      </w:r>
      <w:r>
        <w:rPr>
          <w:rStyle w:val="33"/>
          <w:rFonts w:hint="eastAsia"/>
          <w:color w:val="auto"/>
        </w:rPr>
        <w:footnoteReference w:id="3"/>
      </w:r>
    </w:p>
    <w:p w14:paraId="13A8ACC4">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（宁明县民族宗教服务中心 ）</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（某项目）</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650585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8F523A0">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59A9EA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52879FC7">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16A49B4A">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B8A857A">
      <w:pPr>
        <w:spacing w:line="360" w:lineRule="auto"/>
        <w:ind w:firstLine="435"/>
        <w:rPr>
          <w:rFonts w:ascii="宋体" w:hAnsi="宋体" w:eastAsia="宋体" w:cs="@仿宋_GB2312"/>
          <w:color w:val="auto"/>
          <w:kern w:val="2"/>
          <w:sz w:val="24"/>
          <w:szCs w:val="24"/>
          <w:highlight w:val="none"/>
        </w:rPr>
      </w:pPr>
    </w:p>
    <w:p w14:paraId="0608B92B">
      <w:pPr>
        <w:spacing w:line="360" w:lineRule="auto"/>
        <w:ind w:firstLine="435"/>
        <w:rPr>
          <w:rFonts w:ascii="宋体" w:hAnsi="宋体" w:eastAsia="宋体" w:cs="@仿宋_GB2312"/>
          <w:color w:val="auto"/>
          <w:kern w:val="2"/>
          <w:sz w:val="24"/>
          <w:szCs w:val="24"/>
          <w:highlight w:val="none"/>
        </w:rPr>
      </w:pPr>
    </w:p>
    <w:p w14:paraId="1A13CEFB">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7FBF57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B56F3D4">
      <w:pPr>
        <w:tabs>
          <w:tab w:val="left" w:pos="4620"/>
        </w:tabs>
        <w:spacing w:line="360" w:lineRule="auto"/>
        <w:jc w:val="left"/>
        <w:rPr>
          <w:rFonts w:ascii="宋体" w:hAnsi="宋体" w:eastAsia="宋体" w:cs="@仿宋_GB2312"/>
          <w:color w:val="auto"/>
          <w:kern w:val="2"/>
          <w:sz w:val="24"/>
          <w:szCs w:val="24"/>
          <w:highlight w:val="none"/>
        </w:rPr>
      </w:pPr>
    </w:p>
    <w:p w14:paraId="446111E9">
      <w:pPr>
        <w:tabs>
          <w:tab w:val="left" w:pos="4620"/>
        </w:tabs>
        <w:spacing w:line="360" w:lineRule="auto"/>
        <w:jc w:val="left"/>
        <w:rPr>
          <w:rFonts w:ascii="宋体" w:hAnsi="宋体" w:eastAsia="宋体" w:cs="@仿宋_GB2312"/>
          <w:color w:val="auto"/>
          <w:kern w:val="2"/>
          <w:sz w:val="24"/>
          <w:szCs w:val="24"/>
          <w:highlight w:val="none"/>
        </w:rPr>
      </w:pPr>
    </w:p>
    <w:p w14:paraId="320A8D55">
      <w:pPr>
        <w:tabs>
          <w:tab w:val="left" w:pos="4620"/>
        </w:tabs>
        <w:spacing w:line="360" w:lineRule="auto"/>
        <w:jc w:val="left"/>
        <w:rPr>
          <w:rFonts w:ascii="宋体" w:hAnsi="宋体" w:eastAsia="宋体" w:cs="@仿宋_GB2312"/>
          <w:color w:val="auto"/>
          <w:kern w:val="2"/>
          <w:sz w:val="24"/>
          <w:szCs w:val="24"/>
          <w:highlight w:val="none"/>
        </w:rPr>
      </w:pPr>
    </w:p>
    <w:p w14:paraId="73BDC01A">
      <w:pPr>
        <w:tabs>
          <w:tab w:val="left" w:pos="4620"/>
        </w:tabs>
        <w:spacing w:line="360" w:lineRule="auto"/>
        <w:jc w:val="left"/>
        <w:rPr>
          <w:rFonts w:ascii="宋体" w:hAnsi="宋体" w:eastAsia="宋体" w:cs="@仿宋_GB2312"/>
          <w:color w:val="auto"/>
          <w:kern w:val="2"/>
          <w:sz w:val="24"/>
          <w:szCs w:val="24"/>
          <w:highlight w:val="none"/>
        </w:rPr>
      </w:pPr>
    </w:p>
    <w:p w14:paraId="59466E30">
      <w:pPr>
        <w:widowControl/>
        <w:jc w:val="left"/>
        <w:rPr>
          <w:rFonts w:ascii="宋体" w:hAnsi="宋体" w:eastAsia="宋体"/>
          <w:color w:val="auto"/>
          <w:sz w:val="24"/>
          <w:highlight w:val="none"/>
        </w:rPr>
        <w:sectPr>
          <w:footerReference r:id="rId16"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0954FA06">
      <w:pPr>
        <w:pStyle w:val="4"/>
        <w:bidi w:val="0"/>
        <w:jc w:val="center"/>
        <w:rPr>
          <w:color w:val="auto"/>
        </w:rPr>
      </w:pPr>
      <w:r>
        <w:rPr>
          <w:rFonts w:hint="eastAsia"/>
          <w:color w:val="auto"/>
        </w:rPr>
        <w:t>残疾人福利性单位声明函</w:t>
      </w:r>
      <w:r>
        <w:rPr>
          <w:rStyle w:val="33"/>
          <w:rFonts w:hint="eastAsia"/>
          <w:color w:val="auto"/>
        </w:rPr>
        <w:footnoteReference w:id="4"/>
      </w:r>
    </w:p>
    <w:p w14:paraId="4ED27039">
      <w:pPr>
        <w:spacing w:line="360" w:lineRule="auto"/>
        <w:ind w:firstLine="435"/>
        <w:rPr>
          <w:rFonts w:ascii="宋体" w:hAnsi="宋体" w:eastAsia="宋体"/>
          <w:color w:val="auto"/>
          <w:spacing w:val="6"/>
          <w:sz w:val="24"/>
          <w:szCs w:val="24"/>
          <w:highlight w:val="none"/>
        </w:rPr>
      </w:pPr>
    </w:p>
    <w:p w14:paraId="2ADAF74E">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单位的</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项目</w:t>
      </w:r>
      <w:r>
        <w:rPr>
          <w:rFonts w:hint="eastAsia" w:ascii="宋体" w:hAnsi="宋体" w:eastAsia="宋体"/>
          <w:color w:val="auto"/>
          <w:spacing w:val="6"/>
          <w:sz w:val="24"/>
          <w:szCs w:val="24"/>
          <w:highlight w:val="none"/>
        </w:rPr>
        <w:t>采购活动由本单位承担工程。</w:t>
      </w:r>
    </w:p>
    <w:p w14:paraId="4120455F">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141CB29A">
      <w:pPr>
        <w:spacing w:line="360" w:lineRule="auto"/>
        <w:ind w:firstLine="4228" w:firstLineChars="1762"/>
        <w:rPr>
          <w:rFonts w:ascii="宋体" w:hAnsi="宋体" w:eastAsia="宋体"/>
          <w:color w:val="auto"/>
          <w:sz w:val="24"/>
          <w:szCs w:val="24"/>
          <w:highlight w:val="none"/>
        </w:rPr>
      </w:pPr>
    </w:p>
    <w:p w14:paraId="2465B11A">
      <w:pPr>
        <w:spacing w:line="360" w:lineRule="auto"/>
        <w:ind w:firstLine="4228" w:firstLineChars="1762"/>
        <w:rPr>
          <w:rFonts w:ascii="宋体" w:hAnsi="宋体" w:eastAsia="宋体"/>
          <w:color w:val="auto"/>
          <w:sz w:val="24"/>
          <w:szCs w:val="24"/>
          <w:highlight w:val="none"/>
        </w:rPr>
      </w:pPr>
    </w:p>
    <w:p w14:paraId="5A07EC67">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06E7AAB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74A7E5A">
      <w:pPr>
        <w:widowControl/>
        <w:jc w:val="left"/>
        <w:rPr>
          <w:rFonts w:ascii="宋体" w:hAnsi="宋体" w:eastAsia="宋体"/>
          <w:color w:val="auto"/>
          <w:sz w:val="24"/>
          <w:highlight w:val="none"/>
        </w:rPr>
        <w:sectPr>
          <w:footerReference r:id="rId17"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7C465C61">
      <w:pPr>
        <w:snapToGrid/>
        <w:spacing w:before="0" w:beforeLines="-2147483648" w:after="0" w:line="360" w:lineRule="auto"/>
        <w:outlineLvl w:val="9"/>
        <w:rPr>
          <w:rFonts w:hint="eastAsia" w:ascii="宋体" w:hAnsi="宋体" w:eastAsia="宋体" w:cs="宋体"/>
          <w:b/>
          <w:bCs/>
          <w:color w:val="auto"/>
          <w:sz w:val="24"/>
          <w:szCs w:val="28"/>
        </w:rPr>
      </w:pPr>
      <w:bookmarkStart w:id="1025" w:name="_Hlk44283088"/>
      <w:r>
        <w:rPr>
          <w:rFonts w:hint="eastAsia" w:ascii="宋体" w:hAnsi="宋体" w:eastAsia="宋体" w:cs="宋体"/>
          <w:b/>
          <w:bCs/>
          <w:color w:val="auto"/>
          <w:sz w:val="24"/>
          <w:szCs w:val="28"/>
        </w:rPr>
        <w:t>一、</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文件格式</w:t>
      </w:r>
    </w:p>
    <w:p w14:paraId="036819CC">
      <w:pPr>
        <w:snapToGrid/>
        <w:spacing w:before="0" w:beforeLines="-2147483648" w:after="0" w:line="360" w:lineRule="auto"/>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rPr>
        <w:t>1.</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 xml:space="preserve">文件封面格式： </w:t>
      </w:r>
    </w:p>
    <w:p w14:paraId="28C610B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18B92135">
      <w:pPr>
        <w:snapToGrid w:val="0"/>
        <w:spacing w:before="156" w:beforeLines="50" w:after="50"/>
        <w:rPr>
          <w:rFonts w:hint="eastAsia" w:ascii="宋体" w:hAnsi="宋体"/>
          <w:color w:val="auto"/>
          <w:sz w:val="24"/>
          <w:szCs w:val="20"/>
          <w:highlight w:val="none"/>
        </w:rPr>
      </w:pPr>
    </w:p>
    <w:p w14:paraId="3CE034B4">
      <w:pPr>
        <w:snapToGrid w:val="0"/>
        <w:spacing w:before="156" w:beforeLines="50" w:after="50"/>
        <w:rPr>
          <w:rFonts w:hint="eastAsia" w:ascii="宋体" w:hAnsi="宋体"/>
          <w:color w:val="auto"/>
          <w:sz w:val="24"/>
          <w:szCs w:val="20"/>
          <w:highlight w:val="none"/>
        </w:rPr>
      </w:pPr>
    </w:p>
    <w:p w14:paraId="3B4049F2">
      <w:pPr>
        <w:snapToGrid w:val="0"/>
        <w:spacing w:line="300" w:lineRule="auto"/>
        <w:jc w:val="center"/>
        <w:rPr>
          <w:rFonts w:hint="default" w:ascii="宋体" w:hAnsi="宋体" w:cs="宋体"/>
          <w:b w:val="0"/>
          <w:bCs/>
          <w:color w:val="auto"/>
          <w:sz w:val="96"/>
          <w:szCs w:val="21"/>
          <w:highlight w:val="none"/>
          <w:lang w:val="en-US" w:eastAsia="zh-CN"/>
        </w:rPr>
      </w:pPr>
      <w:r>
        <w:rPr>
          <w:rFonts w:hint="eastAsia" w:ascii="宋体" w:hAnsi="宋体" w:cs="宋体"/>
          <w:b w:val="0"/>
          <w:bCs/>
          <w:color w:val="auto"/>
          <w:sz w:val="96"/>
          <w:szCs w:val="21"/>
          <w:highlight w:val="none"/>
          <w:lang w:val="en-US" w:eastAsia="zh-CN"/>
        </w:rPr>
        <w:t>商务技术</w:t>
      </w:r>
      <w:r>
        <w:rPr>
          <w:rFonts w:hint="default" w:ascii="宋体" w:hAnsi="宋体" w:cs="宋体"/>
          <w:b w:val="0"/>
          <w:bCs/>
          <w:color w:val="auto"/>
          <w:sz w:val="96"/>
          <w:szCs w:val="21"/>
          <w:highlight w:val="none"/>
          <w:lang w:val="en-US" w:eastAsia="zh-CN"/>
        </w:rPr>
        <w:t>文件</w:t>
      </w:r>
    </w:p>
    <w:p w14:paraId="369D11E1">
      <w:pPr>
        <w:snapToGrid w:val="0"/>
        <w:spacing w:before="156" w:beforeLines="50" w:after="50"/>
        <w:rPr>
          <w:rFonts w:hint="eastAsia" w:ascii="宋体" w:hAnsi="宋体"/>
          <w:bCs/>
          <w:color w:val="auto"/>
          <w:sz w:val="24"/>
          <w:szCs w:val="20"/>
          <w:highlight w:val="none"/>
        </w:rPr>
      </w:pPr>
    </w:p>
    <w:p w14:paraId="17FDCAE0">
      <w:pPr>
        <w:snapToGrid w:val="0"/>
        <w:spacing w:before="156" w:beforeLines="50" w:after="50"/>
        <w:rPr>
          <w:rFonts w:hint="eastAsia" w:ascii="宋体" w:hAnsi="宋体"/>
          <w:bCs/>
          <w:color w:val="auto"/>
          <w:sz w:val="24"/>
          <w:szCs w:val="20"/>
          <w:highlight w:val="none"/>
        </w:rPr>
      </w:pPr>
    </w:p>
    <w:p w14:paraId="181456EF">
      <w:pPr>
        <w:snapToGrid w:val="0"/>
        <w:spacing w:before="156" w:beforeLines="50" w:after="50"/>
        <w:rPr>
          <w:rFonts w:hint="eastAsia" w:ascii="宋体" w:hAnsi="宋体"/>
          <w:bCs/>
          <w:color w:val="auto"/>
          <w:sz w:val="24"/>
          <w:szCs w:val="20"/>
          <w:highlight w:val="none"/>
        </w:rPr>
      </w:pPr>
    </w:p>
    <w:p w14:paraId="10E4A075">
      <w:pPr>
        <w:snapToGrid w:val="0"/>
        <w:spacing w:before="156" w:beforeLines="50" w:after="50"/>
        <w:rPr>
          <w:rFonts w:hint="eastAsia" w:ascii="宋体" w:hAnsi="宋体"/>
          <w:bCs/>
          <w:color w:val="auto"/>
          <w:sz w:val="24"/>
          <w:szCs w:val="20"/>
          <w:highlight w:val="none"/>
        </w:rPr>
      </w:pPr>
    </w:p>
    <w:p w14:paraId="133850F3">
      <w:pPr>
        <w:pStyle w:val="38"/>
        <w:rPr>
          <w:rFonts w:hint="eastAsia" w:ascii="宋体" w:hAnsi="宋体"/>
          <w:bCs/>
          <w:color w:val="auto"/>
          <w:sz w:val="24"/>
          <w:szCs w:val="20"/>
          <w:highlight w:val="none"/>
        </w:rPr>
      </w:pPr>
    </w:p>
    <w:p w14:paraId="277F1A93">
      <w:pPr>
        <w:pStyle w:val="38"/>
        <w:rPr>
          <w:rFonts w:hint="eastAsia" w:ascii="宋体" w:hAnsi="宋体"/>
          <w:bCs/>
          <w:color w:val="auto"/>
          <w:sz w:val="24"/>
          <w:szCs w:val="20"/>
          <w:highlight w:val="none"/>
        </w:rPr>
      </w:pPr>
    </w:p>
    <w:p w14:paraId="229ABBA7">
      <w:pPr>
        <w:pStyle w:val="38"/>
        <w:rPr>
          <w:rFonts w:hint="eastAsia" w:ascii="宋体" w:hAnsi="宋体"/>
          <w:bCs/>
          <w:color w:val="auto"/>
          <w:sz w:val="24"/>
          <w:szCs w:val="20"/>
          <w:highlight w:val="none"/>
        </w:rPr>
      </w:pPr>
    </w:p>
    <w:p w14:paraId="5CDA040F">
      <w:pPr>
        <w:pStyle w:val="38"/>
        <w:rPr>
          <w:rFonts w:hint="eastAsia" w:ascii="宋体" w:hAnsi="宋体"/>
          <w:bCs/>
          <w:color w:val="auto"/>
          <w:sz w:val="24"/>
          <w:szCs w:val="20"/>
          <w:highlight w:val="none"/>
        </w:rPr>
      </w:pPr>
    </w:p>
    <w:p w14:paraId="44679AEB">
      <w:pPr>
        <w:pStyle w:val="38"/>
        <w:rPr>
          <w:rFonts w:hint="eastAsia" w:ascii="宋体" w:hAnsi="宋体"/>
          <w:bCs/>
          <w:color w:val="auto"/>
          <w:sz w:val="24"/>
          <w:szCs w:val="20"/>
          <w:highlight w:val="none"/>
        </w:rPr>
      </w:pPr>
    </w:p>
    <w:p w14:paraId="0930FF14">
      <w:pPr>
        <w:pStyle w:val="38"/>
        <w:rPr>
          <w:rFonts w:hint="eastAsia" w:ascii="宋体" w:hAnsi="宋体"/>
          <w:bCs/>
          <w:color w:val="auto"/>
          <w:sz w:val="24"/>
          <w:szCs w:val="20"/>
          <w:highlight w:val="none"/>
        </w:rPr>
      </w:pPr>
    </w:p>
    <w:p w14:paraId="767D839D">
      <w:pPr>
        <w:rPr>
          <w:rFonts w:hint="eastAsia" w:ascii="宋体" w:hAnsi="宋体"/>
          <w:bCs/>
          <w:color w:val="auto"/>
          <w:sz w:val="24"/>
          <w:szCs w:val="20"/>
          <w:highlight w:val="none"/>
        </w:rPr>
      </w:pPr>
    </w:p>
    <w:p w14:paraId="4E5C4025">
      <w:pPr>
        <w:rPr>
          <w:rFonts w:hint="eastAsia" w:ascii="宋体" w:hAnsi="宋体"/>
          <w:bCs/>
          <w:color w:val="auto"/>
          <w:sz w:val="24"/>
          <w:szCs w:val="20"/>
          <w:highlight w:val="none"/>
        </w:rPr>
      </w:pPr>
    </w:p>
    <w:p w14:paraId="74A49EE5">
      <w:pPr>
        <w:rPr>
          <w:rFonts w:hint="eastAsia" w:ascii="宋体" w:hAnsi="宋体"/>
          <w:bCs/>
          <w:color w:val="auto"/>
          <w:sz w:val="24"/>
          <w:szCs w:val="20"/>
          <w:highlight w:val="none"/>
        </w:rPr>
      </w:pPr>
    </w:p>
    <w:p w14:paraId="59C4B4E9">
      <w:pPr>
        <w:rPr>
          <w:rFonts w:hint="eastAsia" w:ascii="宋体" w:hAnsi="宋体"/>
          <w:bCs/>
          <w:color w:val="auto"/>
          <w:sz w:val="24"/>
          <w:szCs w:val="20"/>
          <w:highlight w:val="none"/>
        </w:rPr>
      </w:pPr>
    </w:p>
    <w:p w14:paraId="7A038979">
      <w:pPr>
        <w:pStyle w:val="38"/>
        <w:rPr>
          <w:rFonts w:hint="eastAsia" w:ascii="宋体" w:hAnsi="宋体"/>
          <w:bCs/>
          <w:color w:val="auto"/>
          <w:sz w:val="24"/>
          <w:szCs w:val="20"/>
          <w:highlight w:val="none"/>
        </w:rPr>
      </w:pPr>
    </w:p>
    <w:p w14:paraId="505705EF">
      <w:pPr>
        <w:snapToGrid w:val="0"/>
        <w:spacing w:before="156" w:beforeLines="50" w:after="50"/>
        <w:rPr>
          <w:rFonts w:hint="eastAsia" w:ascii="宋体" w:hAnsi="宋体"/>
          <w:bCs/>
          <w:color w:val="auto"/>
          <w:sz w:val="24"/>
          <w:szCs w:val="20"/>
          <w:highlight w:val="none"/>
        </w:rPr>
      </w:pPr>
    </w:p>
    <w:p w14:paraId="047096B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0AE4EC91">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4170503B">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4F328F72">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5546CD52">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5F6C89FB">
      <w:pPr>
        <w:widowControl/>
        <w:jc w:val="left"/>
        <w:rPr>
          <w:rFonts w:ascii="宋体" w:hAnsi="宋体" w:eastAsia="宋体"/>
          <w:b/>
          <w:color w:val="auto"/>
          <w:sz w:val="24"/>
          <w:highlight w:val="none"/>
        </w:rPr>
        <w:sectPr>
          <w:footerReference r:id="rId18"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bookmarkEnd w:id="1025"/>
    <w:p w14:paraId="11C4810F">
      <w:pPr>
        <w:snapToGrid w:val="0"/>
        <w:spacing w:before="156" w:beforeLines="50" w:after="50" w:line="360" w:lineRule="auto"/>
        <w:ind w:lef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商务技术</w:t>
      </w:r>
      <w:r>
        <w:rPr>
          <w:rFonts w:hint="eastAsia" w:ascii="宋体" w:hAnsi="宋体" w:cs="宋体"/>
          <w:b/>
          <w:bCs/>
          <w:color w:val="auto"/>
          <w:sz w:val="24"/>
          <w:szCs w:val="24"/>
          <w:highlight w:val="none"/>
        </w:rPr>
        <w:t>文件目录</w:t>
      </w:r>
    </w:p>
    <w:p w14:paraId="1F62D217">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5FB781B">
      <w:pPr>
        <w:spacing w:line="520" w:lineRule="exact"/>
        <w:jc w:val="center"/>
        <w:rPr>
          <w:rFonts w:hint="eastAsia" w:ascii="宋体" w:hAnsi="宋体" w:cs="宋体"/>
          <w:b/>
          <w:bCs/>
          <w:color w:val="auto"/>
          <w:sz w:val="22"/>
          <w:szCs w:val="22"/>
          <w:highlight w:val="none"/>
        </w:rPr>
      </w:pPr>
    </w:p>
    <w:p w14:paraId="587E7B04">
      <w:pPr>
        <w:pStyle w:val="4"/>
        <w:jc w:val="center"/>
        <w:rPr>
          <w:rFonts w:hint="eastAsia"/>
          <w:color w:val="auto"/>
          <w:lang w:val="en-US" w:eastAsia="zh-CN"/>
        </w:rPr>
        <w:sectPr>
          <w:footerReference r:id="rId19" w:type="default"/>
          <w:footnotePr>
            <w:numFmt w:val="decimalEnclosedCircleChinese"/>
          </w:footnotePr>
          <w:pgSz w:w="11911" w:h="16838"/>
          <w:pgMar w:top="1134" w:right="1134" w:bottom="1134" w:left="1134" w:header="850" w:footer="856" w:gutter="0"/>
          <w:pgNumType w:fmt="decimal"/>
          <w:cols w:space="720" w:num="1"/>
          <w:rtlGutter w:val="0"/>
          <w:docGrid w:linePitch="331" w:charSpace="0"/>
        </w:sectPr>
      </w:pPr>
    </w:p>
    <w:p w14:paraId="5CF65621">
      <w:pPr>
        <w:pStyle w:val="18"/>
        <w:snapToGrid w:val="0"/>
        <w:ind w:left="480" w:hanging="480"/>
        <w:jc w:val="center"/>
        <w:rPr>
          <w:rFonts w:hint="eastAsia" w:ascii="宋体" w:hAnsi="宋体"/>
          <w:b/>
          <w:bCs/>
          <w:color w:val="auto"/>
          <w:sz w:val="24"/>
        </w:rPr>
      </w:pPr>
      <w:bookmarkStart w:id="1026" w:name="_Toc13133"/>
      <w:bookmarkStart w:id="1027" w:name="_Toc7311"/>
      <w:bookmarkStart w:id="1028" w:name="_Toc22780"/>
      <w:bookmarkStart w:id="1029" w:name="_Toc311"/>
      <w:bookmarkStart w:id="1030" w:name="_Toc11445"/>
      <w:bookmarkStart w:id="1031" w:name="_Toc60608832"/>
      <w:bookmarkStart w:id="1032" w:name="_Toc6201"/>
      <w:r>
        <w:rPr>
          <w:rFonts w:hint="eastAsia" w:ascii="宋体" w:hAnsi="宋体" w:cs="宋体"/>
          <w:b/>
          <w:bCs/>
          <w:color w:val="auto"/>
          <w:sz w:val="24"/>
          <w:szCs w:val="24"/>
          <w:highlight w:val="none"/>
          <w:u w:val="none"/>
          <w:lang w:val="en-US" w:eastAsia="zh-CN"/>
        </w:rPr>
        <w:t>供应商</w:t>
      </w:r>
      <w:r>
        <w:rPr>
          <w:rFonts w:hint="eastAsia" w:ascii="宋体" w:hAnsi="宋体" w:cs="宋体"/>
          <w:b/>
          <w:bCs/>
          <w:color w:val="auto"/>
          <w:sz w:val="24"/>
          <w:szCs w:val="24"/>
          <w:highlight w:val="none"/>
          <w:u w:val="none"/>
        </w:rPr>
        <w:t>类似的业绩证明文件</w:t>
      </w:r>
    </w:p>
    <w:p w14:paraId="1E55B5AF">
      <w:pPr>
        <w:pStyle w:val="18"/>
        <w:snapToGrid w:val="0"/>
        <w:ind w:left="480" w:hanging="480"/>
        <w:jc w:val="center"/>
        <w:rPr>
          <w:rFonts w:hint="eastAsia" w:ascii="宋体" w:hAnsi="宋体"/>
          <w:color w:val="auto"/>
          <w:sz w:val="24"/>
        </w:rPr>
      </w:pPr>
    </w:p>
    <w:p w14:paraId="750184FA">
      <w:pPr>
        <w:pStyle w:val="18"/>
        <w:snapToGrid w:val="0"/>
        <w:ind w:left="480" w:hanging="480"/>
        <w:rPr>
          <w:rFonts w:hint="eastAsia" w:ascii="宋体" w:hAnsi="宋体"/>
          <w:color w:val="auto"/>
          <w:sz w:val="24"/>
        </w:rPr>
      </w:pPr>
      <w:r>
        <w:rPr>
          <w:rFonts w:hint="eastAsia" w:ascii="宋体" w:hAnsi="宋体"/>
          <w:color w:val="auto"/>
          <w:sz w:val="24"/>
          <w:lang w:val="en-US" w:eastAsia="zh-CN"/>
        </w:rPr>
        <w:t>供应商</w:t>
      </w:r>
      <w:r>
        <w:rPr>
          <w:rFonts w:hint="eastAsia" w:ascii="宋体" w:hAnsi="宋体"/>
          <w:color w:val="auto"/>
          <w:sz w:val="24"/>
        </w:rPr>
        <w:t>同类项目情况一览表格式：（</w:t>
      </w:r>
      <w:r>
        <w:rPr>
          <w:rFonts w:hint="eastAsia" w:ascii="宋体" w:hAnsi="宋体"/>
          <w:color w:val="auto"/>
          <w:sz w:val="24"/>
          <w:lang w:eastAsia="zh-CN"/>
        </w:rPr>
        <w:t>供应商</w:t>
      </w:r>
      <w:r>
        <w:rPr>
          <w:rFonts w:hint="eastAsia" w:ascii="宋体" w:hAnsi="宋体"/>
          <w:color w:val="auto"/>
          <w:sz w:val="24"/>
        </w:rPr>
        <w:t>同类项目合同复印件格式自拟）</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1803"/>
        <w:gridCol w:w="3332"/>
        <w:gridCol w:w="2815"/>
        <w:gridCol w:w="3989"/>
      </w:tblGrid>
      <w:tr w14:paraId="0316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01E8B091">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采购人名称</w:t>
            </w:r>
          </w:p>
        </w:tc>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14:paraId="27BEE2BB">
            <w:pPr>
              <w:snapToGrid/>
              <w:spacing w:line="240" w:lineRule="auto"/>
              <w:jc w:val="center"/>
              <w:rPr>
                <w:rFonts w:hint="default" w:ascii="Calibri" w:hAnsi="Calibri"/>
                <w:color w:val="auto"/>
                <w:sz w:val="24"/>
                <w:szCs w:val="28"/>
              </w:rPr>
            </w:pPr>
            <w:r>
              <w:rPr>
                <w:rFonts w:hint="default" w:ascii="Calibri" w:hAnsi="Calibri"/>
                <w:color w:val="auto"/>
                <w:sz w:val="24"/>
                <w:szCs w:val="28"/>
              </w:rPr>
              <w:t>项目名称</w:t>
            </w:r>
          </w:p>
        </w:tc>
        <w:tc>
          <w:tcPr>
            <w:tcW w:w="3332" w:type="dxa"/>
            <w:vMerge w:val="restart"/>
            <w:tcBorders>
              <w:top w:val="single" w:color="auto" w:sz="4" w:space="0"/>
              <w:left w:val="single" w:color="auto" w:sz="4" w:space="0"/>
              <w:bottom w:val="single" w:color="auto" w:sz="4" w:space="0"/>
              <w:right w:val="single" w:color="auto" w:sz="4" w:space="0"/>
            </w:tcBorders>
            <w:noWrap w:val="0"/>
            <w:vAlign w:val="center"/>
          </w:tcPr>
          <w:p w14:paraId="1AD6E344">
            <w:pPr>
              <w:snapToGrid/>
              <w:spacing w:line="240" w:lineRule="auto"/>
              <w:jc w:val="center"/>
              <w:rPr>
                <w:rFonts w:hint="default" w:ascii="Calibri" w:hAnsi="Calibri"/>
                <w:color w:val="auto"/>
                <w:sz w:val="24"/>
                <w:szCs w:val="28"/>
              </w:rPr>
            </w:pPr>
            <w:r>
              <w:rPr>
                <w:rFonts w:hint="default" w:ascii="Calibri" w:hAnsi="Calibri"/>
                <w:color w:val="auto"/>
                <w:sz w:val="24"/>
                <w:szCs w:val="28"/>
              </w:rPr>
              <w:t>合同金额（万元）</w:t>
            </w:r>
          </w:p>
        </w:tc>
        <w:tc>
          <w:tcPr>
            <w:tcW w:w="2815" w:type="dxa"/>
            <w:vMerge w:val="restart"/>
            <w:tcBorders>
              <w:top w:val="single" w:color="auto" w:sz="4" w:space="0"/>
              <w:left w:val="single" w:color="auto" w:sz="4" w:space="0"/>
              <w:right w:val="single" w:color="auto" w:sz="4" w:space="0"/>
            </w:tcBorders>
            <w:noWrap w:val="0"/>
            <w:vAlign w:val="center"/>
          </w:tcPr>
          <w:p w14:paraId="7814EA6D">
            <w:pPr>
              <w:spacing w:line="240" w:lineRule="auto"/>
              <w:jc w:val="center"/>
              <w:rPr>
                <w:rFonts w:hint="default" w:ascii="Calibri" w:hAnsi="Calibri"/>
                <w:color w:val="auto"/>
                <w:sz w:val="24"/>
                <w:szCs w:val="28"/>
              </w:rPr>
            </w:pPr>
            <w:r>
              <w:rPr>
                <w:rFonts w:hint="default" w:ascii="Calibri" w:hAnsi="Calibri"/>
                <w:color w:val="auto"/>
                <w:sz w:val="24"/>
                <w:szCs w:val="28"/>
              </w:rPr>
              <w:t>附件在投标文件中页码</w:t>
            </w:r>
          </w:p>
        </w:tc>
        <w:tc>
          <w:tcPr>
            <w:tcW w:w="3989" w:type="dxa"/>
            <w:vMerge w:val="restart"/>
            <w:tcBorders>
              <w:top w:val="single" w:color="auto" w:sz="4" w:space="0"/>
              <w:left w:val="single" w:color="auto" w:sz="4" w:space="0"/>
              <w:bottom w:val="single" w:color="auto" w:sz="4" w:space="0"/>
              <w:right w:val="single" w:color="auto" w:sz="4" w:space="0"/>
            </w:tcBorders>
            <w:noWrap w:val="0"/>
            <w:vAlign w:val="center"/>
          </w:tcPr>
          <w:p w14:paraId="77E186EE">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采购人联系人及联系电话</w:t>
            </w:r>
          </w:p>
        </w:tc>
      </w:tr>
      <w:tr w14:paraId="4059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078CA96">
            <w:pPr>
              <w:jc w:val="left"/>
              <w:rPr>
                <w:rFonts w:hint="default" w:ascii="Calibri" w:hAnsi="Calibri"/>
                <w:color w:val="auto"/>
                <w:sz w:val="21"/>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14:paraId="0F66466A">
            <w:pPr>
              <w:jc w:val="left"/>
              <w:rPr>
                <w:rFonts w:hint="default" w:ascii="Calibri" w:hAnsi="Calibri"/>
                <w:color w:val="auto"/>
                <w:sz w:val="21"/>
              </w:rPr>
            </w:pPr>
          </w:p>
        </w:tc>
        <w:tc>
          <w:tcPr>
            <w:tcW w:w="3332" w:type="dxa"/>
            <w:vMerge w:val="continue"/>
            <w:tcBorders>
              <w:top w:val="single" w:color="auto" w:sz="4" w:space="0"/>
              <w:left w:val="single" w:color="auto" w:sz="4" w:space="0"/>
              <w:bottom w:val="single" w:color="auto" w:sz="4" w:space="0"/>
              <w:right w:val="single" w:color="auto" w:sz="4" w:space="0"/>
            </w:tcBorders>
            <w:noWrap w:val="0"/>
            <w:vAlign w:val="center"/>
          </w:tcPr>
          <w:p w14:paraId="181B9887">
            <w:pPr>
              <w:jc w:val="left"/>
              <w:rPr>
                <w:rFonts w:hint="default" w:ascii="Calibri" w:hAnsi="Calibri"/>
                <w:color w:val="auto"/>
                <w:sz w:val="21"/>
              </w:rPr>
            </w:pPr>
          </w:p>
        </w:tc>
        <w:tc>
          <w:tcPr>
            <w:tcW w:w="2815" w:type="dxa"/>
            <w:vMerge w:val="continue"/>
            <w:tcBorders>
              <w:left w:val="single" w:color="auto" w:sz="4" w:space="0"/>
              <w:bottom w:val="single" w:color="auto" w:sz="4" w:space="0"/>
              <w:right w:val="single" w:color="auto" w:sz="4" w:space="0"/>
            </w:tcBorders>
            <w:noWrap w:val="0"/>
            <w:vAlign w:val="center"/>
          </w:tcPr>
          <w:p w14:paraId="69F20B25">
            <w:pPr>
              <w:jc w:val="left"/>
              <w:rPr>
                <w:rFonts w:hint="default" w:ascii="Calibri" w:hAnsi="Calibri"/>
                <w:color w:val="auto"/>
                <w:sz w:val="21"/>
              </w:rPr>
            </w:pPr>
          </w:p>
        </w:tc>
        <w:tc>
          <w:tcPr>
            <w:tcW w:w="3989" w:type="dxa"/>
            <w:vMerge w:val="continue"/>
            <w:tcBorders>
              <w:top w:val="single" w:color="auto" w:sz="4" w:space="0"/>
              <w:left w:val="single" w:color="auto" w:sz="4" w:space="0"/>
              <w:bottom w:val="single" w:color="auto" w:sz="4" w:space="0"/>
              <w:right w:val="single" w:color="auto" w:sz="4" w:space="0"/>
            </w:tcBorders>
            <w:noWrap w:val="0"/>
            <w:vAlign w:val="center"/>
          </w:tcPr>
          <w:p w14:paraId="3A8AED63">
            <w:pPr>
              <w:jc w:val="left"/>
              <w:rPr>
                <w:rFonts w:hint="default" w:ascii="Calibri" w:hAnsi="Calibri"/>
                <w:color w:val="auto"/>
                <w:sz w:val="21"/>
              </w:rPr>
            </w:pPr>
          </w:p>
        </w:tc>
      </w:tr>
      <w:tr w14:paraId="5D44D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96FA9D7">
            <w:pPr>
              <w:snapToGrid/>
              <w:spacing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D44B11F">
            <w:pPr>
              <w:snapToGrid/>
              <w:spacing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786E057D">
            <w:pPr>
              <w:snapToGrid/>
              <w:spacing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4BC4F35">
            <w:pPr>
              <w:snapToGrid/>
              <w:spacing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04BBF551">
            <w:pPr>
              <w:snapToGrid/>
              <w:spacing w:line="240" w:lineRule="auto"/>
              <w:jc w:val="left"/>
              <w:rPr>
                <w:rFonts w:hint="default" w:ascii="Calibri" w:hAnsi="Calibri"/>
                <w:color w:val="auto"/>
                <w:sz w:val="21"/>
              </w:rPr>
            </w:pPr>
          </w:p>
        </w:tc>
      </w:tr>
      <w:tr w14:paraId="3340F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FA94246">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21A714C6">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5E5AB8BA">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382F5D2">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2D0FA232">
            <w:pPr>
              <w:snapToGrid/>
              <w:spacing w:before="0" w:after="0" w:afterLines="-2147483648" w:line="240" w:lineRule="auto"/>
              <w:jc w:val="left"/>
              <w:rPr>
                <w:rFonts w:hint="default" w:ascii="Calibri" w:hAnsi="Calibri"/>
                <w:color w:val="auto"/>
                <w:sz w:val="21"/>
              </w:rPr>
            </w:pPr>
          </w:p>
        </w:tc>
      </w:tr>
      <w:tr w14:paraId="118D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E8AE735">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CEA2352">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6BABF2B0">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F1FE9C6">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3F88C14D">
            <w:pPr>
              <w:snapToGrid/>
              <w:spacing w:before="0" w:after="0" w:afterLines="-2147483648" w:line="240" w:lineRule="auto"/>
              <w:jc w:val="left"/>
              <w:rPr>
                <w:rFonts w:hint="default" w:ascii="Calibri" w:hAnsi="Calibri"/>
                <w:color w:val="auto"/>
                <w:sz w:val="21"/>
              </w:rPr>
            </w:pPr>
          </w:p>
        </w:tc>
      </w:tr>
      <w:tr w14:paraId="7053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48EC25C">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9D9B50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2D73D7EB">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5DDBC8DA">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3AB1AA0">
            <w:pPr>
              <w:snapToGrid/>
              <w:spacing w:before="0" w:after="0" w:afterLines="-2147483648" w:line="240" w:lineRule="auto"/>
              <w:jc w:val="left"/>
              <w:rPr>
                <w:rFonts w:hint="default" w:ascii="Calibri" w:hAnsi="Calibri"/>
                <w:color w:val="auto"/>
                <w:sz w:val="21"/>
              </w:rPr>
            </w:pPr>
          </w:p>
        </w:tc>
      </w:tr>
      <w:tr w14:paraId="4106D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4F09C1B">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41E64C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45286358">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29FE3E67">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F7AC4BC">
            <w:pPr>
              <w:snapToGrid/>
              <w:spacing w:before="0" w:after="0" w:afterLines="-2147483648" w:line="240" w:lineRule="auto"/>
              <w:jc w:val="left"/>
              <w:rPr>
                <w:rFonts w:hint="default" w:ascii="Calibri" w:hAnsi="Calibri"/>
                <w:color w:val="auto"/>
                <w:sz w:val="21"/>
              </w:rPr>
            </w:pPr>
          </w:p>
        </w:tc>
      </w:tr>
    </w:tbl>
    <w:p w14:paraId="12E0BF1C">
      <w:pPr>
        <w:spacing w:line="360" w:lineRule="auto"/>
        <w:ind w:leftChars="0"/>
        <w:jc w:val="both"/>
        <w:rPr>
          <w:rFonts w:hint="eastAsia" w:ascii="宋体" w:hAnsi="宋体" w:cs="仿宋_GB2312"/>
          <w:color w:val="auto"/>
          <w:sz w:val="24"/>
          <w:highlight w:val="none"/>
        </w:rPr>
      </w:pPr>
    </w:p>
    <w:p w14:paraId="271FA75F">
      <w:pPr>
        <w:spacing w:line="360" w:lineRule="auto"/>
        <w:ind w:leftChars="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11475EF6">
      <w:pPr>
        <w:snapToGrid w:val="0"/>
        <w:spacing w:before="156" w:beforeLines="50" w:after="50" w:line="360" w:lineRule="auto"/>
        <w:ind w:leftChars="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0BA50F7E">
      <w:pPr>
        <w:pStyle w:val="2"/>
        <w:snapToGrid w:val="0"/>
        <w:spacing w:line="240" w:lineRule="auto"/>
        <w:jc w:val="center"/>
        <w:rPr>
          <w:rFonts w:hint="eastAsia" w:eastAsia="宋体" w:cs="Times New Roman"/>
          <w:b/>
          <w:bCs/>
          <w:color w:val="auto"/>
          <w:sz w:val="44"/>
          <w:highlight w:val="none"/>
        </w:rPr>
        <w:sectPr>
          <w:footerReference r:id="rId20" w:type="default"/>
          <w:footnotePr>
            <w:numFmt w:val="decimalEnclosedCircleChinese"/>
          </w:footnotePr>
          <w:pgSz w:w="16838" w:h="11905" w:orient="landscape"/>
          <w:pgMar w:top="1134" w:right="1134" w:bottom="1134" w:left="1134" w:header="851" w:footer="992" w:gutter="0"/>
          <w:pgNumType w:fmt="decimal"/>
          <w:cols w:space="720" w:num="1"/>
          <w:rtlGutter w:val="0"/>
          <w:docGrid w:linePitch="312" w:charSpace="0"/>
        </w:sectPr>
      </w:pPr>
    </w:p>
    <w:p w14:paraId="0D03E957">
      <w:pPr>
        <w:pStyle w:val="2"/>
        <w:snapToGrid w:val="0"/>
        <w:spacing w:line="240" w:lineRule="auto"/>
        <w:jc w:val="center"/>
        <w:rPr>
          <w:rFonts w:hint="eastAsia" w:ascii="Calibri" w:hAnsi="Calibri" w:eastAsia="宋体" w:cs="Times New Roman"/>
          <w:b/>
          <w:color w:val="auto"/>
          <w:sz w:val="44"/>
          <w:highlight w:val="none"/>
        </w:rPr>
      </w:pPr>
      <w:r>
        <w:rPr>
          <w:rFonts w:hint="eastAsia" w:eastAsia="宋体" w:cs="Times New Roman"/>
          <w:b/>
          <w:bCs/>
          <w:color w:val="auto"/>
          <w:sz w:val="44"/>
          <w:highlight w:val="none"/>
        </w:rPr>
        <w:t>第</w:t>
      </w:r>
      <w:r>
        <w:rPr>
          <w:rFonts w:hint="eastAsia" w:eastAsia="宋体" w:cs="Times New Roman"/>
          <w:b/>
          <w:bCs/>
          <w:color w:val="auto"/>
          <w:sz w:val="44"/>
          <w:highlight w:val="none"/>
          <w:lang w:val="en-US" w:eastAsia="zh-CN"/>
        </w:rPr>
        <w:t>七</w:t>
      </w:r>
      <w:r>
        <w:rPr>
          <w:rFonts w:hint="eastAsia" w:eastAsia="宋体" w:cs="Times New Roman"/>
          <w:b/>
          <w:bCs/>
          <w:color w:val="auto"/>
          <w:sz w:val="44"/>
          <w:highlight w:val="none"/>
        </w:rPr>
        <w:t>章</w:t>
      </w:r>
      <w:r>
        <w:rPr>
          <w:rFonts w:hint="eastAsia" w:cs="Times New Roman"/>
          <w:b/>
          <w:bCs/>
          <w:color w:val="auto"/>
          <w:sz w:val="44"/>
          <w:highlight w:val="none"/>
          <w:lang w:val="en-US" w:eastAsia="zh-CN"/>
        </w:rPr>
        <w:t xml:space="preserve"> </w:t>
      </w:r>
      <w:r>
        <w:rPr>
          <w:rFonts w:hint="eastAsia" w:eastAsia="宋体" w:cs="Times New Roman"/>
          <w:b/>
          <w:bCs/>
          <w:color w:val="auto"/>
          <w:sz w:val="44"/>
          <w:highlight w:val="none"/>
        </w:rPr>
        <w:t>政府采购</w:t>
      </w:r>
      <w:r>
        <w:rPr>
          <w:rFonts w:hint="eastAsia" w:ascii="Calibri" w:hAnsi="Calibri" w:eastAsia="宋体" w:cs="Times New Roman"/>
          <w:b/>
          <w:color w:val="auto"/>
          <w:sz w:val="44"/>
          <w:highlight w:val="none"/>
        </w:rPr>
        <w:t>供应</w:t>
      </w:r>
      <w:r>
        <w:rPr>
          <w:rFonts w:hint="eastAsia" w:eastAsia="宋体" w:cs="Times New Roman"/>
          <w:b/>
          <w:bCs/>
          <w:color w:val="auto"/>
          <w:sz w:val="44"/>
          <w:highlight w:val="none"/>
        </w:rPr>
        <w:t>商质疑函范本</w:t>
      </w:r>
      <w:bookmarkEnd w:id="1026"/>
      <w:bookmarkEnd w:id="1027"/>
      <w:bookmarkEnd w:id="1028"/>
      <w:bookmarkEnd w:id="1029"/>
      <w:bookmarkEnd w:id="1030"/>
      <w:bookmarkEnd w:id="1031"/>
      <w:bookmarkEnd w:id="1032"/>
    </w:p>
    <w:p w14:paraId="1A17EA12">
      <w:pPr>
        <w:jc w:val="center"/>
        <w:outlineLvl w:val="1"/>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C40DFDA">
      <w:pPr>
        <w:adjustRightInd w:val="0"/>
        <w:snapToGrid w:val="0"/>
        <w:spacing w:before="312" w:beforeLines="100"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一、质疑供应商基本信息</w:t>
      </w:r>
    </w:p>
    <w:p w14:paraId="2B9F989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788D1DD">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26CD65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C9486A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A8FEE7C">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ADDFF7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22A63E33">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二、质疑项目基本情况</w:t>
      </w:r>
    </w:p>
    <w:p w14:paraId="5D0C277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880343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FE4E1D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7953B6BA">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4362497D">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三、质疑事项具体内容</w:t>
      </w:r>
    </w:p>
    <w:p w14:paraId="75CFCDB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42CBF74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3B946699">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D3DD9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23BC5FD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6D17FC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5964883F">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0947CC7">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四、与质疑事项相关的质疑请求</w:t>
      </w:r>
    </w:p>
    <w:p w14:paraId="02CD3E7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F6636A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FA8351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32F4CF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9A19C7D">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bookmarkStart w:id="1033" w:name="_Toc18149"/>
      <w:bookmarkStart w:id="1034" w:name="_Toc5043"/>
      <w:bookmarkStart w:id="1035" w:name="_Toc9313"/>
      <w:r>
        <w:rPr>
          <w:rFonts w:hint="eastAsia" w:ascii="仿宋_GB2312" w:hAnsi="仿宋_GB2312" w:eastAsia="仿宋_GB2312" w:cs="仿宋_GB2312"/>
          <w:color w:val="auto"/>
          <w:kern w:val="0"/>
          <w:sz w:val="21"/>
          <w:szCs w:val="21"/>
          <w:highlight w:val="none"/>
          <w:lang w:val="en-US" w:eastAsia="zh-CN" w:bidi="ar"/>
        </w:rPr>
        <w:t>质疑函制作说明：</w:t>
      </w:r>
      <w:bookmarkEnd w:id="1033"/>
      <w:bookmarkEnd w:id="1034"/>
      <w:bookmarkEnd w:id="1035"/>
    </w:p>
    <w:p w14:paraId="3FCFC53E">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1.供应商提出质疑时，应提交质疑函和必要的证明材料。</w:t>
      </w:r>
    </w:p>
    <w:p w14:paraId="429A5F0A">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88AC6B">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3.质疑供应商若对项目的某一分包进行质疑，质疑函中应列明具体分包号。</w:t>
      </w:r>
    </w:p>
    <w:p w14:paraId="365D19A5">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4.质疑函的质疑事项应具体、明确，并有必要的事实依据和法律依据。</w:t>
      </w:r>
    </w:p>
    <w:p w14:paraId="47FD3D3E">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5.质疑函的质疑请求应与质疑事项相关。</w:t>
      </w:r>
    </w:p>
    <w:p w14:paraId="6B77052B">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6.质疑供应商为自然人的，质疑函应由本人签字；质疑供应商为法人或者其他组织的，质疑函应由法定代表人、主要负责人，或者其授权代表签字或者盖章，并加盖公章。</w:t>
      </w:r>
    </w:p>
    <w:p w14:paraId="489DB2D2">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olor w:val="auto"/>
          <w:sz w:val="21"/>
          <w:szCs w:val="20"/>
          <w:highlight w:val="none"/>
        </w:rPr>
      </w:pPr>
      <w:r>
        <w:rPr>
          <w:rFonts w:hint="eastAsia" w:ascii="宋体" w:hAnsi="宋体" w:eastAsia="宋体"/>
          <w:color w:val="auto"/>
          <w:sz w:val="21"/>
          <w:szCs w:val="20"/>
          <w:highlight w:val="none"/>
        </w:rPr>
        <w:br w:type="page"/>
      </w:r>
    </w:p>
    <w:p w14:paraId="45300EAE">
      <w:pPr>
        <w:pStyle w:val="2"/>
        <w:snapToGrid w:val="0"/>
        <w:spacing w:line="360" w:lineRule="auto"/>
        <w:jc w:val="center"/>
        <w:rPr>
          <w:rFonts w:hint="default"/>
          <w:color w:val="auto"/>
          <w:highlight w:val="none"/>
          <w:lang w:val="en-US" w:eastAsia="zh-CN"/>
        </w:rPr>
      </w:pPr>
      <w:bookmarkStart w:id="1036" w:name="_Toc24572"/>
      <w:bookmarkStart w:id="1037" w:name="_Toc4451"/>
      <w:bookmarkStart w:id="1038" w:name="_Toc431"/>
      <w:r>
        <w:rPr>
          <w:rFonts w:hint="eastAsia"/>
          <w:color w:val="auto"/>
          <w:highlight w:val="none"/>
          <w:lang w:val="en-US" w:eastAsia="zh-CN"/>
        </w:rPr>
        <w:t>第八章 “政采贷”相关信息</w:t>
      </w:r>
      <w:bookmarkEnd w:id="1036"/>
      <w:bookmarkEnd w:id="1037"/>
      <w:bookmarkEnd w:id="1038"/>
    </w:p>
    <w:p w14:paraId="6A96FBEA">
      <w:pPr>
        <w:pStyle w:val="4"/>
        <w:bidi w:val="0"/>
        <w:jc w:val="center"/>
        <w:rPr>
          <w:rFonts w:hint="eastAsia"/>
          <w:color w:val="auto"/>
        </w:rPr>
      </w:pPr>
      <w:bookmarkStart w:id="1039" w:name="_Toc10954"/>
      <w:r>
        <w:rPr>
          <w:rFonts w:hint="eastAsia"/>
          <w:color w:val="auto"/>
          <w:lang w:eastAsia="zh-CN"/>
        </w:rPr>
        <w:t>崇左市</w:t>
      </w:r>
      <w:r>
        <w:rPr>
          <w:rFonts w:hint="eastAsia"/>
          <w:color w:val="auto"/>
        </w:rPr>
        <w:t>线上“政采贷”政策告知函</w:t>
      </w:r>
      <w:bookmarkEnd w:id="1039"/>
    </w:p>
    <w:p w14:paraId="0A174FD2">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各供应商：</w:t>
      </w:r>
    </w:p>
    <w:p w14:paraId="6738DC27">
      <w:pPr>
        <w:spacing w:line="480" w:lineRule="auto"/>
        <w:ind w:firstLine="480" w:firstLineChars="200"/>
        <w:outlineLvl w:val="0"/>
        <w:rPr>
          <w:rFonts w:hint="eastAsia" w:ascii="宋体" w:hAnsi="宋体" w:eastAsia="宋体" w:cs="宋体"/>
          <w:b w:val="0"/>
          <w:bCs w:val="0"/>
          <w:color w:val="auto"/>
          <w:sz w:val="24"/>
          <w:szCs w:val="24"/>
          <w:highlight w:val="none"/>
        </w:rPr>
      </w:pPr>
      <w:bookmarkStart w:id="1040" w:name="_Toc27682"/>
      <w:r>
        <w:rPr>
          <w:rFonts w:hint="eastAsia" w:ascii="宋体" w:hAnsi="宋体" w:eastAsia="宋体" w:cs="宋体"/>
          <w:b w:val="0"/>
          <w:bCs w:val="0"/>
          <w:color w:val="auto"/>
          <w:sz w:val="24"/>
          <w:szCs w:val="24"/>
          <w:highlight w:val="none"/>
        </w:rPr>
        <w:t>欢迎贵公司参与</w:t>
      </w:r>
      <w:r>
        <w:rPr>
          <w:rFonts w:hint="eastAsia" w:ascii="宋体" w:hAnsi="宋体" w:eastAsia="宋体" w:cs="宋体"/>
          <w:b w:val="0"/>
          <w:bCs w:val="0"/>
          <w:color w:val="auto"/>
          <w:sz w:val="24"/>
          <w:szCs w:val="24"/>
          <w:highlight w:val="none"/>
          <w:lang w:eastAsia="zh-CN"/>
        </w:rPr>
        <w:t>崇左市</w:t>
      </w:r>
      <w:r>
        <w:rPr>
          <w:rFonts w:hint="eastAsia" w:ascii="宋体" w:hAnsi="宋体" w:eastAsia="宋体" w:cs="宋体"/>
          <w:b w:val="0"/>
          <w:bCs w:val="0"/>
          <w:color w:val="auto"/>
          <w:sz w:val="24"/>
          <w:szCs w:val="24"/>
          <w:highlight w:val="none"/>
        </w:rPr>
        <w:t>政府采购活动！</w:t>
      </w:r>
      <w:bookmarkEnd w:id="1040"/>
    </w:p>
    <w:p w14:paraId="2DE010DC">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val="0"/>
          <w:bCs w:val="0"/>
          <w:color w:val="auto"/>
          <w:sz w:val="24"/>
          <w:szCs w:val="24"/>
          <w:highlight w:val="none"/>
          <w:lang w:val="en-US" w:eastAsia="zh-CN"/>
        </w:rPr>
        <w:t>258</w:t>
      </w:r>
      <w:r>
        <w:rPr>
          <w:rFonts w:hint="eastAsia" w:ascii="宋体" w:hAnsi="宋体" w:eastAsia="宋体" w:cs="宋体"/>
          <w:b w:val="0"/>
          <w:bCs w:val="0"/>
          <w:color w:val="auto"/>
          <w:sz w:val="24"/>
          <w:szCs w:val="24"/>
          <w:highlight w:val="none"/>
        </w:rPr>
        <w:t>号），按照双方自愿的原则提供便捷、优惠的贷款服务。</w:t>
      </w:r>
    </w:p>
    <w:p w14:paraId="0C8122FD">
      <w:pPr>
        <w:pStyle w:val="24"/>
        <w:spacing w:line="480" w:lineRule="auto"/>
        <w:rPr>
          <w:rFonts w:hint="eastAsia" w:ascii="宋体" w:hAnsi="宋体" w:eastAsia="宋体" w:cs="宋体"/>
          <w:b w:val="0"/>
          <w:bCs w:val="0"/>
          <w:color w:val="auto"/>
          <w:sz w:val="24"/>
          <w:szCs w:val="24"/>
          <w:highlight w:val="none"/>
          <w:lang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bCs w:val="0"/>
          <w:color w:val="auto"/>
          <w:sz w:val="24"/>
          <w:szCs w:val="24"/>
          <w:highlight w:val="none"/>
        </w:rPr>
        <w:t>相关金融产品和</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联系方式，可在中征应收账款融资服务平台查询</w:t>
      </w:r>
      <w:r>
        <w:rPr>
          <w:rFonts w:hint="eastAsia" w:ascii="宋体" w:hAnsi="宋体" w:eastAsia="宋体" w:cs="宋体"/>
          <w:b w:val="0"/>
          <w:bCs w:val="0"/>
          <w:color w:val="auto"/>
          <w:sz w:val="24"/>
          <w:szCs w:val="24"/>
          <w:highlight w:val="none"/>
          <w:lang w:eastAsia="zh-CN"/>
        </w:rPr>
        <w:t>（网址：</w:t>
      </w:r>
      <w:r>
        <w:rPr>
          <w:rFonts w:hint="eastAsia" w:ascii="宋体" w:hAnsi="宋体" w:eastAsia="宋体" w:cs="宋体"/>
          <w:b w:val="0"/>
          <w:bCs w:val="0"/>
          <w:color w:val="auto"/>
          <w:sz w:val="24"/>
          <w:szCs w:val="24"/>
          <w:highlight w:val="none"/>
          <w:lang w:eastAsia="zh-CN"/>
        </w:rPr>
        <w:fldChar w:fldCharType="begin"/>
      </w:r>
      <w:r>
        <w:rPr>
          <w:rFonts w:hint="eastAsia" w:ascii="宋体" w:hAnsi="宋体" w:eastAsia="宋体" w:cs="宋体"/>
          <w:b w:val="0"/>
          <w:bCs w:val="0"/>
          <w:color w:val="auto"/>
          <w:sz w:val="24"/>
          <w:szCs w:val="24"/>
          <w:highlight w:val="none"/>
          <w:lang w:eastAsia="zh-CN"/>
        </w:rPr>
        <w:instrText xml:space="preserve"> HYPERLINK "https://www.crcrfsp.com/" </w:instrText>
      </w:r>
      <w:r>
        <w:rPr>
          <w:rFonts w:hint="eastAsia" w:ascii="宋体" w:hAnsi="宋体" w:eastAsia="宋体" w:cs="宋体"/>
          <w:b w:val="0"/>
          <w:bCs w:val="0"/>
          <w:color w:val="auto"/>
          <w:sz w:val="24"/>
          <w:szCs w:val="24"/>
          <w:highlight w:val="none"/>
          <w:lang w:eastAsia="zh-CN"/>
        </w:rPr>
        <w:fldChar w:fldCharType="separate"/>
      </w:r>
      <w:r>
        <w:rPr>
          <w:rFonts w:hint="eastAsia" w:ascii="宋体" w:hAnsi="宋体" w:eastAsia="宋体" w:cs="宋体"/>
          <w:b w:val="0"/>
          <w:bCs w:val="0"/>
          <w:color w:val="auto"/>
          <w:sz w:val="24"/>
          <w:szCs w:val="24"/>
          <w:highlight w:val="none"/>
          <w:lang w:eastAsia="zh-CN"/>
        </w:rPr>
        <w:t>https://www.crcrfsp.com/</w:t>
      </w:r>
      <w:r>
        <w:rPr>
          <w:rFonts w:hint="eastAsia" w:ascii="宋体" w:hAnsi="宋体" w:eastAsia="宋体" w:cs="宋体"/>
          <w:b w:val="0"/>
          <w:bCs w:val="0"/>
          <w:color w:val="auto"/>
          <w:sz w:val="24"/>
          <w:szCs w:val="24"/>
          <w:highlight w:val="none"/>
          <w:lang w:eastAsia="zh-CN"/>
        </w:rPr>
        <w:fldChar w:fldCharType="end"/>
      </w:r>
      <w:r>
        <w:rPr>
          <w:rFonts w:hint="eastAsia" w:ascii="宋体" w:hAnsi="宋体" w:eastAsia="宋体" w:cs="宋体"/>
          <w:b w:val="0"/>
          <w:bCs w:val="0"/>
          <w:color w:val="auto"/>
          <w:sz w:val="24"/>
          <w:szCs w:val="24"/>
          <w:highlight w:val="none"/>
          <w:lang w:eastAsia="zh-CN"/>
        </w:rPr>
        <w:t>，客服电话：</w:t>
      </w:r>
      <w:r>
        <w:rPr>
          <w:rFonts w:hint="eastAsia" w:ascii="宋体" w:hAnsi="宋体" w:eastAsia="宋体" w:cs="宋体"/>
          <w:b w:val="0"/>
          <w:bCs w:val="0"/>
          <w:color w:val="auto"/>
          <w:sz w:val="24"/>
          <w:szCs w:val="24"/>
          <w:highlight w:val="none"/>
          <w:lang w:val="en-US" w:eastAsia="zh-CN"/>
        </w:rPr>
        <w:t>400-009-0001</w:t>
      </w:r>
      <w:r>
        <w:rPr>
          <w:rFonts w:hint="eastAsia" w:ascii="宋体" w:hAnsi="宋体" w:eastAsia="宋体" w:cs="宋体"/>
          <w:b w:val="0"/>
          <w:bCs w:val="0"/>
          <w:color w:val="auto"/>
          <w:sz w:val="24"/>
          <w:szCs w:val="24"/>
          <w:highlight w:val="none"/>
          <w:lang w:eastAsia="zh-CN"/>
        </w:rPr>
        <w:t>）。</w:t>
      </w:r>
    </w:p>
    <w:p w14:paraId="792068BD">
      <w:pPr>
        <w:pStyle w:val="4"/>
        <w:bidi w:val="0"/>
        <w:jc w:val="center"/>
        <w:rPr>
          <w:rFonts w:hint="eastAsia"/>
          <w:color w:val="auto"/>
        </w:rPr>
      </w:pPr>
      <w:bookmarkStart w:id="1041" w:name="_Toc26706"/>
      <w:r>
        <w:rPr>
          <w:rFonts w:hint="eastAsia"/>
          <w:color w:val="auto"/>
          <w:lang w:eastAsia="zh-CN"/>
        </w:rPr>
        <w:t>崇左市</w:t>
      </w:r>
      <w:r>
        <w:rPr>
          <w:rFonts w:hint="eastAsia"/>
          <w:color w:val="auto"/>
        </w:rPr>
        <w:t>线上“政采贷”业务流程图</w:t>
      </w:r>
      <w:bookmarkEnd w:id="1041"/>
    </w:p>
    <w:p w14:paraId="42C07D32">
      <w:pPr>
        <w:pStyle w:val="24"/>
        <w:ind w:left="0" w:leftChars="0" w:firstLine="0" w:firstLineChars="0"/>
        <w:rPr>
          <w:rFonts w:hint="eastAsia" w:ascii="宋体" w:hAnsi="宋体" w:eastAsia="宋体" w:cs="宋体"/>
          <w:b w:val="0"/>
          <w:color w:val="auto"/>
          <w:sz w:val="24"/>
          <w:szCs w:val="24"/>
          <w:highlight w:val="none"/>
          <w:lang w:val="en-US"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color w:val="auto"/>
          <w:sz w:val="24"/>
          <w:szCs w:val="24"/>
          <w:highlight w:val="none"/>
          <w:lang w:val="en-US" w:eastAsia="zh-CN"/>
        </w:rPr>
        <w:drawing>
          <wp:inline distT="0" distB="0" distL="114300" distR="114300">
            <wp:extent cx="6176010" cy="6811645"/>
            <wp:effectExtent l="0" t="0" r="15240" b="825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22"/>
                    <a:stretch>
                      <a:fillRect/>
                    </a:stretch>
                  </pic:blipFill>
                  <pic:spPr>
                    <a:xfrm>
                      <a:off x="0" y="0"/>
                      <a:ext cx="6176010" cy="6811645"/>
                    </a:xfrm>
                    <a:prstGeom prst="rect">
                      <a:avLst/>
                    </a:prstGeom>
                    <a:noFill/>
                    <a:ln>
                      <a:noFill/>
                    </a:ln>
                  </pic:spPr>
                </pic:pic>
              </a:graphicData>
            </a:graphic>
          </wp:inline>
        </w:drawing>
      </w:r>
    </w:p>
    <w:p w14:paraId="68AEB97B">
      <w:pPr>
        <w:pStyle w:val="4"/>
        <w:bidi w:val="0"/>
        <w:jc w:val="center"/>
        <w:rPr>
          <w:rFonts w:hint="eastAsia"/>
          <w:color w:val="auto"/>
        </w:rPr>
      </w:pPr>
      <w:bookmarkStart w:id="1042" w:name="_Toc4232"/>
      <w:r>
        <w:rPr>
          <w:rFonts w:hint="eastAsia"/>
          <w:color w:val="auto"/>
          <w:lang w:eastAsia="zh-CN"/>
        </w:rPr>
        <w:t>崇左</w:t>
      </w:r>
      <w:r>
        <w:rPr>
          <w:rFonts w:hint="eastAsia"/>
          <w:color w:val="auto"/>
        </w:rPr>
        <w:t>市金融机构</w:t>
      </w:r>
      <w:r>
        <w:rPr>
          <w:rFonts w:hint="eastAsia"/>
          <w:color w:val="auto"/>
          <w:lang w:eastAsia="zh-CN"/>
        </w:rPr>
        <w:t>线上</w:t>
      </w:r>
      <w:r>
        <w:rPr>
          <w:rFonts w:hint="eastAsia"/>
          <w:color w:val="auto"/>
        </w:rPr>
        <w:t>“政采贷”业务办理联络表</w:t>
      </w:r>
      <w:bookmarkEnd w:id="1042"/>
    </w:p>
    <w:tbl>
      <w:tblPr>
        <w:tblStyle w:val="26"/>
        <w:tblW w:w="9905" w:type="dxa"/>
        <w:tblInd w:w="0" w:type="dxa"/>
        <w:tblLayout w:type="fixed"/>
        <w:tblCellMar>
          <w:top w:w="0" w:type="dxa"/>
          <w:left w:w="108" w:type="dxa"/>
          <w:bottom w:w="0" w:type="dxa"/>
          <w:right w:w="108" w:type="dxa"/>
        </w:tblCellMar>
      </w:tblPr>
      <w:tblGrid>
        <w:gridCol w:w="3643"/>
        <w:gridCol w:w="4200"/>
        <w:gridCol w:w="2062"/>
      </w:tblGrid>
      <w:tr w14:paraId="6656E676">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C6D62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金融机构名称</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E74E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地址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361C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eastAsia="宋体" w:cs="宋体"/>
                <w:b/>
                <w:bCs/>
                <w:color w:val="auto"/>
                <w:kern w:val="0"/>
                <w:sz w:val="24"/>
                <w:szCs w:val="24"/>
                <w:highlight w:val="none"/>
                <w:lang w:eastAsia="zh-CN" w:bidi="ar"/>
              </w:rPr>
              <w:t>业务</w:t>
            </w:r>
            <w:r>
              <w:rPr>
                <w:rFonts w:hint="eastAsia" w:ascii="宋体" w:hAnsi="宋体" w:eastAsia="宋体" w:cs="宋体"/>
                <w:b/>
                <w:bCs/>
                <w:color w:val="auto"/>
                <w:kern w:val="0"/>
                <w:sz w:val="24"/>
                <w:szCs w:val="24"/>
                <w:highlight w:val="none"/>
                <w:lang w:bidi="ar"/>
              </w:rPr>
              <w:t>咨询电话</w:t>
            </w:r>
          </w:p>
        </w:tc>
      </w:tr>
      <w:tr w14:paraId="3C9AD79A">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CDCB0A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769FF714">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A3D4A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99B6D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0439A5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6CFAFD22">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E23CE7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63E2E0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F3B0A4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446BFF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48B9F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6D3D9E8">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2AA4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C826CB2">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30CED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C94F5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D511AC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698C02F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B12B7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B4CB72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321C71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A77FEC8">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29EF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EFA81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338A18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CFDF6F4">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62FC8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0EBAEC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93179C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78B5B5C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222BC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2AE4B1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8DD8E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392FF3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C0A4B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EEC0F9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A70E65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37E7FC15">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DF3B0B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2BB983">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E781B0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276C457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D990CD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043E2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7950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435B9C7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369F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81840A">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BD02A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3CB6251F">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E167274">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5D9502F">
        <w:tblPrEx>
          <w:tblCellMar>
            <w:top w:w="0" w:type="dxa"/>
            <w:left w:w="108" w:type="dxa"/>
            <w:bottom w:w="0" w:type="dxa"/>
            <w:right w:w="108" w:type="dxa"/>
          </w:tblCellMar>
        </w:tblPrEx>
        <w:trPr>
          <w:trHeight w:val="38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54DCC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A973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31D716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8B5411E">
        <w:tblPrEx>
          <w:tblCellMar>
            <w:top w:w="0" w:type="dxa"/>
            <w:left w:w="108" w:type="dxa"/>
            <w:bottom w:w="0" w:type="dxa"/>
            <w:right w:w="108" w:type="dxa"/>
          </w:tblCellMar>
        </w:tblPrEx>
        <w:trPr>
          <w:trHeight w:val="44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924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1F75E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49F8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75C4D11">
        <w:tblPrEx>
          <w:tblCellMar>
            <w:top w:w="0" w:type="dxa"/>
            <w:left w:w="108" w:type="dxa"/>
            <w:bottom w:w="0" w:type="dxa"/>
            <w:right w:w="108" w:type="dxa"/>
          </w:tblCellMar>
        </w:tblPrEx>
        <w:trPr>
          <w:trHeight w:val="74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B090F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9239E49">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194A4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44044E10">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0D9B7F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A61D92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08B6C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62F519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CD667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36508D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A318B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8340A73">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4B4198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7675B5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A87F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195EF98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2B8F1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9BF7F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C90EAE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117703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DDD43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4B79B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08884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09C350A">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A9E41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059F34F">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2E165E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2D55072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3FA71D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53EAD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91C6F0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3728A06A">
        <w:tblPrEx>
          <w:tblCellMar>
            <w:top w:w="0" w:type="dxa"/>
            <w:left w:w="108" w:type="dxa"/>
            <w:bottom w:w="0" w:type="dxa"/>
            <w:right w:w="108" w:type="dxa"/>
          </w:tblCellMar>
        </w:tblPrEx>
        <w:trPr>
          <w:trHeight w:val="47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4FB7B1">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4F6B51A">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033EAB8">
            <w:pPr>
              <w:widowControl/>
              <w:spacing w:line="360" w:lineRule="auto"/>
              <w:jc w:val="left"/>
              <w:textAlignment w:val="center"/>
              <w:rPr>
                <w:rFonts w:hint="eastAsia" w:ascii="宋体" w:hAnsi="宋体" w:eastAsia="宋体" w:cs="宋体"/>
                <w:color w:val="auto"/>
                <w:sz w:val="21"/>
                <w:szCs w:val="21"/>
                <w:highlight w:val="none"/>
              </w:rPr>
            </w:pPr>
          </w:p>
        </w:tc>
      </w:tr>
      <w:tr w14:paraId="36550E5E">
        <w:tblPrEx>
          <w:tblCellMar>
            <w:top w:w="0" w:type="dxa"/>
            <w:left w:w="108" w:type="dxa"/>
            <w:bottom w:w="0" w:type="dxa"/>
            <w:right w:w="108" w:type="dxa"/>
          </w:tblCellMar>
        </w:tblPrEx>
        <w:trPr>
          <w:trHeight w:val="36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23FB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0A9143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54C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1188929B">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9280A7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943F2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5B7CE8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7C4F023">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C7082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410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A1A70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099DCCE8">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AED9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B46273C">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8232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DB0A7B0">
        <w:tblPrEx>
          <w:tblCellMar>
            <w:top w:w="0" w:type="dxa"/>
            <w:left w:w="108" w:type="dxa"/>
            <w:bottom w:w="0" w:type="dxa"/>
            <w:right w:w="108" w:type="dxa"/>
          </w:tblCellMar>
        </w:tblPrEx>
        <w:trPr>
          <w:trHeight w:val="43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CFF976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1FA61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AEB56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37B4F504">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C0371B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56CCC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639C67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75305B18">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D36824D">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6D6B6D50">
        <w:tblPrEx>
          <w:tblCellMar>
            <w:top w:w="0" w:type="dxa"/>
            <w:left w:w="108" w:type="dxa"/>
            <w:bottom w:w="0" w:type="dxa"/>
            <w:right w:w="108" w:type="dxa"/>
          </w:tblCellMar>
        </w:tblPrEx>
        <w:trPr>
          <w:trHeight w:val="391"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DEEF633">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6A55E6">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326EDA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DEAE7A6">
        <w:tblPrEx>
          <w:tblCellMar>
            <w:top w:w="0" w:type="dxa"/>
            <w:left w:w="108" w:type="dxa"/>
            <w:bottom w:w="0" w:type="dxa"/>
            <w:right w:w="108" w:type="dxa"/>
          </w:tblCellMar>
        </w:tblPrEx>
        <w:trPr>
          <w:trHeight w:val="45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8E3DE2">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B5B00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0984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009BE4DF">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C60E24">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E0AF9CC">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E4084B">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7C39768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8FE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B6B29A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82A89D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2039734">
        <w:tblPrEx>
          <w:tblCellMar>
            <w:top w:w="0" w:type="dxa"/>
            <w:left w:w="108" w:type="dxa"/>
            <w:bottom w:w="0" w:type="dxa"/>
            <w:right w:w="108" w:type="dxa"/>
          </w:tblCellMar>
        </w:tblPrEx>
        <w:trPr>
          <w:trHeight w:val="6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F3AF6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5A1974D">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BCE9D5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46DD5E70">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B07B5E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10C38A7">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03EBC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6BFBDB7E">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3B42C">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FE9265">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7E0B2EE">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3E8C531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EB2051">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E996FF">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AB7D81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05FD24CE">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2782B7">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B9ADB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9BA7A62">
            <w:pPr>
              <w:widowControl/>
              <w:spacing w:line="360" w:lineRule="auto"/>
              <w:jc w:val="left"/>
              <w:textAlignment w:val="center"/>
              <w:rPr>
                <w:rFonts w:hint="eastAsia" w:ascii="宋体" w:hAnsi="宋体" w:eastAsia="宋体" w:cs="宋体"/>
                <w:color w:val="auto"/>
                <w:sz w:val="21"/>
                <w:szCs w:val="21"/>
                <w:highlight w:val="none"/>
              </w:rPr>
            </w:pPr>
          </w:p>
        </w:tc>
      </w:tr>
      <w:tr w14:paraId="5E3823BE">
        <w:tblPrEx>
          <w:tblCellMar>
            <w:top w:w="0" w:type="dxa"/>
            <w:left w:w="108" w:type="dxa"/>
            <w:bottom w:w="0" w:type="dxa"/>
            <w:right w:w="108" w:type="dxa"/>
          </w:tblCellMar>
        </w:tblPrEx>
        <w:trPr>
          <w:trHeight w:val="42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E12F8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5A86D4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E361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7BC057BC">
        <w:tblPrEx>
          <w:tblCellMar>
            <w:top w:w="0" w:type="dxa"/>
            <w:left w:w="108" w:type="dxa"/>
            <w:bottom w:w="0" w:type="dxa"/>
            <w:right w:w="108" w:type="dxa"/>
          </w:tblCellMar>
        </w:tblPrEx>
        <w:trPr>
          <w:trHeight w:val="544"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5AFF36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BC5A9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807BC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C4D95C">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3799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3B203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23EF6E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308CE40E">
        <w:tblPrEx>
          <w:tblCellMar>
            <w:top w:w="0" w:type="dxa"/>
            <w:left w:w="108" w:type="dxa"/>
            <w:bottom w:w="0" w:type="dxa"/>
            <w:right w:w="108" w:type="dxa"/>
          </w:tblCellMar>
        </w:tblPrEx>
        <w:trPr>
          <w:trHeight w:val="41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043222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2E96AF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C89BC4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A3CE69D">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DD34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32118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448B3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69BAB36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68089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30F455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5FD6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6DAA3DC">
        <w:tblPrEx>
          <w:tblCellMar>
            <w:top w:w="0" w:type="dxa"/>
            <w:left w:w="108" w:type="dxa"/>
            <w:bottom w:w="0" w:type="dxa"/>
            <w:right w:w="108" w:type="dxa"/>
          </w:tblCellMar>
        </w:tblPrEx>
        <w:trPr>
          <w:trHeight w:val="48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3D5EBB8">
            <w:pPr>
              <w:widowControl/>
              <w:spacing w:line="36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A4C27F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EC8B971">
            <w:pPr>
              <w:widowControl/>
              <w:spacing w:line="360" w:lineRule="auto"/>
              <w:jc w:val="center"/>
              <w:textAlignment w:val="center"/>
              <w:rPr>
                <w:rFonts w:hint="eastAsia" w:ascii="宋体" w:hAnsi="宋体" w:eastAsia="宋体" w:cs="宋体"/>
                <w:color w:val="auto"/>
                <w:sz w:val="21"/>
                <w:szCs w:val="21"/>
                <w:highlight w:val="none"/>
              </w:rPr>
            </w:pPr>
          </w:p>
        </w:tc>
      </w:tr>
      <w:tr w14:paraId="3B5E3133">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210462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641136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43036F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2F7FEE00">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D52A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B26FF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2373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2E2D48A">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9F953F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546F0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62D7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A0DA6CF">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1F7E9E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4ABE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FDF1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B719A4E">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1EA96F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26C14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7BEB31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6AF2B552">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F4C908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5F1D8B35">
        <w:tblPrEx>
          <w:tblCellMar>
            <w:top w:w="0" w:type="dxa"/>
            <w:left w:w="108" w:type="dxa"/>
            <w:bottom w:w="0" w:type="dxa"/>
            <w:right w:w="108" w:type="dxa"/>
          </w:tblCellMar>
        </w:tblPrEx>
        <w:trPr>
          <w:trHeight w:val="44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39AF53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E88E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A8501E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6F28B709">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84F378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FE233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6C9C41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59784D76">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0619B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EE13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C003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6F3A28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5AAB0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DC7EEF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E228D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B10028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DCC34B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4F326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49F509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7FACA052">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838269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B5EF5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DE7DF4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029C948E">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49CD1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C2334A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44EBC3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7F18D7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C6E41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2442D7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31D3E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7768A2F4">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E63CA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D7EC38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57BA6C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5F97A1B4">
      <w:pPr>
        <w:pStyle w:val="24"/>
        <w:rPr>
          <w:rFonts w:hint="default" w:ascii="宋体" w:hAnsi="宋体" w:eastAsia="宋体" w:cs="宋体"/>
          <w:b w:val="0"/>
          <w:color w:val="auto"/>
          <w:sz w:val="24"/>
          <w:szCs w:val="24"/>
          <w:highlight w:val="none"/>
          <w:lang w:val="en-US" w:eastAsia="zh-CN"/>
        </w:rPr>
      </w:pPr>
    </w:p>
    <w:p w14:paraId="0FEA20A7">
      <w:pPr>
        <w:rPr>
          <w:color w:val="auto"/>
          <w:highlight w:val="none"/>
        </w:rPr>
      </w:pPr>
    </w:p>
    <w:p w14:paraId="7293D8C9">
      <w:pPr>
        <w:rPr>
          <w:color w:val="auto"/>
        </w:rPr>
      </w:pPr>
    </w:p>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1371">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FC4">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1BA325">
                          <w:pPr>
                            <w:pStyle w:val="15"/>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hopXL+IBAADOAwAADgAA&#10;AAAAAAABACAAAAAeAQAAZHJzL2Uyb0RvYy54bWxQSwUGAAAAAAYABgBZAQAAcgUAAAAA&#10;">
              <v:fill on="f" focussize="0,0"/>
              <v:stroke on="f"/>
              <v:imagedata o:title=""/>
              <o:lock v:ext="edit" aspectratio="f"/>
              <v:textbox inset="0mm,0mm,0mm,0mm" style="mso-fit-shape-to-text:t;">
                <w:txbxContent>
                  <w:p w14:paraId="1A1BA325">
                    <w:pPr>
                      <w:pStyle w:val="15"/>
                    </w:pPr>
                    <w:r>
                      <w:fldChar w:fldCharType="begin"/>
                    </w:r>
                    <w:r>
                      <w:instrText xml:space="preserve"> PAGE  \* MERGEFORMAT </w:instrText>
                    </w:r>
                    <w:r>
                      <w:fldChar w:fldCharType="separate"/>
                    </w:r>
                    <w:r>
                      <w:t>104</w:t>
                    </w:r>
                    <w:r>
                      <w:fldChar w:fldCharType="end"/>
                    </w:r>
                  </w:p>
                </w:txbxContent>
              </v:textbox>
            </v:shape>
          </w:pict>
        </mc:Fallback>
      </mc:AlternateContent>
    </w:r>
    <w:r>
      <w:rPr>
        <w:rFonts w:hint="eastAsia"/>
        <w:lang w:eastAsia="zh-CN"/>
      </w:rPr>
      <w:tab/>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6B82">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1B5CC">
                          <w:pPr>
                            <w:pStyle w:val="15"/>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hA1OQBAADO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Zr2oQ5Z05YuvHzr5/n33/Pf36w&#10;l6+TQJ0PK6q78VQZ+7fQU/EUDxRMvPsGbfoTI0Z5kvd0kVf1kcl0aLlYLktKScpNDuEXd8c9hvhe&#10;gWXJqDjS/WVZxfFjiEPpVJK6ObjWxuQ7NO6/AGEOEZWXYDydmAwTJyv2u36kt4P6ROzoWVDXFvA7&#10;Zx0tRcUdvQHOzAdHmqf9mQycjN1kCCfpYMUjZ4P5Lg57dvCo923evDRi8G8OkebOdNIYQ2+SITl0&#10;zVmQcSXTHv3r56q7Z7i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puEDU5AEAAM4DAAAO&#10;AAAAAAAAAAEAIAAAAB4BAABkcnMvZTJvRG9jLnhtbFBLBQYAAAAABgAGAFkBAAB0BQAAAAA=&#10;">
              <v:fill on="f" focussize="0,0"/>
              <v:stroke on="f"/>
              <v:imagedata o:title=""/>
              <o:lock v:ext="edit" aspectratio="f"/>
              <v:textbox inset="0mm,0mm,0mm,0mm" style="mso-fit-shape-to-text:t;">
                <w:txbxContent>
                  <w:p w14:paraId="18C1B5CC">
                    <w:pPr>
                      <w:pStyle w:val="15"/>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lang w:eastAsia="zh-CN"/>
      </w:rPr>
      <w:tab/>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997">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1CB8E7">
                          <w:pPr>
                            <w:pStyle w:val="15"/>
                          </w:pPr>
                          <w:r>
                            <w:fldChar w:fldCharType="begin"/>
                          </w:r>
                          <w:r>
                            <w:instrText xml:space="preserve"> PAGE  \* MERGEFORMAT </w:instrText>
                          </w:r>
                          <w:r>
                            <w:fldChar w:fldCharType="separate"/>
                          </w:r>
                          <w:r>
                            <w:t>106</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uaqsLjAQAAzgMAAA4A&#10;AAAAAAAAAQAgAAAAHgEAAGRycy9lMm9Eb2MueG1sUEsFBgAAAAAGAAYAWQEAAHMFAAAAAA==&#10;">
              <v:fill on="f" focussize="0,0"/>
              <v:stroke on="f"/>
              <v:imagedata o:title=""/>
              <o:lock v:ext="edit" aspectratio="f"/>
              <v:textbox inset="0mm,0mm,0mm,0mm" style="mso-fit-shape-to-text:t;">
                <w:txbxContent>
                  <w:p w14:paraId="7E1CB8E7">
                    <w:pPr>
                      <w:pStyle w:val="15"/>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lang w:eastAsia="zh-CN"/>
      </w:rPr>
      <w:tab/>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118A">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251A26">
                          <w:pPr>
                            <w:pStyle w:val="15"/>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sQG2vjAQAAzQMAAA4A&#10;AAAAAAAAAQAgAAAAHgEAAGRycy9lMm9Eb2MueG1sUEsFBgAAAAAGAAYAWQEAAHMFAAAAAA==&#10;">
              <v:fill on="f" focussize="0,0"/>
              <v:stroke on="f"/>
              <v:imagedata o:title=""/>
              <o:lock v:ext="edit" aspectratio="f"/>
              <v:textbox inset="0mm,0mm,0mm,0mm" style="mso-fit-shape-to-text:t;">
                <w:txbxContent>
                  <w:p w14:paraId="06251A26">
                    <w:pPr>
                      <w:pStyle w:val="15"/>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B665">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382E01">
                          <w:pPr>
                            <w:pStyle w:val="15"/>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C0+asu0BAADYAwAADgAAAAAAAAABACAAAAAiAQAAZHJzL2Uyb0RvYy54bWxQSwUGAAAAAAYABgBZ&#10;AQAAgQUAAAAA&#10;">
              <v:fill on="f" focussize="0,0"/>
              <v:stroke on="f" weight="1.25pt"/>
              <v:imagedata o:title=""/>
              <o:lock v:ext="edit" aspectratio="f"/>
              <v:textbox inset="0mm,0mm,0mm,0mm" style="mso-fit-shape-to-text:t;">
                <w:txbxContent>
                  <w:p w14:paraId="1A382E01">
                    <w:pPr>
                      <w:pStyle w:val="15"/>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F671">
    <w:pPr>
      <w:pStyle w:val="15"/>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E9131C">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Jll+4QEAAM0DAAAOAAAA&#10;AAAAAAEAIAAAAB4BAABkcnMvZTJvRG9jLnhtbFBLBQYAAAAABgAGAFkBAABxBQAAAAA=&#10;">
              <v:fill on="f" focussize="0,0"/>
              <v:stroke on="f"/>
              <v:imagedata o:title=""/>
              <o:lock v:ext="edit" aspectratio="f"/>
              <v:textbox inset="0mm,0mm,0mm,0mm" style="mso-fit-shape-to-text:t;">
                <w:txbxContent>
                  <w:p w14:paraId="10E9131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C5D3">
    <w:pPr>
      <w:pStyle w:val="15"/>
      <w:tabs>
        <w:tab w:val="left" w:pos="532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C0161">
                          <w:pPr>
                            <w:pStyle w:val="15"/>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64J/+MBAADNAwAADgAAAGRycy9lMm9Eb2MueG1srVPNjtMwEL4j8Q6W&#10;7zTZaIW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euCf/jAQAAzQMAAA4A&#10;AAAAAAAAAQAgAAAAHgEAAGRycy9lMm9Eb2MueG1sUEsFBgAAAAAGAAYAWQEAAHMFAAAAAA==&#10;">
              <v:fill on="f" focussize="0,0"/>
              <v:stroke on="f"/>
              <v:imagedata o:title=""/>
              <o:lock v:ext="edit" aspectratio="f"/>
              <v:textbox inset="0mm,0mm,0mm,0mm" style="mso-fit-shape-to-text:t;">
                <w:txbxContent>
                  <w:p w14:paraId="279C0161">
                    <w:pPr>
                      <w:pStyle w:val="15"/>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93E4">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C0924E">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yd7+MBAADNAwAADgAAAGRycy9lMm9Eb2MueG1srVPNjtMwEL4j8Q6W&#10;7zTZSou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PyaMycsXfj5+7fzj1/nn1/Z&#10;sk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Pcne/jAQAAzQMAAA4A&#10;AAAAAAAAAQAgAAAAHgEAAGRycy9lMm9Eb2MueG1sUEsFBgAAAAAGAAYAWQEAAHMFAAAAAA==&#10;">
              <v:fill on="f" focussize="0,0"/>
              <v:stroke on="f"/>
              <v:imagedata o:title=""/>
              <o:lock v:ext="edit" aspectratio="f"/>
              <v:textbox inset="0mm,0mm,0mm,0mm" style="mso-fit-shape-to-text:t;">
                <w:txbxContent>
                  <w:p w14:paraId="20C0924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B5F3">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94626">
                          <w:pPr>
                            <w:pStyle w:val="15"/>
                          </w:pPr>
                          <w:r>
                            <w:fldChar w:fldCharType="begin"/>
                          </w:r>
                          <w:r>
                            <w:instrText xml:space="preserve"> PAGE  \* MERGEFORMAT </w:instrText>
                          </w:r>
                          <w:r>
                            <w:fldChar w:fldCharType="separate"/>
                          </w:r>
                          <w:r>
                            <w:t>97</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g1r+MBAADNAwAADgAAAGRycy9lMm9Eb2MueG1srVPNjtMwEL4j8Q6W&#10;7zTZHlYl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TVnTli68PP3b+cfv84/v7Ll&#10;y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YNa/jAQAAzQMAAA4A&#10;AAAAAAAAAQAgAAAAHgEAAGRycy9lMm9Eb2MueG1sUEsFBgAAAAAGAAYAWQEAAHMFAAAAAA==&#10;">
              <v:fill on="f" focussize="0,0"/>
              <v:stroke on="f"/>
              <v:imagedata o:title=""/>
              <o:lock v:ext="edit" aspectratio="f"/>
              <v:textbox inset="0mm,0mm,0mm,0mm" style="mso-fit-shape-to-text:t;">
                <w:txbxContent>
                  <w:p w14:paraId="57494626">
                    <w:pPr>
                      <w:pStyle w:val="15"/>
                    </w:pPr>
                    <w:r>
                      <w:fldChar w:fldCharType="begin"/>
                    </w:r>
                    <w:r>
                      <w:instrText xml:space="preserve"> PAGE  \* MERGEFORMAT </w:instrText>
                    </w:r>
                    <w:r>
                      <w:fldChar w:fldCharType="separate"/>
                    </w:r>
                    <w:r>
                      <w:t>97</w:t>
                    </w:r>
                    <w: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628">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C948B4">
                          <w:pPr>
                            <w:pStyle w:val="15"/>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QH8eMBAADNAwAADgAAAGRycy9lMm9Eb2MueG1srVPNjtMwEL4j8Q6W&#10;7zRpkaCq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GvOnLB04edfP8+//57//GAv&#10;5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ekB/HjAQAAzQMAAA4A&#10;AAAAAAAAAQAgAAAAHgEAAGRycy9lMm9Eb2MueG1sUEsFBgAAAAAGAAYAWQEAAHMFAAAAAA==&#10;">
              <v:fill on="f" focussize="0,0"/>
              <v:stroke on="f"/>
              <v:imagedata o:title=""/>
              <o:lock v:ext="edit" aspectratio="f"/>
              <v:textbox inset="0mm,0mm,0mm,0mm" style="mso-fit-shape-to-text:t;">
                <w:txbxContent>
                  <w:p w14:paraId="58C948B4">
                    <w:pPr>
                      <w:pStyle w:val="15"/>
                    </w:pPr>
                    <w:r>
                      <w:fldChar w:fldCharType="begin"/>
                    </w:r>
                    <w:r>
                      <w:instrText xml:space="preserve"> PAGE  \* MERGEFORMAT </w:instrText>
                    </w:r>
                    <w:r>
                      <w:fldChar w:fldCharType="separate"/>
                    </w:r>
                    <w:r>
                      <w:t>99</w:t>
                    </w:r>
                    <w:r>
                      <w:fldChar w:fldCharType="end"/>
                    </w:r>
                  </w:p>
                </w:txbxContent>
              </v:textbox>
            </v:shape>
          </w:pict>
        </mc:Fallback>
      </mc:AlternateContent>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5C08">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02C9">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Z/aOMBAADNAwAADgAAAGRycy9lMm9Eb2MueG1srVPNjtMwEL4j8Q6W&#10;7zTZg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k5jd8LSwM8/vp9//j7/+sae&#10;v0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b2f2jjAQAAzQMAAA4A&#10;AAAAAAAAAQAgAAAAHgEAAGRycy9lMm9Eb2MueG1sUEsFBgAAAAAGAAYAWQEAAHMFAAAAAA==&#10;">
              <v:fill on="f" focussize="0,0"/>
              <v:stroke on="f"/>
              <v:imagedata o:title=""/>
              <o:lock v:ext="edit" aspectratio="f"/>
              <v:textbox inset="0mm,0mm,0mm,0mm" style="mso-fit-shape-to-text:t;">
                <w:txbxContent>
                  <w:p w14:paraId="01D102C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DD31">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28BF0F">
                          <w:pPr>
                            <w:pStyle w:val="15"/>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Rok+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LzhzwtKFn79/O//4df75lT19&#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nEaJPjAQAAzQMAAA4A&#10;AAAAAAAAAQAgAAAAHgEAAGRycy9lMm9Eb2MueG1sUEsFBgAAAAAGAAYAWQEAAHMFAAAAAA==&#10;">
              <v:fill on="f" focussize="0,0"/>
              <v:stroke on="f"/>
              <v:imagedata o:title=""/>
              <o:lock v:ext="edit" aspectratio="f"/>
              <v:textbox inset="0mm,0mm,0mm,0mm" style="mso-fit-shape-to-text:t;">
                <w:txbxContent>
                  <w:p w14:paraId="3F28BF0F">
                    <w:pPr>
                      <w:pStyle w:val="15"/>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EC1B0EA">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color w:val="auto"/>
          <w:sz w:val="21"/>
          <w:szCs w:val="20"/>
          <w:highlight w:val="none"/>
          <w:lang w:val="en-US" w:eastAsia="zh-CN"/>
        </w:rPr>
      </w:pPr>
      <w:r>
        <w:rPr>
          <w:sz w:val="21"/>
          <w:szCs w:val="20"/>
        </w:rPr>
        <w:footnoteRef/>
      </w:r>
      <w:r>
        <w:rPr>
          <w:sz w:val="21"/>
          <w:szCs w:val="20"/>
        </w:rPr>
        <w:t xml:space="preserve"> </w:t>
      </w:r>
      <w:r>
        <w:rPr>
          <w:rFonts w:hint="eastAsia"/>
          <w:sz w:val="21"/>
          <w:szCs w:val="20"/>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217A62D">
      <w:pPr>
        <w:pStyle w:val="19"/>
        <w:snapToGrid w:val="0"/>
      </w:pPr>
    </w:p>
  </w:footnote>
  <w:footnote w:id="1">
    <w:p w14:paraId="5E09316A">
      <w:pPr>
        <w:spacing w:line="360" w:lineRule="auto"/>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注：1.联合体竞标的只需牵头人出具。2.供应商为其他组织时，本</w:t>
      </w:r>
      <w:r>
        <w:rPr>
          <w:rFonts w:hint="eastAsia" w:ascii="宋体" w:hAnsi="宋体" w:eastAsia="宋体" w:cs="宋体"/>
          <w:lang w:val="en-US" w:eastAsia="zh-CN"/>
        </w:rPr>
        <w:t>磋商</w:t>
      </w:r>
      <w:r>
        <w:rPr>
          <w:rFonts w:hint="eastAsia" w:ascii="宋体" w:hAnsi="宋体" w:eastAsia="宋体" w:cs="宋体"/>
        </w:rPr>
        <w:t>文件规定的法定代表人指负责人。本</w:t>
      </w:r>
      <w:r>
        <w:rPr>
          <w:rFonts w:hint="eastAsia" w:ascii="宋体" w:hAnsi="宋体" w:eastAsia="宋体" w:cs="宋体"/>
          <w:lang w:val="en-US" w:eastAsia="zh-CN"/>
        </w:rPr>
        <w:t>磋商</w:t>
      </w:r>
      <w:r>
        <w:rPr>
          <w:rFonts w:hint="eastAsia" w:ascii="宋体" w:hAnsi="宋体" w:eastAsia="宋体" w:cs="宋体"/>
        </w:rPr>
        <w:t>文件所称负责人是指参加竞标的其他组织营业执照上的负责人。</w:t>
      </w:r>
    </w:p>
    <w:p w14:paraId="3DE04A73">
      <w:pPr>
        <w:pStyle w:val="19"/>
        <w:snapToGrid w:val="0"/>
      </w:pPr>
    </w:p>
  </w:footnote>
  <w:footnote w:id="2">
    <w:p w14:paraId="588CC098">
      <w:pPr>
        <w:spacing w:line="360" w:lineRule="auto"/>
        <w:rPr>
          <w:rFonts w:hint="default" w:ascii="Calibri" w:hAnsi="Calibri" w:eastAsia="宋体" w:cs="Times New Roman"/>
          <w:b/>
          <w:bCs/>
        </w:rPr>
      </w:pPr>
      <w:r>
        <w:rPr>
          <w:rFonts w:hint="default" w:ascii="Calibri" w:hAnsi="Calibri" w:eastAsia="宋体" w:cs="Times New Roman"/>
          <w:b/>
          <w:bCs/>
          <w:sz w:val="16"/>
          <w:szCs w:val="18"/>
        </w:rPr>
        <w:footnoteRef/>
      </w:r>
      <w:r>
        <w:rPr>
          <w:rFonts w:hint="default" w:ascii="Calibri" w:hAnsi="Calibri" w:eastAsia="宋体" w:cs="Times New Roman"/>
          <w:b/>
          <w:bCs/>
          <w:sz w:val="16"/>
          <w:szCs w:val="18"/>
        </w:rPr>
        <w:t xml:space="preserve"> </w:t>
      </w:r>
      <w:r>
        <w:rPr>
          <w:rFonts w:hint="default" w:ascii="Calibri" w:hAnsi="Calibri" w:eastAsia="宋体" w:cs="Times New Roman"/>
          <w:b/>
          <w:bCs/>
        </w:rPr>
        <w:t>注：1.法定代表人和委托代理人必须在授权委托书上亲笔签名</w:t>
      </w:r>
      <w:r>
        <w:rPr>
          <w:rFonts w:hint="default" w:ascii="Calibri" w:hAnsi="Calibri" w:cs="Times New Roman"/>
          <w:b/>
          <w:bCs/>
          <w:lang w:val="en-US" w:eastAsia="zh-CN"/>
        </w:rPr>
        <w:t>或者</w:t>
      </w:r>
      <w:r>
        <w:rPr>
          <w:rFonts w:hint="default" w:ascii="Calibri" w:hAnsi="Calibri" w:eastAsia="宋体" w:cs="Times New Roman"/>
          <w:b/>
          <w:bCs/>
        </w:rPr>
        <w:t>电子签名；2.以联合体竞标的，本授权委托书应由联合体牵头人的法定代表人按上述规定签署。</w:t>
      </w:r>
    </w:p>
    <w:p w14:paraId="57B467D7">
      <w:pPr>
        <w:pStyle w:val="10"/>
        <w:rPr>
          <w:rFonts w:hint="default" w:ascii="Calibri" w:hAnsi="Calibri" w:eastAsia="宋体" w:cs="Times New Roman"/>
          <w:b/>
          <w:bCs/>
        </w:rPr>
      </w:pPr>
    </w:p>
    <w:p w14:paraId="03D4122A">
      <w:pPr>
        <w:rPr>
          <w:rFonts w:hint="default" w:ascii="Calibri" w:hAnsi="Calibri" w:eastAsia="宋体" w:cs="Times New Roman"/>
          <w:b/>
          <w:bCs/>
        </w:rPr>
      </w:pPr>
    </w:p>
    <w:p w14:paraId="51A8F9C8">
      <w:pPr>
        <w:pStyle w:val="10"/>
        <w:rPr>
          <w:rFonts w:hint="default" w:ascii="Calibri" w:hAnsi="Calibri" w:eastAsia="宋体" w:cs="Times New Roman"/>
          <w:b/>
          <w:bCs/>
        </w:rPr>
      </w:pPr>
    </w:p>
    <w:p w14:paraId="7BEFCF6B">
      <w:pPr>
        <w:rPr>
          <w:rFonts w:hint="default" w:ascii="Calibri" w:hAnsi="Calibri" w:eastAsia="宋体" w:cs="Times New Roman"/>
          <w:b/>
          <w:bCs/>
        </w:rPr>
      </w:pPr>
    </w:p>
    <w:p w14:paraId="78C1323C">
      <w:pPr>
        <w:pStyle w:val="10"/>
        <w:rPr>
          <w:rFonts w:hint="default" w:ascii="Calibri" w:hAnsi="Calibri" w:eastAsia="宋体" w:cs="Times New Roman"/>
          <w:b/>
          <w:bCs/>
        </w:rPr>
      </w:pPr>
    </w:p>
    <w:p w14:paraId="573496FB">
      <w:pPr>
        <w:rPr>
          <w:rFonts w:hint="default" w:ascii="Calibri" w:hAnsi="Calibri" w:eastAsia="宋体" w:cs="Times New Roman"/>
          <w:b/>
          <w:bCs/>
        </w:rPr>
      </w:pPr>
    </w:p>
    <w:p w14:paraId="0CDC8BA6">
      <w:pPr>
        <w:pStyle w:val="10"/>
        <w:rPr>
          <w:rFonts w:hint="default" w:ascii="Calibri" w:hAnsi="Calibri" w:eastAsia="宋体" w:cs="Times New Roman"/>
          <w:b/>
          <w:bCs/>
        </w:rPr>
      </w:pPr>
    </w:p>
    <w:p w14:paraId="53CCABB1">
      <w:pPr>
        <w:rPr>
          <w:rFonts w:hint="default"/>
        </w:rPr>
      </w:pPr>
    </w:p>
    <w:p w14:paraId="1E14815C">
      <w:pPr>
        <w:pStyle w:val="19"/>
        <w:snapToGrid w:val="0"/>
      </w:pPr>
    </w:p>
  </w:footnote>
  <w:footnote w:id="3">
    <w:p w14:paraId="1A9CD5B6">
      <w:pPr>
        <w:spacing w:line="360" w:lineRule="auto"/>
        <w:rPr>
          <w:rFonts w:hint="eastAsia" w:ascii="宋体" w:hAnsi="宋体" w:eastAsia="宋体" w:cs="宋体"/>
          <w:sz w:val="21"/>
          <w:szCs w:val="22"/>
          <w:lang w:val="en-US" w:eastAsia="zh-CN"/>
        </w:rPr>
      </w:pPr>
      <w:r>
        <w:rPr>
          <w:rFonts w:hint="eastAsia" w:ascii="宋体" w:hAnsi="宋体" w:eastAsia="宋体" w:cs="宋体"/>
          <w:sz w:val="18"/>
          <w:szCs w:val="20"/>
        </w:rPr>
        <w:footnoteRef/>
      </w:r>
      <w:r>
        <w:rPr>
          <w:rFonts w:hint="eastAsia" w:ascii="宋体" w:hAnsi="宋体" w:eastAsia="宋体" w:cs="宋体"/>
          <w:sz w:val="18"/>
          <w:szCs w:val="20"/>
        </w:rPr>
        <w:t xml:space="preserve"> </w:t>
      </w:r>
      <w:r>
        <w:rPr>
          <w:rFonts w:hint="eastAsia" w:ascii="宋体" w:hAnsi="宋体" w:eastAsia="宋体" w:cs="宋体"/>
          <w:sz w:val="21"/>
          <w:szCs w:val="22"/>
        </w:rPr>
        <w:t>注：从业人员、营业收入、资产总额填报上一年数据，无上一年数据的新成立企业可不填报。</w:t>
      </w:r>
      <w:r>
        <w:rPr>
          <w:rFonts w:hint="eastAsia" w:ascii="宋体" w:hAnsi="宋体" w:eastAsia="宋体" w:cs="宋体"/>
          <w:sz w:val="21"/>
          <w:szCs w:val="22"/>
          <w:lang w:val="en-US" w:eastAsia="zh-CN"/>
        </w:rPr>
        <w:t>非中小企业磋商，无需提供。</w:t>
      </w:r>
    </w:p>
    <w:p w14:paraId="33230CB7">
      <w:pPr>
        <w:pStyle w:val="19"/>
        <w:snapToGrid w:val="0"/>
      </w:pPr>
    </w:p>
  </w:footnote>
  <w:footnote w:id="4">
    <w:p w14:paraId="25FF08DF">
      <w:pPr>
        <w:rPr>
          <w:rFonts w:hint="eastAsia" w:eastAsia="宋体"/>
          <w:lang w:eastAsia="zh-CN"/>
        </w:rPr>
      </w:pPr>
      <w:r>
        <w:rPr>
          <w:sz w:val="13"/>
          <w:szCs w:val="15"/>
        </w:rPr>
        <w:footnoteRef/>
      </w:r>
      <w:r>
        <w:rPr>
          <w:sz w:val="16"/>
          <w:szCs w:val="18"/>
        </w:rPr>
        <w:t xml:space="preserve"> </w:t>
      </w:r>
      <w:r>
        <w:rPr>
          <w:rFonts w:hint="eastAsia"/>
        </w:rPr>
        <w:t>请完整填写声明函内容，否则不予认可。非残疾人福利性单位磋商，不需此件</w:t>
      </w:r>
      <w:r>
        <w:rPr>
          <w:rFonts w:hint="eastAsia"/>
          <w:lang w:eastAsia="zh-CN"/>
        </w:rPr>
        <w:t>。</w:t>
      </w:r>
    </w:p>
    <w:p w14:paraId="4FCE7D04">
      <w:pPr>
        <w:pStyle w:val="19"/>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6EB5">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540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B8B">
    <w:pPr>
      <w:pStyle w:val="16"/>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B17E">
    <w:pPr>
      <w:pStyle w:val="16"/>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4F63"/>
    <w:multiLevelType w:val="singleLevel"/>
    <w:tmpl w:val="84E84F63"/>
    <w:lvl w:ilvl="0" w:tentative="0">
      <w:start w:val="1"/>
      <w:numFmt w:val="decimal"/>
      <w:lvlText w:val="(%1)"/>
      <w:lvlJc w:val="left"/>
      <w:pPr>
        <w:ind w:left="425" w:hanging="425"/>
      </w:pPr>
      <w:rPr>
        <w:rFonts w:hint="default"/>
      </w:rPr>
    </w:lvl>
  </w:abstractNum>
  <w:abstractNum w:abstractNumId="1">
    <w:nsid w:val="857C9D78"/>
    <w:multiLevelType w:val="singleLevel"/>
    <w:tmpl w:val="857C9D78"/>
    <w:lvl w:ilvl="0" w:tentative="0">
      <w:start w:val="1"/>
      <w:numFmt w:val="decimal"/>
      <w:suff w:val="nothing"/>
      <w:lvlText w:val="%1."/>
      <w:lvlJc w:val="left"/>
      <w:pPr>
        <w:tabs>
          <w:tab w:val="left" w:pos="0"/>
        </w:tabs>
        <w:ind w:left="0" w:firstLine="0"/>
      </w:pPr>
      <w:rPr>
        <w:rFonts w:hint="default"/>
      </w:rPr>
    </w:lvl>
  </w:abstractNum>
  <w:abstractNum w:abstractNumId="2">
    <w:nsid w:val="89728480"/>
    <w:multiLevelType w:val="singleLevel"/>
    <w:tmpl w:val="89728480"/>
    <w:lvl w:ilvl="0" w:tentative="0">
      <w:start w:val="1"/>
      <w:numFmt w:val="decimal"/>
      <w:suff w:val="nothing"/>
      <w:lvlText w:val="(%1)"/>
      <w:lvlJc w:val="left"/>
      <w:pPr>
        <w:ind w:left="0" w:firstLine="0"/>
      </w:pPr>
      <w:rPr>
        <w:rFonts w:hint="default"/>
        <w:b w:val="0"/>
        <w:bCs w:val="0"/>
        <w:color w:val="auto"/>
      </w:rPr>
    </w:lvl>
  </w:abstractNum>
  <w:abstractNum w:abstractNumId="3">
    <w:nsid w:val="8F450A65"/>
    <w:multiLevelType w:val="singleLevel"/>
    <w:tmpl w:val="8F450A65"/>
    <w:lvl w:ilvl="0" w:tentative="0">
      <w:start w:val="1"/>
      <w:numFmt w:val="decimal"/>
      <w:suff w:val="space"/>
      <w:lvlText w:val="(%1)"/>
      <w:lvlJc w:val="left"/>
      <w:pPr>
        <w:ind w:left="0" w:leftChars="0" w:firstLine="0" w:firstLineChars="0"/>
      </w:pPr>
      <w:rPr>
        <w:rFonts w:hint="default"/>
      </w:rPr>
    </w:lvl>
  </w:abstractNum>
  <w:abstractNum w:abstractNumId="4">
    <w:nsid w:val="945D130A"/>
    <w:multiLevelType w:val="singleLevel"/>
    <w:tmpl w:val="945D130A"/>
    <w:lvl w:ilvl="0" w:tentative="0">
      <w:start w:val="1"/>
      <w:numFmt w:val="decimal"/>
      <w:lvlText w:val="(%1)"/>
      <w:lvlJc w:val="left"/>
      <w:pPr>
        <w:ind w:left="0" w:leftChars="0" w:firstLine="0" w:firstLineChars="0"/>
      </w:pPr>
      <w:rPr>
        <w:rFonts w:hint="default"/>
      </w:rPr>
    </w:lvl>
  </w:abstractNum>
  <w:abstractNum w:abstractNumId="5">
    <w:nsid w:val="96818DD5"/>
    <w:multiLevelType w:val="singleLevel"/>
    <w:tmpl w:val="96818DD5"/>
    <w:lvl w:ilvl="0" w:tentative="0">
      <w:start w:val="1"/>
      <w:numFmt w:val="decimal"/>
      <w:lvlText w:val="(%1)"/>
      <w:lvlJc w:val="left"/>
      <w:pPr>
        <w:ind w:left="0" w:leftChars="0" w:firstLine="0" w:firstLineChars="0"/>
      </w:pPr>
      <w:rPr>
        <w:rFonts w:hint="default"/>
      </w:rPr>
    </w:lvl>
  </w:abstractNum>
  <w:abstractNum w:abstractNumId="6">
    <w:nsid w:val="9A1A01EC"/>
    <w:multiLevelType w:val="singleLevel"/>
    <w:tmpl w:val="9A1A01EC"/>
    <w:lvl w:ilvl="0" w:tentative="0">
      <w:start w:val="1"/>
      <w:numFmt w:val="chineseCounting"/>
      <w:suff w:val="nothing"/>
      <w:lvlText w:val="%1、"/>
      <w:lvlJc w:val="left"/>
      <w:pPr>
        <w:ind w:left="0" w:firstLine="420"/>
      </w:pPr>
      <w:rPr>
        <w:rFonts w:hint="eastAsia"/>
      </w:rPr>
    </w:lvl>
  </w:abstractNum>
  <w:abstractNum w:abstractNumId="7">
    <w:nsid w:val="9C51C8CB"/>
    <w:multiLevelType w:val="singleLevel"/>
    <w:tmpl w:val="9C51C8CB"/>
    <w:lvl w:ilvl="0" w:tentative="0">
      <w:start w:val="1"/>
      <w:numFmt w:val="decimal"/>
      <w:suff w:val="nothing"/>
      <w:lvlText w:val="%1."/>
      <w:lvlJc w:val="left"/>
      <w:pPr>
        <w:tabs>
          <w:tab w:val="left" w:pos="0"/>
        </w:tabs>
        <w:ind w:left="0" w:firstLine="0"/>
      </w:pPr>
      <w:rPr>
        <w:rFonts w:hint="default" w:ascii="宋体" w:hAnsi="宋体" w:eastAsia="宋体" w:cs="宋体"/>
        <w:b w:val="0"/>
        <w:bCs w:val="0"/>
      </w:rPr>
    </w:lvl>
  </w:abstractNum>
  <w:abstractNum w:abstractNumId="8">
    <w:nsid w:val="A02B7BE4"/>
    <w:multiLevelType w:val="singleLevel"/>
    <w:tmpl w:val="A02B7BE4"/>
    <w:lvl w:ilvl="0" w:tentative="0">
      <w:start w:val="1"/>
      <w:numFmt w:val="decimal"/>
      <w:suff w:val="nothing"/>
      <w:lvlText w:val="(%1)"/>
      <w:lvlJc w:val="left"/>
      <w:pPr>
        <w:ind w:left="0" w:leftChars="0" w:firstLine="0" w:firstLineChars="0"/>
      </w:pPr>
      <w:rPr>
        <w:rFonts w:hint="default"/>
      </w:rPr>
    </w:lvl>
  </w:abstractNum>
  <w:abstractNum w:abstractNumId="9">
    <w:nsid w:val="A9508CB2"/>
    <w:multiLevelType w:val="singleLevel"/>
    <w:tmpl w:val="A9508CB2"/>
    <w:lvl w:ilvl="0" w:tentative="0">
      <w:start w:val="1"/>
      <w:numFmt w:val="decimal"/>
      <w:suff w:val="nothing"/>
      <w:lvlText w:val="%1."/>
      <w:lvlJc w:val="left"/>
      <w:pPr>
        <w:tabs>
          <w:tab w:val="left" w:pos="0"/>
        </w:tabs>
        <w:ind w:left="0" w:firstLine="0"/>
      </w:pPr>
      <w:rPr>
        <w:rFonts w:hint="default"/>
      </w:rPr>
    </w:lvl>
  </w:abstractNum>
  <w:abstractNum w:abstractNumId="10">
    <w:nsid w:val="AA53ABDF"/>
    <w:multiLevelType w:val="singleLevel"/>
    <w:tmpl w:val="AA53ABDF"/>
    <w:lvl w:ilvl="0" w:tentative="0">
      <w:start w:val="1"/>
      <w:numFmt w:val="decimal"/>
      <w:suff w:val="nothing"/>
      <w:lvlText w:val="2.%1"/>
      <w:lvlJc w:val="left"/>
      <w:pPr>
        <w:ind w:left="0" w:firstLine="403"/>
      </w:pPr>
      <w:rPr>
        <w:rFonts w:hint="default"/>
      </w:rPr>
    </w:lvl>
  </w:abstractNum>
  <w:abstractNum w:abstractNumId="11">
    <w:nsid w:val="B88DAC9D"/>
    <w:multiLevelType w:val="singleLevel"/>
    <w:tmpl w:val="B88DAC9D"/>
    <w:lvl w:ilvl="0" w:tentative="0">
      <w:start w:val="1"/>
      <w:numFmt w:val="decimal"/>
      <w:suff w:val="nothing"/>
      <w:lvlText w:val="%1."/>
      <w:lvlJc w:val="left"/>
      <w:pPr>
        <w:tabs>
          <w:tab w:val="left" w:pos="0"/>
        </w:tabs>
        <w:ind w:left="0" w:firstLine="0"/>
      </w:pPr>
      <w:rPr>
        <w:rFonts w:hint="default"/>
      </w:rPr>
    </w:lvl>
  </w:abstractNum>
  <w:abstractNum w:abstractNumId="12">
    <w:nsid w:val="BB8AF613"/>
    <w:multiLevelType w:val="singleLevel"/>
    <w:tmpl w:val="BB8AF613"/>
    <w:lvl w:ilvl="0" w:tentative="0">
      <w:start w:val="1"/>
      <w:numFmt w:val="decimal"/>
      <w:suff w:val="space"/>
      <w:lvlText w:val="(%1)"/>
      <w:lvlJc w:val="left"/>
      <w:pPr>
        <w:ind w:left="0" w:firstLine="0"/>
      </w:pPr>
      <w:rPr>
        <w:rFonts w:hint="default"/>
        <w:b w:val="0"/>
        <w:bCs w:val="0"/>
      </w:rPr>
    </w:lvl>
  </w:abstractNum>
  <w:abstractNum w:abstractNumId="13">
    <w:nsid w:val="C4816648"/>
    <w:multiLevelType w:val="singleLevel"/>
    <w:tmpl w:val="C4816648"/>
    <w:lvl w:ilvl="0" w:tentative="0">
      <w:start w:val="1"/>
      <w:numFmt w:val="decimal"/>
      <w:lvlText w:val="(%1)"/>
      <w:lvlJc w:val="left"/>
      <w:pPr>
        <w:ind w:left="425" w:hanging="425"/>
      </w:pPr>
      <w:rPr>
        <w:rFonts w:hint="default"/>
      </w:rPr>
    </w:lvl>
  </w:abstractNum>
  <w:abstractNum w:abstractNumId="14">
    <w:nsid w:val="C486D68E"/>
    <w:multiLevelType w:val="singleLevel"/>
    <w:tmpl w:val="C486D68E"/>
    <w:lvl w:ilvl="0" w:tentative="0">
      <w:start w:val="1"/>
      <w:numFmt w:val="chineseCounting"/>
      <w:suff w:val="nothing"/>
      <w:lvlText w:val="%1"/>
      <w:lvlJc w:val="left"/>
      <w:pPr>
        <w:ind w:left="0" w:firstLine="0"/>
      </w:pPr>
      <w:rPr>
        <w:rFonts w:hint="eastAsia" w:ascii="宋体" w:hAnsi="宋体" w:eastAsia="宋体" w:cs="宋体"/>
        <w:sz w:val="24"/>
        <w:szCs w:val="24"/>
      </w:rPr>
    </w:lvl>
  </w:abstractNum>
  <w:abstractNum w:abstractNumId="15">
    <w:nsid w:val="CDEB15FA"/>
    <w:multiLevelType w:val="singleLevel"/>
    <w:tmpl w:val="CDEB15FA"/>
    <w:lvl w:ilvl="0" w:tentative="0">
      <w:start w:val="1"/>
      <w:numFmt w:val="decimal"/>
      <w:lvlText w:val="(%1)"/>
      <w:lvlJc w:val="left"/>
      <w:pPr>
        <w:ind w:left="0" w:leftChars="0" w:firstLine="0" w:firstLineChars="0"/>
      </w:pPr>
      <w:rPr>
        <w:rFonts w:hint="default"/>
      </w:rPr>
    </w:lvl>
  </w:abstractNum>
  <w:abstractNum w:abstractNumId="16">
    <w:nsid w:val="EBB9FEEE"/>
    <w:multiLevelType w:val="singleLevel"/>
    <w:tmpl w:val="EBB9FEEE"/>
    <w:lvl w:ilvl="0" w:tentative="0">
      <w:start w:val="1"/>
      <w:numFmt w:val="decimal"/>
      <w:suff w:val="nothing"/>
      <w:lvlText w:val="%1."/>
      <w:lvlJc w:val="left"/>
      <w:pPr>
        <w:tabs>
          <w:tab w:val="left" w:pos="0"/>
        </w:tabs>
        <w:ind w:left="0" w:firstLine="0"/>
      </w:pPr>
      <w:rPr>
        <w:rFonts w:hint="default"/>
        <w:b w:val="0"/>
        <w:bCs w:val="0"/>
      </w:rPr>
    </w:lvl>
  </w:abstractNum>
  <w:abstractNum w:abstractNumId="17">
    <w:nsid w:val="EDEDB6E2"/>
    <w:multiLevelType w:val="singleLevel"/>
    <w:tmpl w:val="EDEDB6E2"/>
    <w:lvl w:ilvl="0" w:tentative="0">
      <w:start w:val="1"/>
      <w:numFmt w:val="decimal"/>
      <w:suff w:val="nothing"/>
      <w:lvlText w:val="3.%1"/>
      <w:lvlJc w:val="left"/>
      <w:pPr>
        <w:ind w:left="0" w:firstLine="403"/>
      </w:pPr>
      <w:rPr>
        <w:rFonts w:hint="default"/>
      </w:rPr>
    </w:lvl>
  </w:abstractNum>
  <w:abstractNum w:abstractNumId="18">
    <w:nsid w:val="F728E6DB"/>
    <w:multiLevelType w:val="singleLevel"/>
    <w:tmpl w:val="F728E6DB"/>
    <w:lvl w:ilvl="0" w:tentative="0">
      <w:start w:val="1"/>
      <w:numFmt w:val="decimal"/>
      <w:suff w:val="nothing"/>
      <w:lvlText w:val="1.%1"/>
      <w:lvlJc w:val="left"/>
      <w:pPr>
        <w:ind w:left="0" w:firstLine="403"/>
      </w:pPr>
      <w:rPr>
        <w:rFonts w:hint="default"/>
      </w:rPr>
    </w:lvl>
  </w:abstractNum>
  <w:abstractNum w:abstractNumId="19">
    <w:nsid w:val="FB815A7A"/>
    <w:multiLevelType w:val="singleLevel"/>
    <w:tmpl w:val="FB815A7A"/>
    <w:lvl w:ilvl="0" w:tentative="0">
      <w:start w:val="1"/>
      <w:numFmt w:val="decimal"/>
      <w:suff w:val="nothing"/>
      <w:lvlText w:val="%1."/>
      <w:lvlJc w:val="left"/>
      <w:pPr>
        <w:tabs>
          <w:tab w:val="left" w:pos="0"/>
        </w:tabs>
        <w:ind w:left="0" w:firstLine="0"/>
      </w:pPr>
      <w:rPr>
        <w:rFonts w:hint="default"/>
        <w:b w:val="0"/>
        <w:bCs w:val="0"/>
      </w:rPr>
    </w:lvl>
  </w:abstractNum>
  <w:abstractNum w:abstractNumId="20">
    <w:nsid w:val="11C04158"/>
    <w:multiLevelType w:val="singleLevel"/>
    <w:tmpl w:val="11C04158"/>
    <w:lvl w:ilvl="0" w:tentative="0">
      <w:start w:val="1"/>
      <w:numFmt w:val="decimal"/>
      <w:suff w:val="nothing"/>
      <w:lvlText w:val="%1)"/>
      <w:lvlJc w:val="left"/>
      <w:pPr>
        <w:ind w:left="0" w:leftChars="0" w:firstLine="0" w:firstLineChars="0"/>
      </w:pPr>
      <w:rPr>
        <w:rFonts w:hint="default"/>
      </w:rPr>
    </w:lvl>
  </w:abstractNum>
  <w:abstractNum w:abstractNumId="21">
    <w:nsid w:val="25BCFB45"/>
    <w:multiLevelType w:val="singleLevel"/>
    <w:tmpl w:val="25BCFB45"/>
    <w:lvl w:ilvl="0" w:tentative="0">
      <w:start w:val="1"/>
      <w:numFmt w:val="decimal"/>
      <w:suff w:val="nothing"/>
      <w:lvlText w:val="%1."/>
      <w:lvlJc w:val="left"/>
      <w:pPr>
        <w:ind w:left="0" w:firstLine="0"/>
      </w:pPr>
      <w:rPr>
        <w:rFonts w:hint="default"/>
      </w:rPr>
    </w:lvl>
  </w:abstractNum>
  <w:abstractNum w:abstractNumId="22">
    <w:nsid w:val="3232BDC4"/>
    <w:multiLevelType w:val="singleLevel"/>
    <w:tmpl w:val="3232BDC4"/>
    <w:lvl w:ilvl="0" w:tentative="0">
      <w:start w:val="1"/>
      <w:numFmt w:val="decimal"/>
      <w:suff w:val="nothing"/>
      <w:lvlText w:val="%1."/>
      <w:lvlJc w:val="left"/>
      <w:pPr>
        <w:tabs>
          <w:tab w:val="left" w:pos="0"/>
        </w:tabs>
        <w:ind w:left="0" w:firstLine="0"/>
      </w:pPr>
      <w:rPr>
        <w:rFonts w:hint="default"/>
      </w:rPr>
    </w:lvl>
  </w:abstractNum>
  <w:abstractNum w:abstractNumId="23">
    <w:nsid w:val="3871CE1D"/>
    <w:multiLevelType w:val="singleLevel"/>
    <w:tmpl w:val="3871CE1D"/>
    <w:lvl w:ilvl="0" w:tentative="0">
      <w:start w:val="1"/>
      <w:numFmt w:val="decimal"/>
      <w:lvlText w:val="(%1)"/>
      <w:lvlJc w:val="left"/>
      <w:pPr>
        <w:ind w:left="0" w:leftChars="0" w:firstLine="0" w:firstLineChars="0"/>
      </w:pPr>
      <w:rPr>
        <w:rFonts w:hint="default"/>
      </w:rPr>
    </w:lvl>
  </w:abstractNum>
  <w:abstractNum w:abstractNumId="24">
    <w:nsid w:val="3D8A9339"/>
    <w:multiLevelType w:val="singleLevel"/>
    <w:tmpl w:val="3D8A9339"/>
    <w:lvl w:ilvl="0" w:tentative="0">
      <w:start w:val="1"/>
      <w:numFmt w:val="decimal"/>
      <w:lvlText w:val="(%1)"/>
      <w:lvlJc w:val="left"/>
      <w:pPr>
        <w:ind w:left="0" w:leftChars="0" w:firstLine="0" w:firstLineChars="0"/>
      </w:pPr>
      <w:rPr>
        <w:rFonts w:hint="default"/>
      </w:rPr>
    </w:lvl>
  </w:abstractNum>
  <w:abstractNum w:abstractNumId="25">
    <w:nsid w:val="436FA574"/>
    <w:multiLevelType w:val="singleLevel"/>
    <w:tmpl w:val="436FA574"/>
    <w:lvl w:ilvl="0" w:tentative="0">
      <w:start w:val="1"/>
      <w:numFmt w:val="decimal"/>
      <w:suff w:val="nothing"/>
      <w:lvlText w:val="(%1)"/>
      <w:lvlJc w:val="left"/>
      <w:pPr>
        <w:ind w:left="0" w:leftChars="0" w:firstLine="0" w:firstLineChars="0"/>
      </w:pPr>
      <w:rPr>
        <w:rFonts w:hint="default"/>
      </w:rPr>
    </w:lvl>
  </w:abstractNum>
  <w:abstractNum w:abstractNumId="26">
    <w:nsid w:val="469548F0"/>
    <w:multiLevelType w:val="singleLevel"/>
    <w:tmpl w:val="469548F0"/>
    <w:lvl w:ilvl="0" w:tentative="0">
      <w:start w:val="1"/>
      <w:numFmt w:val="decimal"/>
      <w:suff w:val="nothing"/>
      <w:lvlText w:val="(%1) "/>
      <w:lvlJc w:val="left"/>
      <w:pPr>
        <w:ind w:left="0" w:firstLine="0"/>
      </w:pPr>
      <w:rPr>
        <w:rFonts w:hint="default"/>
      </w:rPr>
    </w:lvl>
  </w:abstractNum>
  <w:abstractNum w:abstractNumId="27">
    <w:nsid w:val="4875A2E1"/>
    <w:multiLevelType w:val="singleLevel"/>
    <w:tmpl w:val="4875A2E1"/>
    <w:lvl w:ilvl="0" w:tentative="0">
      <w:start w:val="1"/>
      <w:numFmt w:val="decimal"/>
      <w:lvlText w:val="(%1)"/>
      <w:lvlJc w:val="left"/>
      <w:pPr>
        <w:ind w:left="0" w:leftChars="0" w:firstLine="0" w:firstLineChars="0"/>
      </w:pPr>
      <w:rPr>
        <w:rFonts w:hint="default"/>
      </w:rPr>
    </w:lvl>
  </w:abstractNum>
  <w:abstractNum w:abstractNumId="28">
    <w:nsid w:val="48CDD169"/>
    <w:multiLevelType w:val="singleLevel"/>
    <w:tmpl w:val="48CDD169"/>
    <w:lvl w:ilvl="0" w:tentative="0">
      <w:start w:val="1"/>
      <w:numFmt w:val="decimal"/>
      <w:suff w:val="nothing"/>
      <w:lvlText w:val="(%1)"/>
      <w:lvlJc w:val="left"/>
      <w:pPr>
        <w:ind w:left="0" w:firstLine="0"/>
      </w:pPr>
      <w:rPr>
        <w:rFonts w:hint="default"/>
        <w:b w:val="0"/>
        <w:bCs w:val="0"/>
      </w:rPr>
    </w:lvl>
  </w:abstractNum>
  <w:abstractNum w:abstractNumId="29">
    <w:nsid w:val="62DE523A"/>
    <w:multiLevelType w:val="singleLevel"/>
    <w:tmpl w:val="62DE523A"/>
    <w:lvl w:ilvl="0" w:tentative="0">
      <w:start w:val="1"/>
      <w:numFmt w:val="decimal"/>
      <w:suff w:val="nothing"/>
      <w:lvlText w:val="(%1)"/>
      <w:lvlJc w:val="left"/>
      <w:pPr>
        <w:ind w:left="0" w:firstLine="0"/>
      </w:pPr>
      <w:rPr>
        <w:rFonts w:hint="default"/>
        <w:b w:val="0"/>
        <w:bCs w:val="0"/>
      </w:rPr>
    </w:lvl>
  </w:abstractNum>
  <w:abstractNum w:abstractNumId="30">
    <w:nsid w:val="7B5D149E"/>
    <w:multiLevelType w:val="singleLevel"/>
    <w:tmpl w:val="7B5D149E"/>
    <w:lvl w:ilvl="0" w:tentative="0">
      <w:start w:val="1"/>
      <w:numFmt w:val="decimal"/>
      <w:suff w:val="nothing"/>
      <w:lvlText w:val="%1."/>
      <w:lvlJc w:val="left"/>
      <w:pPr>
        <w:ind w:left="454" w:hanging="454"/>
      </w:pPr>
      <w:rPr>
        <w:rFonts w:hint="default"/>
      </w:rPr>
    </w:lvl>
  </w:abstractNum>
  <w:num w:numId="1">
    <w:abstractNumId w:val="6"/>
  </w:num>
  <w:num w:numId="2">
    <w:abstractNumId w:val="29"/>
  </w:num>
  <w:num w:numId="3">
    <w:abstractNumId w:val="28"/>
  </w:num>
  <w:num w:numId="4">
    <w:abstractNumId w:val="2"/>
  </w:num>
  <w:num w:numId="5">
    <w:abstractNumId w:val="12"/>
  </w:num>
  <w:num w:numId="6">
    <w:abstractNumId w:val="30"/>
  </w:num>
  <w:num w:numId="7">
    <w:abstractNumId w:val="18"/>
  </w:num>
  <w:num w:numId="8">
    <w:abstractNumId w:val="10"/>
  </w:num>
  <w:num w:numId="9">
    <w:abstractNumId w:val="17"/>
  </w:num>
  <w:num w:numId="10">
    <w:abstractNumId w:val="15"/>
  </w:num>
  <w:num w:numId="11">
    <w:abstractNumId w:val="5"/>
  </w:num>
  <w:num w:numId="12">
    <w:abstractNumId w:val="0"/>
  </w:num>
  <w:num w:numId="13">
    <w:abstractNumId w:val="3"/>
  </w:num>
  <w:num w:numId="14">
    <w:abstractNumId w:val="24"/>
  </w:num>
  <w:num w:numId="15">
    <w:abstractNumId w:val="20"/>
  </w:num>
  <w:num w:numId="16">
    <w:abstractNumId w:val="27"/>
  </w:num>
  <w:num w:numId="17">
    <w:abstractNumId w:val="13"/>
  </w:num>
  <w:num w:numId="18">
    <w:abstractNumId w:val="4"/>
  </w:num>
  <w:num w:numId="19">
    <w:abstractNumId w:val="23"/>
  </w:num>
  <w:num w:numId="20">
    <w:abstractNumId w:val="14"/>
  </w:num>
  <w:num w:numId="21">
    <w:abstractNumId w:val="9"/>
  </w:num>
  <w:num w:numId="22">
    <w:abstractNumId w:val="22"/>
  </w:num>
  <w:num w:numId="23">
    <w:abstractNumId w:val="16"/>
  </w:num>
  <w:num w:numId="24">
    <w:abstractNumId w:val="1"/>
  </w:num>
  <w:num w:numId="25">
    <w:abstractNumId w:val="7"/>
  </w:num>
  <w:num w:numId="26">
    <w:abstractNumId w:val="21"/>
  </w:num>
  <w:num w:numId="27">
    <w:abstractNumId w:val="8"/>
  </w:num>
  <w:num w:numId="28">
    <w:abstractNumId w:val="11"/>
  </w:num>
  <w:num w:numId="29">
    <w:abstractNumId w:val="19"/>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footnotePr>
    <w:numFmt w:val="decimalEnclosedCircleChines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WJlNmU2MWMxYjg4NTFkMGRhN2JmYzk3N2QyYWEifQ=="/>
  </w:docVars>
  <w:rsids>
    <w:rsidRoot w:val="16226CA0"/>
    <w:rsid w:val="0003249D"/>
    <w:rsid w:val="001A2968"/>
    <w:rsid w:val="008D313A"/>
    <w:rsid w:val="00CB77BE"/>
    <w:rsid w:val="00EE1B33"/>
    <w:rsid w:val="00F40C6C"/>
    <w:rsid w:val="00FE2D77"/>
    <w:rsid w:val="015222F0"/>
    <w:rsid w:val="01817E3E"/>
    <w:rsid w:val="019D3D02"/>
    <w:rsid w:val="01E60AC8"/>
    <w:rsid w:val="02B16B2A"/>
    <w:rsid w:val="02BE0473"/>
    <w:rsid w:val="02C90FB8"/>
    <w:rsid w:val="03082583"/>
    <w:rsid w:val="035477F4"/>
    <w:rsid w:val="03D177E1"/>
    <w:rsid w:val="03E25DD9"/>
    <w:rsid w:val="04280A3D"/>
    <w:rsid w:val="042F285F"/>
    <w:rsid w:val="046408A6"/>
    <w:rsid w:val="05E10959"/>
    <w:rsid w:val="05F82867"/>
    <w:rsid w:val="064C0A5C"/>
    <w:rsid w:val="06F22838"/>
    <w:rsid w:val="06F86E33"/>
    <w:rsid w:val="07094F0F"/>
    <w:rsid w:val="0791077C"/>
    <w:rsid w:val="07BE64F4"/>
    <w:rsid w:val="07CD2D8D"/>
    <w:rsid w:val="083B16CD"/>
    <w:rsid w:val="08752E31"/>
    <w:rsid w:val="087E2303"/>
    <w:rsid w:val="08C13F77"/>
    <w:rsid w:val="08C3152F"/>
    <w:rsid w:val="08DF64FD"/>
    <w:rsid w:val="08EA5765"/>
    <w:rsid w:val="09AC42AB"/>
    <w:rsid w:val="09D14049"/>
    <w:rsid w:val="09D576C5"/>
    <w:rsid w:val="0A1B7A08"/>
    <w:rsid w:val="0A4C4740"/>
    <w:rsid w:val="0A6124DD"/>
    <w:rsid w:val="0A6172BC"/>
    <w:rsid w:val="0ADD0EDC"/>
    <w:rsid w:val="0AF52007"/>
    <w:rsid w:val="0B077F8D"/>
    <w:rsid w:val="0B625321"/>
    <w:rsid w:val="0B66017E"/>
    <w:rsid w:val="0B7E4427"/>
    <w:rsid w:val="0B8A2398"/>
    <w:rsid w:val="0B8D1301"/>
    <w:rsid w:val="0B8F3C0D"/>
    <w:rsid w:val="0BAE5C3A"/>
    <w:rsid w:val="0BC06D51"/>
    <w:rsid w:val="0C03696C"/>
    <w:rsid w:val="0CC6285C"/>
    <w:rsid w:val="0D2254DA"/>
    <w:rsid w:val="0D5B7BEC"/>
    <w:rsid w:val="0D814026"/>
    <w:rsid w:val="0DB03AF2"/>
    <w:rsid w:val="0DE65E90"/>
    <w:rsid w:val="0E06277D"/>
    <w:rsid w:val="0E0A0924"/>
    <w:rsid w:val="0E813BB2"/>
    <w:rsid w:val="0E8E5325"/>
    <w:rsid w:val="0F192942"/>
    <w:rsid w:val="0F475A12"/>
    <w:rsid w:val="0F8D1771"/>
    <w:rsid w:val="1037760A"/>
    <w:rsid w:val="108C7607"/>
    <w:rsid w:val="10D34B99"/>
    <w:rsid w:val="10D87426"/>
    <w:rsid w:val="111D5280"/>
    <w:rsid w:val="1182036D"/>
    <w:rsid w:val="11B5429E"/>
    <w:rsid w:val="11DF30C9"/>
    <w:rsid w:val="122B64DB"/>
    <w:rsid w:val="127C7AA7"/>
    <w:rsid w:val="12E84200"/>
    <w:rsid w:val="12EC0B94"/>
    <w:rsid w:val="12F5751D"/>
    <w:rsid w:val="130848A2"/>
    <w:rsid w:val="149F7519"/>
    <w:rsid w:val="14BA3E2D"/>
    <w:rsid w:val="151709F2"/>
    <w:rsid w:val="15AB60E4"/>
    <w:rsid w:val="160B7C89"/>
    <w:rsid w:val="16226CA0"/>
    <w:rsid w:val="164B3423"/>
    <w:rsid w:val="166041CE"/>
    <w:rsid w:val="16621924"/>
    <w:rsid w:val="166E542F"/>
    <w:rsid w:val="16DA0303"/>
    <w:rsid w:val="16E3456F"/>
    <w:rsid w:val="16E85659"/>
    <w:rsid w:val="171A0EFC"/>
    <w:rsid w:val="17340DDE"/>
    <w:rsid w:val="175802EE"/>
    <w:rsid w:val="17B76E5D"/>
    <w:rsid w:val="18185587"/>
    <w:rsid w:val="18822A00"/>
    <w:rsid w:val="18B74DA0"/>
    <w:rsid w:val="18BF1EA7"/>
    <w:rsid w:val="19101523"/>
    <w:rsid w:val="199B6470"/>
    <w:rsid w:val="1A141D7E"/>
    <w:rsid w:val="1A484AE5"/>
    <w:rsid w:val="1B0808B3"/>
    <w:rsid w:val="1B535B04"/>
    <w:rsid w:val="1B6D1746"/>
    <w:rsid w:val="1BF746B9"/>
    <w:rsid w:val="1C5C32CD"/>
    <w:rsid w:val="1C6751AE"/>
    <w:rsid w:val="1C732267"/>
    <w:rsid w:val="1C890274"/>
    <w:rsid w:val="1CAE2016"/>
    <w:rsid w:val="1D307B7A"/>
    <w:rsid w:val="1D482BF1"/>
    <w:rsid w:val="1D5572DE"/>
    <w:rsid w:val="1DA935CF"/>
    <w:rsid w:val="1DE71C83"/>
    <w:rsid w:val="1E022123"/>
    <w:rsid w:val="1E636840"/>
    <w:rsid w:val="1E88254A"/>
    <w:rsid w:val="1F072441"/>
    <w:rsid w:val="1F3F33F9"/>
    <w:rsid w:val="1F6556CF"/>
    <w:rsid w:val="1FA348B7"/>
    <w:rsid w:val="1FB82E1A"/>
    <w:rsid w:val="1FFE1506"/>
    <w:rsid w:val="204F34B4"/>
    <w:rsid w:val="2090643B"/>
    <w:rsid w:val="212F195A"/>
    <w:rsid w:val="213571AA"/>
    <w:rsid w:val="214F1CD4"/>
    <w:rsid w:val="21A926F8"/>
    <w:rsid w:val="21EF354E"/>
    <w:rsid w:val="21F131A0"/>
    <w:rsid w:val="22011EA5"/>
    <w:rsid w:val="220B52EC"/>
    <w:rsid w:val="22125E28"/>
    <w:rsid w:val="227D082C"/>
    <w:rsid w:val="22857D4A"/>
    <w:rsid w:val="228733B1"/>
    <w:rsid w:val="229E2B2D"/>
    <w:rsid w:val="22E16CF7"/>
    <w:rsid w:val="23146AD4"/>
    <w:rsid w:val="234B506B"/>
    <w:rsid w:val="238164D7"/>
    <w:rsid w:val="23876E96"/>
    <w:rsid w:val="2399369D"/>
    <w:rsid w:val="23C571E8"/>
    <w:rsid w:val="23D85C26"/>
    <w:rsid w:val="240E0B10"/>
    <w:rsid w:val="24170DE9"/>
    <w:rsid w:val="24270DB4"/>
    <w:rsid w:val="244E460F"/>
    <w:rsid w:val="247738C6"/>
    <w:rsid w:val="24A802E0"/>
    <w:rsid w:val="2500189E"/>
    <w:rsid w:val="252235A1"/>
    <w:rsid w:val="25554E4D"/>
    <w:rsid w:val="25B74631"/>
    <w:rsid w:val="26487A95"/>
    <w:rsid w:val="266576AC"/>
    <w:rsid w:val="26673B7A"/>
    <w:rsid w:val="2677034D"/>
    <w:rsid w:val="268524A2"/>
    <w:rsid w:val="272359CC"/>
    <w:rsid w:val="2758774E"/>
    <w:rsid w:val="276437FF"/>
    <w:rsid w:val="27A135CD"/>
    <w:rsid w:val="27AD75F4"/>
    <w:rsid w:val="27BE2374"/>
    <w:rsid w:val="27CC013D"/>
    <w:rsid w:val="27DE6C9C"/>
    <w:rsid w:val="27E4610F"/>
    <w:rsid w:val="289C346E"/>
    <w:rsid w:val="28A568CC"/>
    <w:rsid w:val="28D9666D"/>
    <w:rsid w:val="28E341D6"/>
    <w:rsid w:val="28FF097E"/>
    <w:rsid w:val="292B57F2"/>
    <w:rsid w:val="29930F11"/>
    <w:rsid w:val="29A84FEC"/>
    <w:rsid w:val="29AD5683"/>
    <w:rsid w:val="2A2E13E5"/>
    <w:rsid w:val="2A43363C"/>
    <w:rsid w:val="2A623070"/>
    <w:rsid w:val="2A8562CF"/>
    <w:rsid w:val="2AB768F2"/>
    <w:rsid w:val="2AD07741"/>
    <w:rsid w:val="2AE84108"/>
    <w:rsid w:val="2B3F6D82"/>
    <w:rsid w:val="2BE003C5"/>
    <w:rsid w:val="2BEC4909"/>
    <w:rsid w:val="2C057779"/>
    <w:rsid w:val="2C07445C"/>
    <w:rsid w:val="2C492AF7"/>
    <w:rsid w:val="2C536E42"/>
    <w:rsid w:val="2C9A6F3E"/>
    <w:rsid w:val="2CC04B14"/>
    <w:rsid w:val="2CCB09C2"/>
    <w:rsid w:val="2CF00429"/>
    <w:rsid w:val="2CFE66A2"/>
    <w:rsid w:val="2D344355"/>
    <w:rsid w:val="2DAC25A2"/>
    <w:rsid w:val="2E876B6B"/>
    <w:rsid w:val="2ED43B64"/>
    <w:rsid w:val="2F106B60"/>
    <w:rsid w:val="2F176141"/>
    <w:rsid w:val="2F930419"/>
    <w:rsid w:val="2FC96153"/>
    <w:rsid w:val="2FDE7961"/>
    <w:rsid w:val="3023538F"/>
    <w:rsid w:val="312E560F"/>
    <w:rsid w:val="31686020"/>
    <w:rsid w:val="31D85005"/>
    <w:rsid w:val="31F817BB"/>
    <w:rsid w:val="327A6433"/>
    <w:rsid w:val="327B3079"/>
    <w:rsid w:val="32850B61"/>
    <w:rsid w:val="32A65DCA"/>
    <w:rsid w:val="32CE6008"/>
    <w:rsid w:val="32EF4C58"/>
    <w:rsid w:val="33B26438"/>
    <w:rsid w:val="34F5742B"/>
    <w:rsid w:val="35223149"/>
    <w:rsid w:val="35C71C7F"/>
    <w:rsid w:val="35D27F9B"/>
    <w:rsid w:val="35D54972"/>
    <w:rsid w:val="3619454C"/>
    <w:rsid w:val="363155DA"/>
    <w:rsid w:val="36897924"/>
    <w:rsid w:val="36BD312A"/>
    <w:rsid w:val="36F95200"/>
    <w:rsid w:val="370B1ACA"/>
    <w:rsid w:val="378E46F9"/>
    <w:rsid w:val="38994484"/>
    <w:rsid w:val="38A24CCD"/>
    <w:rsid w:val="38FB737B"/>
    <w:rsid w:val="39042E4A"/>
    <w:rsid w:val="391C1F51"/>
    <w:rsid w:val="39EC0441"/>
    <w:rsid w:val="3A1A77DA"/>
    <w:rsid w:val="3A811BE8"/>
    <w:rsid w:val="3A836438"/>
    <w:rsid w:val="3AE25855"/>
    <w:rsid w:val="3B12599D"/>
    <w:rsid w:val="3B307210"/>
    <w:rsid w:val="3B6C22A7"/>
    <w:rsid w:val="3B95308C"/>
    <w:rsid w:val="3C33263F"/>
    <w:rsid w:val="3C3A2A6D"/>
    <w:rsid w:val="3C6C7791"/>
    <w:rsid w:val="3C987ACC"/>
    <w:rsid w:val="3CB46D7D"/>
    <w:rsid w:val="3CBE5F81"/>
    <w:rsid w:val="3D224132"/>
    <w:rsid w:val="3D377368"/>
    <w:rsid w:val="3D8A5D30"/>
    <w:rsid w:val="3D980617"/>
    <w:rsid w:val="3DF82F16"/>
    <w:rsid w:val="3DFA79FE"/>
    <w:rsid w:val="3E1073AD"/>
    <w:rsid w:val="3E290858"/>
    <w:rsid w:val="3E2A6156"/>
    <w:rsid w:val="3E3143FD"/>
    <w:rsid w:val="3E330E02"/>
    <w:rsid w:val="3E3E107E"/>
    <w:rsid w:val="3E5527E2"/>
    <w:rsid w:val="3E712D4A"/>
    <w:rsid w:val="3ECB6600"/>
    <w:rsid w:val="3ED23E32"/>
    <w:rsid w:val="3EFD0E1E"/>
    <w:rsid w:val="3F2521B4"/>
    <w:rsid w:val="3F434130"/>
    <w:rsid w:val="3F654D11"/>
    <w:rsid w:val="3FAC7B5E"/>
    <w:rsid w:val="40314316"/>
    <w:rsid w:val="406970E7"/>
    <w:rsid w:val="407D5CE6"/>
    <w:rsid w:val="408E5B37"/>
    <w:rsid w:val="40D95004"/>
    <w:rsid w:val="40F058FC"/>
    <w:rsid w:val="410D3AF4"/>
    <w:rsid w:val="41A05B22"/>
    <w:rsid w:val="41ED6EE2"/>
    <w:rsid w:val="42293D69"/>
    <w:rsid w:val="422A2565"/>
    <w:rsid w:val="424C7A58"/>
    <w:rsid w:val="429460DB"/>
    <w:rsid w:val="42C763EA"/>
    <w:rsid w:val="43512D29"/>
    <w:rsid w:val="43A55671"/>
    <w:rsid w:val="43FE3EA5"/>
    <w:rsid w:val="4432690F"/>
    <w:rsid w:val="44352E99"/>
    <w:rsid w:val="444347DD"/>
    <w:rsid w:val="444C2685"/>
    <w:rsid w:val="446B2C99"/>
    <w:rsid w:val="446D1CCF"/>
    <w:rsid w:val="44B30262"/>
    <w:rsid w:val="45232CF2"/>
    <w:rsid w:val="455B4022"/>
    <w:rsid w:val="456F6887"/>
    <w:rsid w:val="45B1654F"/>
    <w:rsid w:val="45CF6AF3"/>
    <w:rsid w:val="46196920"/>
    <w:rsid w:val="462D267E"/>
    <w:rsid w:val="463D47FB"/>
    <w:rsid w:val="463E3B5B"/>
    <w:rsid w:val="4678706D"/>
    <w:rsid w:val="46A95C51"/>
    <w:rsid w:val="46BF53E7"/>
    <w:rsid w:val="46D647AC"/>
    <w:rsid w:val="470E1780"/>
    <w:rsid w:val="4710148D"/>
    <w:rsid w:val="475353E4"/>
    <w:rsid w:val="476C2A20"/>
    <w:rsid w:val="47BC0D43"/>
    <w:rsid w:val="483416BA"/>
    <w:rsid w:val="485F7103"/>
    <w:rsid w:val="488A5FAD"/>
    <w:rsid w:val="48945CB4"/>
    <w:rsid w:val="48D166DC"/>
    <w:rsid w:val="490D283F"/>
    <w:rsid w:val="498B7355"/>
    <w:rsid w:val="49C75E7C"/>
    <w:rsid w:val="49F156B8"/>
    <w:rsid w:val="4A7214CA"/>
    <w:rsid w:val="4A7D58D4"/>
    <w:rsid w:val="4A914BA1"/>
    <w:rsid w:val="4A9616D5"/>
    <w:rsid w:val="4AF313B8"/>
    <w:rsid w:val="4B1B4A13"/>
    <w:rsid w:val="4B49563E"/>
    <w:rsid w:val="4BBE3774"/>
    <w:rsid w:val="4C2E1218"/>
    <w:rsid w:val="4CA162E9"/>
    <w:rsid w:val="4D064D46"/>
    <w:rsid w:val="4D33290B"/>
    <w:rsid w:val="4DAB1264"/>
    <w:rsid w:val="4DF06083"/>
    <w:rsid w:val="4E2D698F"/>
    <w:rsid w:val="4E52248E"/>
    <w:rsid w:val="4E6111F8"/>
    <w:rsid w:val="4E760C6C"/>
    <w:rsid w:val="4ECD27FE"/>
    <w:rsid w:val="4F36372C"/>
    <w:rsid w:val="4F6177AA"/>
    <w:rsid w:val="4FB8672C"/>
    <w:rsid w:val="50C47696"/>
    <w:rsid w:val="50D2381E"/>
    <w:rsid w:val="51113F8C"/>
    <w:rsid w:val="513323DF"/>
    <w:rsid w:val="51F22AE4"/>
    <w:rsid w:val="521C7446"/>
    <w:rsid w:val="522F7D18"/>
    <w:rsid w:val="524424F9"/>
    <w:rsid w:val="52576A4A"/>
    <w:rsid w:val="526E041E"/>
    <w:rsid w:val="52741030"/>
    <w:rsid w:val="52AE3067"/>
    <w:rsid w:val="52D74DA5"/>
    <w:rsid w:val="53C102A5"/>
    <w:rsid w:val="53DB0C3B"/>
    <w:rsid w:val="54154E4E"/>
    <w:rsid w:val="54AD58E5"/>
    <w:rsid w:val="54DA5E76"/>
    <w:rsid w:val="54F77CF7"/>
    <w:rsid w:val="55081E7F"/>
    <w:rsid w:val="552D5931"/>
    <w:rsid w:val="558275C0"/>
    <w:rsid w:val="559E6102"/>
    <w:rsid w:val="55E40359"/>
    <w:rsid w:val="56A93273"/>
    <w:rsid w:val="572B4ED0"/>
    <w:rsid w:val="57CC4EA6"/>
    <w:rsid w:val="57D312C1"/>
    <w:rsid w:val="57D97D5B"/>
    <w:rsid w:val="57FB638B"/>
    <w:rsid w:val="58336520"/>
    <w:rsid w:val="585E73F1"/>
    <w:rsid w:val="586B27F0"/>
    <w:rsid w:val="58BF06FB"/>
    <w:rsid w:val="58C35EBA"/>
    <w:rsid w:val="58C7677C"/>
    <w:rsid w:val="58F07702"/>
    <w:rsid w:val="59225EAA"/>
    <w:rsid w:val="593221F4"/>
    <w:rsid w:val="597638E0"/>
    <w:rsid w:val="59927FEE"/>
    <w:rsid w:val="59A95129"/>
    <w:rsid w:val="59C46066"/>
    <w:rsid w:val="59C75A61"/>
    <w:rsid w:val="59DA7FD2"/>
    <w:rsid w:val="59E01B3A"/>
    <w:rsid w:val="59E76B60"/>
    <w:rsid w:val="5B280C0A"/>
    <w:rsid w:val="5B936463"/>
    <w:rsid w:val="5B9C33A6"/>
    <w:rsid w:val="5BAF5169"/>
    <w:rsid w:val="5BED3267"/>
    <w:rsid w:val="5C7A321C"/>
    <w:rsid w:val="5C7D174C"/>
    <w:rsid w:val="5CB63FF4"/>
    <w:rsid w:val="5D437F35"/>
    <w:rsid w:val="5D5A53FD"/>
    <w:rsid w:val="5D621B3E"/>
    <w:rsid w:val="5D6323CD"/>
    <w:rsid w:val="5D69550A"/>
    <w:rsid w:val="5D8365CC"/>
    <w:rsid w:val="5D8F328E"/>
    <w:rsid w:val="5E15134E"/>
    <w:rsid w:val="5E22142D"/>
    <w:rsid w:val="5E496DDC"/>
    <w:rsid w:val="5E5730C1"/>
    <w:rsid w:val="5E61076C"/>
    <w:rsid w:val="5EE96711"/>
    <w:rsid w:val="5EEA1995"/>
    <w:rsid w:val="5F1A2F60"/>
    <w:rsid w:val="600016C6"/>
    <w:rsid w:val="602E2037"/>
    <w:rsid w:val="605567BC"/>
    <w:rsid w:val="606517C5"/>
    <w:rsid w:val="606563B8"/>
    <w:rsid w:val="60EC4488"/>
    <w:rsid w:val="61377E0E"/>
    <w:rsid w:val="61A95447"/>
    <w:rsid w:val="61BF27FF"/>
    <w:rsid w:val="61CA2A1B"/>
    <w:rsid w:val="620D65C8"/>
    <w:rsid w:val="6242182F"/>
    <w:rsid w:val="629A7E1A"/>
    <w:rsid w:val="62C574D4"/>
    <w:rsid w:val="62F47383"/>
    <w:rsid w:val="63BF0D6B"/>
    <w:rsid w:val="63C810CE"/>
    <w:rsid w:val="63DC45B9"/>
    <w:rsid w:val="63E32EB5"/>
    <w:rsid w:val="63E422B7"/>
    <w:rsid w:val="64070445"/>
    <w:rsid w:val="6454633E"/>
    <w:rsid w:val="646A5DEF"/>
    <w:rsid w:val="647037BE"/>
    <w:rsid w:val="64FA11C7"/>
    <w:rsid w:val="65672E40"/>
    <w:rsid w:val="65E77B91"/>
    <w:rsid w:val="661B7E6A"/>
    <w:rsid w:val="662E19CB"/>
    <w:rsid w:val="663C13D6"/>
    <w:rsid w:val="663E1DDC"/>
    <w:rsid w:val="667D12BD"/>
    <w:rsid w:val="6690669E"/>
    <w:rsid w:val="66B07D06"/>
    <w:rsid w:val="66BF198F"/>
    <w:rsid w:val="66C338F3"/>
    <w:rsid w:val="66DA6149"/>
    <w:rsid w:val="67EA474D"/>
    <w:rsid w:val="68210EBB"/>
    <w:rsid w:val="684331C7"/>
    <w:rsid w:val="69BD200C"/>
    <w:rsid w:val="6A091D7B"/>
    <w:rsid w:val="6A3E686A"/>
    <w:rsid w:val="6AD629CD"/>
    <w:rsid w:val="6AFC5458"/>
    <w:rsid w:val="6B6712DB"/>
    <w:rsid w:val="6B735ED1"/>
    <w:rsid w:val="6B7D1C55"/>
    <w:rsid w:val="6BD67172"/>
    <w:rsid w:val="6BE14F10"/>
    <w:rsid w:val="6BE40B7D"/>
    <w:rsid w:val="6C142D35"/>
    <w:rsid w:val="6C1F3FBC"/>
    <w:rsid w:val="6C277B6B"/>
    <w:rsid w:val="6C2B3EAE"/>
    <w:rsid w:val="6C77408A"/>
    <w:rsid w:val="6CBB24DE"/>
    <w:rsid w:val="6D1F420C"/>
    <w:rsid w:val="6D597176"/>
    <w:rsid w:val="6D5B1C5D"/>
    <w:rsid w:val="6DAB5204"/>
    <w:rsid w:val="6DCD289F"/>
    <w:rsid w:val="6E3A4A84"/>
    <w:rsid w:val="6EB27F81"/>
    <w:rsid w:val="6EDA0016"/>
    <w:rsid w:val="6F2B088C"/>
    <w:rsid w:val="6F3F5C5A"/>
    <w:rsid w:val="6FAC7C04"/>
    <w:rsid w:val="6FB34846"/>
    <w:rsid w:val="6FBE3580"/>
    <w:rsid w:val="70645DE9"/>
    <w:rsid w:val="70B27BFF"/>
    <w:rsid w:val="71092E34"/>
    <w:rsid w:val="717402AD"/>
    <w:rsid w:val="717C7D52"/>
    <w:rsid w:val="719E532A"/>
    <w:rsid w:val="71F90DB9"/>
    <w:rsid w:val="72030549"/>
    <w:rsid w:val="72376327"/>
    <w:rsid w:val="726C39F3"/>
    <w:rsid w:val="72A522C4"/>
    <w:rsid w:val="72BC4017"/>
    <w:rsid w:val="72EC426E"/>
    <w:rsid w:val="73252843"/>
    <w:rsid w:val="73BC2E0B"/>
    <w:rsid w:val="74212243"/>
    <w:rsid w:val="74393D5D"/>
    <w:rsid w:val="746B7053"/>
    <w:rsid w:val="748836A0"/>
    <w:rsid w:val="757545F4"/>
    <w:rsid w:val="75A108A2"/>
    <w:rsid w:val="75A26EA5"/>
    <w:rsid w:val="760140DA"/>
    <w:rsid w:val="761F696F"/>
    <w:rsid w:val="76200A04"/>
    <w:rsid w:val="762A7746"/>
    <w:rsid w:val="76312C11"/>
    <w:rsid w:val="76816FC9"/>
    <w:rsid w:val="76DE3E64"/>
    <w:rsid w:val="76FE681E"/>
    <w:rsid w:val="773400BE"/>
    <w:rsid w:val="776A3DCB"/>
    <w:rsid w:val="777A2082"/>
    <w:rsid w:val="779D6F3B"/>
    <w:rsid w:val="77AB0A92"/>
    <w:rsid w:val="78231353"/>
    <w:rsid w:val="78735894"/>
    <w:rsid w:val="78A73779"/>
    <w:rsid w:val="78DD2BDC"/>
    <w:rsid w:val="78E4672A"/>
    <w:rsid w:val="790A14F7"/>
    <w:rsid w:val="791800B8"/>
    <w:rsid w:val="7928756C"/>
    <w:rsid w:val="79490272"/>
    <w:rsid w:val="79512403"/>
    <w:rsid w:val="798D09EC"/>
    <w:rsid w:val="79A2653C"/>
    <w:rsid w:val="79B10C94"/>
    <w:rsid w:val="79E0278C"/>
    <w:rsid w:val="79F26143"/>
    <w:rsid w:val="7A8529D8"/>
    <w:rsid w:val="7ACD4E2A"/>
    <w:rsid w:val="7B122EB9"/>
    <w:rsid w:val="7B492674"/>
    <w:rsid w:val="7B963516"/>
    <w:rsid w:val="7BDF0A19"/>
    <w:rsid w:val="7C41288A"/>
    <w:rsid w:val="7CF14EA8"/>
    <w:rsid w:val="7CFB5D27"/>
    <w:rsid w:val="7D660653"/>
    <w:rsid w:val="7E1E7F1F"/>
    <w:rsid w:val="7E472C30"/>
    <w:rsid w:val="7E7D79BC"/>
    <w:rsid w:val="7E937856"/>
    <w:rsid w:val="7E971BBC"/>
    <w:rsid w:val="7EAC35E8"/>
    <w:rsid w:val="7F3514BF"/>
    <w:rsid w:val="7F5766C5"/>
    <w:rsid w:val="7F5913A2"/>
    <w:rsid w:val="7F612876"/>
    <w:rsid w:val="7F8A5401"/>
    <w:rsid w:val="7F956B8C"/>
    <w:rsid w:val="7FAF1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7"/>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rPr>
      <w:rFonts w:ascii="@微软简标宋" w:hAnsi="@微软简标宋" w:eastAsia="@微软简标宋" w:cs="@微软简标宋"/>
      <w:szCs w:val="24"/>
      <w:lang w:val="zh-CN"/>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rPr>
      <w:rFonts w:hAnsi="Courier New" w:eastAsia="宋体"/>
      <w:szCs w:val="22"/>
    </w:rPr>
  </w:style>
  <w:style w:type="paragraph" w:styleId="14">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pPr>
    <w:rPr>
      <w:sz w:val="28"/>
    </w:rPr>
  </w:style>
  <w:style w:type="paragraph" w:styleId="19">
    <w:name w:val="footnote text"/>
    <w:basedOn w:val="1"/>
    <w:unhideWhenUsed/>
    <w:qFormat/>
    <w:uiPriority w:val="0"/>
    <w:pPr>
      <w:snapToGrid w:val="0"/>
      <w:jc w:val="left"/>
    </w:pPr>
    <w:rPr>
      <w:rFonts w:ascii="Times New Roman" w:hAnsi="Times New Roman" w:cs="Times New Roman"/>
      <w:kern w:val="2"/>
      <w:sz w:val="18"/>
      <w:szCs w:val="18"/>
      <w:lang w:val="zh-CN"/>
    </w:rPr>
  </w:style>
  <w:style w:type="paragraph" w:styleId="20">
    <w:name w:val="toc 2"/>
    <w:basedOn w:val="1"/>
    <w:next w:val="1"/>
    <w:unhideWhenUsed/>
    <w:qFormat/>
    <w:uiPriority w:val="39"/>
    <w:pPr>
      <w:widowControl/>
      <w:spacing w:after="100" w:line="276" w:lineRule="auto"/>
      <w:ind w:left="220"/>
      <w:jc w:val="left"/>
    </w:pPr>
    <w:rPr>
      <w:rFonts w:ascii="Calibri" w:hAnsi="Calibri" w:eastAsia="宋体"/>
      <w:sz w:val="22"/>
      <w:szCs w:val="22"/>
    </w:rPr>
  </w:style>
  <w:style w:type="paragraph" w:styleId="21">
    <w:name w:val="Normal (Web)"/>
    <w:basedOn w:val="1"/>
    <w:qFormat/>
    <w:uiPriority w:val="99"/>
    <w:pPr>
      <w:widowControl/>
      <w:spacing w:before="100" w:beforeAutospacing="1" w:after="100" w:afterAutospacing="1"/>
      <w:jc w:val="left"/>
    </w:pPr>
    <w:rPr>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24">
    <w:name w:val="Body Text First Indent"/>
    <w:basedOn w:val="10"/>
    <w:unhideWhenUsed/>
    <w:qFormat/>
    <w:uiPriority w:val="99"/>
    <w:pPr>
      <w:ind w:firstLine="420" w:firstLineChars="100"/>
    </w:pPr>
  </w:style>
  <w:style w:type="paragraph" w:styleId="25">
    <w:name w:val="Body Text First Indent 2"/>
    <w:basedOn w:val="1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unhideWhenUsed/>
    <w:qFormat/>
    <w:uiPriority w:val="99"/>
    <w:rPr>
      <w:color w:val="800080"/>
      <w:u w:val="single"/>
    </w:rPr>
  </w:style>
  <w:style w:type="character" w:styleId="31">
    <w:name w:val="Hyperlink"/>
    <w:basedOn w:val="28"/>
    <w:unhideWhenUsed/>
    <w:qFormat/>
    <w:uiPriority w:val="99"/>
    <w:rPr>
      <w:color w:val="0563C1"/>
      <w:u w:val="single"/>
    </w:rPr>
  </w:style>
  <w:style w:type="character" w:styleId="32">
    <w:name w:val="annotation reference"/>
    <w:basedOn w:val="28"/>
    <w:unhideWhenUsed/>
    <w:qFormat/>
    <w:uiPriority w:val="0"/>
    <w:rPr>
      <w:sz w:val="21"/>
      <w:szCs w:val="21"/>
    </w:rPr>
  </w:style>
  <w:style w:type="character" w:styleId="33">
    <w:name w:val="footnote reference"/>
    <w:unhideWhenUsed/>
    <w:qFormat/>
    <w:uiPriority w:val="0"/>
    <w:rPr>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sz w:val="32"/>
    </w:rPr>
  </w:style>
  <w:style w:type="character" w:customStyle="1" w:styleId="36">
    <w:name w:val="标题 3 Char"/>
    <w:link w:val="4"/>
    <w:qFormat/>
    <w:uiPriority w:val="0"/>
    <w:rPr>
      <w:b/>
      <w:sz w:val="32"/>
    </w:rPr>
  </w:style>
  <w:style w:type="character" w:customStyle="1" w:styleId="37">
    <w:name w:val="标题 5 Char"/>
    <w:link w:val="6"/>
    <w:qFormat/>
    <w:uiPriority w:val="0"/>
    <w:rPr>
      <w:b/>
      <w:sz w:val="28"/>
    </w:rPr>
  </w:style>
  <w:style w:type="paragraph" w:customStyle="1" w:styleId="38">
    <w:name w:val="表格文字"/>
    <w:basedOn w:val="1"/>
    <w:next w:val="1"/>
    <w:qFormat/>
    <w:uiPriority w:val="99"/>
    <w:pPr>
      <w:spacing w:before="25" w:after="25"/>
      <w:jc w:val="left"/>
    </w:pPr>
    <w:rPr>
      <w:bCs/>
      <w:spacing w:val="10"/>
      <w:kern w:val="0"/>
      <w:sz w:val="24"/>
    </w:rPr>
  </w:style>
  <w:style w:type="paragraph" w:customStyle="1" w:styleId="39">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40">
    <w:name w:val="xl31"/>
    <w:basedOn w:val="1"/>
    <w:qFormat/>
    <w:uiPriority w:val="0"/>
    <w:pPr>
      <w:widowControl/>
      <w:spacing w:before="100" w:beforeAutospacing="1" w:after="100" w:afterAutospacing="1"/>
      <w:jc w:val="center"/>
    </w:pPr>
    <w:rPr>
      <w:b/>
      <w:bCs/>
      <w:sz w:val="28"/>
      <w:szCs w:val="28"/>
    </w:rPr>
  </w:style>
  <w:style w:type="paragraph" w:customStyle="1" w:styleId="41">
    <w:name w:val="D&amp;L"/>
    <w:basedOn w:val="16"/>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qFormat/>
    <w:uiPriority w:val="0"/>
    <w:pPr>
      <w:widowControl/>
      <w:spacing w:before="100" w:beforeAutospacing="1" w:after="100" w:afterAutospacing="1"/>
      <w:jc w:val="left"/>
    </w:pPr>
    <w:rPr>
      <w:rFonts w:cs="Times New Roman"/>
      <w:sz w:val="24"/>
      <w:szCs w:val="24"/>
    </w:rPr>
  </w:style>
  <w:style w:type="table" w:customStyle="1" w:styleId="43">
    <w:name w:val="网格型2"/>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List Paragraph"/>
    <w:basedOn w:val="1"/>
    <w:qFormat/>
    <w:uiPriority w:val="34"/>
    <w:pPr>
      <w:ind w:firstLine="420" w:firstLineChars="200"/>
    </w:pPr>
  </w:style>
  <w:style w:type="table" w:customStyle="1" w:styleId="45">
    <w:name w:val="网格型4"/>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表格文字1151"/>
    <w:basedOn w:val="1"/>
    <w:qFormat/>
    <w:uiPriority w:val="0"/>
    <w:pPr>
      <w:spacing w:before="25" w:after="25"/>
      <w:jc w:val="left"/>
    </w:pPr>
    <w:rPr>
      <w:bCs/>
      <w:spacing w:val="10"/>
      <w:kern w:val="0"/>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Table Paragraph"/>
    <w:basedOn w:val="1"/>
    <w:qFormat/>
    <w:uiPriority w:val="1"/>
  </w:style>
  <w:style w:type="paragraph" w:customStyle="1" w:styleId="50">
    <w:name w:val="样式 标题 3 + (中文) 黑体 小四 非加粗 段前: 7.8 磅 段后: 0 磅 行距: 固定值 20 磅"/>
    <w:basedOn w:val="4"/>
    <w:qFormat/>
    <w:uiPriority w:val="0"/>
    <w:pPr>
      <w:spacing w:line="400" w:lineRule="exact"/>
    </w:pPr>
    <w:rPr>
      <w:rFonts w:cs="宋体"/>
      <w:b w:val="0"/>
      <w:szCs w:val="20"/>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5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23433;&#20840;&#27983;&#35272;&#22120;&#19979;&#36733;\&#30923;&#21830;&#24037;&#3124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磋商工程.wpt</Template>
  <Pages>122</Pages>
  <Words>12026</Words>
  <Characters>12732</Characters>
  <Lines>0</Lines>
  <Paragraphs>0</Paragraphs>
  <TotalTime>6</TotalTime>
  <ScaleCrop>false</ScaleCrop>
  <LinksUpToDate>false</LinksUpToDate>
  <CharactersWithSpaces>12981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2024-07-12T15:33:00Z</dcterms:created>
  <dc:creator>非飞1398565762</dc:creator>
  <cp:lastModifiedBy>Administrator</cp:lastModifiedBy>
  <dcterms:modified xsi:type="dcterms:W3CDTF">2025-04-30T09:08:15Z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2AD7596A221349298BE2BA2F32930B2F_13</vt:lpwstr>
  </property>
  <property fmtid="{D5CDD505-2E9C-101B-9397-08002B2CF9AE}" pid="4" name="commondata">
    <vt:lpwstr>eyJoZGlkIjoiN2EwNjkzNmEwOTIzYjA1MmFlNzkyOTJhMjRlZmI2MDAifQ==</vt:lpwstr>
  </property>
  <property fmtid="{D5CDD505-2E9C-101B-9397-08002B2CF9AE}" pid="5" name="KSOTemplateDocerSaveRecord">
    <vt:lpwstr>eyJoZGlkIjoiZWI5OTgyMDFkMDE1NzlhYzlhODJlNjE1YWUzODBjYjIifQ==</vt:lpwstr>
  </property>
</Properties>
</file>