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37E9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eastAsia="宋体"/>
          <w:color w:val="000000"/>
          <w:sz w:val="32"/>
          <w:szCs w:val="32"/>
          <w:lang w:eastAsia="zh-CN"/>
        </w:rPr>
        <w:sectPr>
          <w:headerReference r:id="rId4" w:type="first"/>
          <w:footerReference r:id="rId6" w:type="first"/>
          <w:headerReference r:id="rId3" w:type="default"/>
          <w:footerReference r:id="rId5" w:type="default"/>
          <w:pgSz w:w="11906" w:h="16838"/>
          <w:pgMar w:top="1440" w:right="1701" w:bottom="1440" w:left="1701" w:header="851" w:footer="992" w:gutter="0"/>
          <w:pgNumType w:start="0"/>
          <w:cols w:space="720" w:num="1"/>
          <w:titlePg/>
          <w:docGrid w:type="lines" w:linePitch="312" w:charSpace="0"/>
        </w:sectPr>
      </w:pPr>
      <w:bookmarkStart w:id="1312" w:name="_GoBack"/>
      <w:r>
        <w:rPr>
          <w:rFonts w:hint="eastAsia" w:eastAsia="宋体"/>
          <w:color w:val="000000"/>
          <w:sz w:val="32"/>
          <w:szCs w:val="32"/>
          <w:lang w:eastAsia="zh-CN"/>
        </w:rPr>
        <w:drawing>
          <wp:inline distT="0" distB="0" distL="114300" distR="114300">
            <wp:extent cx="5399405" cy="7635240"/>
            <wp:effectExtent l="0" t="0" r="10795" b="3810"/>
            <wp:docPr id="1" name="图片 1" descr="定稿龙州县响水镇红阳村渡口维修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定稿龙州县响水镇红阳村渡口维修项目_00"/>
                    <pic:cNvPicPr>
                      <a:picLocks noChangeAspect="1"/>
                    </pic:cNvPicPr>
                  </pic:nvPicPr>
                  <pic:blipFill>
                    <a:blip r:embed="rId14"/>
                    <a:stretch>
                      <a:fillRect/>
                    </a:stretch>
                  </pic:blipFill>
                  <pic:spPr>
                    <a:xfrm>
                      <a:off x="0" y="0"/>
                      <a:ext cx="5399405" cy="7635240"/>
                    </a:xfrm>
                    <a:prstGeom prst="rect">
                      <a:avLst/>
                    </a:prstGeom>
                  </pic:spPr>
                </pic:pic>
              </a:graphicData>
            </a:graphic>
          </wp:inline>
        </w:drawing>
      </w:r>
      <w:bookmarkEnd w:id="1312"/>
    </w:p>
    <w:p w14:paraId="4C843D92">
      <w:pPr>
        <w:spacing w:line="360" w:lineRule="auto"/>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w:t>
      </w:r>
      <w:r>
        <w:rPr>
          <w:rFonts w:hint="eastAsia" w:ascii="宋体" w:hAnsi="宋体"/>
          <w:b/>
          <w:color w:val="000000" w:themeColor="text1"/>
          <w:sz w:val="44"/>
          <w:szCs w:val="44"/>
          <w:lang w:val="en-US" w:eastAsia="zh-CN"/>
          <w14:textFill>
            <w14:solidFill>
              <w14:schemeClr w14:val="tx1"/>
            </w14:solidFill>
          </w14:textFill>
        </w:rPr>
        <w:t xml:space="preserve">  </w:t>
      </w:r>
      <w:r>
        <w:rPr>
          <w:rFonts w:hint="eastAsia" w:ascii="宋体" w:hAnsi="宋体"/>
          <w:b/>
          <w:color w:val="000000" w:themeColor="text1"/>
          <w:sz w:val="44"/>
          <w:szCs w:val="44"/>
          <w14:textFill>
            <w14:solidFill>
              <w14:schemeClr w14:val="tx1"/>
            </w14:solidFill>
          </w14:textFill>
        </w:rPr>
        <w:t>录</w:t>
      </w:r>
    </w:p>
    <w:p w14:paraId="35763227">
      <w:pPr>
        <w:spacing w:line="400" w:lineRule="exact"/>
        <w:jc w:val="center"/>
        <w:rPr>
          <w:rFonts w:ascii="宋体"/>
          <w:b/>
          <w:color w:val="000000" w:themeColor="text1"/>
          <w:sz w:val="44"/>
          <w:szCs w:val="44"/>
          <w14:textFill>
            <w14:solidFill>
              <w14:schemeClr w14:val="tx1"/>
            </w14:solidFill>
          </w14:textFill>
        </w:rPr>
      </w:pPr>
    </w:p>
    <w:p w14:paraId="45ED63F8">
      <w:pPr>
        <w:pStyle w:val="32"/>
        <w:tabs>
          <w:tab w:val="right" w:leader="dot" w:pos="8869"/>
        </w:tabs>
        <w:snapToGrid w:val="0"/>
        <w:spacing w:line="480" w:lineRule="auto"/>
        <w:rPr>
          <w:rFonts w:hint="eastAsia" w:ascii="宋体" w:hAnsi="宋体" w:eastAsia="宋体" w:cs="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TOC \o "1-3" \h \z \u</w:instrText>
      </w:r>
      <w:r>
        <w:rPr>
          <w:rFonts w:ascii="宋体" w:hAnsi="宋体"/>
          <w:b/>
          <w:color w:val="000000" w:themeColor="text1"/>
          <w:sz w:val="28"/>
          <w:szCs w:val="28"/>
          <w14:textFill>
            <w14:solidFill>
              <w14:schemeClr w14:val="tx1"/>
            </w14:solidFill>
          </w14:textFill>
        </w:rPr>
        <w:fldChar w:fldCharType="separate"/>
      </w:r>
      <w:r>
        <w:rPr>
          <w:rFonts w:hint="eastAsia" w:ascii="宋体" w:hAnsi="宋体" w:eastAsia="宋体" w:cs="宋体"/>
          <w:sz w:val="22"/>
          <w:szCs w:val="28"/>
        </w:rPr>
        <w:fldChar w:fldCharType="begin"/>
      </w:r>
      <w:r>
        <w:rPr>
          <w:rFonts w:hint="eastAsia" w:ascii="宋体" w:hAnsi="宋体" w:eastAsia="宋体" w:cs="宋体"/>
          <w:sz w:val="22"/>
          <w:szCs w:val="28"/>
        </w:rPr>
        <w:instrText xml:space="preserve"> HYPERLINK \l "_Toc74323456" </w:instrText>
      </w:r>
      <w:r>
        <w:rPr>
          <w:rFonts w:hint="eastAsia" w:ascii="宋体" w:hAnsi="宋体" w:eastAsia="宋体" w:cs="宋体"/>
          <w:sz w:val="22"/>
          <w:szCs w:val="28"/>
        </w:rPr>
        <w:fldChar w:fldCharType="separate"/>
      </w:r>
      <w:r>
        <w:rPr>
          <w:rStyle w:val="55"/>
          <w:rFonts w:hint="eastAsia" w:ascii="宋体" w:hAnsi="宋体" w:eastAsia="宋体" w:cs="宋体"/>
          <w:b/>
          <w:color w:val="000000" w:themeColor="text1"/>
          <w:sz w:val="28"/>
          <w:szCs w:val="28"/>
          <w14:textFill>
            <w14:solidFill>
              <w14:schemeClr w14:val="tx1"/>
            </w14:solidFill>
          </w14:textFill>
        </w:rPr>
        <w:t>第一章</w:t>
      </w:r>
      <w:r>
        <w:rPr>
          <w:rStyle w:val="55"/>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55"/>
          <w:rFonts w:hint="eastAsia" w:ascii="宋体" w:hAnsi="宋体" w:eastAsia="宋体" w:cs="宋体"/>
          <w:b/>
          <w:color w:val="000000" w:themeColor="text1"/>
          <w:sz w:val="28"/>
          <w:szCs w:val="28"/>
          <w14:textFill>
            <w14:solidFill>
              <w14:schemeClr w14:val="tx1"/>
            </w14:solidFill>
          </w14:textFill>
        </w:rPr>
        <w:t>竞争性磋商公告</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_Toc74323456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6A72B722">
      <w:pPr>
        <w:pStyle w:val="32"/>
        <w:tabs>
          <w:tab w:val="right" w:leader="dot" w:pos="8869"/>
        </w:tabs>
        <w:snapToGrid w:val="0"/>
        <w:spacing w:line="48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2"/>
          <w:szCs w:val="28"/>
        </w:rPr>
        <w:fldChar w:fldCharType="begin"/>
      </w:r>
      <w:r>
        <w:rPr>
          <w:rFonts w:hint="eastAsia" w:ascii="宋体" w:hAnsi="宋体" w:eastAsia="宋体" w:cs="宋体"/>
          <w:sz w:val="22"/>
          <w:szCs w:val="28"/>
        </w:rPr>
        <w:instrText xml:space="preserve"> HYPERLINK \l "_Toc74323457" </w:instrText>
      </w:r>
      <w:r>
        <w:rPr>
          <w:rFonts w:hint="eastAsia" w:ascii="宋体" w:hAnsi="宋体" w:eastAsia="宋体" w:cs="宋体"/>
          <w:sz w:val="22"/>
          <w:szCs w:val="28"/>
        </w:rPr>
        <w:fldChar w:fldCharType="separate"/>
      </w:r>
      <w:r>
        <w:rPr>
          <w:rStyle w:val="55"/>
          <w:rFonts w:hint="eastAsia" w:ascii="宋体" w:hAnsi="宋体" w:eastAsia="宋体" w:cs="宋体"/>
          <w:b/>
          <w:color w:val="000000" w:themeColor="text1"/>
          <w:sz w:val="28"/>
          <w:szCs w:val="28"/>
          <w14:textFill>
            <w14:solidFill>
              <w14:schemeClr w14:val="tx1"/>
            </w14:solidFill>
          </w14:textFill>
        </w:rPr>
        <w:t>第二章</w:t>
      </w:r>
      <w:r>
        <w:rPr>
          <w:rStyle w:val="55"/>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55"/>
          <w:rFonts w:hint="eastAsia" w:ascii="宋体" w:hAnsi="宋体" w:eastAsia="宋体" w:cs="宋体"/>
          <w:b/>
          <w:color w:val="000000" w:themeColor="text1"/>
          <w:sz w:val="28"/>
          <w:szCs w:val="28"/>
          <w14:textFill>
            <w14:solidFill>
              <w14:schemeClr w14:val="tx1"/>
            </w14:solidFill>
          </w14:textFill>
        </w:rPr>
        <w:t>供应</w:t>
      </w:r>
      <w:bookmarkStart w:id="0" w:name="_Hlt82161237"/>
      <w:r>
        <w:rPr>
          <w:rStyle w:val="55"/>
          <w:rFonts w:hint="eastAsia" w:ascii="宋体" w:hAnsi="宋体" w:eastAsia="宋体" w:cs="宋体"/>
          <w:b/>
          <w:color w:val="000000" w:themeColor="text1"/>
          <w:sz w:val="28"/>
          <w:szCs w:val="28"/>
          <w14:textFill>
            <w14:solidFill>
              <w14:schemeClr w14:val="tx1"/>
            </w14:solidFill>
          </w14:textFill>
        </w:rPr>
        <w:t>商</w:t>
      </w:r>
      <w:bookmarkEnd w:id="0"/>
      <w:r>
        <w:rPr>
          <w:rStyle w:val="55"/>
          <w:rFonts w:hint="eastAsia" w:ascii="宋体" w:hAnsi="宋体" w:eastAsia="宋体" w:cs="宋体"/>
          <w:b/>
          <w:color w:val="000000" w:themeColor="text1"/>
          <w:sz w:val="28"/>
          <w:szCs w:val="28"/>
          <w14:textFill>
            <w14:solidFill>
              <w14:schemeClr w14:val="tx1"/>
            </w14:solidFill>
          </w14:textFill>
        </w:rPr>
        <w:t>须</w:t>
      </w:r>
      <w:bookmarkStart w:id="1" w:name="_Hlt123912042"/>
      <w:r>
        <w:rPr>
          <w:rStyle w:val="55"/>
          <w:rFonts w:hint="eastAsia" w:ascii="宋体" w:hAnsi="宋体" w:eastAsia="宋体" w:cs="宋体"/>
          <w:b/>
          <w:color w:val="000000" w:themeColor="text1"/>
          <w:sz w:val="28"/>
          <w:szCs w:val="28"/>
          <w14:textFill>
            <w14:solidFill>
              <w14:schemeClr w14:val="tx1"/>
            </w14:solidFill>
          </w14:textFill>
        </w:rPr>
        <w:t>知</w:t>
      </w:r>
      <w:bookmarkEnd w:id="1"/>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_Toc74323457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5EE516CB">
      <w:pPr>
        <w:pStyle w:val="32"/>
        <w:tabs>
          <w:tab w:val="right" w:leader="dot" w:pos="8869"/>
        </w:tabs>
        <w:snapToGrid w:val="0"/>
        <w:spacing w:line="48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"_Toc74323458" </w:instrText>
      </w:r>
      <w:r>
        <w:rPr>
          <w:rFonts w:hint="eastAsia" w:ascii="宋体" w:hAnsi="宋体" w:eastAsia="宋体" w:cs="宋体"/>
          <w:sz w:val="28"/>
          <w:szCs w:val="28"/>
        </w:rPr>
        <w:fldChar w:fldCharType="separate"/>
      </w:r>
      <w:r>
        <w:rPr>
          <w:rStyle w:val="55"/>
          <w:rFonts w:hint="eastAsia" w:ascii="宋体" w:hAnsi="宋体" w:eastAsia="宋体" w:cs="宋体"/>
          <w:b/>
          <w:color w:val="000000" w:themeColor="text1"/>
          <w:sz w:val="28"/>
          <w:szCs w:val="28"/>
          <w14:textFill>
            <w14:solidFill>
              <w14:schemeClr w14:val="tx1"/>
            </w14:solidFill>
          </w14:textFill>
        </w:rPr>
        <w:t>第三章</w:t>
      </w:r>
      <w:r>
        <w:rPr>
          <w:rStyle w:val="55"/>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55"/>
          <w:rFonts w:hint="eastAsia" w:ascii="宋体" w:hAnsi="宋体" w:eastAsia="宋体" w:cs="宋体"/>
          <w:b/>
          <w:color w:val="000000" w:themeColor="text1"/>
          <w:sz w:val="28"/>
          <w:szCs w:val="28"/>
          <w14:textFill>
            <w14:solidFill>
              <w14:schemeClr w14:val="tx1"/>
            </w14:solidFill>
          </w14:textFill>
        </w:rPr>
        <w:t>采</w:t>
      </w:r>
      <w:bookmarkStart w:id="2" w:name="_Hlt123913427"/>
      <w:bookmarkStart w:id="3" w:name="_Hlt123905034"/>
      <w:bookmarkStart w:id="4" w:name="_Hlt123903950"/>
      <w:r>
        <w:rPr>
          <w:rStyle w:val="55"/>
          <w:rFonts w:hint="eastAsia" w:ascii="宋体" w:hAnsi="宋体" w:eastAsia="宋体" w:cs="宋体"/>
          <w:b/>
          <w:color w:val="000000" w:themeColor="text1"/>
          <w:sz w:val="28"/>
          <w:szCs w:val="28"/>
          <w14:textFill>
            <w14:solidFill>
              <w14:schemeClr w14:val="tx1"/>
            </w14:solidFill>
          </w14:textFill>
        </w:rPr>
        <w:t>购</w:t>
      </w:r>
      <w:bookmarkEnd w:id="2"/>
      <w:bookmarkEnd w:id="3"/>
      <w:bookmarkEnd w:id="4"/>
      <w:bookmarkStart w:id="5" w:name="_Hlt123913500"/>
      <w:r>
        <w:rPr>
          <w:rStyle w:val="55"/>
          <w:rFonts w:hint="eastAsia" w:ascii="宋体" w:hAnsi="宋体" w:eastAsia="宋体" w:cs="宋体"/>
          <w:b/>
          <w:color w:val="000000" w:themeColor="text1"/>
          <w:sz w:val="28"/>
          <w:szCs w:val="28"/>
          <w14:textFill>
            <w14:solidFill>
              <w14:schemeClr w14:val="tx1"/>
            </w14:solidFill>
          </w14:textFill>
        </w:rPr>
        <w:t>需</w:t>
      </w:r>
      <w:bookmarkEnd w:id="5"/>
      <w:bookmarkStart w:id="6" w:name="_Hlt82166940"/>
      <w:r>
        <w:rPr>
          <w:rStyle w:val="55"/>
          <w:rFonts w:hint="eastAsia" w:ascii="宋体" w:hAnsi="宋体" w:eastAsia="宋体" w:cs="宋体"/>
          <w:b/>
          <w:color w:val="000000" w:themeColor="text1"/>
          <w:sz w:val="28"/>
          <w:szCs w:val="28"/>
          <w14:textFill>
            <w14:solidFill>
              <w14:schemeClr w14:val="tx1"/>
            </w14:solidFill>
          </w14:textFill>
        </w:rPr>
        <w:t>求</w:t>
      </w:r>
      <w:bookmarkEnd w:id="6"/>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_Toc74323458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26</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4FFC73CB">
      <w:pPr>
        <w:pStyle w:val="32"/>
        <w:tabs>
          <w:tab w:val="right" w:leader="dot" w:pos="8869"/>
        </w:tabs>
        <w:snapToGrid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"_Toc74323459"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评审</w:t>
      </w:r>
      <w:bookmarkStart w:id="7" w:name="_Hlt124354839"/>
      <w:r>
        <w:rPr>
          <w:rFonts w:hint="eastAsia" w:ascii="宋体" w:hAnsi="宋体" w:eastAsia="宋体" w:cs="宋体"/>
          <w:b/>
          <w:bCs/>
          <w:sz w:val="28"/>
          <w:szCs w:val="28"/>
        </w:rPr>
        <w:t>程</w:t>
      </w:r>
      <w:bookmarkEnd w:id="7"/>
      <w:r>
        <w:rPr>
          <w:rFonts w:hint="eastAsia" w:ascii="宋体" w:hAnsi="宋体" w:eastAsia="宋体" w:cs="宋体"/>
          <w:b/>
          <w:bCs/>
          <w:sz w:val="28"/>
          <w:szCs w:val="28"/>
        </w:rPr>
        <w:t>序、</w:t>
      </w:r>
      <w:bookmarkStart w:id="8" w:name="_Hlt82166000"/>
      <w:r>
        <w:rPr>
          <w:rFonts w:hint="eastAsia" w:ascii="宋体" w:hAnsi="宋体" w:eastAsia="宋体" w:cs="宋体"/>
          <w:b/>
          <w:bCs/>
          <w:sz w:val="28"/>
          <w:szCs w:val="28"/>
        </w:rPr>
        <w:t>评</w:t>
      </w:r>
      <w:bookmarkEnd w:id="8"/>
      <w:r>
        <w:rPr>
          <w:rFonts w:hint="eastAsia" w:ascii="宋体" w:hAnsi="宋体" w:eastAsia="宋体" w:cs="宋体"/>
          <w:b/>
          <w:bCs/>
          <w:sz w:val="28"/>
          <w:szCs w:val="28"/>
        </w:rPr>
        <w:t>审方法和评审标准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_Toc74323459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2DD6A7C">
      <w:pPr>
        <w:pStyle w:val="32"/>
        <w:tabs>
          <w:tab w:val="right" w:leader="dot" w:pos="8869"/>
        </w:tabs>
        <w:snapToGrid w:val="0"/>
        <w:spacing w:line="48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第五章 工程量清单及图纸..........................</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...........36</w:t>
      </w:r>
    </w:p>
    <w:p w14:paraId="6CE20EEF">
      <w:pPr>
        <w:pStyle w:val="32"/>
        <w:tabs>
          <w:tab w:val="right" w:leader="dot" w:pos="8869"/>
        </w:tabs>
        <w:snapToGrid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"_Toc74323460"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响应</w:t>
      </w:r>
      <w:bookmarkStart w:id="9" w:name="_Hlt123912950"/>
      <w:r>
        <w:rPr>
          <w:rFonts w:hint="eastAsia" w:ascii="宋体" w:hAnsi="宋体" w:eastAsia="宋体" w:cs="宋体"/>
          <w:b/>
          <w:bCs/>
          <w:sz w:val="28"/>
          <w:szCs w:val="28"/>
        </w:rPr>
        <w:t>文</w:t>
      </w:r>
      <w:bookmarkEnd w:id="9"/>
      <w:bookmarkStart w:id="10" w:name="_Hlt123911868"/>
      <w:r>
        <w:rPr>
          <w:rFonts w:hint="eastAsia" w:ascii="宋体" w:hAnsi="宋体" w:eastAsia="宋体" w:cs="宋体"/>
          <w:b/>
          <w:bCs/>
          <w:sz w:val="28"/>
          <w:szCs w:val="28"/>
        </w:rPr>
        <w:t>件</w:t>
      </w:r>
      <w:bookmarkEnd w:id="10"/>
      <w:r>
        <w:rPr>
          <w:rFonts w:hint="eastAsia" w:ascii="宋体" w:hAnsi="宋体" w:eastAsia="宋体" w:cs="宋体"/>
          <w:b/>
          <w:bCs/>
          <w:sz w:val="28"/>
          <w:szCs w:val="28"/>
        </w:rPr>
        <w:t>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_Toc74323460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D08BF7C">
      <w:pPr>
        <w:pStyle w:val="32"/>
        <w:tabs>
          <w:tab w:val="right" w:leader="dot" w:pos="8869"/>
        </w:tabs>
        <w:snapToGrid w:val="0"/>
        <w:spacing w:line="480" w:lineRule="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"_Toc74323461"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_Toc74323461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7957034">
      <w:pPr>
        <w:pStyle w:val="37"/>
        <w:tabs>
          <w:tab w:val="right" w:leader="dot" w:pos="8931"/>
          <w:tab w:val="clear" w:pos="8296"/>
        </w:tabs>
        <w:snapToGrid w:val="0"/>
        <w:spacing w:line="480" w:lineRule="auto"/>
        <w:ind w:left="0" w:leftChars="0"/>
        <w:rPr>
          <w:rFonts w:asci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fldChar w:fldCharType="end"/>
      </w:r>
    </w:p>
    <w:p w14:paraId="7EC7F676">
      <w:pPr>
        <w:spacing w:line="400" w:lineRule="exact"/>
        <w:jc w:val="left"/>
        <w:rPr>
          <w:rFonts w:ascii="宋体"/>
          <w:b/>
          <w:color w:val="000000" w:themeColor="text1"/>
          <w:sz w:val="32"/>
          <w:szCs w:val="32"/>
          <w14:textFill>
            <w14:solidFill>
              <w14:schemeClr w14:val="tx1"/>
            </w14:solidFill>
          </w14:textFill>
        </w:rPr>
      </w:pPr>
    </w:p>
    <w:p w14:paraId="20B116EB">
      <w:pPr>
        <w:spacing w:line="400" w:lineRule="exact"/>
        <w:jc w:val="center"/>
        <w:rPr>
          <w:rFonts w:ascii="宋体"/>
          <w:b/>
          <w:color w:val="000000" w:themeColor="text1"/>
          <w:sz w:val="32"/>
          <w:szCs w:val="32"/>
          <w14:textFill>
            <w14:solidFill>
              <w14:schemeClr w14:val="tx1"/>
            </w14:solidFill>
          </w14:textFill>
        </w:rPr>
      </w:pPr>
    </w:p>
    <w:p w14:paraId="174409CE">
      <w:pPr>
        <w:spacing w:line="400" w:lineRule="exact"/>
        <w:jc w:val="center"/>
        <w:rPr>
          <w:rFonts w:ascii="宋体"/>
          <w:b/>
          <w:color w:val="000000" w:themeColor="text1"/>
          <w:sz w:val="32"/>
          <w:szCs w:val="32"/>
          <w14:textFill>
            <w14:solidFill>
              <w14:schemeClr w14:val="tx1"/>
            </w14:solidFill>
          </w14:textFill>
        </w:rPr>
      </w:pPr>
    </w:p>
    <w:p w14:paraId="4649A6C1">
      <w:pPr>
        <w:spacing w:line="400" w:lineRule="exact"/>
        <w:jc w:val="center"/>
        <w:rPr>
          <w:rFonts w:ascii="宋体"/>
          <w:b/>
          <w:color w:val="000000" w:themeColor="text1"/>
          <w:sz w:val="32"/>
          <w:szCs w:val="32"/>
          <w14:textFill>
            <w14:solidFill>
              <w14:schemeClr w14:val="tx1"/>
            </w14:solidFill>
          </w14:textFill>
        </w:rPr>
      </w:pPr>
    </w:p>
    <w:p w14:paraId="2339E1DC">
      <w:pPr>
        <w:spacing w:line="400" w:lineRule="exact"/>
        <w:jc w:val="center"/>
        <w:rPr>
          <w:rFonts w:ascii="宋体"/>
          <w:b/>
          <w:color w:val="000000" w:themeColor="text1"/>
          <w:sz w:val="32"/>
          <w:szCs w:val="32"/>
          <w14:textFill>
            <w14:solidFill>
              <w14:schemeClr w14:val="tx1"/>
            </w14:solidFill>
          </w14:textFill>
        </w:rPr>
      </w:pPr>
    </w:p>
    <w:p w14:paraId="02CB7E44">
      <w:pPr>
        <w:spacing w:line="400" w:lineRule="exact"/>
        <w:rPr>
          <w:rFonts w:ascii="宋体"/>
          <w:b/>
          <w:color w:val="000000" w:themeColor="text1"/>
          <w:sz w:val="32"/>
          <w:szCs w:val="32"/>
          <w14:textFill>
            <w14:solidFill>
              <w14:schemeClr w14:val="tx1"/>
            </w14:solidFill>
          </w14:textFill>
        </w:rPr>
        <w:sectPr>
          <w:footerReference r:id="rId8" w:type="first"/>
          <w:footerReference r:id="rId7" w:type="default"/>
          <w:pgSz w:w="11906" w:h="16838"/>
          <w:pgMar w:top="1440" w:right="1701" w:bottom="1440" w:left="1701" w:header="851" w:footer="992" w:gutter="0"/>
          <w:pgNumType w:start="0"/>
          <w:cols w:space="720" w:num="1"/>
          <w:titlePg/>
          <w:docGrid w:type="lines" w:linePitch="312" w:charSpace="0"/>
        </w:sectPr>
      </w:pPr>
    </w:p>
    <w:p w14:paraId="5C514C3B">
      <w:pPr>
        <w:pStyle w:val="2"/>
        <w:spacing w:after="340" w:line="360" w:lineRule="auto"/>
        <w:jc w:val="center"/>
        <w:rPr>
          <w:color w:val="000000" w:themeColor="text1"/>
          <w14:textFill>
            <w14:solidFill>
              <w14:schemeClr w14:val="tx1"/>
            </w14:solidFill>
          </w14:textFill>
        </w:rPr>
      </w:pPr>
      <w:bookmarkStart w:id="11" w:name="_Toc74323456"/>
      <w:r>
        <w:rPr>
          <w:rFonts w:hint="eastAsia"/>
          <w:color w:val="000000" w:themeColor="text1"/>
          <w14:textFill>
            <w14:solidFill>
              <w14:schemeClr w14:val="tx1"/>
            </w14:solidFill>
          </w14:textFill>
        </w:rPr>
        <w:t>第一章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竞争性磋商公告</w:t>
      </w:r>
      <w:bookmarkEnd w:id="11"/>
    </w:p>
    <w:p w14:paraId="3E9F3338">
      <w:pPr>
        <w:spacing w:line="360" w:lineRule="auto"/>
        <w:jc w:val="center"/>
        <w:rPr>
          <w:rFonts w:ascii="宋体"/>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竞争性磋商公告</w:t>
      </w:r>
    </w:p>
    <w:p w14:paraId="650592EB">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sz w:val="21"/>
          <w:szCs w:val="21"/>
          <w14:textFill>
            <w14:solidFill>
              <w14:schemeClr w14:val="tx1"/>
            </w14:solidFill>
          </w14:textFill>
        </w:rPr>
      </w:pPr>
      <w:bookmarkStart w:id="12" w:name="_Hlk37430271"/>
      <w:r>
        <w:rPr>
          <w:rFonts w:hint="eastAsia" w:ascii="宋体" w:hAnsi="宋体" w:eastAsia="宋体" w:cs="宋体"/>
          <w:color w:val="000000" w:themeColor="text1"/>
          <w:sz w:val="21"/>
          <w:szCs w:val="21"/>
          <w14:textFill>
            <w14:solidFill>
              <w14:schemeClr w14:val="tx1"/>
            </w14:solidFill>
          </w14:textFill>
        </w:rPr>
        <w:t>项目概况</w:t>
      </w:r>
    </w:p>
    <w:p w14:paraId="2A98E24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lang w:eastAsia="zh-CN"/>
          <w14:textFill>
            <w14:solidFill>
              <w14:schemeClr w14:val="tx1"/>
            </w14:solidFill>
          </w14:textFill>
        </w:rPr>
        <w:t>龙州县响水镇红阳村渡口维修项目</w:t>
      </w:r>
      <w:r>
        <w:rPr>
          <w:rFonts w:hint="eastAsia" w:ascii="宋体" w:hAnsi="宋体" w:eastAsia="宋体" w:cs="宋体"/>
          <w:color w:val="000000" w:themeColor="text1"/>
          <w:sz w:val="21"/>
          <w:szCs w:val="21"/>
          <w14:textFill>
            <w14:solidFill>
              <w14:schemeClr w14:val="tx1"/>
            </w14:solidFill>
          </w14:textFill>
        </w:rPr>
        <w:t>采购项目的潜在供应商应在“</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”（https://www.zcygov.cn）获取（下载）竞争性磋商文件，并于</w:t>
      </w: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01</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17</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cs="宋体"/>
          <w:bCs/>
          <w:color w:val="000000" w:themeColor="text1"/>
          <w:sz w:val="21"/>
          <w:szCs w:val="21"/>
          <w:lang w:val="en-US" w:eastAsia="zh-CN"/>
          <w14:textFill>
            <w14:solidFill>
              <w14:schemeClr w14:val="tx1"/>
            </w14:solidFill>
          </w14:textFill>
        </w:rPr>
        <w:t>10</w:t>
      </w:r>
      <w:r>
        <w:rPr>
          <w:rFonts w:hint="eastAsia" w:ascii="宋体" w:hAnsi="宋体" w:eastAsia="宋体" w:cs="宋体"/>
          <w:bCs/>
          <w:color w:val="000000" w:themeColor="text1"/>
          <w:sz w:val="21"/>
          <w:szCs w:val="21"/>
          <w14:textFill>
            <w14:solidFill>
              <w14:schemeClr w14:val="tx1"/>
            </w14:solidFill>
          </w14:textFill>
        </w:rPr>
        <w:t>时</w:t>
      </w:r>
      <w:r>
        <w:rPr>
          <w:rFonts w:hint="eastAsia" w:ascii="宋体" w:hAnsi="宋体" w:eastAsia="宋体" w:cs="宋体"/>
          <w:bCs/>
          <w:color w:val="000000" w:themeColor="text1"/>
          <w:sz w:val="21"/>
          <w:szCs w:val="21"/>
          <w:lang w:val="en-US" w:eastAsia="zh-CN"/>
          <w14:textFill>
            <w14:solidFill>
              <w14:schemeClr w14:val="tx1"/>
            </w14:solidFill>
          </w14:textFill>
        </w:rPr>
        <w:t>00</w:t>
      </w:r>
      <w:r>
        <w:rPr>
          <w:rFonts w:hint="eastAsia" w:ascii="宋体" w:hAnsi="宋体" w:eastAsia="宋体" w:cs="宋体"/>
          <w:bCs/>
          <w:color w:val="000000" w:themeColor="text1"/>
          <w:sz w:val="21"/>
          <w:szCs w:val="21"/>
          <w14:textFill>
            <w14:solidFill>
              <w14:schemeClr w14:val="tx1"/>
            </w14:solidFill>
          </w14:textFill>
        </w:rPr>
        <w:t>分（北京时间）前提交（上传）</w:t>
      </w: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bCs/>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14:textFill>
            <w14:solidFill>
              <w14:schemeClr w14:val="tx1"/>
            </w14:solidFill>
          </w14:textFill>
        </w:rPr>
        <w:t>。</w:t>
      </w:r>
    </w:p>
    <w:p w14:paraId="540435F8">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13" w:name="_Toc35393798"/>
      <w:bookmarkStart w:id="14" w:name="_Toc28359089"/>
      <w:bookmarkStart w:id="15" w:name="_Toc44229878"/>
      <w:bookmarkStart w:id="16" w:name="_Toc71365905"/>
      <w:bookmarkStart w:id="17" w:name="_Toc35393629"/>
      <w:bookmarkStart w:id="18" w:name="_Toc28359012"/>
      <w:r>
        <w:rPr>
          <w:rFonts w:hint="eastAsia" w:ascii="宋体" w:hAnsi="宋体" w:eastAsia="宋体" w:cs="宋体"/>
          <w:b/>
          <w:color w:val="000000" w:themeColor="text1"/>
          <w:sz w:val="21"/>
          <w:szCs w:val="21"/>
          <w14:textFill>
            <w14:solidFill>
              <w14:schemeClr w14:val="tx1"/>
            </w14:solidFill>
          </w14:textFill>
        </w:rPr>
        <w:t>一、项目基本情况</w:t>
      </w:r>
      <w:bookmarkEnd w:id="13"/>
      <w:bookmarkEnd w:id="14"/>
      <w:bookmarkEnd w:id="15"/>
      <w:bookmarkEnd w:id="16"/>
      <w:bookmarkEnd w:id="17"/>
      <w:bookmarkEnd w:id="18"/>
    </w:p>
    <w:p w14:paraId="2E4FB62F">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CZZC2025-C2-230001-GXLT</w:t>
      </w:r>
    </w:p>
    <w:p w14:paraId="0D60700D">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color w:val="000000" w:themeColor="text1"/>
          <w:sz w:val="21"/>
          <w:szCs w:val="21"/>
          <w:lang w:eastAsia="zh-CN"/>
          <w14:textFill>
            <w14:solidFill>
              <w14:schemeClr w14:val="tx1"/>
            </w14:solidFill>
          </w14:textFill>
        </w:rPr>
        <w:t>龙州县响水镇红阳村渡口维修项目</w:t>
      </w:r>
    </w:p>
    <w:p w14:paraId="4CB266C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采购方式：竞争性磋商</w:t>
      </w:r>
    </w:p>
    <w:p w14:paraId="6664706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auto"/>
          <w:sz w:val="21"/>
          <w:szCs w:val="21"/>
          <w:lang w:val="en-US" w:eastAsia="zh-CN"/>
        </w:rPr>
        <w:t>636438.00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（大写人民币：</w:t>
      </w:r>
      <w:r>
        <w:rPr>
          <w:rFonts w:hint="eastAsia" w:ascii="宋体" w:hAnsi="宋体" w:cs="宋体"/>
          <w:color w:val="auto"/>
          <w:sz w:val="21"/>
          <w:szCs w:val="21"/>
          <w:lang w:eastAsia="zh-CN"/>
        </w:rPr>
        <w:t>陆拾叁万陆仟肆佰叁拾捌元整</w:t>
      </w:r>
      <w:r>
        <w:rPr>
          <w:rFonts w:hint="eastAsia" w:ascii="宋体" w:hAnsi="宋体" w:eastAsia="宋体" w:cs="宋体"/>
          <w:color w:val="auto"/>
          <w:sz w:val="21"/>
          <w:szCs w:val="21"/>
          <w:lang w:eastAsia="zh-CN"/>
        </w:rPr>
        <w:t>）</w:t>
      </w:r>
    </w:p>
    <w:p w14:paraId="5D29A337">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000000" w:themeColor="text1"/>
          <w:sz w:val="21"/>
          <w:szCs w:val="21"/>
          <w14:textFill>
            <w14:solidFill>
              <w14:schemeClr w14:val="tx1"/>
            </w14:solidFill>
          </w14:textFill>
        </w:rPr>
        <w:t>最高限价：</w:t>
      </w:r>
      <w:r>
        <w:rPr>
          <w:rFonts w:hint="eastAsia" w:ascii="宋体" w:hAnsi="宋体" w:cs="宋体"/>
          <w:color w:val="auto"/>
          <w:sz w:val="21"/>
          <w:szCs w:val="21"/>
          <w:lang w:val="en-US" w:eastAsia="zh-CN"/>
        </w:rPr>
        <w:t>636438.00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（大写人民币：</w:t>
      </w:r>
      <w:r>
        <w:rPr>
          <w:rFonts w:hint="eastAsia" w:ascii="宋体" w:hAnsi="宋体" w:cs="宋体"/>
          <w:color w:val="auto"/>
          <w:sz w:val="21"/>
          <w:szCs w:val="21"/>
          <w:lang w:eastAsia="zh-CN"/>
        </w:rPr>
        <w:t>陆拾叁万陆仟肆佰叁拾捌元整</w:t>
      </w:r>
      <w:r>
        <w:rPr>
          <w:rFonts w:hint="eastAsia" w:ascii="宋体" w:hAnsi="宋体" w:eastAsia="宋体" w:cs="宋体"/>
          <w:color w:val="auto"/>
          <w:sz w:val="21"/>
          <w:szCs w:val="21"/>
          <w:lang w:eastAsia="zh-CN"/>
        </w:rPr>
        <w:t>）</w:t>
      </w:r>
    </w:p>
    <w:p w14:paraId="5249165F">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r>
        <w:rPr>
          <w:rFonts w:hint="eastAsia" w:ascii="宋体" w:hAnsi="宋体" w:cs="宋体"/>
          <w:color w:val="000000" w:themeColor="text1"/>
          <w:sz w:val="21"/>
          <w:szCs w:val="21"/>
          <w:lang w:eastAsia="zh-CN"/>
          <w14:textFill>
            <w14:solidFill>
              <w14:schemeClr w14:val="tx1"/>
            </w14:solidFill>
          </w14:textFill>
        </w:rPr>
        <w:t>本项目建设内容是渡口浅滩扩建维修工程、挡墙工程等；详见工程量清单及图纸。</w:t>
      </w:r>
    </w:p>
    <w:p w14:paraId="3FE90AB9">
      <w:pPr>
        <w:spacing w:line="360" w:lineRule="auto"/>
        <w:ind w:firstLine="420" w:firstLineChars="20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合同履行期限：</w:t>
      </w:r>
      <w:r>
        <w:rPr>
          <w:rFonts w:hint="eastAsia" w:ascii="宋体" w:hAnsi="宋体" w:cs="宋体"/>
          <w:color w:val="auto"/>
          <w:sz w:val="21"/>
          <w:szCs w:val="21"/>
          <w:lang w:eastAsia="zh-CN"/>
        </w:rPr>
        <w:t>要求工期为</w:t>
      </w:r>
      <w:r>
        <w:rPr>
          <w:rFonts w:hint="eastAsia" w:ascii="宋体" w:hAnsi="宋体" w:cs="宋体"/>
          <w:color w:val="auto"/>
          <w:sz w:val="21"/>
          <w:szCs w:val="21"/>
          <w:lang w:val="en-US" w:eastAsia="zh-CN"/>
        </w:rPr>
        <w:t>90日历天。</w:t>
      </w:r>
    </w:p>
    <w:p w14:paraId="3DFE3E2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w:t>
      </w:r>
    </w:p>
    <w:p w14:paraId="4451CAFA">
      <w:pPr>
        <w:spacing w:line="360" w:lineRule="auto"/>
        <w:ind w:firstLine="310" w:firstLineChars="147"/>
        <w:rPr>
          <w:rFonts w:hint="eastAsia" w:ascii="宋体" w:hAnsi="宋体" w:eastAsia="宋体" w:cs="宋体"/>
          <w:b/>
          <w:color w:val="auto"/>
          <w:sz w:val="21"/>
          <w:szCs w:val="21"/>
        </w:rPr>
      </w:pPr>
      <w:bookmarkStart w:id="19" w:name="_Toc35393630"/>
      <w:bookmarkStart w:id="20" w:name="_Toc71365906"/>
      <w:bookmarkStart w:id="21" w:name="_Toc44229879"/>
      <w:bookmarkStart w:id="22" w:name="_Toc28359013"/>
      <w:bookmarkStart w:id="23" w:name="_Toc35393799"/>
      <w:bookmarkStart w:id="24" w:name="_Toc28359090"/>
      <w:r>
        <w:rPr>
          <w:rFonts w:hint="eastAsia" w:ascii="宋体" w:hAnsi="宋体" w:eastAsia="宋体" w:cs="宋体"/>
          <w:b/>
          <w:color w:val="auto"/>
          <w:sz w:val="21"/>
          <w:szCs w:val="21"/>
        </w:rPr>
        <w:t>二、申请人的资格条件：</w:t>
      </w:r>
      <w:bookmarkEnd w:id="19"/>
      <w:bookmarkEnd w:id="20"/>
      <w:bookmarkEnd w:id="21"/>
      <w:bookmarkEnd w:id="22"/>
      <w:bookmarkEnd w:id="23"/>
      <w:bookmarkEnd w:id="24"/>
    </w:p>
    <w:p w14:paraId="61D7FBEE">
      <w:pPr>
        <w:spacing w:line="360" w:lineRule="auto"/>
        <w:ind w:firstLine="420" w:firstLineChars="200"/>
        <w:rPr>
          <w:rFonts w:hint="eastAsia" w:ascii="宋体" w:hAnsi="宋体" w:eastAsia="宋体" w:cs="宋体"/>
          <w:color w:val="auto"/>
          <w:sz w:val="21"/>
          <w:szCs w:val="21"/>
        </w:rPr>
      </w:pPr>
      <w:bookmarkStart w:id="25" w:name="_Toc28359091"/>
      <w:bookmarkStart w:id="26" w:name="_Toc35393800"/>
      <w:bookmarkStart w:id="27" w:name="_Toc44229880"/>
      <w:bookmarkStart w:id="28" w:name="_Toc35393631"/>
      <w:bookmarkStart w:id="29" w:name="_Toc28359014"/>
      <w:r>
        <w:rPr>
          <w:rFonts w:hint="eastAsia" w:ascii="宋体" w:hAnsi="宋体" w:eastAsia="宋体" w:cs="宋体"/>
          <w:color w:val="auto"/>
          <w:sz w:val="21"/>
          <w:szCs w:val="21"/>
        </w:rPr>
        <w:t>1.满足《中华人民共和国政府采购法》第二十二条规定；</w:t>
      </w:r>
    </w:p>
    <w:p w14:paraId="6770A607">
      <w:pPr>
        <w:spacing w:line="360" w:lineRule="auto"/>
        <w:ind w:firstLine="420" w:firstLineChars="200"/>
        <w:rPr>
          <w:rStyle w:val="57"/>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2.落实政府采购政策需满足的资格要求：本项目为</w:t>
      </w:r>
      <w:r>
        <w:rPr>
          <w:rStyle w:val="57"/>
          <w:rFonts w:hint="eastAsia" w:ascii="宋体" w:hAnsi="宋体" w:eastAsia="宋体" w:cs="宋体"/>
          <w:color w:val="auto"/>
          <w:sz w:val="21"/>
          <w:szCs w:val="21"/>
        </w:rPr>
        <w:t>专门面向中小企业采购的项目</w:t>
      </w:r>
      <w:r>
        <w:rPr>
          <w:rStyle w:val="57"/>
          <w:rFonts w:hint="eastAsia" w:ascii="宋体" w:hAnsi="宋体" w:eastAsia="宋体" w:cs="宋体"/>
          <w:color w:val="auto"/>
          <w:sz w:val="21"/>
          <w:szCs w:val="21"/>
          <w:lang w:eastAsia="zh-CN"/>
        </w:rPr>
        <w:t>，</w:t>
      </w:r>
      <w:r>
        <w:rPr>
          <w:rStyle w:val="57"/>
          <w:rFonts w:hint="eastAsia" w:ascii="宋体" w:hAnsi="宋体" w:eastAsia="宋体" w:cs="宋体"/>
          <w:color w:val="auto"/>
          <w:sz w:val="21"/>
          <w:szCs w:val="21"/>
        </w:rPr>
        <w:t>供应商应为中小微企业或者监狱企业或者残疾人福利性单位。</w:t>
      </w:r>
    </w:p>
    <w:p w14:paraId="3B2D47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5C906D9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（1）磋商供应商须具备</w:t>
      </w:r>
      <w:r>
        <w:rPr>
          <w:rFonts w:hint="eastAsia" w:ascii="宋体" w:hAnsi="宋体" w:cs="宋体"/>
          <w:color w:val="auto"/>
          <w:sz w:val="21"/>
          <w:szCs w:val="21"/>
          <w:lang w:eastAsia="zh-CN"/>
        </w:rPr>
        <w:t>市政公用工程施工总承包</w:t>
      </w:r>
      <w:r>
        <w:rPr>
          <w:rFonts w:hint="eastAsia" w:ascii="宋体" w:hAnsi="宋体" w:eastAsia="宋体" w:cs="宋体"/>
          <w:color w:val="auto"/>
          <w:sz w:val="21"/>
          <w:szCs w:val="21"/>
        </w:rPr>
        <w:t>三级（含）以上资质，具备有效的安全生产许可证，并在人员、设备、资金等方面具备相应的施工能力。</w:t>
      </w:r>
    </w:p>
    <w:p w14:paraId="552DB81B">
      <w:pPr>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（2）供应商拟派的项目经理须具备</w:t>
      </w:r>
      <w:r>
        <w:rPr>
          <w:rFonts w:hint="eastAsia" w:ascii="宋体" w:hAnsi="宋体" w:cs="宋体"/>
          <w:color w:val="auto"/>
          <w:sz w:val="21"/>
          <w:szCs w:val="21"/>
          <w:lang w:eastAsia="zh-CN"/>
        </w:rPr>
        <w:t>市政公用工程</w:t>
      </w:r>
      <w:r>
        <w:rPr>
          <w:rFonts w:hint="eastAsia" w:ascii="宋体" w:hAnsi="宋体" w:eastAsia="宋体" w:cs="宋体"/>
          <w:color w:val="auto"/>
          <w:sz w:val="21"/>
          <w:szCs w:val="21"/>
        </w:rPr>
        <w:t>专业</w:t>
      </w:r>
      <w:r>
        <w:rPr>
          <w:rFonts w:hint="eastAsia" w:ascii="宋体" w:hAnsi="宋体" w:cs="宋体"/>
          <w:color w:val="auto"/>
          <w:sz w:val="21"/>
          <w:szCs w:val="21"/>
          <w:lang w:eastAsia="zh-CN"/>
        </w:rPr>
        <w:t>二</w:t>
      </w:r>
      <w:r>
        <w:rPr>
          <w:rFonts w:hint="eastAsia" w:ascii="宋体" w:hAnsi="宋体" w:eastAsia="宋体" w:cs="宋体"/>
          <w:color w:val="auto"/>
          <w:sz w:val="21"/>
          <w:szCs w:val="21"/>
        </w:rPr>
        <w:t>级(含)以上注册建造师执业资格及有效的安全生产考核合格证书（B类）</w:t>
      </w:r>
      <w:r>
        <w:rPr>
          <w:rFonts w:hint="eastAsia" w:ascii="宋体" w:hAnsi="宋体" w:cs="宋体"/>
          <w:color w:val="auto"/>
          <w:sz w:val="21"/>
          <w:szCs w:val="21"/>
          <w:lang w:eastAsia="zh-CN"/>
        </w:rPr>
        <w:t>，</w:t>
      </w:r>
      <w:r>
        <w:rPr>
          <w:rFonts w:hint="eastAsia" w:ascii="宋体" w:hAnsi="宋体" w:eastAsia="宋体" w:cs="宋体"/>
          <w:color w:val="auto"/>
          <w:sz w:val="21"/>
          <w:szCs w:val="21"/>
        </w:rPr>
        <w:t>本项目不接受有在建、已中标（成交）未开工或已列为其他项目中标候选人第一名的建造师作为项目经理。</w:t>
      </w:r>
    </w:p>
    <w:p w14:paraId="1B6CC2FF">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30" w:name="_Toc71365907"/>
      <w:r>
        <w:rPr>
          <w:rFonts w:hint="eastAsia" w:ascii="宋体" w:hAnsi="宋体" w:eastAsia="宋体" w:cs="宋体"/>
          <w:b/>
          <w:color w:val="000000" w:themeColor="text1"/>
          <w:sz w:val="21"/>
          <w:szCs w:val="21"/>
          <w14:textFill>
            <w14:solidFill>
              <w14:schemeClr w14:val="tx1"/>
            </w14:solidFill>
          </w14:textFill>
        </w:rPr>
        <w:t>三、获取竞争性磋商文件</w:t>
      </w:r>
      <w:bookmarkEnd w:id="25"/>
      <w:bookmarkEnd w:id="26"/>
      <w:bookmarkEnd w:id="27"/>
      <w:bookmarkEnd w:id="28"/>
      <w:bookmarkEnd w:id="29"/>
      <w:bookmarkEnd w:id="30"/>
    </w:p>
    <w:p w14:paraId="3D4C7E75">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bookmarkStart w:id="31" w:name="_Toc35393632"/>
      <w:bookmarkStart w:id="32" w:name="_Toc28359015"/>
      <w:bookmarkStart w:id="33" w:name="_Toc28359092"/>
      <w:bookmarkStart w:id="34" w:name="_Toc35393801"/>
      <w:bookmarkStart w:id="35" w:name="_Toc44229881"/>
      <w:r>
        <w:rPr>
          <w:rFonts w:hint="eastAsia" w:ascii="宋体" w:hAnsi="宋体" w:eastAsia="宋体" w:cs="宋体"/>
          <w:bCs/>
          <w:color w:val="000000" w:themeColor="text1"/>
          <w:kern w:val="0"/>
          <w:sz w:val="21"/>
          <w:szCs w:val="21"/>
          <w14:textFill>
            <w14:solidFill>
              <w14:schemeClr w14:val="tx1"/>
            </w14:solidFill>
          </w14:textFill>
        </w:rPr>
        <w:t>时间：</w:t>
      </w: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01</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06</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eastAsia="宋体" w:cs="宋体"/>
          <w:bCs/>
          <w:color w:val="000000" w:themeColor="text1"/>
          <w:kern w:val="0"/>
          <w:sz w:val="21"/>
          <w:szCs w:val="21"/>
          <w14:textFill>
            <w14:solidFill>
              <w14:schemeClr w14:val="tx1"/>
            </w14:solidFill>
          </w14:textFill>
        </w:rPr>
        <w:t>至</w:t>
      </w: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01</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13</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eastAsia="宋体" w:cs="宋体"/>
          <w:bCs/>
          <w:color w:val="000000" w:themeColor="text1"/>
          <w:kern w:val="0"/>
          <w:sz w:val="21"/>
          <w:szCs w:val="21"/>
          <w14:textFill>
            <w14:solidFill>
              <w14:schemeClr w14:val="tx1"/>
            </w14:solidFill>
          </w14:textFill>
        </w:rPr>
        <w:t>，每天上午</w:t>
      </w:r>
      <w:r>
        <w:rPr>
          <w:rFonts w:hint="eastAsia" w:ascii="宋体" w:hAnsi="宋体" w:eastAsia="宋体" w:cs="宋体"/>
          <w:bCs/>
          <w:color w:val="000000" w:themeColor="text1"/>
          <w:kern w:val="0"/>
          <w:sz w:val="21"/>
          <w:szCs w:val="21"/>
          <w:lang w:val="en-US" w:eastAsia="zh-CN"/>
          <w14:textFill>
            <w14:solidFill>
              <w14:schemeClr w14:val="tx1"/>
            </w14:solidFill>
          </w14:textFill>
        </w:rPr>
        <w:t>0</w:t>
      </w:r>
      <w:r>
        <w:rPr>
          <w:rFonts w:hint="eastAsia" w:ascii="宋体" w:hAnsi="宋体" w:cs="宋体"/>
          <w:bCs/>
          <w:color w:val="000000" w:themeColor="text1"/>
          <w:kern w:val="0"/>
          <w:sz w:val="21"/>
          <w:szCs w:val="21"/>
          <w:lang w:val="en-US" w:eastAsia="zh-CN"/>
          <w14:textFill>
            <w14:solidFill>
              <w14:schemeClr w14:val="tx1"/>
            </w14:solidFill>
          </w14:textFill>
        </w:rPr>
        <w:t>9</w:t>
      </w:r>
      <w:r>
        <w:rPr>
          <w:rFonts w:hint="eastAsia" w:ascii="宋体" w:hAnsi="宋体" w:eastAsia="宋体" w:cs="宋体"/>
          <w:bCs/>
          <w:color w:val="000000" w:themeColor="text1"/>
          <w:kern w:val="0"/>
          <w:sz w:val="21"/>
          <w:szCs w:val="21"/>
          <w14:textFill>
            <w14:solidFill>
              <w14:schemeClr w14:val="tx1"/>
            </w14:solidFill>
          </w14:textFill>
        </w:rPr>
        <w:t>时</w:t>
      </w:r>
      <w:r>
        <w:rPr>
          <w:rFonts w:hint="eastAsia" w:ascii="宋体" w:hAnsi="宋体" w:eastAsia="宋体" w:cs="宋体"/>
          <w:bCs/>
          <w:color w:val="000000" w:themeColor="text1"/>
          <w:kern w:val="0"/>
          <w:sz w:val="21"/>
          <w:szCs w:val="21"/>
          <w:lang w:val="en-US" w:eastAsia="zh-CN"/>
          <w14:textFill>
            <w14:solidFill>
              <w14:schemeClr w14:val="tx1"/>
            </w14:solidFill>
          </w14:textFill>
        </w:rPr>
        <w:t>00</w:t>
      </w:r>
      <w:r>
        <w:rPr>
          <w:rFonts w:hint="eastAsia" w:ascii="宋体" w:hAnsi="宋体" w:eastAsia="宋体" w:cs="宋体"/>
          <w:bCs/>
          <w:color w:val="000000" w:themeColor="text1"/>
          <w:kern w:val="0"/>
          <w:sz w:val="21"/>
          <w:szCs w:val="21"/>
          <w14:textFill>
            <w14:solidFill>
              <w14:schemeClr w14:val="tx1"/>
            </w14:solidFill>
          </w14:textFill>
        </w:rPr>
        <w:t>分至12时00分，下午1</w:t>
      </w:r>
      <w:r>
        <w:rPr>
          <w:rFonts w:hint="eastAsia" w:ascii="宋体" w:hAnsi="宋体" w:cs="宋体"/>
          <w:bCs/>
          <w:color w:val="000000" w:themeColor="text1"/>
          <w:kern w:val="0"/>
          <w:sz w:val="21"/>
          <w:szCs w:val="21"/>
          <w:lang w:val="en-US" w:eastAsia="zh-CN"/>
          <w14:textFill>
            <w14:solidFill>
              <w14:schemeClr w14:val="tx1"/>
            </w14:solidFill>
          </w14:textFill>
        </w:rPr>
        <w:t>5</w:t>
      </w:r>
      <w:r>
        <w:rPr>
          <w:rFonts w:hint="eastAsia" w:ascii="宋体" w:hAnsi="宋体" w:eastAsia="宋体" w:cs="宋体"/>
          <w:bCs/>
          <w:color w:val="000000" w:themeColor="text1"/>
          <w:kern w:val="0"/>
          <w:sz w:val="21"/>
          <w:szCs w:val="21"/>
          <w14:textFill>
            <w14:solidFill>
              <w14:schemeClr w14:val="tx1"/>
            </w14:solidFill>
          </w14:textFill>
        </w:rPr>
        <w:t>时00分至</w:t>
      </w:r>
      <w:r>
        <w:rPr>
          <w:rFonts w:hint="eastAsia" w:ascii="宋体" w:hAnsi="宋体" w:cs="宋体"/>
          <w:bCs/>
          <w:color w:val="000000" w:themeColor="text1"/>
          <w:kern w:val="0"/>
          <w:sz w:val="21"/>
          <w:szCs w:val="21"/>
          <w:lang w:val="en-US" w:eastAsia="zh-CN"/>
          <w14:textFill>
            <w14:solidFill>
              <w14:schemeClr w14:val="tx1"/>
            </w14:solidFill>
          </w14:textFill>
        </w:rPr>
        <w:t>18</w:t>
      </w:r>
      <w:r>
        <w:rPr>
          <w:rFonts w:hint="eastAsia" w:ascii="宋体" w:hAnsi="宋体" w:eastAsia="宋体" w:cs="宋体"/>
          <w:bCs/>
          <w:color w:val="000000" w:themeColor="text1"/>
          <w:kern w:val="0"/>
          <w:sz w:val="21"/>
          <w:szCs w:val="21"/>
          <w14:textFill>
            <w14:solidFill>
              <w14:schemeClr w14:val="tx1"/>
            </w14:solidFill>
          </w14:textFill>
        </w:rPr>
        <w:t>时</w:t>
      </w:r>
      <w:r>
        <w:rPr>
          <w:rFonts w:hint="eastAsia" w:ascii="宋体" w:hAnsi="宋体" w:cs="宋体"/>
          <w:bCs/>
          <w:color w:val="000000" w:themeColor="text1"/>
          <w:kern w:val="0"/>
          <w:sz w:val="21"/>
          <w:szCs w:val="21"/>
          <w:lang w:val="en-US" w:eastAsia="zh-CN"/>
          <w14:textFill>
            <w14:solidFill>
              <w14:schemeClr w14:val="tx1"/>
            </w14:solidFill>
          </w14:textFill>
        </w:rPr>
        <w:t>00</w:t>
      </w:r>
      <w:r>
        <w:rPr>
          <w:rFonts w:hint="eastAsia" w:ascii="宋体" w:hAnsi="宋体" w:eastAsia="宋体" w:cs="宋体"/>
          <w:bCs/>
          <w:color w:val="000000" w:themeColor="text1"/>
          <w:kern w:val="0"/>
          <w:sz w:val="21"/>
          <w:szCs w:val="21"/>
          <w14:textFill>
            <w14:solidFill>
              <w14:schemeClr w14:val="tx1"/>
            </w14:solidFill>
          </w14:textFill>
        </w:rPr>
        <w:t>分（北京时间，法定节假日除外）</w:t>
      </w:r>
    </w:p>
    <w:p w14:paraId="473319A3">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地点：</w:t>
      </w:r>
      <w:r>
        <w:rPr>
          <w:rFonts w:hint="eastAsia" w:ascii="宋体" w:hAnsi="宋体" w:eastAsia="宋体" w:cs="宋体"/>
          <w:bCs/>
          <w:color w:val="auto"/>
          <w:kern w:val="0"/>
          <w:sz w:val="21"/>
          <w:szCs w:val="21"/>
          <w:highlight w:val="none"/>
        </w:rPr>
        <w:t>广西政府采购云平台（https</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//www.gcy.zfcg.gxzf.gov.cn/）</w:t>
      </w:r>
    </w:p>
    <w:p w14:paraId="4DBB1A4A">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000000" w:themeColor="text1"/>
          <w:kern w:val="0"/>
          <w:sz w:val="21"/>
          <w:szCs w:val="21"/>
          <w14:textFill>
            <w14:solidFill>
              <w14:schemeClr w14:val="tx1"/>
            </w14:solidFill>
          </w14:textFill>
        </w:rPr>
        <w:t>方式：</w:t>
      </w:r>
      <w:r>
        <w:rPr>
          <w:rFonts w:hint="eastAsia" w:ascii="宋体" w:hAnsi="宋体" w:eastAsia="宋体" w:cs="宋体"/>
          <w:bCs/>
          <w:color w:val="auto"/>
          <w:kern w:val="0"/>
          <w:sz w:val="21"/>
          <w:szCs w:val="21"/>
          <w:highlight w:val="none"/>
        </w:rPr>
        <w:t>网上下载</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本项目不提供纸质文件，潜在供应商需使用账号登录或者使用CA登录</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广西政府采购云平台”（https</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编制及上传响应文件。</w:t>
      </w:r>
    </w:p>
    <w:p w14:paraId="620346CD">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售价：</w:t>
      </w:r>
      <w:r>
        <w:rPr>
          <w:rFonts w:hint="eastAsia" w:ascii="宋体" w:hAnsi="宋体" w:eastAsia="宋体" w:cs="宋体"/>
          <w:color w:val="000000" w:themeColor="text1"/>
          <w:sz w:val="21"/>
          <w:szCs w:val="21"/>
          <w:u w:val="none"/>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元</w:t>
      </w:r>
      <w:r>
        <w:rPr>
          <w:rFonts w:hint="eastAsia" w:ascii="宋体" w:hAnsi="宋体" w:eastAsia="宋体" w:cs="宋体"/>
          <w:color w:val="000000" w:themeColor="text1"/>
          <w:sz w:val="21"/>
          <w:szCs w:val="21"/>
          <w:lang w:eastAsia="zh-CN"/>
          <w14:textFill>
            <w14:solidFill>
              <w14:schemeClr w14:val="tx1"/>
            </w14:solidFill>
          </w14:textFill>
        </w:rPr>
        <w:t>。</w:t>
      </w:r>
    </w:p>
    <w:p w14:paraId="3875A800">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36" w:name="_Toc71365908"/>
      <w:r>
        <w:rPr>
          <w:rFonts w:hint="eastAsia" w:ascii="宋体" w:hAnsi="宋体" w:eastAsia="宋体" w:cs="宋体"/>
          <w:b/>
          <w:color w:val="000000" w:themeColor="text1"/>
          <w:sz w:val="21"/>
          <w:szCs w:val="21"/>
          <w14:textFill>
            <w14:solidFill>
              <w14:schemeClr w14:val="tx1"/>
            </w14:solidFill>
          </w14:textFill>
        </w:rPr>
        <w:t>四、响应文件提交</w:t>
      </w:r>
      <w:bookmarkEnd w:id="31"/>
      <w:bookmarkEnd w:id="32"/>
      <w:bookmarkEnd w:id="33"/>
      <w:bookmarkEnd w:id="34"/>
      <w:bookmarkEnd w:id="35"/>
      <w:bookmarkEnd w:id="36"/>
    </w:p>
    <w:p w14:paraId="3CBD66B1">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bookmarkStart w:id="37" w:name="_Toc28359093"/>
      <w:bookmarkStart w:id="38" w:name="_Toc44229882"/>
      <w:bookmarkStart w:id="39" w:name="_Toc35393633"/>
      <w:bookmarkStart w:id="40" w:name="_Toc35393802"/>
      <w:bookmarkStart w:id="41" w:name="_Toc28359016"/>
      <w:r>
        <w:rPr>
          <w:rFonts w:hint="eastAsia" w:ascii="宋体" w:hAnsi="宋体" w:eastAsia="宋体" w:cs="宋体"/>
          <w:color w:val="000000" w:themeColor="text1"/>
          <w:sz w:val="21"/>
          <w:szCs w:val="21"/>
          <w14:textFill>
            <w14:solidFill>
              <w14:schemeClr w14:val="tx1"/>
            </w14:solidFill>
          </w14:textFill>
        </w:rPr>
        <w:t>截止时间：</w:t>
      </w: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01</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17</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cs="宋体"/>
          <w:bCs/>
          <w:color w:val="000000" w:themeColor="text1"/>
          <w:sz w:val="21"/>
          <w:szCs w:val="21"/>
          <w:lang w:val="en-US" w:eastAsia="zh-CN"/>
          <w14:textFill>
            <w14:solidFill>
              <w14:schemeClr w14:val="tx1"/>
            </w14:solidFill>
          </w14:textFill>
        </w:rPr>
        <w:t>10</w:t>
      </w:r>
      <w:r>
        <w:rPr>
          <w:rFonts w:hint="eastAsia" w:ascii="宋体" w:hAnsi="宋体" w:eastAsia="宋体" w:cs="宋体"/>
          <w:bCs/>
          <w:color w:val="000000" w:themeColor="text1"/>
          <w:sz w:val="21"/>
          <w:szCs w:val="21"/>
          <w14:textFill>
            <w14:solidFill>
              <w14:schemeClr w14:val="tx1"/>
            </w14:solidFill>
          </w14:textFill>
        </w:rPr>
        <w:t>时</w:t>
      </w:r>
      <w:r>
        <w:rPr>
          <w:rFonts w:hint="eastAsia" w:ascii="宋体" w:hAnsi="宋体" w:eastAsia="宋体" w:cs="宋体"/>
          <w:bCs/>
          <w:color w:val="000000" w:themeColor="text1"/>
          <w:sz w:val="21"/>
          <w:szCs w:val="21"/>
          <w:lang w:val="en-US" w:eastAsia="zh-CN"/>
          <w14:textFill>
            <w14:solidFill>
              <w14:schemeClr w14:val="tx1"/>
            </w14:solidFill>
          </w14:textFill>
        </w:rPr>
        <w:t>00</w:t>
      </w:r>
      <w:r>
        <w:rPr>
          <w:rFonts w:hint="eastAsia" w:ascii="宋体" w:hAnsi="宋体" w:eastAsia="宋体" w:cs="宋体"/>
          <w:bCs/>
          <w:color w:val="000000" w:themeColor="text1"/>
          <w:sz w:val="21"/>
          <w:szCs w:val="21"/>
          <w14:textFill>
            <w14:solidFill>
              <w14:schemeClr w14:val="tx1"/>
            </w14:solidFill>
          </w14:textFill>
        </w:rPr>
        <w:t>分（北京时间）</w:t>
      </w:r>
    </w:p>
    <w:p w14:paraId="5EA54A0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bCs/>
          <w:color w:val="auto"/>
          <w:kern w:val="0"/>
          <w:sz w:val="21"/>
          <w:szCs w:val="21"/>
          <w:highlight w:val="none"/>
        </w:rPr>
        <w:t>广西政府采购云平台（https</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//www.gcy.zfcg.gxzf.gov.cn/）</w:t>
      </w:r>
    </w:p>
    <w:p w14:paraId="4958EA45">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42" w:name="_Toc71365909"/>
      <w:r>
        <w:rPr>
          <w:rFonts w:hint="eastAsia" w:ascii="宋体" w:hAnsi="宋体" w:eastAsia="宋体" w:cs="宋体"/>
          <w:b/>
          <w:color w:val="000000" w:themeColor="text1"/>
          <w:sz w:val="21"/>
          <w:szCs w:val="21"/>
          <w14:textFill>
            <w14:solidFill>
              <w14:schemeClr w14:val="tx1"/>
            </w14:solidFill>
          </w14:textFill>
        </w:rPr>
        <w:t>五、开启</w:t>
      </w:r>
      <w:bookmarkEnd w:id="37"/>
      <w:bookmarkEnd w:id="38"/>
      <w:bookmarkEnd w:id="39"/>
      <w:bookmarkEnd w:id="40"/>
      <w:bookmarkEnd w:id="41"/>
      <w:bookmarkEnd w:id="42"/>
    </w:p>
    <w:p w14:paraId="107B8940">
      <w:pPr>
        <w:spacing w:line="360" w:lineRule="auto"/>
        <w:ind w:firstLine="420" w:firstLineChars="200"/>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1.时间：</w:t>
      </w: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01</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17</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cs="宋体"/>
          <w:bCs/>
          <w:color w:val="000000" w:themeColor="text1"/>
          <w:sz w:val="21"/>
          <w:szCs w:val="21"/>
          <w:lang w:val="en-US" w:eastAsia="zh-CN"/>
          <w14:textFill>
            <w14:solidFill>
              <w14:schemeClr w14:val="tx1"/>
            </w14:solidFill>
          </w14:textFill>
        </w:rPr>
        <w:t>10</w:t>
      </w:r>
      <w:r>
        <w:rPr>
          <w:rFonts w:hint="eastAsia" w:ascii="宋体" w:hAnsi="宋体" w:eastAsia="宋体" w:cs="宋体"/>
          <w:bCs/>
          <w:color w:val="000000" w:themeColor="text1"/>
          <w:sz w:val="21"/>
          <w:szCs w:val="21"/>
          <w14:textFill>
            <w14:solidFill>
              <w14:schemeClr w14:val="tx1"/>
            </w14:solidFill>
          </w14:textFill>
        </w:rPr>
        <w:t>时</w:t>
      </w:r>
      <w:r>
        <w:rPr>
          <w:rFonts w:hint="eastAsia" w:ascii="宋体" w:hAnsi="宋体" w:eastAsia="宋体" w:cs="宋体"/>
          <w:bCs/>
          <w:color w:val="000000" w:themeColor="text1"/>
          <w:sz w:val="21"/>
          <w:szCs w:val="21"/>
          <w:lang w:val="en-US" w:eastAsia="zh-CN"/>
          <w14:textFill>
            <w14:solidFill>
              <w14:schemeClr w14:val="tx1"/>
            </w14:solidFill>
          </w14:textFill>
        </w:rPr>
        <w:t>00</w:t>
      </w:r>
      <w:r>
        <w:rPr>
          <w:rFonts w:hint="eastAsia" w:ascii="宋体" w:hAnsi="宋体" w:eastAsia="宋体" w:cs="宋体"/>
          <w:bCs/>
          <w:color w:val="000000" w:themeColor="text1"/>
          <w:sz w:val="21"/>
          <w:szCs w:val="21"/>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后</w:t>
      </w:r>
      <w:r>
        <w:rPr>
          <w:rFonts w:hint="eastAsia" w:ascii="宋体" w:hAnsi="宋体" w:eastAsia="宋体" w:cs="宋体"/>
          <w:bCs/>
          <w:color w:val="000000" w:themeColor="text1"/>
          <w:sz w:val="21"/>
          <w:szCs w:val="21"/>
          <w14:textFill>
            <w14:solidFill>
              <w14:schemeClr w14:val="tx1"/>
            </w14:solidFill>
          </w14:textFill>
        </w:rPr>
        <w:t>（北京时间）</w:t>
      </w:r>
    </w:p>
    <w:p w14:paraId="2E1EDDD5">
      <w:pPr>
        <w:spacing w:line="360" w:lineRule="auto"/>
        <w:ind w:firstLine="420" w:firstLineChars="200"/>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2.地点：</w:t>
      </w:r>
      <w:r>
        <w:rPr>
          <w:rFonts w:hint="eastAsia" w:ascii="宋体" w:hAnsi="宋体" w:eastAsia="宋体" w:cs="宋体"/>
          <w:bCs/>
          <w:color w:val="auto"/>
          <w:kern w:val="0"/>
          <w:sz w:val="21"/>
          <w:szCs w:val="21"/>
          <w:highlight w:val="none"/>
        </w:rPr>
        <w:t>广西政府采购云平台（https</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//www.gcy.zfcg.gxzf.gov.cn/）</w:t>
      </w:r>
    </w:p>
    <w:p w14:paraId="74787849">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43" w:name="_Toc28359094"/>
      <w:bookmarkStart w:id="44" w:name="_Toc28359017"/>
      <w:bookmarkStart w:id="45" w:name="_Toc35393803"/>
      <w:bookmarkStart w:id="46" w:name="_Toc35393634"/>
      <w:bookmarkStart w:id="47" w:name="_Toc71365910"/>
      <w:bookmarkStart w:id="48" w:name="_Toc44229883"/>
      <w:r>
        <w:rPr>
          <w:rFonts w:hint="eastAsia" w:ascii="宋体" w:hAnsi="宋体" w:eastAsia="宋体" w:cs="宋体"/>
          <w:b/>
          <w:color w:val="000000" w:themeColor="text1"/>
          <w:sz w:val="21"/>
          <w:szCs w:val="21"/>
          <w14:textFill>
            <w14:solidFill>
              <w14:schemeClr w14:val="tx1"/>
            </w14:solidFill>
          </w14:textFill>
        </w:rPr>
        <w:t>六、公告期限</w:t>
      </w:r>
      <w:bookmarkEnd w:id="43"/>
      <w:bookmarkEnd w:id="44"/>
      <w:bookmarkEnd w:id="45"/>
      <w:bookmarkEnd w:id="46"/>
      <w:bookmarkEnd w:id="47"/>
      <w:bookmarkEnd w:id="48"/>
    </w:p>
    <w:p w14:paraId="5AE74244">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自本公告发布之日起</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个工作日。</w:t>
      </w:r>
    </w:p>
    <w:p w14:paraId="364D4065">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bookmarkStart w:id="49" w:name="_Toc35393804"/>
      <w:bookmarkStart w:id="50" w:name="_Toc71365911"/>
      <w:bookmarkStart w:id="51" w:name="_Toc35393635"/>
      <w:bookmarkStart w:id="52" w:name="_Toc44229884"/>
      <w:r>
        <w:rPr>
          <w:rFonts w:hint="eastAsia" w:ascii="宋体" w:hAnsi="宋体" w:eastAsia="宋体" w:cs="宋体"/>
          <w:b/>
          <w:color w:val="000000" w:themeColor="text1"/>
          <w:sz w:val="21"/>
          <w:szCs w:val="21"/>
          <w14:textFill>
            <w14:solidFill>
              <w14:schemeClr w14:val="tx1"/>
            </w14:solidFill>
          </w14:textFill>
        </w:rPr>
        <w:t>七、其他补充事宜</w:t>
      </w:r>
      <w:bookmarkEnd w:id="49"/>
      <w:bookmarkEnd w:id="50"/>
      <w:bookmarkEnd w:id="51"/>
      <w:bookmarkEnd w:id="52"/>
    </w:p>
    <w:p w14:paraId="086BDFAB">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1.网上查询地址</w:t>
      </w:r>
    </w:p>
    <w:p w14:paraId="4C6571DD">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www.ccgp.gov.cn（中国政府采购网）、zfcg.gxzf.gov.cn（广西壮族自治区政府采购网）</w:t>
      </w:r>
      <w:r>
        <w:rPr>
          <w:rFonts w:hint="eastAsia" w:ascii="宋体" w:hAnsi="宋体" w:eastAsia="宋体" w:cs="宋体"/>
          <w:color w:val="000000" w:themeColor="text1"/>
          <w:kern w:val="0"/>
          <w:sz w:val="21"/>
          <w:szCs w:val="21"/>
          <w:lang w:eastAsia="zh-CN"/>
          <w14:textFill>
            <w14:solidFill>
              <w14:schemeClr w14:val="tx1"/>
            </w14:solidFill>
          </w14:textFill>
        </w:rPr>
        <w:t>、http://ggzy.jgswj.gxzf.gov.cn/czggzy/（全国公共资源交易平台（广西·崇左）</w:t>
      </w:r>
      <w:r>
        <w:rPr>
          <w:rFonts w:hint="eastAsia" w:ascii="宋体" w:hAnsi="宋体" w:eastAsia="宋体" w:cs="宋体"/>
          <w:i/>
          <w:color w:val="000000" w:themeColor="text1"/>
          <w:kern w:val="0"/>
          <w:sz w:val="21"/>
          <w:szCs w:val="21"/>
          <w14:textFill>
            <w14:solidFill>
              <w14:schemeClr w14:val="tx1"/>
            </w14:solidFill>
          </w14:textFill>
        </w:rPr>
        <w:t>。</w:t>
      </w:r>
    </w:p>
    <w:p w14:paraId="170DE43D">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bookmarkStart w:id="53" w:name="_Hlk37429674"/>
      <w:bookmarkStart w:id="54" w:name="_Toc28359018"/>
      <w:bookmarkStart w:id="55" w:name="_Toc44229885"/>
      <w:bookmarkStart w:id="56" w:name="_Toc28359095"/>
      <w:bookmarkStart w:id="57" w:name="_Toc35393636"/>
      <w:bookmarkStart w:id="58" w:name="_Toc35393805"/>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本项目需要落实的政府采购政策</w:t>
      </w:r>
    </w:p>
    <w:p w14:paraId="6942B8A1">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（1）政府采购促进中小企业发展。</w:t>
      </w:r>
    </w:p>
    <w:p w14:paraId="29BB0DA7">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（2）政府采购支持采用本国产品的政策。</w:t>
      </w:r>
    </w:p>
    <w:p w14:paraId="33193C1D">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（3）强制采购节能产品；优先采购节能产品、环境标志产品。</w:t>
      </w:r>
    </w:p>
    <w:p w14:paraId="4FF0353C">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（4）政府采购促进残疾人就业政策。</w:t>
      </w:r>
    </w:p>
    <w:p w14:paraId="76CDB363">
      <w:pPr>
        <w:spacing w:line="360" w:lineRule="auto"/>
        <w:ind w:firstLine="424" w:firstLineChars="20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（5）政府采购支持监狱企业发展。</w:t>
      </w:r>
    </w:p>
    <w:bookmarkEnd w:id="53"/>
    <w:p w14:paraId="5F22F03B">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3.供应商</w:t>
      </w:r>
      <w:r>
        <w:rPr>
          <w:rFonts w:hint="eastAsia" w:ascii="宋体" w:hAnsi="宋体" w:eastAsia="宋体" w:cs="宋体"/>
          <w:color w:val="000000" w:themeColor="text1"/>
          <w:sz w:val="21"/>
          <w:szCs w:val="21"/>
          <w14:textFill>
            <w14:solidFill>
              <w14:schemeClr w14:val="tx1"/>
            </w14:solidFill>
          </w14:textFill>
        </w:rPr>
        <w:t>竞标注意事项</w:t>
      </w:r>
    </w:p>
    <w:p w14:paraId="7FDD1936">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）本项目为全流程电子化竞标，供应商通过广西政府采购云平台（网址：https</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login.gcy.zfcg.gxzf.gov.cn/）实行在线电子响应，供应商应先安装“广西政府采购云平台电子交易客户端”（请自行前往“广西政府采购云平台”进行下载），并按照本项目采购文件和“广西政府采购云平台”平台的要求编制、加密响应文件后在竞标截止时间前通过网络上传至广西政府采购云平台，供应商在“广西政府采购云平台”提交电子版响应文件时，请填写参加远程采购活动经办人联系方式，电子响应文件具体操作流程请登录广西政府采购云平台网站查看。</w:t>
      </w:r>
    </w:p>
    <w:p w14:paraId="10CA46E3">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未进行网上注册并办理数字证书（CA认证）的供应商将无法参与本项目政府采购活动，潜在供应商应当在投标截止时间前，完成电子交易平台上的CA数字证书办理（申领流程自行前往广西政府采购云平台网站了解详情）及响应文件的提交。</w:t>
      </w:r>
    </w:p>
    <w:p w14:paraId="46A69196">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为确保网上操作合法、有效和安全，请供应商确保在电子响应过程中能够对相关数据电文进行加密和使用电子签章，妥善保管CA数字证书并使用有效的CA数字证书参与整个采购活动。（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将无法上传响应文件。）</w:t>
      </w:r>
    </w:p>
    <w:p w14:paraId="224EEFC7">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CA证书在线解密：首次响应文件开启时，须要供应商使用制作电子响应文件时用来加密的有效数字证书（CA认证）登录“广西政府采购云平台”电子开标大厅现场按规定时间对加密的响应文件进行解密，未在规定时间内完成电子响应文件解密程序的，视为自动放弃竞标资格，因此造成的后果由供应商自行承担。</w:t>
      </w:r>
    </w:p>
    <w:p w14:paraId="43EB07C1">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）若供应商对项目采购电子交易系统操作有疑问，请及时登录“广西政府采购云平台”（https</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//login.gcy.zfcg.gxzf.gov.cn/），点击右侧咨询小采，获取采小蜜智能服务管家帮助，或拨打广西政府采购云平台客服95763获取热线服务帮助。</w:t>
      </w:r>
    </w:p>
    <w:p w14:paraId="1A6E3760">
      <w:pPr>
        <w:widowControl/>
        <w:spacing w:line="360"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eastAsia="zh-CN" w:bidi="ar"/>
        </w:rPr>
        <w:t>）供应商需要在具备有摄像头及语音功能且互联网网络状况良好的电脑登录“广西政府采购云平台”远程开标大厅参与本次磋商，否则后果自负。</w:t>
      </w:r>
    </w:p>
    <w:p w14:paraId="3A8CFB23">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为加大政府采购支持中小企业力度，帮助政府采购成交供应商解决融资难、融资贵的问题，进一步做好线上“政采贷”融资业务工作，如供应商有需要的，详见采购文件中附件：《崇左市线上“政采贷”政策告知函》、《崇左市线上“政采贷”业务流程图》、《崇左市金融机构线上“政采贷”业务办理联络表》。</w:t>
      </w:r>
    </w:p>
    <w:p w14:paraId="7130179F">
      <w:pPr>
        <w:widowControl/>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E6AE2D1">
      <w:pPr>
        <w:pStyle w:val="24"/>
        <w:spacing w:line="360" w:lineRule="auto"/>
        <w:ind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bidi="ar"/>
        </w:rPr>
        <w:t>评标说明：本项目采用远程异地评标，全流程电子评标。评标主会场地址：崇左市公共资源交易中心（崇左市城南新区石景林路东段政务服务中心综合楼5楼）；评标分会场地址：</w:t>
      </w:r>
      <w:r>
        <w:rPr>
          <w:rFonts w:hint="eastAsia" w:hAnsi="宋体" w:cs="宋体"/>
          <w:color w:val="auto"/>
          <w:kern w:val="2"/>
          <w:sz w:val="21"/>
          <w:szCs w:val="21"/>
          <w:highlight w:val="none"/>
          <w:lang w:val="en-US" w:eastAsia="zh-CN" w:bidi="ar"/>
        </w:rPr>
        <w:t>广西国资</w:t>
      </w:r>
      <w:r>
        <w:rPr>
          <w:rFonts w:hint="eastAsia" w:ascii="宋体" w:hAnsi="宋体" w:eastAsia="宋体" w:cs="宋体"/>
          <w:color w:val="auto"/>
          <w:kern w:val="2"/>
          <w:sz w:val="21"/>
          <w:szCs w:val="21"/>
          <w:highlight w:val="none"/>
          <w:lang w:val="en-US" w:eastAsia="zh-CN" w:bidi="ar"/>
        </w:rPr>
        <w:t>交易中心（广西南宁市</w:t>
      </w:r>
      <w:r>
        <w:rPr>
          <w:rFonts w:hint="eastAsia" w:hAnsi="宋体" w:cs="宋体"/>
          <w:color w:val="auto"/>
          <w:kern w:val="2"/>
          <w:sz w:val="21"/>
          <w:szCs w:val="21"/>
          <w:highlight w:val="none"/>
          <w:lang w:val="en-US" w:eastAsia="zh-CN" w:bidi="ar"/>
        </w:rPr>
        <w:t>青秀</w:t>
      </w:r>
      <w:r>
        <w:rPr>
          <w:rFonts w:hint="eastAsia" w:ascii="宋体" w:hAnsi="宋体" w:eastAsia="宋体" w:cs="宋体"/>
          <w:color w:val="auto"/>
          <w:kern w:val="2"/>
          <w:sz w:val="21"/>
          <w:szCs w:val="21"/>
          <w:highlight w:val="none"/>
          <w:lang w:val="en-US" w:eastAsia="zh-CN" w:bidi="ar"/>
        </w:rPr>
        <w:t>区</w:t>
      </w:r>
      <w:r>
        <w:rPr>
          <w:rFonts w:hint="eastAsia" w:hAnsi="宋体" w:cs="宋体"/>
          <w:color w:val="auto"/>
          <w:kern w:val="2"/>
          <w:sz w:val="21"/>
          <w:szCs w:val="21"/>
          <w:highlight w:val="none"/>
          <w:lang w:val="en-US" w:eastAsia="zh-CN" w:bidi="ar"/>
        </w:rPr>
        <w:t>枫林路18号</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bidi="ar"/>
        </w:rPr>
        <w:t>。</w:t>
      </w:r>
    </w:p>
    <w:p w14:paraId="241455B2">
      <w:pPr>
        <w:spacing w:line="360" w:lineRule="auto"/>
        <w:ind w:firstLine="310" w:firstLineChars="14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八、凡对本次采购提出询问，请按以下方式联系。</w:t>
      </w:r>
      <w:bookmarkEnd w:id="54"/>
      <w:bookmarkEnd w:id="55"/>
      <w:bookmarkEnd w:id="56"/>
      <w:bookmarkEnd w:id="57"/>
      <w:bookmarkEnd w:id="58"/>
    </w:p>
    <w:p w14:paraId="7E98F31F">
      <w:pPr>
        <w:spacing w:line="360" w:lineRule="auto"/>
        <w:ind w:firstLine="420" w:firstLineChars="200"/>
        <w:rPr>
          <w:rFonts w:hint="eastAsia" w:ascii="宋体" w:hAnsi="宋体" w:eastAsia="宋体" w:cs="宋体"/>
          <w:color w:val="000000" w:themeColor="text1"/>
          <w:kern w:val="0"/>
          <w:sz w:val="21"/>
          <w:szCs w:val="21"/>
          <w:lang w:val="en-US" w:eastAsia="zh-CN"/>
          <w14:textFill>
            <w14:solidFill>
              <w14:schemeClr w14:val="tx1"/>
            </w14:solidFill>
          </w14:textFill>
        </w:rPr>
      </w:pPr>
      <w:bookmarkStart w:id="59" w:name="_Toc35393806"/>
      <w:bookmarkStart w:id="60" w:name="_Toc28359096"/>
      <w:bookmarkStart w:id="61" w:name="_Toc35393637"/>
      <w:bookmarkStart w:id="62" w:name="_Toc28359019"/>
      <w:r>
        <w:rPr>
          <w:rFonts w:hint="eastAsia" w:ascii="宋体" w:hAnsi="宋体" w:eastAsia="宋体" w:cs="宋体"/>
          <w:color w:val="000000" w:themeColor="text1"/>
          <w:kern w:val="0"/>
          <w:sz w:val="21"/>
          <w:szCs w:val="21"/>
          <w14:textFill>
            <w14:solidFill>
              <w14:schemeClr w14:val="tx1"/>
            </w14:solidFill>
          </w14:textFill>
        </w:rPr>
        <w:t>1.</w:t>
      </w:r>
      <w:bookmarkEnd w:id="59"/>
      <w:bookmarkEnd w:id="60"/>
      <w:bookmarkEnd w:id="61"/>
      <w:bookmarkEnd w:id="62"/>
      <w:r>
        <w:rPr>
          <w:rFonts w:hint="eastAsia" w:ascii="宋体" w:hAnsi="宋体" w:eastAsia="宋体" w:cs="宋体"/>
          <w:color w:val="000000" w:themeColor="text1"/>
          <w:kern w:val="0"/>
          <w:sz w:val="21"/>
          <w:szCs w:val="21"/>
          <w14:textFill>
            <w14:solidFill>
              <w14:schemeClr w14:val="tx1"/>
            </w14:solidFill>
          </w14:textFill>
        </w:rPr>
        <w:t>采购人</w:t>
      </w:r>
      <w:r>
        <w:rPr>
          <w:rFonts w:hint="eastAsia" w:ascii="宋体" w:hAnsi="宋体" w:eastAsia="宋体" w:cs="宋体"/>
          <w:color w:val="000000" w:themeColor="text1"/>
          <w:kern w:val="0"/>
          <w:sz w:val="21"/>
          <w:szCs w:val="21"/>
          <w:lang w:val="en-US" w:eastAsia="zh-CN"/>
          <w14:textFill>
            <w14:solidFill>
              <w14:schemeClr w14:val="tx1"/>
            </w14:solidFill>
          </w14:textFill>
        </w:rPr>
        <w:t>信息</w:t>
      </w:r>
    </w:p>
    <w:p w14:paraId="289BE8FF">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名称：龙州县生态移民发展中心</w:t>
      </w:r>
    </w:p>
    <w:p w14:paraId="78F0B85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地址：龙州县龙州镇城北路58-2号</w:t>
      </w:r>
    </w:p>
    <w:p w14:paraId="61C7A6B9">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w:t>
      </w:r>
      <w:r>
        <w:rPr>
          <w:rFonts w:hint="eastAsia" w:ascii="宋体" w:hAnsi="宋体" w:eastAsia="宋体" w:cs="宋体"/>
          <w:color w:val="000000" w:themeColor="text1"/>
          <w:kern w:val="0"/>
          <w:sz w:val="21"/>
          <w:szCs w:val="21"/>
          <w:lang w:val="en-US" w:eastAsia="zh-CN"/>
          <w14:textFill>
            <w14:solidFill>
              <w14:schemeClr w14:val="tx1"/>
            </w14:solidFill>
          </w14:textFill>
        </w:rPr>
        <w:t>方式</w:t>
      </w:r>
      <w:r>
        <w:rPr>
          <w:rFonts w:hint="eastAsia" w:ascii="宋体" w:hAnsi="宋体" w:eastAsia="宋体" w:cs="宋体"/>
          <w:color w:val="000000" w:themeColor="text1"/>
          <w:kern w:val="0"/>
          <w:sz w:val="21"/>
          <w:szCs w:val="21"/>
          <w14:textFill>
            <w14:solidFill>
              <w14:schemeClr w14:val="tx1"/>
            </w14:solidFill>
          </w14:textFill>
        </w:rPr>
        <w:t>：蒙海深0771-8825680</w:t>
      </w:r>
    </w:p>
    <w:p w14:paraId="3EB4A344">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bookmarkStart w:id="63" w:name="_Toc35393638"/>
      <w:bookmarkStart w:id="64" w:name="_Toc28359097"/>
      <w:bookmarkStart w:id="65" w:name="_Toc28359020"/>
      <w:bookmarkStart w:id="66" w:name="_Toc35393807"/>
      <w:r>
        <w:rPr>
          <w:rFonts w:hint="eastAsia" w:ascii="宋体" w:hAnsi="宋体" w:eastAsia="宋体" w:cs="宋体"/>
          <w:color w:val="000000" w:themeColor="text1"/>
          <w:kern w:val="0"/>
          <w:sz w:val="21"/>
          <w:szCs w:val="21"/>
          <w14:textFill>
            <w14:solidFill>
              <w14:schemeClr w14:val="tx1"/>
            </w14:solidFill>
          </w14:textFill>
        </w:rPr>
        <w:t>2.</w:t>
      </w:r>
      <w:bookmarkEnd w:id="63"/>
      <w:bookmarkEnd w:id="64"/>
      <w:bookmarkEnd w:id="65"/>
      <w:bookmarkEnd w:id="66"/>
      <w:bookmarkStart w:id="67" w:name="_Toc28359021"/>
      <w:bookmarkStart w:id="68" w:name="_Toc35393808"/>
      <w:bookmarkStart w:id="69" w:name="_Toc35393639"/>
      <w:bookmarkStart w:id="70" w:name="_Toc28359098"/>
      <w:r>
        <w:rPr>
          <w:rFonts w:hint="eastAsia" w:ascii="宋体" w:hAnsi="宋体" w:eastAsia="宋体" w:cs="宋体"/>
          <w:color w:val="000000" w:themeColor="text1"/>
          <w:kern w:val="0"/>
          <w:sz w:val="21"/>
          <w:szCs w:val="21"/>
          <w14:textFill>
            <w14:solidFill>
              <w14:schemeClr w14:val="tx1"/>
            </w14:solidFill>
          </w14:textFill>
        </w:rPr>
        <w:t>采购代理机构信息</w:t>
      </w:r>
    </w:p>
    <w:p w14:paraId="6E44F2B2">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名称：</w:t>
      </w:r>
      <w:r>
        <w:rPr>
          <w:rFonts w:hint="eastAsia" w:ascii="宋体" w:hAnsi="宋体" w:eastAsia="宋体" w:cs="宋体"/>
          <w:color w:val="000000"/>
          <w:sz w:val="21"/>
          <w:szCs w:val="21"/>
          <w:lang w:val="en-US" w:eastAsia="zh-CN"/>
        </w:rPr>
        <w:t>广西龙泰工程咨询有限公司</w:t>
      </w:r>
    </w:p>
    <w:p w14:paraId="7E427CC3">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地址：广西壮族自治区崇左市龙州县龙州镇独山路80-2号1栋</w:t>
      </w:r>
    </w:p>
    <w:p w14:paraId="510A6FE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联系方式：</w:t>
      </w:r>
      <w:r>
        <w:rPr>
          <w:rFonts w:hint="eastAsia" w:ascii="宋体" w:hAnsi="宋体" w:eastAsia="宋体" w:cs="宋体"/>
          <w:color w:val="000000" w:themeColor="text1"/>
          <w:kern w:val="0"/>
          <w:sz w:val="21"/>
          <w:szCs w:val="21"/>
          <w:lang w:val="en-US" w:eastAsia="zh-CN"/>
          <w14:textFill>
            <w14:solidFill>
              <w14:schemeClr w14:val="tx1"/>
            </w14:solidFill>
          </w14:textFill>
        </w:rPr>
        <w:t>陈文华</w:t>
      </w:r>
      <w:r>
        <w:rPr>
          <w:rFonts w:hint="eastAsia" w:ascii="宋体" w:hAnsi="宋体" w:cs="宋体"/>
          <w:color w:val="000000"/>
          <w:sz w:val="21"/>
          <w:szCs w:val="21"/>
          <w:lang w:val="en-US" w:eastAsia="zh-CN"/>
        </w:rPr>
        <w:t>18378831531</w:t>
      </w:r>
    </w:p>
    <w:p w14:paraId="651CB292">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3.项目联系方式</w:t>
      </w:r>
      <w:bookmarkEnd w:id="67"/>
      <w:bookmarkEnd w:id="68"/>
      <w:bookmarkEnd w:id="69"/>
      <w:bookmarkEnd w:id="70"/>
    </w:p>
    <w:bookmarkEnd w:id="12"/>
    <w:p w14:paraId="274D7A95">
      <w:pPr>
        <w:spacing w:line="360" w:lineRule="auto"/>
        <w:ind w:firstLine="420" w:firstLineChars="2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项目联系人：</w:t>
      </w:r>
      <w:r>
        <w:rPr>
          <w:rFonts w:hint="eastAsia" w:ascii="宋体" w:hAnsi="宋体" w:eastAsia="宋体" w:cs="宋体"/>
          <w:color w:val="000000" w:themeColor="text1"/>
          <w:kern w:val="0"/>
          <w:sz w:val="21"/>
          <w:szCs w:val="21"/>
          <w:lang w:val="en-US" w:eastAsia="zh-CN"/>
          <w14:textFill>
            <w14:solidFill>
              <w14:schemeClr w14:val="tx1"/>
            </w14:solidFill>
          </w14:textFill>
        </w:rPr>
        <w:t>陈文华</w:t>
      </w:r>
    </w:p>
    <w:p w14:paraId="29D2EB04">
      <w:pPr>
        <w:spacing w:line="360" w:lineRule="auto"/>
        <w:ind w:firstLine="420" w:firstLineChars="200"/>
        <w:rPr>
          <w:rFonts w:ascii="方正小标宋简体" w:eastAsia="方正小标宋简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电话：</w:t>
      </w:r>
      <w:r>
        <w:rPr>
          <w:rFonts w:hint="eastAsia" w:ascii="宋体" w:hAnsi="宋体" w:cs="宋体"/>
          <w:color w:val="000000"/>
          <w:sz w:val="21"/>
          <w:szCs w:val="21"/>
          <w:lang w:val="en-US" w:eastAsia="zh-CN"/>
        </w:rPr>
        <w:t>18378831531</w:t>
      </w:r>
      <w:r>
        <w:rPr>
          <w:rFonts w:ascii="宋体" w:cs="Arial"/>
          <w:color w:val="000000" w:themeColor="text1"/>
          <w:szCs w:val="21"/>
          <w14:textFill>
            <w14:solidFill>
              <w14:schemeClr w14:val="tx1"/>
            </w14:solidFill>
          </w14:textFill>
        </w:rPr>
        <w:br w:type="page"/>
      </w:r>
    </w:p>
    <w:p w14:paraId="0664F858">
      <w:pPr>
        <w:pStyle w:val="2"/>
        <w:spacing w:before="300" w:after="300" w:line="360" w:lineRule="auto"/>
        <w:jc w:val="center"/>
        <w:rPr>
          <w:color w:val="000000" w:themeColor="text1"/>
          <w14:textFill>
            <w14:solidFill>
              <w14:schemeClr w14:val="tx1"/>
            </w14:solidFill>
          </w14:textFill>
        </w:rPr>
      </w:pPr>
      <w:bookmarkStart w:id="71" w:name="_Toc74323457"/>
      <w:r>
        <w:rPr>
          <w:rFonts w:hint="eastAsia"/>
          <w:color w:val="000000" w:themeColor="text1"/>
          <w14:textFill>
            <w14:solidFill>
              <w14:schemeClr w14:val="tx1"/>
            </w14:solidFill>
          </w14:textFill>
        </w:rPr>
        <w:t>第二章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供应商须知</w:t>
      </w:r>
      <w:bookmarkEnd w:id="71"/>
    </w:p>
    <w:p w14:paraId="5802B185">
      <w:pPr>
        <w:spacing w:line="360" w:lineRule="auto"/>
        <w:jc w:val="center"/>
        <w:rPr>
          <w:rFonts w:asci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供应商须知前附表</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631"/>
      </w:tblGrid>
      <w:tr w14:paraId="6FDDE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3A15CC1">
            <w:pPr>
              <w:keepNext w:val="0"/>
              <w:keepLines w:val="0"/>
              <w:pageBreakBefore w:val="0"/>
              <w:widowControl w:val="0"/>
              <w:kinsoku/>
              <w:wordWrap/>
              <w:overflowPunct/>
              <w:topLinePunct w:val="0"/>
              <w:bidi w:val="0"/>
              <w:adjustRightInd/>
              <w:spacing w:line="36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631" w:type="dxa"/>
          </w:tcPr>
          <w:p w14:paraId="0F3113F6">
            <w:pPr>
              <w:keepNext w:val="0"/>
              <w:keepLines w:val="0"/>
              <w:pageBreakBefore w:val="0"/>
              <w:widowControl w:val="0"/>
              <w:kinsoku/>
              <w:wordWrap/>
              <w:overflowPunct/>
              <w:topLinePunct w:val="0"/>
              <w:bidi w:val="0"/>
              <w:adjustRightInd/>
              <w:spacing w:line="360" w:lineRule="auto"/>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r>
      <w:tr w14:paraId="751A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3A56FB">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7631" w:type="dxa"/>
            <w:vAlign w:val="center"/>
          </w:tcPr>
          <w:p w14:paraId="6E4B5AED">
            <w:pPr>
              <w:keepNext w:val="0"/>
              <w:keepLines w:val="0"/>
              <w:pageBreakBefore w:val="0"/>
              <w:widowControl w:val="0"/>
              <w:kinsoku/>
              <w:wordWrap/>
              <w:overflowPunct/>
              <w:topLinePunct w:val="0"/>
              <w:bidi w:val="0"/>
              <w:adjustRightInd/>
              <w:spacing w:line="360" w:lineRule="auto"/>
              <w:rPr>
                <w:rFonts w:ascii="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供应商的资格条件</w:t>
            </w:r>
            <w:r>
              <w:rPr>
                <w:rFonts w:hint="eastAsia" w:ascii="宋体" w:hAnsi="宋体" w:cs="宋体"/>
                <w:color w:val="000000" w:themeColor="text1"/>
                <w:szCs w:val="21"/>
                <w14:textFill>
                  <w14:solidFill>
                    <w14:schemeClr w14:val="tx1"/>
                  </w14:solidFill>
                </w14:textFill>
              </w:rPr>
              <w:t>：详见竞争性磋商公告</w:t>
            </w:r>
          </w:p>
          <w:p w14:paraId="03773004">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出现下列情形之一的，不得参加政府采购活动：</w:t>
            </w:r>
          </w:p>
          <w:p w14:paraId="0642DEE4">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BB9EB1">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对在“信用中国”网站（</w:t>
            </w:r>
            <w:r>
              <w:rPr>
                <w:rFonts w:ascii="宋体" w:hAnsi="宋体" w:cs="宋体"/>
                <w:color w:val="000000" w:themeColor="text1"/>
                <w:szCs w:val="21"/>
                <w14:textFill>
                  <w14:solidFill>
                    <w14:schemeClr w14:val="tx1"/>
                  </w14:solidFill>
                </w14:textFill>
              </w:rPr>
              <w:t>www.creditchina.gov.cn</w:t>
            </w:r>
            <w:r>
              <w:rPr>
                <w:rFonts w:hint="eastAsia" w:ascii="宋体" w:hAnsi="宋体" w:cs="宋体"/>
                <w:color w:val="000000" w:themeColor="text1"/>
                <w:szCs w:val="21"/>
                <w14:textFill>
                  <w14:solidFill>
                    <w14:schemeClr w14:val="tx1"/>
                  </w14:solidFill>
                </w14:textFill>
              </w:rPr>
              <w:t>）、中国政府采购网（</w:t>
            </w:r>
            <w:r>
              <w:rPr>
                <w:rFonts w:ascii="宋体" w:hAnsi="宋体" w:cs="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t>）被列入失信被执行人、重大税收违法失信主体、政府采购严重违法失信行为记录名单及其他不符合《中华人民共和国政府采购法》第二十二条规定条件的供应商，不得参与政府采购活动。</w:t>
            </w:r>
          </w:p>
        </w:tc>
      </w:tr>
      <w:tr w14:paraId="6491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950FE9">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p>
        </w:tc>
        <w:tc>
          <w:tcPr>
            <w:tcW w:w="7631" w:type="dxa"/>
            <w:vAlign w:val="center"/>
          </w:tcPr>
          <w:p w14:paraId="25CFE965">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详见竞争性磋商公告</w:t>
            </w:r>
          </w:p>
        </w:tc>
      </w:tr>
      <w:tr w14:paraId="3315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DCBDA3">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p>
        </w:tc>
        <w:tc>
          <w:tcPr>
            <w:tcW w:w="7631" w:type="dxa"/>
            <w:vAlign w:val="center"/>
          </w:tcPr>
          <w:p w14:paraId="60E08D42">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如接受联合体竞标，联合体竞标要求如下：</w:t>
            </w:r>
          </w:p>
          <w:p w14:paraId="2CBC9AAC">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两个以上供应商可以组成一个竞标联合体，以一个供应商的身份共同参加竞标。联合体竞标的，须提供《联合体竞标协议书》（格式后附）。</w:t>
            </w:r>
          </w:p>
          <w:p w14:paraId="0320A6D8">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4D8F193">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14:textFill>
                  <w14:solidFill>
                    <w14:schemeClr w14:val="tx1"/>
                  </w14:solidFill>
                </w14:textFill>
              </w:rPr>
              <w:t>各方承担责任与义务的分工必须符合采购需求，否则，联合体竞标无效</w:t>
            </w:r>
            <w:r>
              <w:rPr>
                <w:rFonts w:hint="eastAsia" w:ascii="宋体" w:hAnsi="宋体" w:cs="宋体"/>
                <w:color w:val="000000" w:themeColor="text1"/>
                <w:szCs w:val="21"/>
                <w14:textFill>
                  <w14:solidFill>
                    <w14:schemeClr w14:val="tx1"/>
                  </w14:solidFill>
                </w14:textFill>
              </w:rPr>
              <w:t>），并将联合竞标协议放入响应文件。联合体各方必须共同与采购人签订采购合同，就采购合同约定的事项对采购人承担连带责任。</w:t>
            </w:r>
          </w:p>
          <w:p w14:paraId="0EB474F3">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15C85497">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联合体中有同类资质的供应商按照联合体分工承担相同工作的，应当按照资质等级较低的供应商确定资质等级。</w:t>
            </w:r>
          </w:p>
          <w:p w14:paraId="4FF78F1E">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联合体竞标业绩、履约能力按照联合体各方中较高的一方认定并计算（磋商文件另有规定的除外）。</w:t>
            </w:r>
          </w:p>
          <w:p w14:paraId="7DCFCC35">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供应商为联合体的，可以由联合体中的一方或者多方共同交纳磋商保证金，其交纳的保证金对联合体各方均具有约束力。</w:t>
            </w:r>
          </w:p>
          <w:p w14:paraId="35F6C0E9">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联合体各方均应按照磋商文件的规定提交资格证明文件。</w:t>
            </w:r>
          </w:p>
        </w:tc>
      </w:tr>
      <w:tr w14:paraId="5F35A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D1C2AD">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6.2</w:t>
            </w:r>
          </w:p>
        </w:tc>
        <w:tc>
          <w:tcPr>
            <w:tcW w:w="7631" w:type="dxa"/>
            <w:vAlign w:val="center"/>
          </w:tcPr>
          <w:p w14:paraId="780B83D4">
            <w:pPr>
              <w:pStyle w:val="16"/>
              <w:keepNext w:val="0"/>
              <w:keepLines w:val="0"/>
              <w:pageBreakBefore w:val="0"/>
              <w:widowControl w:val="0"/>
              <w:kinsoku/>
              <w:wordWrap/>
              <w:overflowPunct/>
              <w:topLinePunct w:val="0"/>
              <w:bidi w:val="0"/>
              <w:adjustRightInd/>
              <w:spacing w:line="360" w:lineRule="auto"/>
              <w:rPr>
                <w:rFonts w:ascii="宋体"/>
                <w:color w:val="000000" w:themeColor="text1"/>
                <w:sz w:val="21"/>
                <w:szCs w:val="21"/>
                <w14:textFill>
                  <w14:solidFill>
                    <w14:schemeClr w14:val="tx1"/>
                  </w14:solidFill>
                </w14:textFill>
              </w:rPr>
            </w:pPr>
            <w:r>
              <w:rPr>
                <w:rFonts w:hint="eastAsia" w:ascii="仿宋_GB2312" w:hAnsi="Wingdings 2" w:eastAsia="仿宋_GB2312"/>
                <w:color w:val="000000" w:themeColor="text1"/>
                <w:sz w:val="21"/>
                <w14:textFill>
                  <w14:solidFill>
                    <w14:schemeClr w14:val="tx1"/>
                  </w14:solidFill>
                </w14:textFill>
              </w:rPr>
              <w:sym w:font="Wingdings 2" w:char="F052"/>
            </w:r>
            <w:r>
              <w:rPr>
                <w:rFonts w:hint="eastAsia" w:ascii="宋体" w:hAnsi="宋体"/>
                <w:color w:val="000000" w:themeColor="text1"/>
                <w:sz w:val="21"/>
                <w:szCs w:val="21"/>
                <w14:textFill>
                  <w14:solidFill>
                    <w14:schemeClr w14:val="tx1"/>
                  </w14:solidFill>
                </w14:textFill>
              </w:rPr>
              <w:t>不允许分包</w:t>
            </w:r>
          </w:p>
          <w:p w14:paraId="7A1BAC84">
            <w:pPr>
              <w:pStyle w:val="16"/>
              <w:keepNext w:val="0"/>
              <w:keepLines w:val="0"/>
              <w:pageBreakBefore w:val="0"/>
              <w:widowControl w:val="0"/>
              <w:kinsoku/>
              <w:wordWrap/>
              <w:overflowPunct/>
              <w:topLinePunct w:val="0"/>
              <w:bidi w:val="0"/>
              <w:adjustRightInd/>
              <w:spacing w:line="360" w:lineRule="auto"/>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□允许分包</w:t>
            </w:r>
          </w:p>
          <w:p w14:paraId="7DAB4B4B">
            <w:pPr>
              <w:pStyle w:val="16"/>
              <w:keepNext w:val="0"/>
              <w:keepLines w:val="0"/>
              <w:pageBreakBefore w:val="0"/>
              <w:widowControl w:val="0"/>
              <w:kinsoku/>
              <w:wordWrap/>
              <w:overflowPunct/>
              <w:topLinePunct w:val="0"/>
              <w:bidi w:val="0"/>
              <w:adjustRightInd/>
              <w:spacing w:line="360" w:lineRule="auto"/>
              <w:rPr>
                <w:rFonts w:asci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分包内容：</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14:paraId="734CA990">
            <w:pPr>
              <w:pStyle w:val="16"/>
              <w:keepNext w:val="0"/>
              <w:keepLines w:val="0"/>
              <w:pageBreakBefore w:val="0"/>
              <w:widowControl w:val="0"/>
              <w:kinsoku/>
              <w:wordWrap/>
              <w:overflowPunct/>
              <w:topLinePunct w:val="0"/>
              <w:bidi w:val="0"/>
              <w:adjustRightInd/>
              <w:spacing w:line="360" w:lineRule="auto"/>
              <w:rPr>
                <w:rFonts w:asci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分包金额或者比例：</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14:paraId="3835169C">
            <w:pPr>
              <w:pStyle w:val="16"/>
              <w:keepNext w:val="0"/>
              <w:keepLines w:val="0"/>
              <w:pageBreakBefore w:val="0"/>
              <w:widowControl w:val="0"/>
              <w:kinsoku/>
              <w:wordWrap/>
              <w:overflowPunct/>
              <w:topLinePunct w:val="0"/>
              <w:bidi w:val="0"/>
              <w:adjustRightInd/>
              <w:spacing w:line="360" w:lineRule="auto"/>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分包供应商必须具备的资质：</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tc>
      </w:tr>
      <w:tr w14:paraId="5107E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3AE049">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12.1.1</w:t>
            </w:r>
          </w:p>
        </w:tc>
        <w:tc>
          <w:tcPr>
            <w:tcW w:w="7631" w:type="dxa"/>
            <w:vAlign w:val="center"/>
          </w:tcPr>
          <w:p w14:paraId="60612F1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w:t>
            </w:r>
          </w:p>
          <w:p w14:paraId="235CF9DF">
            <w:pPr>
              <w:keepNext w:val="0"/>
              <w:keepLines w:val="0"/>
              <w:pageBreakBefore w:val="0"/>
              <w:widowControl w:val="0"/>
              <w:numPr>
                <w:ilvl w:val="0"/>
                <w:numId w:val="0"/>
              </w:numPr>
              <w:kinsoku/>
              <w:wordWrap/>
              <w:overflowPunct/>
              <w:topLinePunct w:val="0"/>
              <w:autoSpaceDE/>
              <w:autoSpaceDN/>
              <w:bidi w:val="0"/>
              <w:adjustRightInd/>
              <w:spacing w:line="360" w:lineRule="auto"/>
              <w:ind w:firstLine="0" w:firstLineChars="0"/>
              <w:contextualSpacing/>
              <w:jc w:val="left"/>
              <w:textAlignment w:val="auto"/>
              <w:rPr>
                <w:rFonts w:asci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auto"/>
                <w:szCs w:val="21"/>
                <w:highlight w:val="none"/>
              </w:rPr>
              <w:t>崇左市政府采购供应商信用承诺函（格式后附，供应商应对其承诺内容的真实性、合法性、有效性负责）；（</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115DC92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供应商直接控股、管理关系信息表（格式后附）；（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02E739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竞标声明（格式后附）；</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39A70EB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cs="宋体"/>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供应商《中小企业声明函》或《残疾人福利性单位声明函》或监狱企业证明（由省级以上监狱管理局、戒毒管理局（含新疆生产建设兵团）出具的属于监狱企业的证明文件）；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0AC078FA">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ascii="宋体" w:cs="宋体"/>
                <w:b/>
                <w:color w:val="000000" w:themeColor="text1"/>
                <w:szCs w:val="21"/>
                <w14:textFill>
                  <w14:solidFill>
                    <w14:schemeClr w14:val="tx1"/>
                  </w14:solidFill>
                </w14:textFill>
              </w:rPr>
            </w:pPr>
            <w:r>
              <w:rPr>
                <w:rFonts w:hint="eastAsia" w:ascii="宋体" w:hAnsi="宋体" w:cs="宋体"/>
                <w:b w:val="0"/>
                <w:bCs/>
                <w:color w:val="000000" w:themeColor="text1"/>
                <w:szCs w:val="21"/>
                <w:lang w:val="en-US" w:eastAsia="zh-CN"/>
                <w14:textFill>
                  <w14:solidFill>
                    <w14:schemeClr w14:val="tx1"/>
                  </w14:solidFill>
                </w14:textFill>
              </w:rPr>
              <w:t>5</w:t>
            </w:r>
            <w:r>
              <w:rPr>
                <w:rFonts w:ascii="宋体" w:cs="宋体"/>
                <w:b w:val="0"/>
                <w:bCs/>
                <w:color w:val="000000" w:themeColor="text1"/>
                <w:szCs w:val="21"/>
                <w14:textFill>
                  <w14:solidFill>
                    <w14:schemeClr w14:val="tx1"/>
                  </w14:solidFill>
                </w14:textFill>
              </w:rPr>
              <w:t>.</w:t>
            </w:r>
            <w:r>
              <w:rPr>
                <w:rFonts w:hint="eastAsia" w:ascii="宋体" w:hAnsi="宋体" w:cs="宋体"/>
                <w:b w:val="0"/>
                <w:bCs/>
                <w:color w:val="000000" w:themeColor="text1"/>
                <w:szCs w:val="21"/>
                <w14:textFill>
                  <w14:solidFill>
                    <w14:schemeClr w14:val="tx1"/>
                  </w14:solidFill>
                </w14:textFill>
              </w:rPr>
              <w:t>特定资格证明材料</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r>
              <w:rPr>
                <w:rFonts w:hint="eastAsia" w:ascii="宋体" w:hAnsi="宋体" w:cs="宋体"/>
                <w:b w:val="0"/>
                <w:bCs/>
                <w:color w:val="000000" w:themeColor="text1"/>
                <w:szCs w:val="21"/>
                <w14:textFill>
                  <w14:solidFill>
                    <w14:schemeClr w14:val="tx1"/>
                  </w14:solidFill>
                </w14:textFill>
              </w:rPr>
              <w:t>：</w:t>
            </w:r>
          </w:p>
          <w:p w14:paraId="6B87720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eastAsia="宋体"/>
                <w:color w:val="auto"/>
                <w:szCs w:val="21"/>
                <w:lang w:eastAsia="zh-CN"/>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）磋商供应商须具备市政公用工程施工总承包三级（含）以上资质，具备有效的安全生产许可证，并在人员、设备、资金等方面具备相应的施工能力</w:t>
            </w:r>
            <w:r>
              <w:rPr>
                <w:rFonts w:hint="eastAsia" w:ascii="宋体" w:hAnsi="宋体"/>
                <w:color w:val="auto"/>
                <w:szCs w:val="21"/>
                <w:lang w:eastAsia="zh-CN"/>
              </w:rPr>
              <w:t>；</w:t>
            </w:r>
          </w:p>
          <w:p w14:paraId="514B63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olor w:val="auto"/>
                <w:szCs w:val="21"/>
                <w:lang w:eastAsia="zh-CN"/>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供应商拟派的项目经理须具备市政公用工程专业二级(含)以上注册建造师执业资格及有效的安全生产考核合格证书（B类），本项目不接受有在建、已中标（成交）未开工或已列为其他项目中标候选人第一名的建造师作为项目经理</w:t>
            </w:r>
            <w:r>
              <w:rPr>
                <w:rFonts w:hint="eastAsia" w:ascii="宋体" w:hAnsi="宋体"/>
                <w:color w:val="auto"/>
                <w:szCs w:val="21"/>
                <w:lang w:eastAsia="zh-CN"/>
              </w:rPr>
              <w:t>；</w:t>
            </w:r>
          </w:p>
          <w:p w14:paraId="7BBCD85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eastAsia="宋体" w:cs="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除磋商文件规定必须提供以外，供应商认为需要提供的其他证明材料</w:t>
            </w:r>
            <w:r>
              <w:rPr>
                <w:rFonts w:hint="eastAsia" w:ascii="宋体" w:hAnsi="宋体" w:cs="宋体"/>
                <w:color w:val="000000" w:themeColor="text1"/>
                <w:szCs w:val="21"/>
                <w:lang w:eastAsia="zh-CN"/>
                <w14:textFill>
                  <w14:solidFill>
                    <w14:schemeClr w14:val="tx1"/>
                  </w14:solidFill>
                </w14:textFill>
              </w:rPr>
              <w:t>。</w:t>
            </w:r>
          </w:p>
          <w:p w14:paraId="125F4ED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注：以上标明“必须提供”的材料属于复印件的，必须加盖供应商</w:t>
            </w:r>
            <w:r>
              <w:rPr>
                <w:rFonts w:hint="eastAsia"/>
                <w:b/>
                <w:color w:val="000000" w:themeColor="text1"/>
                <w14:textFill>
                  <w14:solidFill>
                    <w14:schemeClr w14:val="tx1"/>
                  </w14:solidFill>
                </w14:textFill>
              </w:rPr>
              <w:t>电子签章</w:t>
            </w:r>
            <w:r>
              <w:rPr>
                <w:rFonts w:hint="eastAsia" w:ascii="宋体" w:hAnsi="宋体" w:cs="宋体"/>
                <w:b/>
                <w:color w:val="000000" w:themeColor="text1"/>
                <w:szCs w:val="21"/>
                <w14:textFill>
                  <w14:solidFill>
                    <w14:schemeClr w14:val="tx1"/>
                  </w14:solidFill>
                </w14:textFill>
              </w:rPr>
              <w:t>，否则响应文件按无效处理。</w:t>
            </w:r>
          </w:p>
        </w:tc>
      </w:tr>
      <w:tr w14:paraId="3AF3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55E7E5">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12.1.2</w:t>
            </w:r>
          </w:p>
        </w:tc>
        <w:tc>
          <w:tcPr>
            <w:tcW w:w="7631" w:type="dxa"/>
            <w:vAlign w:val="center"/>
          </w:tcPr>
          <w:p w14:paraId="667A2DAA">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p w14:paraId="6C835BC9">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竞标函及竞标函附录（格式后附）；（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5C075A01">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5F3D2626">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已标价工程量清单；（</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23AD1E8">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供应商认为需要提供的其他有关资料。</w:t>
            </w:r>
          </w:p>
        </w:tc>
      </w:tr>
      <w:tr w14:paraId="1C50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6B08F7">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12.1.3</w:t>
            </w:r>
          </w:p>
        </w:tc>
        <w:tc>
          <w:tcPr>
            <w:tcW w:w="7631" w:type="dxa"/>
            <w:vAlign w:val="center"/>
          </w:tcPr>
          <w:p w14:paraId="0B4D9933">
            <w:pPr>
              <w:keepNext w:val="0"/>
              <w:keepLines w:val="0"/>
              <w:pageBreakBefore w:val="0"/>
              <w:widowControl w:val="0"/>
              <w:kinsoku/>
              <w:wordWrap/>
              <w:overflowPunct/>
              <w:topLinePunct w:val="0"/>
              <w:bidi w:val="0"/>
              <w:adjustRightInd/>
              <w:spacing w:line="360" w:lineRule="auto"/>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商务技术文件</w:t>
            </w:r>
          </w:p>
          <w:p w14:paraId="5DC48324">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无串通竞标行为的承诺函（格式后附）；（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3CCC7E7A">
            <w:pPr>
              <w:keepNext w:val="0"/>
              <w:keepLines w:val="0"/>
              <w:pageBreakBefore w:val="0"/>
              <w:widowControl w:val="0"/>
              <w:kinsoku/>
              <w:wordWrap/>
              <w:overflowPunct/>
              <w:topLinePunct w:val="0"/>
              <w:bidi w:val="0"/>
              <w:adjustRightInd/>
              <w:snapToGrid w:val="0"/>
              <w:spacing w:line="360" w:lineRule="auto"/>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法定代表人身份证明书及法定代表人有效身份证正反面复印件（格式后附）；（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68583D2E">
            <w:pPr>
              <w:keepNext w:val="0"/>
              <w:keepLines w:val="0"/>
              <w:pageBreakBefore w:val="0"/>
              <w:widowControl w:val="0"/>
              <w:kinsoku/>
              <w:wordWrap/>
              <w:overflowPunct/>
              <w:topLinePunct w:val="0"/>
              <w:bidi w:val="0"/>
              <w:adjustRightInd/>
              <w:spacing w:line="360" w:lineRule="auto"/>
              <w:rPr>
                <w:rFonts w:asci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委托时必须提供，否则响应文件按无效处理</w:t>
            </w:r>
            <w:r>
              <w:rPr>
                <w:rFonts w:hint="eastAsia" w:ascii="宋体" w:hAnsi="宋体" w:cs="宋体"/>
                <w:color w:val="000000" w:themeColor="text1"/>
                <w:szCs w:val="21"/>
                <w14:textFill>
                  <w14:solidFill>
                    <w14:schemeClr w14:val="tx1"/>
                  </w14:solidFill>
                </w14:textFill>
              </w:rPr>
              <w:t>）</w:t>
            </w:r>
          </w:p>
          <w:p w14:paraId="6D55B64D">
            <w:pPr>
              <w:keepNext w:val="0"/>
              <w:keepLines w:val="0"/>
              <w:pageBreakBefore w:val="0"/>
              <w:widowControl w:val="0"/>
              <w:kinsoku/>
              <w:wordWrap/>
              <w:overflowPunct/>
              <w:topLinePunct w:val="0"/>
              <w:bidi w:val="0"/>
              <w:adjustRightIn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施工组织设计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600C1148">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项目管理机构配备情况表及主要人员简历表（格式后附）；（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5485B144">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供应商认为需要提供的其他有关资料（供应商可提供业绩证明、人员证书、企业证书等，如有，请提交）。</w:t>
            </w:r>
          </w:p>
          <w:p w14:paraId="6B611F83">
            <w:pPr>
              <w:keepNext w:val="0"/>
              <w:keepLines w:val="0"/>
              <w:pageBreakBefore w:val="0"/>
              <w:widowControl w:val="0"/>
              <w:kinsoku/>
              <w:wordWrap/>
              <w:overflowPunct/>
              <w:topLinePunct w:val="0"/>
              <w:bidi w:val="0"/>
              <w:adjustRightInd/>
              <w:spacing w:line="360" w:lineRule="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注：以上标明“必须提供”的材料属于复印件的，必须加盖供应商电子签章，否则响应文件按无效处理。</w:t>
            </w:r>
          </w:p>
        </w:tc>
      </w:tr>
      <w:tr w14:paraId="54A5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EF9808">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15.1</w:t>
            </w:r>
          </w:p>
        </w:tc>
        <w:tc>
          <w:tcPr>
            <w:tcW w:w="7631" w:type="dxa"/>
            <w:vAlign w:val="center"/>
          </w:tcPr>
          <w:p w14:paraId="5B8542C6">
            <w:pPr>
              <w:keepNext w:val="0"/>
              <w:keepLines w:val="0"/>
              <w:pageBreakBefore w:val="0"/>
              <w:widowControl w:val="0"/>
              <w:kinsoku/>
              <w:wordWrap/>
              <w:overflowPunct/>
              <w:topLinePunct w:val="0"/>
              <w:bidi w:val="0"/>
              <w:adjustRightInd/>
              <w:spacing w:line="360" w:lineRule="auto"/>
              <w:contextualSpacing/>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竞标报价应按磋商文件中“竞标报价表”及“已标价工程量清单”格式填写。</w:t>
            </w:r>
          </w:p>
        </w:tc>
      </w:tr>
      <w:tr w14:paraId="27287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31C001">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15.2</w:t>
            </w:r>
          </w:p>
        </w:tc>
        <w:tc>
          <w:tcPr>
            <w:tcW w:w="7631" w:type="dxa"/>
            <w:vAlign w:val="center"/>
          </w:tcPr>
          <w:p w14:paraId="1DD572ED">
            <w:pPr>
              <w:keepNext w:val="0"/>
              <w:keepLines w:val="0"/>
              <w:pageBreakBefore w:val="0"/>
              <w:widowControl w:val="0"/>
              <w:kinsoku/>
              <w:wordWrap/>
              <w:overflowPunct/>
              <w:topLinePunct w:val="0"/>
              <w:bidi w:val="0"/>
              <w:adjustRightInd/>
              <w:spacing w:line="360" w:lineRule="auto"/>
              <w:contextualSpacing/>
              <w:jc w:val="left"/>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竞标报价是履行合同的最终价格，包括了</w:t>
            </w:r>
            <w:r>
              <w:rPr>
                <w:rFonts w:hint="eastAsia" w:ascii="宋体" w:hAnsi="宋体" w:cs="宋体"/>
                <w:color w:val="000000" w:themeColor="text1"/>
                <w:szCs w:val="21"/>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7275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1FC454">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15.3</w:t>
            </w:r>
          </w:p>
        </w:tc>
        <w:tc>
          <w:tcPr>
            <w:tcW w:w="7631" w:type="dxa"/>
            <w:vAlign w:val="center"/>
          </w:tcPr>
          <w:p w14:paraId="1932EE8A">
            <w:pPr>
              <w:keepNext w:val="0"/>
              <w:keepLines w:val="0"/>
              <w:pageBreakBefore w:val="0"/>
              <w:widowControl w:val="0"/>
              <w:kinsoku/>
              <w:wordWrap/>
              <w:overflowPunct/>
              <w:topLinePunct w:val="0"/>
              <w:bidi w:val="0"/>
              <w:adjustRightInd/>
              <w:spacing w:line="360" w:lineRule="auto"/>
              <w:contextualSpacing/>
              <w:jc w:val="left"/>
              <w:rPr>
                <w:rFonts w:ascii="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本工程增值税计税方法：</w:t>
            </w:r>
            <w:r>
              <w:rPr>
                <w:rFonts w:hint="eastAsia" w:ascii="仿宋_GB2312" w:hAnsi="Wingdings 2" w:eastAsia="仿宋_GB2312"/>
                <w:color w:val="000000" w:themeColor="text1"/>
                <w:szCs w:val="20"/>
                <w14:textFill>
                  <w14:solidFill>
                    <w14:schemeClr w14:val="tx1"/>
                  </w14:solidFill>
                </w14:textFill>
              </w:rPr>
              <w:sym w:font="Wingdings 2" w:char="F052"/>
            </w:r>
            <w:r>
              <w:rPr>
                <w:rFonts w:hint="eastAsia" w:cs="宋体"/>
                <w:color w:val="000000" w:themeColor="text1"/>
                <w14:textFill>
                  <w14:solidFill>
                    <w14:schemeClr w14:val="tx1"/>
                  </w14:solidFill>
                </w14:textFill>
              </w:rPr>
              <w:t>一般计税法；□简易计税法</w:t>
            </w:r>
          </w:p>
        </w:tc>
      </w:tr>
      <w:tr w14:paraId="03E3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48CBAB">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16.2</w:t>
            </w:r>
          </w:p>
        </w:tc>
        <w:tc>
          <w:tcPr>
            <w:tcW w:w="7631" w:type="dxa"/>
            <w:vAlign w:val="center"/>
          </w:tcPr>
          <w:p w14:paraId="2190D448">
            <w:pPr>
              <w:pStyle w:val="13"/>
              <w:keepNext w:val="0"/>
              <w:keepLines w:val="0"/>
              <w:pageBreakBefore w:val="0"/>
              <w:widowControl w:val="0"/>
              <w:tabs>
                <w:tab w:val="clear" w:pos="454"/>
              </w:tabs>
              <w:kinsoku/>
              <w:wordWrap/>
              <w:overflowPunct/>
              <w:topLinePunct w:val="0"/>
              <w:bidi w:val="0"/>
              <w:adjustRightInd/>
              <w:snapToGrid w:val="0"/>
              <w:spacing w:afterLines="0" w:line="360" w:lineRule="auto"/>
              <w:ind w:left="283" w:hanging="283" w:hangingChars="135"/>
              <w:rPr>
                <w:rFonts w:asci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竞标有效期：自首次响应文件提交截止之日起</w:t>
            </w:r>
            <w:r>
              <w:rPr>
                <w:rFonts w:ascii="宋体" w:hAnsi="宋体" w:cs="宋体"/>
                <w:color w:val="000000" w:themeColor="text1"/>
                <w:kern w:val="2"/>
                <w:sz w:val="21"/>
                <w:szCs w:val="21"/>
                <w:u w:val="single"/>
                <w14:textFill>
                  <w14:solidFill>
                    <w14:schemeClr w14:val="tx1"/>
                  </w14:solidFill>
                </w14:textFill>
              </w:rPr>
              <w:t>60</w:t>
            </w:r>
            <w:r>
              <w:rPr>
                <w:rFonts w:hint="eastAsia" w:ascii="宋体" w:hAnsi="宋体" w:cs="宋体"/>
                <w:color w:val="000000" w:themeColor="text1"/>
                <w:kern w:val="2"/>
                <w:sz w:val="21"/>
                <w:szCs w:val="21"/>
                <w14:textFill>
                  <w14:solidFill>
                    <w14:schemeClr w14:val="tx1"/>
                  </w14:solidFill>
                </w14:textFill>
              </w:rPr>
              <w:t>日。</w:t>
            </w:r>
          </w:p>
        </w:tc>
      </w:tr>
      <w:tr w14:paraId="6B70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84F8F8">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17.1</w:t>
            </w:r>
          </w:p>
        </w:tc>
        <w:tc>
          <w:tcPr>
            <w:tcW w:w="7631" w:type="dxa"/>
            <w:vAlign w:val="center"/>
          </w:tcPr>
          <w:p w14:paraId="7773AB5E">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auto"/>
                <w:szCs w:val="21"/>
              </w:rPr>
            </w:pPr>
            <w:r>
              <w:rPr>
                <w:rFonts w:hint="eastAsia" w:ascii="仿宋_GB2312" w:hAnsi="Wingdings 2" w:eastAsia="仿宋_GB2312"/>
                <w:color w:val="auto"/>
                <w:szCs w:val="20"/>
              </w:rPr>
              <w:sym w:font="Wingdings 2" w:char="F052"/>
            </w:r>
            <w:r>
              <w:rPr>
                <w:rFonts w:hint="eastAsia" w:ascii="宋体" w:hAnsi="宋体"/>
                <w:color w:val="auto"/>
                <w:szCs w:val="21"/>
              </w:rPr>
              <w:t>本项目不收取磋商保证金。</w:t>
            </w:r>
          </w:p>
          <w:p w14:paraId="7495F1F1">
            <w:pPr>
              <w:keepNext w:val="0"/>
              <w:keepLines w:val="0"/>
              <w:pageBreakBefore w:val="0"/>
              <w:widowControl w:val="0"/>
              <w:kinsoku/>
              <w:wordWrap/>
              <w:overflowPunct/>
              <w:topLinePunct w:val="0"/>
              <w:bidi w:val="0"/>
              <w:adjustRightInd/>
              <w:snapToGrid w:val="0"/>
              <w:spacing w:line="360" w:lineRule="auto"/>
              <w:rPr>
                <w:rFonts w:ascii="宋体"/>
                <w:color w:val="auto"/>
                <w:szCs w:val="21"/>
              </w:rPr>
            </w:pPr>
            <w:r>
              <w:rPr>
                <w:rFonts w:hint="eastAsia" w:ascii="宋体" w:hAnsi="宋体"/>
                <w:color w:val="auto"/>
                <w:szCs w:val="21"/>
              </w:rPr>
              <w:t>□本项目收取磋商保证金，具体规定如下：</w:t>
            </w:r>
          </w:p>
          <w:p w14:paraId="06F985C0">
            <w:pPr>
              <w:keepNext w:val="0"/>
              <w:keepLines w:val="0"/>
              <w:pageBreakBefore w:val="0"/>
              <w:widowControl w:val="0"/>
              <w:kinsoku/>
              <w:wordWrap/>
              <w:overflowPunct/>
              <w:topLinePunct w:val="0"/>
              <w:bidi w:val="0"/>
              <w:adjustRightInd/>
              <w:snapToGrid w:val="0"/>
              <w:spacing w:line="360" w:lineRule="auto"/>
              <w:rPr>
                <w:rFonts w:ascii="宋体" w:cs="宋体"/>
                <w:color w:val="auto"/>
                <w:kern w:val="0"/>
                <w:szCs w:val="21"/>
              </w:rPr>
            </w:pPr>
            <w:r>
              <w:rPr>
                <w:rFonts w:hint="eastAsia" w:ascii="宋体" w:hAnsi="宋体" w:cs="宋体"/>
                <w:color w:val="auto"/>
                <w:kern w:val="0"/>
                <w:szCs w:val="21"/>
              </w:rPr>
              <w:t>磋商保证金人民币</w:t>
            </w:r>
            <w:r>
              <w:rPr>
                <w:rFonts w:ascii="宋体" w:cs="宋体"/>
                <w:color w:val="auto"/>
                <w:kern w:val="0"/>
                <w:szCs w:val="21"/>
                <w:u w:val="single"/>
              </w:rPr>
              <w:t>0.00</w:t>
            </w:r>
            <w:r>
              <w:rPr>
                <w:rFonts w:hint="eastAsia" w:ascii="宋体" w:hAnsi="宋体" w:cs="宋体"/>
                <w:color w:val="auto"/>
                <w:kern w:val="0"/>
                <w:szCs w:val="21"/>
              </w:rPr>
              <w:t>元。</w:t>
            </w:r>
          </w:p>
          <w:p w14:paraId="59600CB2">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b/>
                <w:bCs/>
                <w:color w:val="000000" w:themeColor="text1"/>
                <w:szCs w:val="21"/>
                <w14:textFill>
                  <w14:solidFill>
                    <w14:schemeClr w14:val="tx1"/>
                  </w14:solidFill>
                </w14:textFill>
              </w:rPr>
              <w:t>户名：广西龙泰工程咨询有限公司</w:t>
            </w:r>
            <w:r>
              <w:rPr>
                <w:rFonts w:hint="eastAsia" w:ascii="宋体" w:hAnsi="宋体"/>
                <w:b/>
                <w:bCs/>
                <w:color w:val="000000" w:themeColor="text1"/>
                <w:szCs w:val="21"/>
                <w:lang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开户行：广西龙州农村商业银行股份有限公司营业部</w:t>
            </w:r>
            <w:r>
              <w:rPr>
                <w:rFonts w:hint="eastAsia" w:ascii="宋体" w:hAnsi="宋体"/>
                <w:b/>
                <w:bCs/>
                <w:color w:val="000000" w:themeColor="text1"/>
                <w:szCs w:val="21"/>
                <w:lang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帐号：15361 20101 55938 467</w:t>
            </w:r>
            <w:r>
              <w:rPr>
                <w:rFonts w:hint="eastAsia" w:ascii="宋体" w:hAnsi="宋体" w:cs="宋体"/>
                <w:color w:val="000000" w:themeColor="text1"/>
                <w:kern w:val="0"/>
                <w:szCs w:val="21"/>
                <w14:textFill>
                  <w14:solidFill>
                    <w14:schemeClr w14:val="tx1"/>
                  </w14:solidFill>
                </w14:textFill>
              </w:rPr>
              <w:t>】；采用支票、汇票、本票或者保函等方式的，在响应文件提交截止时间前，供应商必须提交单独密封的支票、汇票、本票或者保函原件。</w:t>
            </w:r>
            <w:r>
              <w:rPr>
                <w:rFonts w:hint="eastAsia" w:ascii="宋体" w:hAnsi="宋体" w:cs="宋体"/>
                <w:b/>
                <w:color w:val="000000" w:themeColor="text1"/>
                <w:kern w:val="0"/>
                <w:szCs w:val="21"/>
                <w14:textFill>
                  <w14:solidFill>
                    <w14:schemeClr w14:val="tx1"/>
                  </w14:solidFill>
                </w14:textFill>
              </w:rPr>
              <w:t>否则视为无效磋商保证金。</w:t>
            </w:r>
          </w:p>
          <w:p w14:paraId="039A6926">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相关要求：</w:t>
            </w:r>
          </w:p>
          <w:p w14:paraId="21D82118">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s="宋体"/>
                <w:color w:val="000000" w:themeColor="text1"/>
                <w:szCs w:val="21"/>
                <w14:textFill>
                  <w14:solidFill>
                    <w14:schemeClr w14:val="tx1"/>
                  </w14:solidFill>
                </w14:textFill>
              </w:rPr>
              <w:t>。</w:t>
            </w:r>
          </w:p>
          <w:p w14:paraId="7C14CFA6">
            <w:pPr>
              <w:keepNext w:val="0"/>
              <w:keepLines w:val="0"/>
              <w:pageBreakBefore w:val="0"/>
              <w:widowControl w:val="0"/>
              <w:kinsoku/>
              <w:wordWrap/>
              <w:overflowPunct/>
              <w:topLinePunct w:val="0"/>
              <w:bidi w:val="0"/>
              <w:adjustRightInd/>
              <w:snapToGrid w:val="0"/>
              <w:spacing w:line="360" w:lineRule="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000000" w:themeColor="text1"/>
                <w:szCs w:val="21"/>
                <w14:textFill>
                  <w14:solidFill>
                    <w14:schemeClr w14:val="tx1"/>
                  </w14:solidFill>
                </w14:textFill>
              </w:rPr>
              <w:t>商务技术文件</w:t>
            </w:r>
            <w:r>
              <w:rPr>
                <w:rFonts w:hint="eastAsia" w:ascii="宋体" w:hAnsi="宋体"/>
                <w:color w:val="000000" w:themeColor="text1"/>
                <w:szCs w:val="21"/>
                <w14:textFill>
                  <w14:solidFill>
                    <w14:schemeClr w14:val="tx1"/>
                  </w14:solidFill>
                </w14:textFill>
              </w:rPr>
              <w:t>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olor w:val="000000" w:themeColor="text1"/>
                <w:szCs w:val="21"/>
                <w14:textFill>
                  <w14:solidFill>
                    <w14:schemeClr w14:val="tx1"/>
                  </w14:solidFill>
                </w14:textFill>
              </w:rPr>
              <w:t>。</w:t>
            </w:r>
          </w:p>
          <w:p w14:paraId="7B78513A">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供应商为联合体的，可以由联合体中的一方或者多方共同交纳磋商保证金，其交纳的保证金对联合体各方均具有约束力。</w:t>
            </w:r>
          </w:p>
          <w:p w14:paraId="3A7A8D88">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18113361">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磋商保证金在响应文件提交截止时间后提交的，或者不按规定交纳方式交纳的，或者未足额交纳的（包含保函额度不足的），视为无效磋商保证金。</w:t>
            </w:r>
          </w:p>
          <w:p w14:paraId="46461D9E">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供应商采用现钞方式或者从个人账户转出的磋商保证金，视为无效磋商保证金。</w:t>
            </w:r>
          </w:p>
          <w:p w14:paraId="657968B4">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支票、汇票或者本票出现无效或者背书情形的，视为无效磋商保证金。</w:t>
            </w:r>
          </w:p>
          <w:p w14:paraId="721DF737">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保函有效期低于竞标有效期的，视为无效磋商保证金。</w:t>
            </w:r>
          </w:p>
          <w:p w14:paraId="650D51DD">
            <w:pPr>
              <w:keepNext w:val="0"/>
              <w:keepLines w:val="0"/>
              <w:pageBreakBefore w:val="0"/>
              <w:widowControl w:val="0"/>
              <w:kinsoku/>
              <w:wordWrap/>
              <w:overflowPunct/>
              <w:topLinePunct w:val="0"/>
              <w:bidi w:val="0"/>
              <w:adjustRightInd/>
              <w:snapToGrid w:val="0"/>
              <w:spacing w:line="360" w:lineRule="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采用银行、保险机构出具保函的，必须为无条件保函，否则视为无效磋商保证金。</w:t>
            </w:r>
          </w:p>
          <w:p w14:paraId="0EDC12DC">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6</w:t>
            </w:r>
            <w:r>
              <w:rPr>
                <w:rFonts w:ascii="宋体"/>
                <w:b/>
                <w:color w:val="000000" w:themeColor="text1"/>
                <w:szCs w:val="21"/>
                <w14:textFill>
                  <w14:solidFill>
                    <w14:schemeClr w14:val="tx1"/>
                  </w14:solidFill>
                </w14:textFill>
              </w:rPr>
              <w:t>.</w:t>
            </w:r>
            <w:r>
              <w:rPr>
                <w:rFonts w:hint="eastAsia" w:ascii="宋体" w:hAnsi="宋体"/>
                <w:b/>
                <w:color w:val="000000" w:themeColor="text1"/>
                <w:szCs w:val="21"/>
                <w:lang w:eastAsia="zh-CN"/>
                <w14:textFill>
                  <w14:solidFill>
                    <w14:schemeClr w14:val="tx1"/>
                  </w14:solidFill>
                </w14:textFill>
              </w:rPr>
              <w:t>广西政府采购云平台</w:t>
            </w:r>
            <w:r>
              <w:rPr>
                <w:rFonts w:hint="eastAsia" w:ascii="宋体" w:hAnsi="宋体"/>
                <w:b/>
                <w:color w:val="000000" w:themeColor="text1"/>
                <w:szCs w:val="21"/>
                <w14:textFill>
                  <w14:solidFill>
                    <w14:schemeClr w14:val="tx1"/>
                  </w14:solidFill>
                </w14:textFill>
              </w:rPr>
              <w:t>平台暂未支持电子保函功能，故本项目暂不接受电子保函形式的保证金。</w:t>
            </w:r>
          </w:p>
        </w:tc>
      </w:tr>
      <w:tr w14:paraId="180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48EBEB">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p>
        </w:tc>
        <w:tc>
          <w:tcPr>
            <w:tcW w:w="7631" w:type="dxa"/>
            <w:vAlign w:val="center"/>
          </w:tcPr>
          <w:p w14:paraId="3E3F9A5C">
            <w:pPr>
              <w:keepNext w:val="0"/>
              <w:keepLines w:val="0"/>
              <w:pageBreakBefore w:val="0"/>
              <w:widowControl w:val="0"/>
              <w:kinsoku/>
              <w:wordWrap/>
              <w:overflowPunct/>
              <w:topLinePunct w:val="0"/>
              <w:bidi w:val="0"/>
              <w:adjustRightInd/>
              <w:spacing w:line="360" w:lineRule="auto"/>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w:t>
            </w:r>
            <w:r>
              <w:rPr>
                <w:rFonts w:hint="eastAsia"/>
                <w:color w:val="000000" w:themeColor="text1"/>
                <w14:textFill>
                  <w14:solidFill>
                    <w14:schemeClr w14:val="tx1"/>
                  </w14:solidFill>
                </w14:textFill>
              </w:rPr>
              <w:t>电子</w:t>
            </w:r>
            <w:r>
              <w:rPr>
                <w:rFonts w:hint="eastAsia" w:ascii="宋体" w:hAnsi="宋体"/>
                <w:color w:val="000000" w:themeColor="text1"/>
                <w:szCs w:val="21"/>
                <w14:textFill>
                  <w14:solidFill>
                    <w14:schemeClr w14:val="tx1"/>
                  </w14:solidFill>
                </w14:textFill>
              </w:rPr>
              <w:t>备份响应文件</w:t>
            </w:r>
          </w:p>
        </w:tc>
      </w:tr>
      <w:tr w14:paraId="39785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BEC5C5">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20.1</w:t>
            </w:r>
          </w:p>
        </w:tc>
        <w:tc>
          <w:tcPr>
            <w:tcW w:w="7631" w:type="dxa"/>
            <w:vAlign w:val="center"/>
          </w:tcPr>
          <w:p w14:paraId="26D4CFA9">
            <w:pPr>
              <w:keepNext w:val="0"/>
              <w:keepLines w:val="0"/>
              <w:pageBreakBefore w:val="0"/>
              <w:widowControl w:val="0"/>
              <w:kinsoku/>
              <w:wordWrap/>
              <w:overflowPunct/>
              <w:topLinePunct w:val="0"/>
              <w:bidi w:val="0"/>
              <w:adjustRightInd/>
              <w:spacing w:line="360" w:lineRule="auto"/>
              <w:contextualSpacing/>
              <w:jc w:val="left"/>
              <w:rPr>
                <w:rFonts w:asci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响应文件提交截止时间：详见竞争性磋商公告</w:t>
            </w:r>
          </w:p>
          <w:p w14:paraId="76E378AE">
            <w:pPr>
              <w:keepNext w:val="0"/>
              <w:keepLines w:val="0"/>
              <w:pageBreakBefore w:val="0"/>
              <w:widowControl w:val="0"/>
              <w:kinsoku/>
              <w:wordWrap/>
              <w:overflowPunct/>
              <w:topLinePunct w:val="0"/>
              <w:bidi w:val="0"/>
              <w:adjustRightInd/>
              <w:spacing w:line="360" w:lineRule="auto"/>
              <w:contextualSpacing/>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响应文件提交地点：详见竞争性磋商公告</w:t>
            </w:r>
          </w:p>
        </w:tc>
      </w:tr>
      <w:tr w14:paraId="6CBB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519F97">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w:t>
            </w:r>
          </w:p>
        </w:tc>
        <w:tc>
          <w:tcPr>
            <w:tcW w:w="7631" w:type="dxa"/>
            <w:vAlign w:val="center"/>
          </w:tcPr>
          <w:p w14:paraId="4BC2CEB8">
            <w:pPr>
              <w:keepNext w:val="0"/>
              <w:keepLines w:val="0"/>
              <w:pageBreakBefore w:val="0"/>
              <w:widowControl w:val="0"/>
              <w:kinsoku/>
              <w:wordWrap/>
              <w:overflowPunct/>
              <w:topLinePunct w:val="0"/>
              <w:bidi w:val="0"/>
              <w:adjustRightInd/>
              <w:snapToGrid w:val="0"/>
              <w:spacing w:line="360" w:lineRule="auto"/>
              <w:jc w:val="left"/>
              <w:rPr>
                <w:rFonts w:asci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磋商小组的人数：</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人。</w:t>
            </w:r>
          </w:p>
        </w:tc>
      </w:tr>
      <w:tr w14:paraId="6F51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B7E570">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7631" w:type="dxa"/>
            <w:vAlign w:val="center"/>
          </w:tcPr>
          <w:p w14:paraId="4EF22B0E">
            <w:pPr>
              <w:keepNext w:val="0"/>
              <w:keepLines w:val="0"/>
              <w:pageBreakBefore w:val="0"/>
              <w:widowControl w:val="0"/>
              <w:kinsoku/>
              <w:wordWrap/>
              <w:overflowPunct/>
              <w:topLinePunct w:val="0"/>
              <w:bidi w:val="0"/>
              <w:adjustRightInd/>
              <w:snapToGrid w:val="0"/>
              <w:spacing w:line="36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首次响应文件开启时间详见“竞争性磋商公告”</w:t>
            </w:r>
          </w:p>
          <w:p w14:paraId="1E662DC3">
            <w:pPr>
              <w:keepNext w:val="0"/>
              <w:keepLines w:val="0"/>
              <w:pageBreakBefore w:val="0"/>
              <w:widowControl w:val="0"/>
              <w:kinsoku/>
              <w:wordWrap/>
              <w:overflowPunct/>
              <w:topLinePunct w:val="0"/>
              <w:bidi w:val="0"/>
              <w:adjustRightInd/>
              <w:snapToGrid w:val="0"/>
              <w:spacing w:line="36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首次响应文件解密时间：</w:t>
            </w:r>
            <w:r>
              <w:rPr>
                <w:rFonts w:hAnsi="宋体"/>
                <w:color w:val="000000" w:themeColor="text1"/>
                <w:u w:val="single"/>
                <w14:textFill>
                  <w14:solidFill>
                    <w14:schemeClr w14:val="tx1"/>
                  </w14:solidFill>
                </w14:textFill>
              </w:rPr>
              <w:t>30</w:t>
            </w:r>
            <w:r>
              <w:rPr>
                <w:rFonts w:hint="eastAsia" w:hAnsi="宋体"/>
                <w:color w:val="000000" w:themeColor="text1"/>
                <w14:textFill>
                  <w14:solidFill>
                    <w14:schemeClr w14:val="tx1"/>
                  </w14:solidFill>
                </w14:textFill>
              </w:rPr>
              <w:t>分钟</w:t>
            </w:r>
          </w:p>
        </w:tc>
      </w:tr>
      <w:tr w14:paraId="260C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1631AB0">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26.3</w:t>
            </w:r>
          </w:p>
        </w:tc>
        <w:tc>
          <w:tcPr>
            <w:tcW w:w="7631" w:type="dxa"/>
            <w:vAlign w:val="center"/>
          </w:tcPr>
          <w:p w14:paraId="05CF2392">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商务要求评审中允许负偏离的条款数为</w:t>
            </w:r>
            <w:r>
              <w:rPr>
                <w:rFonts w:asci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p w14:paraId="462C3237">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技术要求评审中允许负偏离的条款数为</w:t>
            </w:r>
            <w:r>
              <w:rPr>
                <w:rFonts w:asci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tc>
      </w:tr>
      <w:tr w14:paraId="7FD1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A75E82">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631" w:type="dxa"/>
            <w:vAlign w:val="center"/>
          </w:tcPr>
          <w:p w14:paraId="7BEB8BBA">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auto"/>
                <w:szCs w:val="21"/>
              </w:rPr>
            </w:pPr>
            <w:r>
              <w:rPr>
                <w:rFonts w:hint="eastAsia" w:ascii="宋体" w:hAnsi="MS Mincho" w:eastAsia="MS Mincho" w:cs="MS Mincho"/>
                <w:color w:val="auto"/>
              </w:rPr>
              <w:t>☑</w:t>
            </w:r>
            <w:r>
              <w:rPr>
                <w:rFonts w:hint="eastAsia" w:ascii="宋体" w:hAnsi="宋体"/>
                <w:color w:val="auto"/>
                <w:szCs w:val="21"/>
              </w:rPr>
              <w:t>本项目不收取履约保证金。</w:t>
            </w:r>
          </w:p>
          <w:p w14:paraId="4D550F77">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auto"/>
                <w:szCs w:val="21"/>
              </w:rPr>
            </w:pPr>
            <w:r>
              <w:rPr>
                <w:rFonts w:hint="eastAsia" w:ascii="宋体" w:hAnsi="宋体"/>
                <w:color w:val="auto"/>
                <w:szCs w:val="21"/>
              </w:rPr>
              <w:t>□本项目收取履约保证金，具体规定如下：</w:t>
            </w:r>
          </w:p>
          <w:p w14:paraId="40756D41">
            <w:pPr>
              <w:keepNext w:val="0"/>
              <w:keepLines w:val="0"/>
              <w:pageBreakBefore w:val="0"/>
              <w:widowControl w:val="0"/>
              <w:kinsoku/>
              <w:wordWrap/>
              <w:overflowPunct/>
              <w:topLinePunct w:val="0"/>
              <w:bidi w:val="0"/>
              <w:adjustRightInd/>
              <w:spacing w:line="360" w:lineRule="auto"/>
              <w:contextualSpacing/>
              <w:rPr>
                <w:rFonts w:ascii="宋体" w:cs="宋体"/>
                <w:color w:val="000000" w:themeColor="text1"/>
                <w:szCs w:val="21"/>
                <w14:textFill>
                  <w14:solidFill>
                    <w14:schemeClr w14:val="tx1"/>
                  </w14:solidFill>
                </w14:textFill>
              </w:rPr>
            </w:pPr>
            <w:r>
              <w:rPr>
                <w:rFonts w:hint="eastAsia" w:ascii="宋体" w:hAnsi="宋体" w:cs="宋体"/>
                <w:color w:val="auto"/>
                <w:szCs w:val="21"/>
              </w:rPr>
              <w:t>履约保证金金额：每分标按成交金额的</w:t>
            </w:r>
            <w:r>
              <w:rPr>
                <w:rFonts w:ascii="宋体" w:cs="宋体"/>
                <w:color w:val="auto"/>
                <w:szCs w:val="21"/>
                <w:u w:val="single"/>
              </w:rPr>
              <w:t>\</w:t>
            </w:r>
            <w:r>
              <w:rPr>
                <w:rFonts w:ascii="宋体" w:hAnsi="宋体" w:cs="宋体"/>
                <w:color w:val="auto"/>
                <w:szCs w:val="21"/>
              </w:rPr>
              <w:t>%</w:t>
            </w:r>
            <w:r>
              <w:rPr>
                <w:rFonts w:hint="eastAsia" w:ascii="宋体" w:hAnsi="宋体" w:cs="宋体"/>
                <w:color w:val="auto"/>
                <w:szCs w:val="21"/>
              </w:rPr>
              <w:t>（注：履约保证金不超过</w:t>
            </w:r>
            <w:r>
              <w:rPr>
                <w:rFonts w:hint="eastAsia"/>
                <w:color w:val="auto"/>
              </w:rPr>
              <w:t>政府采购合同金额的</w:t>
            </w:r>
            <w:r>
              <w:rPr>
                <w:rFonts w:ascii="宋体" w:hAnsi="宋体" w:cs="宋体"/>
                <w:color w:val="auto"/>
                <w:szCs w:val="21"/>
              </w:rPr>
              <w:t>5%</w:t>
            </w:r>
            <w:r>
              <w:rPr>
                <w:rFonts w:hint="eastAsia" w:ascii="宋体" w:hAnsi="宋体" w:cs="宋体"/>
                <w:color w:val="auto"/>
                <w:szCs w:val="21"/>
              </w:rPr>
              <w:t>）。政府采购要加大对中小企业发展</w:t>
            </w:r>
            <w:r>
              <w:rPr>
                <w:rFonts w:hint="eastAsia" w:ascii="宋体" w:hAnsi="宋体" w:cs="宋体"/>
                <w:color w:val="000000" w:themeColor="text1"/>
                <w:szCs w:val="21"/>
                <w14:textFill>
                  <w14:solidFill>
                    <w14:schemeClr w14:val="tx1"/>
                  </w14:solidFill>
                </w14:textFill>
              </w:rPr>
              <w:t>的扶持力度，对中小企业收取的履约保证金数额不得超过政府采购合同金额的</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p w14:paraId="13448A11">
            <w:pPr>
              <w:keepNext w:val="0"/>
              <w:keepLines w:val="0"/>
              <w:pageBreakBefore w:val="0"/>
              <w:widowControl w:val="0"/>
              <w:kinsoku/>
              <w:wordWrap/>
              <w:overflowPunct/>
              <w:topLinePunct w:val="0"/>
              <w:bidi w:val="0"/>
              <w:adjustRightInd/>
              <w:spacing w:line="360" w:lineRule="auto"/>
              <w:contextualSpacing/>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履约保证金提交方式：银行转账、支票、汇票、本票或者银行、保险机构出具的保函等非现金方式（参照竞标保证金）。</w:t>
            </w:r>
          </w:p>
          <w:p w14:paraId="6075AFFD">
            <w:pPr>
              <w:keepNext w:val="0"/>
              <w:keepLines w:val="0"/>
              <w:pageBreakBefore w:val="0"/>
              <w:widowControl w:val="0"/>
              <w:kinsoku/>
              <w:wordWrap/>
              <w:overflowPunct/>
              <w:topLinePunct w:val="0"/>
              <w:bidi w:val="0"/>
              <w:adjustRightInd/>
              <w:spacing w:line="360" w:lineRule="auto"/>
              <w:contextualSpacing/>
              <w:rPr>
                <w:rFonts w:asci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履约保证金退付方式、时间及条件：</w:t>
            </w:r>
            <w:r>
              <w:rPr>
                <w:rFonts w:hint="eastAsia" w:ascii="宋体" w:hAnsi="宋体" w:cs="宋体"/>
                <w:color w:val="000000" w:themeColor="text1"/>
                <w:szCs w:val="21"/>
                <w:u w:val="single"/>
                <w14:textFill>
                  <w14:solidFill>
                    <w14:schemeClr w14:val="tx1"/>
                  </w14:solidFill>
                </w14:textFill>
              </w:rPr>
              <w:t>由成交供应商向履约保证金收取单位提供《广西壮族自治区政府采购项目合同验收书》（详见桂财采〔</w:t>
            </w:r>
            <w:r>
              <w:rPr>
                <w:rFonts w:ascii="宋体" w:hAnsi="宋体" w:cs="宋体"/>
                <w:color w:val="000000" w:themeColor="text1"/>
                <w:szCs w:val="21"/>
                <w:u w:val="single"/>
                <w14:textFill>
                  <w14:solidFill>
                    <w14:schemeClr w14:val="tx1"/>
                  </w14:solidFill>
                </w14:textFill>
              </w:rPr>
              <w:t>2015</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号），保证金收取单位在收到合格材料后</w:t>
            </w:r>
            <w:r>
              <w:rPr>
                <w:rFonts w:ascii="宋体" w:hAnsi="宋体" w:cs="宋体"/>
                <w:color w:val="000000" w:themeColor="text1"/>
                <w:szCs w:val="21"/>
                <w:u w:val="single"/>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个工作日内办理退还手续（不计利息）</w:t>
            </w:r>
            <w:r>
              <w:rPr>
                <w:rFonts w:hint="eastAsia" w:ascii="宋体" w:hAnsi="宋体" w:cs="宋体"/>
                <w:color w:val="000000" w:themeColor="text1"/>
                <w:szCs w:val="21"/>
                <w14:textFill>
                  <w14:solidFill>
                    <w14:schemeClr w14:val="tx1"/>
                  </w14:solidFill>
                </w14:textFill>
              </w:rPr>
              <w:t>。</w:t>
            </w:r>
          </w:p>
          <w:p w14:paraId="5ED04EB5">
            <w:pPr>
              <w:keepNext w:val="0"/>
              <w:keepLines w:val="0"/>
              <w:pageBreakBefore w:val="0"/>
              <w:widowControl w:val="0"/>
              <w:kinsoku/>
              <w:wordWrap/>
              <w:overflowPunct/>
              <w:topLinePunct w:val="0"/>
              <w:bidi w:val="0"/>
              <w:adjustRightInd/>
              <w:spacing w:line="360" w:lineRule="auto"/>
              <w:contextualSpacing/>
              <w:rPr>
                <w:rFonts w:ascii="新宋体" w:hAnsi="新宋体" w:eastAsia="新宋体" w:cs="新宋体"/>
                <w:b/>
                <w:bCs/>
                <w:color w:val="000000" w:themeColor="text1"/>
                <w:sz w:val="24"/>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履约保证金指定账户：</w:t>
            </w:r>
          </w:p>
          <w:p w14:paraId="40B7012C">
            <w:pPr>
              <w:keepNext w:val="0"/>
              <w:keepLines w:val="0"/>
              <w:pageBreakBefore w:val="0"/>
              <w:widowControl w:val="0"/>
              <w:kinsoku/>
              <w:wordWrap/>
              <w:overflowPunct/>
              <w:topLinePunct w:val="0"/>
              <w:bidi w:val="0"/>
              <w:adjustRightInd/>
              <w:spacing w:line="360" w:lineRule="auto"/>
              <w:contextualSpacing/>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14:paraId="443E0BD4">
            <w:pPr>
              <w:keepNext w:val="0"/>
              <w:keepLines w:val="0"/>
              <w:pageBreakBefore w:val="0"/>
              <w:widowControl w:val="0"/>
              <w:kinsoku/>
              <w:wordWrap/>
              <w:overflowPunct/>
              <w:topLinePunct w:val="0"/>
              <w:bidi w:val="0"/>
              <w:adjustRightInd/>
              <w:spacing w:line="360" w:lineRule="auto"/>
              <w:contextualSpacing/>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ascii="宋体" w:cs="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根据《广西壮族自治区财政厅关于贯彻落实政府采购优化营商环境百日攻坚行动方案的通知》（桂财采〔</w:t>
            </w:r>
            <w:r>
              <w:rPr>
                <w:rFonts w:ascii="宋体" w:hAnsi="宋体"/>
                <w:b/>
                <w:color w:val="000000" w:themeColor="text1"/>
                <w:szCs w:val="21"/>
                <w14:textFill>
                  <w14:solidFill>
                    <w14:schemeClr w14:val="tx1"/>
                  </w14:solidFill>
                </w14:textFill>
              </w:rPr>
              <w:t>2020</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49</w:t>
            </w:r>
            <w:r>
              <w:rPr>
                <w:rFonts w:hint="eastAsia" w:ascii="宋体" w:hAnsi="宋体"/>
                <w:b/>
                <w:color w:val="000000" w:themeColor="text1"/>
                <w:szCs w:val="21"/>
                <w14:textFill>
                  <w14:solidFill>
                    <w14:schemeClr w14:val="tx1"/>
                  </w14:solidFill>
                </w14:textFill>
              </w:rPr>
              <w:t>号）规定及桂财采〔</w:t>
            </w:r>
            <w:r>
              <w:rPr>
                <w:rFonts w:ascii="宋体" w:hAnsi="宋体"/>
                <w:b/>
                <w:color w:val="000000" w:themeColor="text1"/>
                <w:szCs w:val="21"/>
                <w14:textFill>
                  <w14:solidFill>
                    <w14:schemeClr w14:val="tx1"/>
                  </w14:solidFill>
                </w14:textFill>
              </w:rPr>
              <w:t>2022</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30</w:t>
            </w:r>
            <w:r>
              <w:rPr>
                <w:rFonts w:hint="eastAsia" w:ascii="宋体" w:hAnsi="宋体"/>
                <w:b/>
                <w:color w:val="000000" w:themeColor="text1"/>
                <w:szCs w:val="21"/>
                <w14:textFill>
                  <w14:solidFill>
                    <w14:schemeClr w14:val="tx1"/>
                  </w14:solidFill>
                </w14:textFill>
              </w:rPr>
              <w:t>号广西壮族自治区财政厅关于进一步发挥政府采购政策功能促进企业发展的通知，履约保证金数额不得超过政府采购合同金额的</w:t>
            </w: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，对中小企业收取的履约保证金数额不得超过政府采购合同金额的</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。采购人可根据供应商的资信等情况减免履约保证金。</w:t>
            </w:r>
          </w:p>
          <w:p w14:paraId="1845B8D3">
            <w:pPr>
              <w:keepNext w:val="0"/>
              <w:keepLines w:val="0"/>
              <w:pageBreakBefore w:val="0"/>
              <w:widowControl w:val="0"/>
              <w:kinsoku/>
              <w:wordWrap/>
              <w:overflowPunct/>
              <w:topLinePunct w:val="0"/>
              <w:bidi w:val="0"/>
              <w:adjustRightInd/>
              <w:spacing w:line="360" w:lineRule="auto"/>
              <w:contextualSpacing/>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ascii="宋体" w:cs="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履约保证金不足额缴纳的，或者银行、保险机构出具的保函额度不足的或者保函有效期低于合同履行期限（即签订采购合同之日起至履行完合同约定的权利及义务之日止）的，不予签订合同。</w:t>
            </w:r>
          </w:p>
          <w:p w14:paraId="31ED022F">
            <w:pPr>
              <w:keepNext w:val="0"/>
              <w:keepLines w:val="0"/>
              <w:pageBreakBefore w:val="0"/>
              <w:widowControl w:val="0"/>
              <w:kinsoku/>
              <w:wordWrap/>
              <w:overflowPunct/>
              <w:topLinePunct w:val="0"/>
              <w:bidi w:val="0"/>
              <w:adjustRightInd/>
              <w:spacing w:line="360" w:lineRule="auto"/>
              <w:contextualSpacing/>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采用银行、保险机构出具的保函的，必须为无条件保函，否则不予签订合同。</w:t>
            </w:r>
          </w:p>
          <w:p w14:paraId="473FBFEF">
            <w:pPr>
              <w:keepNext w:val="0"/>
              <w:keepLines w:val="0"/>
              <w:pageBreakBefore w:val="0"/>
              <w:widowControl w:val="0"/>
              <w:kinsoku/>
              <w:wordWrap/>
              <w:overflowPunct/>
              <w:topLinePunct w:val="0"/>
              <w:bidi w:val="0"/>
              <w:adjustRightInd/>
              <w:spacing w:line="360" w:lineRule="auto"/>
              <w:contextualSpacing/>
              <w:rPr>
                <w:rFonts w:asci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供应商为联合体的，由联合体任意一方按规定提交的履约保证金，视为有效履约保证金。</w:t>
            </w:r>
          </w:p>
        </w:tc>
      </w:tr>
      <w:tr w14:paraId="746C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635052">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p>
        </w:tc>
        <w:tc>
          <w:tcPr>
            <w:tcW w:w="7631" w:type="dxa"/>
            <w:vAlign w:val="center"/>
          </w:tcPr>
          <w:p w14:paraId="10F93198">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签订合同携带的证明材料：</w:t>
            </w:r>
          </w:p>
          <w:p w14:paraId="390839EC">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7B105ABF">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法定代表人负责签订合同的，须携带法定代表人身份证明原件及身份证原件等其他证明材料。</w:t>
            </w:r>
          </w:p>
        </w:tc>
      </w:tr>
      <w:tr w14:paraId="23E5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847106">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31.2</w:t>
            </w:r>
          </w:p>
        </w:tc>
        <w:tc>
          <w:tcPr>
            <w:tcW w:w="7631" w:type="dxa"/>
            <w:vAlign w:val="center"/>
          </w:tcPr>
          <w:p w14:paraId="63B7B812">
            <w:pPr>
              <w:keepNext w:val="0"/>
              <w:keepLines w:val="0"/>
              <w:pageBreakBefore w:val="0"/>
              <w:widowControl w:val="0"/>
              <w:kinsoku/>
              <w:wordWrap/>
              <w:overflowPunct/>
              <w:topLinePunct w:val="0"/>
              <w:bidi w:val="0"/>
              <w:adjustRightInd/>
              <w:snapToGrid w:val="0"/>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接收质疑函方式：书面形式或者</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系统在线形式</w:t>
            </w:r>
          </w:p>
          <w:p w14:paraId="4F6073A4">
            <w:pPr>
              <w:pStyle w:val="24"/>
              <w:keepNext w:val="0"/>
              <w:keepLines w:val="0"/>
              <w:pageBreakBefore w:val="0"/>
              <w:widowControl w:val="0"/>
              <w:kinsoku/>
              <w:wordWrap/>
              <w:overflowPunct/>
              <w:topLinePunct w:val="0"/>
              <w:bidi w:val="0"/>
              <w:adjustRightInd/>
              <w:snapToGrid w:val="0"/>
              <w:spacing w:line="360" w:lineRule="auto"/>
              <w:rPr>
                <w:rFonts w:hint="eastAsia" w:hAnsi="宋体" w:cs="宋体"/>
                <w:color w:val="000000" w:themeColor="text1"/>
                <w:kern w:val="2"/>
                <w:szCs w:val="21"/>
                <w14:textFill>
                  <w14:solidFill>
                    <w14:schemeClr w14:val="tx1"/>
                  </w14:solidFill>
                </w14:textFill>
              </w:rPr>
            </w:pPr>
            <w:r>
              <w:rPr>
                <w:rFonts w:hint="eastAsia" w:hAnsi="宋体" w:cs="宋体"/>
                <w:color w:val="000000" w:themeColor="text1"/>
                <w:kern w:val="2"/>
                <w:szCs w:val="21"/>
                <w14:textFill>
                  <w14:solidFill>
                    <w14:schemeClr w14:val="tx1"/>
                  </w14:solidFill>
                </w14:textFill>
              </w:rPr>
              <w:t>质疑联系部门及联系方式：</w:t>
            </w:r>
          </w:p>
          <w:p w14:paraId="0F723202">
            <w:pPr>
              <w:pStyle w:val="24"/>
              <w:keepNext w:val="0"/>
              <w:keepLines w:val="0"/>
              <w:pageBreakBefore w:val="0"/>
              <w:widowControl w:val="0"/>
              <w:kinsoku/>
              <w:wordWrap/>
              <w:overflowPunct/>
              <w:topLinePunct w:val="0"/>
              <w:bidi w:val="0"/>
              <w:adjustRightInd/>
              <w:snapToGrid w:val="0"/>
              <w:spacing w:line="360" w:lineRule="auto"/>
              <w:rPr>
                <w:rFonts w:hint="eastAsia" w:hAnsi="宋体" w:cs="Courier New"/>
                <w:color w:val="000000" w:themeColor="text1"/>
                <w:kern w:val="2"/>
                <w:szCs w:val="21"/>
                <w14:textFill>
                  <w14:solidFill>
                    <w14:schemeClr w14:val="tx1"/>
                  </w14:solidFill>
                </w14:textFill>
              </w:rPr>
            </w:pPr>
            <w:r>
              <w:rPr>
                <w:rFonts w:hint="eastAsia" w:hAnsi="宋体" w:cs="Courier New"/>
                <w:color w:val="000000" w:themeColor="text1"/>
                <w:kern w:val="2"/>
                <w:szCs w:val="21"/>
                <w14:textFill>
                  <w14:solidFill>
                    <w14:schemeClr w14:val="tx1"/>
                  </w14:solidFill>
                </w14:textFill>
              </w:rPr>
              <w:t>名 称：广西龙泰工程咨询有限公司</w:t>
            </w:r>
          </w:p>
          <w:p w14:paraId="38AB1FE4">
            <w:pPr>
              <w:pStyle w:val="24"/>
              <w:keepNext w:val="0"/>
              <w:keepLines w:val="0"/>
              <w:pageBreakBefore w:val="0"/>
              <w:widowControl w:val="0"/>
              <w:kinsoku/>
              <w:wordWrap/>
              <w:overflowPunct/>
              <w:topLinePunct w:val="0"/>
              <w:bidi w:val="0"/>
              <w:adjustRightInd/>
              <w:snapToGrid w:val="0"/>
              <w:spacing w:line="360" w:lineRule="auto"/>
              <w:rPr>
                <w:rFonts w:hint="eastAsia" w:hAnsi="宋体" w:cs="Courier New"/>
                <w:color w:val="000000" w:themeColor="text1"/>
                <w:kern w:val="2"/>
                <w:szCs w:val="21"/>
                <w14:textFill>
                  <w14:solidFill>
                    <w14:schemeClr w14:val="tx1"/>
                  </w14:solidFill>
                </w14:textFill>
              </w:rPr>
            </w:pPr>
            <w:r>
              <w:rPr>
                <w:rFonts w:hint="eastAsia" w:hAnsi="宋体" w:cs="Courier New"/>
                <w:color w:val="000000" w:themeColor="text1"/>
                <w:kern w:val="2"/>
                <w:szCs w:val="21"/>
                <w14:textFill>
                  <w14:solidFill>
                    <w14:schemeClr w14:val="tx1"/>
                  </w14:solidFill>
                </w14:textFill>
              </w:rPr>
              <w:t>地 址：</w:t>
            </w:r>
            <w:r>
              <w:rPr>
                <w:rFonts w:hint="eastAsia" w:ascii="宋体" w:hAnsi="宋体" w:eastAsia="宋体" w:cs="宋体"/>
                <w:color w:val="000000"/>
                <w:szCs w:val="21"/>
                <w:lang w:val="en-US" w:eastAsia="zh-CN"/>
              </w:rPr>
              <w:t>广西壮族自治区崇左市龙州县龙州镇独山路80-2号1栋</w:t>
            </w:r>
          </w:p>
          <w:p w14:paraId="5987746B">
            <w:pPr>
              <w:pStyle w:val="24"/>
              <w:keepNext w:val="0"/>
              <w:keepLines w:val="0"/>
              <w:pageBreakBefore w:val="0"/>
              <w:widowControl w:val="0"/>
              <w:kinsoku/>
              <w:wordWrap/>
              <w:overflowPunct/>
              <w:topLinePunct w:val="0"/>
              <w:bidi w:val="0"/>
              <w:adjustRightInd/>
              <w:snapToGrid w:val="0"/>
              <w:spacing w:line="360" w:lineRule="auto"/>
              <w:rPr>
                <w:rFonts w:hint="eastAsia" w:hAnsi="宋体" w:eastAsia="宋体" w:cs="Courier New"/>
                <w:color w:val="000000" w:themeColor="text1"/>
                <w:kern w:val="2"/>
                <w:szCs w:val="21"/>
                <w:lang w:eastAsia="zh-CN"/>
                <w14:textFill>
                  <w14:solidFill>
                    <w14:schemeClr w14:val="tx1"/>
                  </w14:solidFill>
                </w14:textFill>
              </w:rPr>
            </w:pPr>
            <w:r>
              <w:rPr>
                <w:rFonts w:hint="eastAsia" w:hAnsi="宋体" w:cs="Courier New"/>
                <w:color w:val="000000" w:themeColor="text1"/>
                <w:kern w:val="2"/>
                <w:szCs w:val="21"/>
                <w14:textFill>
                  <w14:solidFill>
                    <w14:schemeClr w14:val="tx1"/>
                  </w14:solidFill>
                </w14:textFill>
              </w:rPr>
              <w:t>联系电话：</w:t>
            </w:r>
            <w:r>
              <w:rPr>
                <w:rFonts w:hint="eastAsia" w:hAnsi="宋体" w:cs="Courier New"/>
                <w:color w:val="000000" w:themeColor="text1"/>
                <w:kern w:val="2"/>
                <w:szCs w:val="21"/>
                <w:lang w:eastAsia="zh-CN"/>
                <w14:textFill>
                  <w14:solidFill>
                    <w14:schemeClr w14:val="tx1"/>
                  </w14:solidFill>
                </w14:textFill>
              </w:rPr>
              <w:t>18378831531</w:t>
            </w:r>
          </w:p>
          <w:p w14:paraId="732E034C">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color w:val="000000" w:themeColor="text1"/>
                <w:szCs w:val="21"/>
                <w14:textFill>
                  <w14:solidFill>
                    <w14:schemeClr w14:val="tx1"/>
                  </w14:solidFill>
                </w14:textFill>
              </w:rPr>
            </w:pPr>
            <w:r>
              <w:rPr>
                <w:rFonts w:hint="eastAsia" w:hAnsi="宋体" w:cs="宋体"/>
                <w:color w:val="000000" w:themeColor="text1"/>
                <w:kern w:val="0"/>
                <w14:textFill>
                  <w14:solidFill>
                    <w14:schemeClr w14:val="tx1"/>
                  </w14:solidFill>
                </w14:textFill>
              </w:rPr>
              <w:t>业</w:t>
            </w:r>
            <w:r>
              <w:rPr>
                <w:rFonts w:hint="eastAsia" w:ascii="宋体" w:hAnsi="宋体" w:cs="宋体"/>
                <w:color w:val="000000" w:themeColor="text1"/>
                <w:kern w:val="0"/>
                <w14:textFill>
                  <w14:solidFill>
                    <w14:schemeClr w14:val="tx1"/>
                  </w14:solidFill>
                </w14:textFill>
              </w:rPr>
              <w:t>务时间：工作日每天上午</w:t>
            </w:r>
            <w:r>
              <w:rPr>
                <w:rFonts w:hint="eastAsia" w:ascii="宋体" w:hAnsi="宋体" w:cs="宋体"/>
                <w:color w:val="000000" w:themeColor="text1"/>
                <w:kern w:val="0"/>
                <w:lang w:val="en-US" w:eastAsia="zh-CN"/>
                <w14:textFill>
                  <w14:solidFill>
                    <w14:schemeClr w14:val="tx1"/>
                  </w14:solidFill>
                </w14:textFill>
              </w:rPr>
              <w:t>9</w:t>
            </w:r>
            <w:r>
              <w:rPr>
                <w:rFonts w:hint="eastAsia" w:ascii="宋体" w:hAnsi="宋体" w:cs="宋体"/>
                <w:color w:val="000000" w:themeColor="text1"/>
                <w:kern w:val="0"/>
                <w14:textFill>
                  <w14:solidFill>
                    <w14:schemeClr w14:val="tx1"/>
                  </w14:solidFill>
                </w14:textFill>
              </w:rPr>
              <w:t>时</w:t>
            </w:r>
            <w:r>
              <w:rPr>
                <w:rFonts w:asci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ascii="宋体" w:hAnsi="宋体" w:cs="宋体"/>
                <w:color w:val="000000" w:themeColor="text1"/>
                <w:kern w:val="0"/>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时</w:t>
            </w:r>
            <w:r>
              <w:rPr>
                <w:rFonts w:asci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分，下午</w:t>
            </w:r>
            <w:r>
              <w:rPr>
                <w:rFonts w:hint="eastAsia" w:ascii="宋体" w:hAnsi="宋体" w:cs="宋体"/>
                <w:color w:val="000000" w:themeColor="text1"/>
                <w:kern w:val="0"/>
                <w:lang w:val="en-US" w:eastAsia="zh-CN"/>
                <w14:textFill>
                  <w14:solidFill>
                    <w14:schemeClr w14:val="tx1"/>
                  </w14:solidFill>
                </w14:textFill>
              </w:rPr>
              <w:t>14</w:t>
            </w:r>
            <w:r>
              <w:rPr>
                <w:rFonts w:hint="eastAsia" w:ascii="宋体" w:hAnsi="宋体" w:cs="宋体"/>
                <w:color w:val="000000" w:themeColor="text1"/>
                <w:kern w:val="0"/>
                <w14:textFill>
                  <w14:solidFill>
                    <w14:schemeClr w14:val="tx1"/>
                  </w14:solidFill>
                </w14:textFill>
              </w:rPr>
              <w:t>时</w:t>
            </w:r>
            <w:r>
              <w:rPr>
                <w:rFonts w:asci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hint="eastAsia" w:ascii="宋体" w:hAnsi="宋体" w:cs="宋体"/>
                <w:color w:val="000000" w:themeColor="text1"/>
                <w:kern w:val="0"/>
                <w:lang w:val="en-US" w:eastAsia="zh-CN"/>
                <w14:textFill>
                  <w14:solidFill>
                    <w14:schemeClr w14:val="tx1"/>
                  </w14:solidFill>
                </w14:textFill>
              </w:rPr>
              <w:t>18</w:t>
            </w:r>
            <w:r>
              <w:rPr>
                <w:rFonts w:hint="eastAsia" w:ascii="宋体" w:hAnsi="宋体" w:cs="宋体"/>
                <w:color w:val="000000" w:themeColor="text1"/>
                <w:kern w:val="0"/>
                <w14:textFill>
                  <w14:solidFill>
                    <w14:schemeClr w14:val="tx1"/>
                  </w14:solidFill>
                </w14:textFill>
              </w:rPr>
              <w:t>时</w:t>
            </w:r>
            <w:r>
              <w:rPr>
                <w:rFonts w:asci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w:t>
            </w:r>
          </w:p>
        </w:tc>
      </w:tr>
      <w:tr w14:paraId="17C3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BF2A5A">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p>
        </w:tc>
        <w:tc>
          <w:tcPr>
            <w:tcW w:w="7631" w:type="dxa"/>
            <w:vAlign w:val="center"/>
          </w:tcPr>
          <w:p w14:paraId="1E4A0A26">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采购代理费支付方式：</w:t>
            </w:r>
          </w:p>
          <w:p w14:paraId="13D5FE75">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int="eastAsia" w:ascii="仿宋_GB2312" w:hAnsi="Wingdings 2" w:eastAsia="仿宋_GB2312"/>
                <w:color w:val="000000" w:themeColor="text1"/>
                <w:sz w:val="20"/>
                <w14:textFill>
                  <w14:solidFill>
                    <w14:schemeClr w14:val="tx1"/>
                  </w14:solidFill>
                </w14:textFill>
              </w:rPr>
              <w:sym w:font="Wingdings 2" w:char="F052"/>
            </w:r>
            <w:r>
              <w:rPr>
                <w:rFonts w:hint="eastAsia" w:hAnsi="宋体" w:cs="宋体"/>
                <w:color w:val="000000" w:themeColor="text1"/>
                <w:szCs w:val="21"/>
                <w14:textFill>
                  <w14:solidFill>
                    <w14:schemeClr w14:val="tx1"/>
                  </w14:solidFill>
                </w14:textFill>
              </w:rPr>
              <w:t>本项目代理服务费由</w:t>
            </w:r>
            <w:r>
              <w:rPr>
                <w:rFonts w:hint="eastAsia" w:hAnsi="宋体" w:cs="宋体"/>
                <w:color w:val="000000" w:themeColor="text1"/>
                <w:szCs w:val="21"/>
                <w:u w:val="single"/>
                <w14:textFill>
                  <w14:solidFill>
                    <w14:schemeClr w14:val="tx1"/>
                  </w14:solidFill>
                </w14:textFill>
              </w:rPr>
              <w:t>成交供应商</w:t>
            </w:r>
            <w:r>
              <w:rPr>
                <w:rFonts w:hint="eastAsia" w:hAnsi="宋体" w:cs="宋体"/>
                <w:color w:val="000000" w:themeColor="text1"/>
                <w:szCs w:val="21"/>
                <w14:textFill>
                  <w14:solidFill>
                    <w14:schemeClr w14:val="tx1"/>
                  </w14:solidFill>
                </w14:textFill>
              </w:rPr>
              <w:t>在领取成交通知书前，一次性向采购代理机构支付。</w:t>
            </w:r>
          </w:p>
          <w:p w14:paraId="57BF9051">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□采购人支付。</w:t>
            </w:r>
          </w:p>
          <w:p w14:paraId="39BC57B0">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采购代理费收取标准：</w:t>
            </w:r>
          </w:p>
          <w:p w14:paraId="675799F5">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int="eastAsia" w:ascii="仿宋_GB2312" w:hAnsi="Wingdings 2" w:eastAsia="仿宋_GB2312"/>
                <w:color w:val="000000" w:themeColor="text1"/>
                <w:sz w:val="20"/>
                <w14:textFill>
                  <w14:solidFill>
                    <w14:schemeClr w14:val="tx1"/>
                  </w14:solidFill>
                </w14:textFill>
              </w:rPr>
              <w:sym w:font="Wingdings 2" w:char="F052"/>
            </w:r>
            <w:r>
              <w:rPr>
                <w:rFonts w:hint="eastAsia" w:hAnsi="宋体" w:cs="宋体"/>
                <w:color w:val="000000" w:themeColor="text1"/>
                <w:szCs w:val="21"/>
                <w14:textFill>
                  <w14:solidFill>
                    <w14:schemeClr w14:val="tx1"/>
                  </w14:solidFill>
                </w14:textFill>
              </w:rPr>
              <w:t>参照《招标代理服务收费管理暂行办法》（计价格[2002]1980号）按桂价费[2011]55号《广西壮族自治区转发&lt;国家发展改革委关于降低部分建设项目收费标准规范收费行为等有关问题的通知（发改价格[2011]534号）》的规定下浮8%计取。</w:t>
            </w:r>
          </w:p>
          <w:p w14:paraId="3046540F">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□固定采购代理收费。</w:t>
            </w:r>
          </w:p>
          <w:p w14:paraId="2CE301AA">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采购代理费收取银行账户</w:t>
            </w:r>
          </w:p>
          <w:p w14:paraId="679FE7A7">
            <w:pPr>
              <w:pStyle w:val="24"/>
              <w:keepNext w:val="0"/>
              <w:keepLines w:val="0"/>
              <w:pageBreakBefore w:val="0"/>
              <w:widowControl w:val="0"/>
              <w:kinsoku/>
              <w:wordWrap/>
              <w:overflowPunct/>
              <w:topLinePunct w:val="0"/>
              <w:bidi w:val="0"/>
              <w:adjustRightInd/>
              <w:snapToGrid w:val="0"/>
              <w:spacing w:line="360" w:lineRule="auto"/>
              <w:rPr>
                <w:rFonts w:hint="eastAsia" w:hAnsi="宋体" w:cs="宋体"/>
                <w:b w:val="0"/>
                <w:bCs/>
                <w:color w:val="auto"/>
                <w:szCs w:val="21"/>
              </w:rPr>
            </w:pPr>
            <w:r>
              <w:rPr>
                <w:rFonts w:hint="eastAsia" w:hAnsi="宋体" w:cs="宋体"/>
                <w:b w:val="0"/>
                <w:bCs/>
                <w:color w:val="auto"/>
                <w:szCs w:val="21"/>
              </w:rPr>
              <w:t>开户名称：广西龙泰工程咨询有限公司</w:t>
            </w:r>
          </w:p>
          <w:p w14:paraId="7ECAC89A">
            <w:pPr>
              <w:pStyle w:val="24"/>
              <w:keepNext w:val="0"/>
              <w:keepLines w:val="0"/>
              <w:pageBreakBefore w:val="0"/>
              <w:widowControl w:val="0"/>
              <w:kinsoku/>
              <w:wordWrap/>
              <w:overflowPunct/>
              <w:topLinePunct w:val="0"/>
              <w:bidi w:val="0"/>
              <w:adjustRightInd/>
              <w:snapToGrid w:val="0"/>
              <w:spacing w:line="360" w:lineRule="auto"/>
              <w:rPr>
                <w:rFonts w:hint="eastAsia" w:hAnsi="宋体" w:cs="宋体"/>
                <w:b w:val="0"/>
                <w:bCs/>
                <w:color w:val="auto"/>
                <w:szCs w:val="21"/>
              </w:rPr>
            </w:pPr>
            <w:r>
              <w:rPr>
                <w:rFonts w:hint="eastAsia" w:hAnsi="宋体" w:cs="宋体"/>
                <w:b w:val="0"/>
                <w:bCs/>
                <w:color w:val="auto"/>
                <w:szCs w:val="21"/>
              </w:rPr>
              <w:t>开户银行：广西龙州农村商业银行股份有限公司营业部</w:t>
            </w:r>
          </w:p>
          <w:p w14:paraId="6334E7F1">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int="eastAsia" w:hAnsi="宋体" w:cs="宋体"/>
                <w:b w:val="0"/>
                <w:bCs/>
                <w:color w:val="auto"/>
                <w:szCs w:val="21"/>
              </w:rPr>
              <w:t>账    号：15361 20101 55319 396</w:t>
            </w:r>
          </w:p>
        </w:tc>
      </w:tr>
      <w:tr w14:paraId="39FC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85FC34">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33.1</w:t>
            </w:r>
          </w:p>
        </w:tc>
        <w:tc>
          <w:tcPr>
            <w:tcW w:w="7631" w:type="dxa"/>
            <w:vAlign w:val="center"/>
          </w:tcPr>
          <w:p w14:paraId="7EF4172D">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kern w:val="2"/>
                <w:szCs w:val="21"/>
                <w14:textFill>
                  <w14:solidFill>
                    <w14:schemeClr w14:val="tx1"/>
                  </w14:solidFill>
                </w14:textFill>
              </w:rPr>
            </w:pPr>
            <w:r>
              <w:rPr>
                <w:rFonts w:hint="eastAsia" w:hAnsi="宋体"/>
                <w:color w:val="000000" w:themeColor="text1"/>
                <w:szCs w:val="21"/>
                <w14:textFill>
                  <w14:solidFill>
                    <w14:schemeClr w14:val="tx1"/>
                  </w14:solidFill>
                </w14:textFill>
              </w:rPr>
              <w:t>解释：构成本磋商文件的各个组成文件应互为解释，互为说明；除磋商文件中有特别规定外，仅适用于竞标阶段的规定，按更正公告（澄清公告）、竞争性磋商公告、供应商须知、采购需求、</w:t>
            </w:r>
            <w:r>
              <w:rPr>
                <w:rFonts w:hint="eastAsia"/>
                <w:color w:val="000000" w:themeColor="text1"/>
                <w:szCs w:val="21"/>
                <w14:textFill>
                  <w14:solidFill>
                    <w14:schemeClr w14:val="tx1"/>
                  </w14:solidFill>
                </w14:textFill>
              </w:rPr>
              <w:t>评审程序、评审方法和评审标准</w:t>
            </w:r>
            <w:r>
              <w:rPr>
                <w:rFonts w:hint="eastAsia" w:hAnsi="宋体"/>
                <w:color w:val="000000" w:themeColor="text1"/>
                <w:szCs w:val="21"/>
                <w14:textFill>
                  <w14:solidFill>
                    <w14:schemeClr w14:val="tx1"/>
                  </w14:solidFill>
                </w14:textFill>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CD67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428FF8">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33.2</w:t>
            </w:r>
          </w:p>
        </w:tc>
        <w:tc>
          <w:tcPr>
            <w:tcW w:w="7631" w:type="dxa"/>
            <w:vAlign w:val="center"/>
          </w:tcPr>
          <w:p w14:paraId="584A1F9D">
            <w:pPr>
              <w:pStyle w:val="24"/>
              <w:keepNext w:val="0"/>
              <w:keepLines w:val="0"/>
              <w:pageBreakBefore w:val="0"/>
              <w:widowControl w:val="0"/>
              <w:kinsoku/>
              <w:wordWrap/>
              <w:overflowPunct/>
              <w:topLinePunct w:val="0"/>
              <w:bidi w:val="0"/>
              <w:adjustRightInd/>
              <w:snapToGrid w:val="0"/>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农民工工资保证金：按照《保障农民工工资支付条例》及《广西壮族自治区人力资源和社会保障厅等</w:t>
            </w:r>
            <w:r>
              <w:rPr>
                <w:rFonts w:hAnsi="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t>部门关于印发广西壮族自治区工程建设领域农民工工资专用账户管理暂行办法实施细则的通知》（桂人社规〔</w:t>
            </w:r>
            <w:r>
              <w:rPr>
                <w:rFonts w:hAnsi="宋体"/>
                <w:color w:val="000000" w:themeColor="text1"/>
                <w:szCs w:val="21"/>
                <w14:textFill>
                  <w14:solidFill>
                    <w14:schemeClr w14:val="tx1"/>
                  </w14:solidFill>
                </w14:textFill>
              </w:rPr>
              <w:t>2022</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390B5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22BB86">
            <w:pPr>
              <w:keepNext w:val="0"/>
              <w:keepLines w:val="0"/>
              <w:pageBreakBefore w:val="0"/>
              <w:widowControl w:val="0"/>
              <w:kinsoku/>
              <w:wordWrap/>
              <w:overflowPunct/>
              <w:topLinePunct w:val="0"/>
              <w:bidi w:val="0"/>
              <w:adjustRightInd/>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33.3</w:t>
            </w:r>
          </w:p>
        </w:tc>
        <w:tc>
          <w:tcPr>
            <w:tcW w:w="7631" w:type="dxa"/>
            <w:vAlign w:val="center"/>
          </w:tcPr>
          <w:p w14:paraId="2DA8F0BF">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color w:val="000000" w:themeColor="text1"/>
                <w:szCs w:val="21"/>
                <w14:textFill>
                  <w14:solidFill>
                    <w14:schemeClr w14:val="tx1"/>
                  </w14:solidFill>
                </w14:textFill>
              </w:rPr>
              <w:t>/</w:t>
            </w:r>
            <w:r>
              <w:rPr>
                <w:rFonts w:hint="eastAsia" w:hAnsi="宋体" w:cs="宋体"/>
                <w:color w:val="000000" w:themeColor="text1"/>
                <w:szCs w:val="21"/>
                <w14:textFill>
                  <w14:solidFill>
                    <w14:schemeClr w14:val="tx1"/>
                  </w14:solidFill>
                </w14:textFill>
              </w:rPr>
              <w:t>投标专用章、业务专用章及银行的转账章、现金收讫章、现金付讫章等其他形式印章均不能代替公章。</w:t>
            </w:r>
          </w:p>
          <w:p w14:paraId="1C1FA87D">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2.</w:t>
            </w:r>
            <w:r>
              <w:rPr>
                <w:rFonts w:hint="eastAsia" w:hAnsi="宋体" w:cs="宋体"/>
                <w:bCs/>
                <w:color w:val="000000" w:themeColor="text1"/>
                <w:szCs w:val="21"/>
                <w14:textFill>
                  <w14:solidFill>
                    <w14:schemeClr w14:val="tx1"/>
                  </w14:solidFill>
                </w14:textFill>
              </w:rPr>
              <w:t>本磋商文件所称的“</w:t>
            </w:r>
            <w:r>
              <w:rPr>
                <w:rFonts w:hint="eastAsia" w:hAnsi="宋体"/>
                <w:color w:val="000000" w:themeColor="text1"/>
                <w:szCs w:val="21"/>
                <w14:textFill>
                  <w14:solidFill>
                    <w14:schemeClr w14:val="tx1"/>
                  </w14:solidFill>
                </w14:textFill>
              </w:rPr>
              <w:t>电子签章</w:t>
            </w:r>
            <w:r>
              <w:rPr>
                <w:rFonts w:hint="eastAsia" w:hAnsi="宋体" w:cs="宋体"/>
                <w:bCs/>
                <w:color w:val="000000" w:themeColor="text1"/>
                <w:szCs w:val="21"/>
                <w14:textFill>
                  <w14:solidFill>
                    <w14:schemeClr w14:val="tx1"/>
                  </w14:solidFill>
                </w14:textFill>
              </w:rPr>
              <w:t>”、“电子签名”</w:t>
            </w:r>
            <w:r>
              <w:rPr>
                <w:rFonts w:hint="eastAsia" w:hAnsi="宋体"/>
                <w:color w:val="000000" w:themeColor="text1"/>
                <w:szCs w:val="21"/>
                <w14:textFill>
                  <w14:solidFill>
                    <w14:schemeClr w14:val="tx1"/>
                  </w14:solidFill>
                </w14:textFill>
              </w:rPr>
              <w:t>，是指经“</w:t>
            </w:r>
            <w:r>
              <w:rPr>
                <w:rFonts w:hint="eastAsia" w:hAnsi="宋体"/>
                <w:color w:val="000000" w:themeColor="text1"/>
                <w:szCs w:val="21"/>
                <w:lang w:eastAsia="zh-CN"/>
                <w14:textFill>
                  <w14:solidFill>
                    <w14:schemeClr w14:val="tx1"/>
                  </w14:solidFill>
                </w14:textFill>
              </w:rPr>
              <w:t>广西政府采购云平台</w:t>
            </w:r>
            <w:r>
              <w:rPr>
                <w:rFonts w:hint="eastAsia" w:hAnsi="宋体"/>
                <w:color w:val="000000" w:themeColor="text1"/>
                <w:szCs w:val="21"/>
                <w14:textFill>
                  <w14:solidFill>
                    <w14:schemeClr w14:val="tx1"/>
                  </w14:solidFill>
                </w14:textFill>
              </w:rPr>
              <w:t>”平台认可的</w:t>
            </w:r>
            <w:r>
              <w:rPr>
                <w:rFonts w:hAnsi="宋体"/>
                <w:color w:val="000000" w:themeColor="text1"/>
                <w:szCs w:val="21"/>
                <w14:textFill>
                  <w14:solidFill>
                    <w14:schemeClr w14:val="tx1"/>
                  </w14:solidFill>
                </w14:textFill>
              </w:rPr>
              <w:t>CA</w:t>
            </w:r>
            <w:r>
              <w:rPr>
                <w:rFonts w:hint="eastAsia" w:hAnsi="宋体"/>
                <w:color w:val="000000" w:themeColor="text1"/>
                <w:szCs w:val="21"/>
                <w14:textFill>
                  <w14:solidFill>
                    <w14:schemeClr w14:val="tx1"/>
                  </w14:solidFill>
                </w14:textFill>
              </w:rPr>
              <w:t>认证的电子签名数据为表现形式的印章，可用于签署电子响应文件，电子印章与实物印章具有同等法律效力，不因其采用电子化表现形式而否定其法律效力。</w:t>
            </w:r>
          </w:p>
          <w:p w14:paraId="4710A8EB">
            <w:pPr>
              <w:pStyle w:val="24"/>
              <w:keepNext w:val="0"/>
              <w:keepLines w:val="0"/>
              <w:pageBreakBefore w:val="0"/>
              <w:widowControl w:val="0"/>
              <w:kinsoku/>
              <w:wordWrap/>
              <w:overflowPunct/>
              <w:topLinePunct w:val="0"/>
              <w:bidi w:val="0"/>
              <w:adjustRightInd/>
              <w:snapToGrid w:val="0"/>
              <w:spacing w:line="360" w:lineRule="auto"/>
              <w:rPr>
                <w:rFonts w:hAnsi="宋体" w:cs="宋体"/>
                <w:bCs/>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Cs w:val="21"/>
                <w14:textFill>
                  <w14:solidFill>
                    <w14:schemeClr w14:val="tx1"/>
                  </w14:solidFill>
                </w14:textFill>
              </w:rPr>
              <w:t>营业执照或者执业许可证等证照上的</w:t>
            </w:r>
            <w:r>
              <w:rPr>
                <w:rFonts w:hint="eastAsia" w:hAnsi="宋体" w:cs="宋体"/>
                <w:color w:val="000000" w:themeColor="text1"/>
                <w:szCs w:val="21"/>
                <w14:textFill>
                  <w14:solidFill>
                    <w14:schemeClr w14:val="tx1"/>
                  </w14:solidFill>
                </w14:textFill>
              </w:rPr>
              <w:t>负责人</w:t>
            </w:r>
            <w:r>
              <w:rPr>
                <w:rFonts w:hint="eastAsia" w:hAnsi="宋体" w:cs="宋体"/>
                <w:bCs/>
                <w:color w:val="000000" w:themeColor="text1"/>
                <w:szCs w:val="21"/>
                <w14:textFill>
                  <w14:solidFill>
                    <w14:schemeClr w14:val="tx1"/>
                  </w14:solidFill>
                </w14:textFill>
              </w:rPr>
              <w:t>。</w:t>
            </w:r>
          </w:p>
          <w:p w14:paraId="424174DB">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4.</w:t>
            </w:r>
            <w:r>
              <w:rPr>
                <w:rFonts w:hint="eastAsia" w:hAnsi="宋体" w:cs="宋体"/>
                <w:color w:val="000000" w:themeColor="text1"/>
                <w:szCs w:val="21"/>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39C8418C">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5.</w:t>
            </w:r>
            <w:r>
              <w:rPr>
                <w:rFonts w:hint="eastAsia" w:hAnsi="宋体" w:cs="宋体"/>
                <w:color w:val="000000" w:themeColor="text1"/>
                <w:szCs w:val="21"/>
                <w14:textFill>
                  <w14:solidFill>
                    <w14:schemeClr w14:val="tx1"/>
                  </w14:solidFill>
                </w14:textFill>
              </w:rPr>
              <w:t>本磋商文件所称的“以上”“以下”“以内”“届满”，包括本数；所称的“不满”“超过”“以外”，不包括本数。</w:t>
            </w:r>
          </w:p>
          <w:p w14:paraId="5AE9C752">
            <w:pPr>
              <w:pStyle w:val="24"/>
              <w:keepNext w:val="0"/>
              <w:keepLines w:val="0"/>
              <w:pageBreakBefore w:val="0"/>
              <w:widowControl w:val="0"/>
              <w:kinsoku/>
              <w:wordWrap/>
              <w:overflowPunct/>
              <w:topLinePunct w:val="0"/>
              <w:bidi w:val="0"/>
              <w:adjustRightInd/>
              <w:snapToGrid w:val="0"/>
              <w:spacing w:line="360"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w:t>
            </w:r>
            <w:r>
              <w:rPr>
                <w:rFonts w:hint="eastAsia" w:hAnsi="宋体" w:cs="宋体"/>
                <w:bCs/>
                <w:color w:val="000000" w:themeColor="text1"/>
                <w14:textFill>
                  <w14:solidFill>
                    <w14:schemeClr w14:val="tx1"/>
                  </w14:solidFill>
                </w14:textFill>
              </w:rPr>
              <w:t>温馨提示</w:t>
            </w:r>
            <w:r>
              <w:rPr>
                <w:rFonts w:hAnsi="宋体" w:cs="宋体"/>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非强制要求</w:t>
            </w:r>
            <w:r>
              <w:rPr>
                <w:rFonts w:hAnsi="宋体" w:cs="宋体"/>
                <w:bCs/>
                <w:color w:val="000000" w:themeColor="text1"/>
                <w14:textFill>
                  <w14:solidFill>
                    <w14:schemeClr w14:val="tx1"/>
                  </w14:solidFill>
                </w14:textFill>
              </w:rPr>
              <w:t>) :</w:t>
            </w:r>
            <w:r>
              <w:rPr>
                <w:rFonts w:hint="eastAsia" w:hAnsi="宋体" w:cs="宋体"/>
                <w:bCs/>
                <w:color w:val="000000" w:themeColor="text1"/>
                <w14:textFill>
                  <w14:solidFill>
                    <w14:schemeClr w14:val="tx1"/>
                  </w14:solidFill>
                </w14:textFill>
              </w:rPr>
              <w:t>根据《崇左市财政局关于进一步做好线上“政采贷”融资业务工作的通知》</w:t>
            </w:r>
            <w:r>
              <w:rPr>
                <w:rFonts w:hAnsi="宋体" w:cs="宋体"/>
                <w:bCs/>
                <w:color w:val="000000" w:themeColor="text1"/>
                <w14:textFill>
                  <w14:solidFill>
                    <w14:schemeClr w14:val="tx1"/>
                  </w14:solidFill>
                </w14:textFill>
              </w:rPr>
              <w:t xml:space="preserve">( </w:t>
            </w:r>
            <w:r>
              <w:rPr>
                <w:rFonts w:hint="eastAsia" w:hAnsi="宋体" w:cs="宋体"/>
                <w:bCs/>
                <w:color w:val="000000" w:themeColor="text1"/>
                <w14:textFill>
                  <w14:solidFill>
                    <w14:schemeClr w14:val="tx1"/>
                  </w14:solidFill>
                </w14:textFill>
              </w:rPr>
              <w:t>崇财采</w:t>
            </w:r>
            <w:r>
              <w:rPr>
                <w:rFonts w:hAnsi="宋体" w:cs="宋体"/>
                <w:bCs/>
                <w:color w:val="000000" w:themeColor="text1"/>
                <w14:textFill>
                  <w14:solidFill>
                    <w14:schemeClr w14:val="tx1"/>
                  </w14:solidFill>
                </w14:textFill>
              </w:rPr>
              <w:t>(2023)10</w:t>
            </w:r>
            <w:r>
              <w:rPr>
                <w:rFonts w:hint="eastAsia" w:hAnsi="宋体" w:cs="宋体"/>
                <w:bCs/>
                <w:color w:val="000000" w:themeColor="text1"/>
                <w14:textFill>
                  <w14:solidFill>
                    <w14:schemeClr w14:val="tx1"/>
                  </w14:solidFill>
                </w14:textFill>
              </w:rPr>
              <w:t>号</w:t>
            </w:r>
            <w:r>
              <w:rPr>
                <w:rFonts w:hAnsi="宋体" w:cs="宋体"/>
                <w:bCs/>
                <w:color w:val="000000" w:themeColor="text1"/>
                <w14:textFill>
                  <w14:solidFill>
                    <w14:schemeClr w14:val="tx1"/>
                  </w14:solidFill>
                </w14:textFill>
              </w:rPr>
              <w:t>) ,</w:t>
            </w:r>
            <w:r>
              <w:rPr>
                <w:rFonts w:hint="eastAsia" w:hAnsi="宋体" w:cs="宋体"/>
                <w:bCs/>
                <w:color w:val="000000" w:themeColor="text1"/>
                <w14:textFill>
                  <w14:solidFill>
                    <w14:schemeClr w14:val="tx1"/>
                  </w14:solidFill>
                </w14:textFill>
              </w:rPr>
              <w:t>供应商可凭成交通知书、政府采购合同，通过中征应收账款融资服务平台向银行在线申请“政采贷”融资。</w:t>
            </w:r>
            <w:r>
              <w:rPr>
                <w:rFonts w:hAnsi="宋体" w:cs="宋体"/>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具体详见采购文件中关于“政采贷”相关信息</w:t>
            </w:r>
            <w:r>
              <w:rPr>
                <w:rFonts w:hAnsi="宋体" w:cs="宋体"/>
                <w:bCs/>
                <w:color w:val="000000" w:themeColor="text1"/>
                <w14:textFill>
                  <w14:solidFill>
                    <w14:schemeClr w14:val="tx1"/>
                  </w14:solidFill>
                </w14:textFill>
              </w:rPr>
              <w:t>)</w:t>
            </w:r>
          </w:p>
        </w:tc>
      </w:tr>
    </w:tbl>
    <w:p w14:paraId="03C42B65">
      <w:pPr>
        <w:spacing w:line="360" w:lineRule="auto"/>
        <w:jc w:val="center"/>
        <w:rPr>
          <w:rFonts w:ascii="宋体"/>
          <w:b/>
          <w:color w:val="000000" w:themeColor="text1"/>
          <w:sz w:val="32"/>
          <w:szCs w:val="32"/>
          <w14:textFill>
            <w14:solidFill>
              <w14:schemeClr w14:val="tx1"/>
            </w14:solidFill>
          </w14:textFill>
        </w:rPr>
      </w:pPr>
      <w:r>
        <w:rPr>
          <w:rFonts w:ascii="宋体"/>
          <w:b/>
          <w:color w:val="000000" w:themeColor="text1"/>
          <w:sz w:val="32"/>
          <w:szCs w:val="32"/>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供应商须知正文</w:t>
      </w:r>
    </w:p>
    <w:p w14:paraId="04CADAB4">
      <w:pPr>
        <w:spacing w:line="400" w:lineRule="exac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6A7DCDDB">
      <w:pPr>
        <w:spacing w:line="400" w:lineRule="exact"/>
        <w:rPr>
          <w:rFonts w:ascii="宋体"/>
          <w:color w:val="000000" w:themeColor="text1"/>
          <w:szCs w:val="21"/>
          <w14:textFill>
            <w14:solidFill>
              <w14:schemeClr w14:val="tx1"/>
            </w14:solidFill>
          </w14:textFill>
        </w:rPr>
      </w:pPr>
    </w:p>
    <w:p w14:paraId="36E9E74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适用范围</w:t>
      </w:r>
    </w:p>
    <w:p w14:paraId="65CEE20B">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本项目采购人、采购代理机构、供应商、磋商小组的相关行为均受《中华人民共和国政府采购法》《中华人民共和国政府采购法实施条例》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14:textFill>
            <w14:solidFill>
              <w14:schemeClr w14:val="tx1"/>
            </w14:solidFill>
          </w14:textFill>
        </w:rPr>
        <w:t>及本项目本级和上级财政部门政府采购有关规定的约束和保护。</w:t>
      </w:r>
    </w:p>
    <w:p w14:paraId="414D2D32">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本竞争性磋商文件（以下简称磋商文件）适用于本项目的所有采购程序和环节（法律、法规另有规定的，从其规定）</w:t>
      </w:r>
      <w:r>
        <w:rPr>
          <w:rFonts w:hint="eastAsia" w:ascii="宋体" w:hAnsi="宋体" w:cs="宋体"/>
          <w:color w:val="000000" w:themeColor="text1"/>
          <w:spacing w:val="-6"/>
          <w:szCs w:val="21"/>
          <w14:textFill>
            <w14:solidFill>
              <w14:schemeClr w14:val="tx1"/>
            </w14:solidFill>
          </w14:textFill>
        </w:rPr>
        <w:t>。</w:t>
      </w:r>
    </w:p>
    <w:p w14:paraId="7CB67A7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定义</w:t>
      </w:r>
    </w:p>
    <w:p w14:paraId="36E1A9F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“采购人”是指依法进行政府采购的国家机关、事业单位、团体组织。</w:t>
      </w:r>
    </w:p>
    <w:p w14:paraId="4D6DD7CD">
      <w:pPr>
        <w:spacing w:line="360" w:lineRule="auto"/>
        <w:ind w:firstLine="420" w:firstLineChars="200"/>
        <w:rPr>
          <w:rFonts w:ascii="宋体" w:cs="宋体"/>
          <w:color w:val="000000" w:themeColor="text1"/>
          <w:szCs w:val="21"/>
          <w:u w:val="single"/>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“采购代理机构”是指政府采购集中采购机构和集中采购机构以外的采购代理机构。</w:t>
      </w:r>
    </w:p>
    <w:p w14:paraId="63D76DF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“供应商”是指向采购人提供货物、工程或者服务的法人、其他组织或者自然人。</w:t>
      </w:r>
    </w:p>
    <w:p w14:paraId="689F03E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“工程”是指建设工程，包括建筑物和构筑物的新建、改建、扩建、装修、拆除、修缮等。</w:t>
      </w:r>
    </w:p>
    <w:p w14:paraId="3F3E729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“竞标”是指供应商按照本项目竞争性磋商公告或者邀请函规定的方式获取磋商文件、提交响应文件并希望获得标的的行为。</w:t>
      </w:r>
    </w:p>
    <w:p w14:paraId="2DB78A13">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“书面形式”是指合同书、信件和数据电文（包括电报、电传、传真、电子数据交换和电子邮件）等可以有形地表现所载内容的形式。</w:t>
      </w:r>
    </w:p>
    <w:p w14:paraId="0763FB9C">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“响应文件”是指：供应商根据本磋商文件要求，编制包含资格证明、报价、商务技术等所有内容的文件</w:t>
      </w:r>
      <w:r>
        <w:rPr>
          <w:rFonts w:hint="eastAsia" w:ascii="宋体" w:hAnsi="宋体" w:cs="宋体"/>
          <w:color w:val="000000" w:themeColor="text1"/>
          <w:spacing w:val="-6"/>
          <w:szCs w:val="21"/>
          <w14:textFill>
            <w14:solidFill>
              <w14:schemeClr w14:val="tx1"/>
            </w14:solidFill>
          </w14:textFill>
        </w:rPr>
        <w:t>。</w:t>
      </w:r>
    </w:p>
    <w:p w14:paraId="74BF24FB">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“实质性要求”是指磋商文件中已经指明不满足则响应文件按无效处理的条款，或者不能负偏离的条款，或者采购需求中带“▲”的条款。</w:t>
      </w:r>
    </w:p>
    <w:p w14:paraId="02366D5B">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“正偏离”，是指响应文件对磋商文件“采购需求”中有关条款作出的响应优于条款要求并有利于采购人的情形。</w:t>
      </w:r>
    </w:p>
    <w:p w14:paraId="008638D9">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2.10</w:t>
      </w:r>
      <w:r>
        <w:rPr>
          <w:rFonts w:hint="eastAsia" w:ascii="宋体" w:hAnsi="宋体" w:cs="宋体"/>
          <w:color w:val="000000" w:themeColor="text1"/>
          <w:szCs w:val="21"/>
          <w14:textFill>
            <w14:solidFill>
              <w14:schemeClr w14:val="tx1"/>
            </w14:solidFill>
          </w14:textFill>
        </w:rPr>
        <w:t>“负偏离”，是指响应文件对磋商文件“采购需求”中有关条款作出的响应不满足条款要求，导致采购人要求不能得到满足的情形。</w:t>
      </w:r>
    </w:p>
    <w:p w14:paraId="7781AEFF">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“允许负偏离的条款”是指采购需求中的不属于“实质性要求”的条款。</w:t>
      </w:r>
    </w:p>
    <w:p w14:paraId="19D9496D">
      <w:pPr>
        <w:spacing w:line="360" w:lineRule="auto"/>
        <w:ind w:firstLine="420" w:firstLineChars="200"/>
        <w:contextualSpacing/>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2.12</w:t>
      </w:r>
      <w:r>
        <w:rPr>
          <w:rFonts w:hint="eastAsia" w:ascii="宋体" w:hAnsi="宋体" w:cs="宋体"/>
          <w:color w:val="000000" w:themeColor="text1"/>
          <w:szCs w:val="21"/>
          <w14:textFill>
            <w14:solidFill>
              <w14:schemeClr w14:val="tx1"/>
            </w14:solidFill>
          </w14:textFill>
        </w:rPr>
        <w:t>“首次报价”是指供应商提交的首次响应文件中的报价。</w:t>
      </w:r>
    </w:p>
    <w:p w14:paraId="2320715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供应商的资格条件</w:t>
      </w:r>
    </w:p>
    <w:p w14:paraId="1AD6D3A4">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39786E2A">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竞标费用</w:t>
      </w:r>
    </w:p>
    <w:p w14:paraId="16C9C4C8">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7F7218E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5.</w:t>
      </w:r>
      <w:r>
        <w:rPr>
          <w:rFonts w:hint="eastAsia" w:ascii="黑体" w:hAnsi="黑体" w:eastAsia="黑体" w:cs="宋体"/>
          <w:b/>
          <w:bCs/>
          <w:color w:val="000000" w:themeColor="text1"/>
          <w:sz w:val="24"/>
          <w14:textFill>
            <w14:solidFill>
              <w14:schemeClr w14:val="tx1"/>
            </w14:solidFill>
          </w14:textFill>
        </w:rPr>
        <w:t>联合体竞标</w:t>
      </w:r>
    </w:p>
    <w:p w14:paraId="6E9888D2">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本项目是否接受联合体竞标，详见“供应商须知前附表”。</w:t>
      </w:r>
    </w:p>
    <w:p w14:paraId="4915BF49">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3248AAC1">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bookmarkStart w:id="72" w:name="_Hlk66782192"/>
      <w:r>
        <w:rPr>
          <w:rFonts w:hint="eastAsia" w:ascii="宋体" w:hAnsi="宋体"/>
          <w:color w:val="000000" w:themeColor="text1"/>
          <w:szCs w:val="21"/>
          <w14:textFill>
            <w14:solidFill>
              <w14:schemeClr w14:val="tx1"/>
            </w14:solidFill>
          </w14:textFill>
        </w:rPr>
        <w:t>根据《政府采购促进中小企业发展管理办法》（财库〔</w:t>
      </w:r>
      <w:r>
        <w:rPr>
          <w:rFonts w:ascii="宋体" w:hAnsi="宋体"/>
          <w:color w:val="000000" w:themeColor="text1"/>
          <w:szCs w:val="21"/>
          <w14:textFill>
            <w14:solidFill>
              <w14:schemeClr w14:val="tx1"/>
            </w14:solidFill>
          </w14:textFill>
        </w:rPr>
        <w:t>2020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w:t>
      </w:r>
      <w:r>
        <w:rPr>
          <w:rFonts w:hint="eastAsia" w:ascii="宋体" w:hAnsi="宋体"/>
          <w:color w:val="000000" w:themeColor="text1"/>
          <w:szCs w:val="21"/>
          <w14:textFill>
            <w14:solidFill>
              <w14:schemeClr w14:val="tx1"/>
            </w14:solidFill>
          </w14:textFill>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以上的，采购人、采购代理机构应当对联合体或者大中型企业的报价给予</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的扣除，用扣除后的价格参加评审。</w:t>
      </w:r>
      <w:bookmarkEnd w:id="72"/>
    </w:p>
    <w:p w14:paraId="210CBB09">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6.</w:t>
      </w:r>
      <w:r>
        <w:rPr>
          <w:rFonts w:hint="eastAsia" w:ascii="黑体" w:hAnsi="黑体" w:eastAsia="黑体" w:cs="宋体"/>
          <w:b/>
          <w:bCs/>
          <w:color w:val="000000" w:themeColor="text1"/>
          <w:sz w:val="24"/>
          <w14:textFill>
            <w14:solidFill>
              <w14:schemeClr w14:val="tx1"/>
            </w14:solidFill>
          </w14:textFill>
        </w:rPr>
        <w:t>转包与分包</w:t>
      </w:r>
    </w:p>
    <w:p w14:paraId="052ACA35">
      <w:pPr>
        <w:keepNext w:val="0"/>
        <w:keepLines w:val="0"/>
        <w:spacing w:before="0" w:after="0" w:line="360" w:lineRule="auto"/>
        <w:ind w:firstLine="420" w:firstLineChars="200"/>
        <w:outlineLvl w:val="9"/>
        <w:rPr>
          <w:rFonts w:ascii="宋体"/>
          <w:b w:val="0"/>
          <w:color w:val="000000" w:themeColor="text1"/>
          <w:sz w:val="21"/>
          <w:szCs w:val="21"/>
          <w14:textFill>
            <w14:solidFill>
              <w14:schemeClr w14:val="tx1"/>
            </w14:solidFill>
          </w14:textFill>
        </w:rPr>
      </w:pPr>
      <w:bookmarkStart w:id="73" w:name="_Toc254970532"/>
      <w:bookmarkStart w:id="74" w:name="_Toc254970673"/>
      <w:r>
        <w:rPr>
          <w:rFonts w:ascii="宋体" w:hAnsi="宋体"/>
          <w:b w:val="0"/>
          <w:color w:val="000000" w:themeColor="text1"/>
          <w:sz w:val="21"/>
          <w:szCs w:val="21"/>
          <w14:textFill>
            <w14:solidFill>
              <w14:schemeClr w14:val="tx1"/>
            </w14:solidFill>
          </w14:textFill>
        </w:rPr>
        <w:t>6.1</w:t>
      </w:r>
      <w:r>
        <w:rPr>
          <w:rFonts w:hint="eastAsia" w:ascii="宋体" w:hAnsi="宋体"/>
          <w:b w:val="0"/>
          <w:color w:val="000000" w:themeColor="text1"/>
          <w:sz w:val="21"/>
          <w:szCs w:val="21"/>
          <w14:textFill>
            <w14:solidFill>
              <w14:schemeClr w14:val="tx1"/>
            </w14:solidFill>
          </w14:textFill>
        </w:rPr>
        <w:t>本项目不允许转包。</w:t>
      </w:r>
    </w:p>
    <w:p w14:paraId="44F985B1">
      <w:pPr>
        <w:keepNext w:val="0"/>
        <w:keepLines w:val="0"/>
        <w:spacing w:before="0" w:after="0" w:line="360" w:lineRule="auto"/>
        <w:ind w:firstLine="420" w:firstLineChars="200"/>
        <w:outlineLvl w:val="9"/>
        <w:rPr>
          <w:rFonts w:asci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6.2</w:t>
      </w:r>
      <w:r>
        <w:rPr>
          <w:rFonts w:hint="eastAsia" w:ascii="宋体" w:hAnsi="宋体"/>
          <w:b w:val="0"/>
          <w:color w:val="000000" w:themeColor="text1"/>
          <w:sz w:val="21"/>
          <w:szCs w:val="21"/>
          <w14:textFill>
            <w14:solidFill>
              <w14:schemeClr w14:val="tx1"/>
            </w14:solidFill>
          </w14:textFill>
        </w:rPr>
        <w:t>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4F900A30">
      <w:pPr>
        <w:keepNext w:val="0"/>
        <w:keepLines w:val="0"/>
        <w:spacing w:before="0" w:after="0" w:line="360" w:lineRule="auto"/>
        <w:ind w:firstLine="420" w:firstLineChars="200"/>
        <w:outlineLvl w:val="9"/>
        <w:rPr>
          <w:rFonts w:asci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6.3</w:t>
      </w:r>
      <w:r>
        <w:rPr>
          <w:rFonts w:hint="eastAsia" w:ascii="宋体" w:hAnsi="宋体"/>
          <w:b w:val="0"/>
          <w:color w:val="000000" w:themeColor="text1"/>
          <w:sz w:val="21"/>
          <w:szCs w:val="21"/>
          <w14:textFill>
            <w14:solidFill>
              <w14:schemeClr w14:val="tx1"/>
            </w14:solidFill>
          </w14:textFill>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1183C78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7.</w:t>
      </w:r>
      <w:r>
        <w:rPr>
          <w:rFonts w:hint="eastAsia" w:ascii="黑体" w:hAnsi="黑体" w:eastAsia="黑体" w:cs="宋体"/>
          <w:b/>
          <w:bCs/>
          <w:color w:val="000000" w:themeColor="text1"/>
          <w:sz w:val="24"/>
          <w14:textFill>
            <w14:solidFill>
              <w14:schemeClr w14:val="tx1"/>
            </w14:solidFill>
          </w14:textFill>
        </w:rPr>
        <w:t>特别说明</w:t>
      </w:r>
      <w:bookmarkEnd w:id="73"/>
      <w:bookmarkEnd w:id="74"/>
    </w:p>
    <w:p w14:paraId="51582406">
      <w:pPr>
        <w:spacing w:line="360" w:lineRule="auto"/>
        <w:ind w:firstLine="420" w:firstLineChars="200"/>
        <w:rPr>
          <w:rFonts w:ascii="宋体" w:cs="宋体"/>
          <w:color w:val="000000" w:themeColor="text1"/>
          <w:szCs w:val="21"/>
          <w14:textFill>
            <w14:solidFill>
              <w14:schemeClr w14:val="tx1"/>
            </w14:solidFill>
          </w14:textFill>
        </w:rPr>
      </w:pPr>
      <w:bookmarkStart w:id="75" w:name="_8.1提供相同品牌产品且通过资格审查、符合性审查的不同投标人参加同一合"/>
      <w:bookmarkEnd w:id="75"/>
      <w:r>
        <w:rPr>
          <w:rFonts w:ascii="宋体" w:hAnsi="宋体" w:cs="宋体"/>
          <w:color w:val="000000" w:themeColor="text1"/>
          <w:szCs w:val="21"/>
          <w14:textFill>
            <w14:solidFill>
              <w14:schemeClr w14:val="tx1"/>
            </w14:solidFill>
          </w14:textFill>
        </w:rPr>
        <w:t>7.1</w:t>
      </w:r>
      <w:bookmarkStart w:id="76" w:name="_Hlk65832145"/>
      <w:r>
        <w:rPr>
          <w:rFonts w:hint="eastAsia" w:ascii="宋体" w:hAnsi="宋体"/>
          <w:color w:val="000000" w:themeColor="text1"/>
          <w:szCs w:val="21"/>
          <w14:textFill>
            <w14:solidFill>
              <w14:schemeClr w14:val="tx1"/>
            </w14:solidFill>
          </w14:textFill>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14:textFill>
            <w14:solidFill>
              <w14:schemeClr w14:val="tx1"/>
            </w14:solidFill>
          </w14:textFill>
        </w:rPr>
        <w:t>。</w:t>
      </w:r>
    </w:p>
    <w:bookmarkEnd w:id="76"/>
    <w:p w14:paraId="46F0B2D0">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7.2</w:t>
      </w:r>
      <w:r>
        <w:rPr>
          <w:rFonts w:hint="eastAsia" w:ascii="宋体" w:hAnsi="宋体" w:cs="宋体"/>
          <w:color w:val="000000" w:themeColor="text1"/>
          <w:szCs w:val="21"/>
          <w14:textFill>
            <w14:solidFill>
              <w14:schemeClr w14:val="tx1"/>
            </w14:solidFill>
          </w14:textFill>
        </w:rPr>
        <w:t>供应商应仔细阅读磋商文件的所有内容，按照磋商文件的要求提交响应文件，并对所提供的全部资料的真实性承担法律责任。</w:t>
      </w:r>
    </w:p>
    <w:p w14:paraId="17DBEE6D">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7.3</w:t>
      </w:r>
      <w:r>
        <w:rPr>
          <w:rFonts w:hint="eastAsia" w:ascii="宋体" w:hAnsi="宋体" w:cs="宋体"/>
          <w:color w:val="000000" w:themeColor="text1"/>
          <w:szCs w:val="21"/>
          <w14:textFill>
            <w14:solidFill>
              <w14:schemeClr w14:val="tx1"/>
            </w14:solidFill>
          </w14:textFill>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2A8D351C">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7.4</w:t>
      </w:r>
      <w:r>
        <w:rPr>
          <w:rFonts w:hint="eastAsia" w:ascii="宋体" w:hAnsi="宋体" w:cs="宋体"/>
          <w:color w:val="000000" w:themeColor="text1"/>
          <w:szCs w:val="21"/>
          <w14:textFill>
            <w14:solidFill>
              <w14:schemeClr w14:val="tx1"/>
            </w14:solidFill>
          </w14:textFill>
        </w:rPr>
        <w:t>在政府采购活动中，采购人员及相关人员与供应商有下列利害关系之一的，应当回避：</w:t>
      </w:r>
    </w:p>
    <w:p w14:paraId="4ADB2898">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）参加采购活动前</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年内与供应商存在劳动关系；</w:t>
      </w:r>
    </w:p>
    <w:p w14:paraId="67A9BDB8">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）参加采购活动前</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年内担任供应商的董事、监事；</w:t>
      </w:r>
    </w:p>
    <w:p w14:paraId="45E0BB25">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）参加采购活动前</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年内是供应商的控股股东或者实际控制人；</w:t>
      </w:r>
    </w:p>
    <w:p w14:paraId="64BFA521">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）与供应商的法定代表人或者负责人有夫妻、直系血亲、三代以内旁系血亲或者近姻亲关系；</w:t>
      </w:r>
    </w:p>
    <w:p w14:paraId="2C5048E3">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）与供应商有其他可能影响政府采购活动公平、公正进行的关系。</w:t>
      </w:r>
    </w:p>
    <w:p w14:paraId="4709CBE1">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FCFF5F3">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7.5</w:t>
      </w:r>
      <w:r>
        <w:rPr>
          <w:rFonts w:hint="eastAsia" w:ascii="宋体" w:hAnsi="宋体" w:cs="宋体"/>
          <w:color w:val="000000" w:themeColor="text1"/>
          <w:szCs w:val="21"/>
          <w14:textFill>
            <w14:solidFill>
              <w14:schemeClr w14:val="tx1"/>
            </w14:solidFill>
          </w14:textFill>
        </w:rPr>
        <w:t>有下列情形之一的视为供应商相互串通竞标，响应文件将被视为无效：</w:t>
      </w:r>
    </w:p>
    <w:p w14:paraId="6CCDB01C">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）不同供应商的响应文件由同一单位或者个人编制；</w:t>
      </w:r>
    </w:p>
    <w:p w14:paraId="1CC217C5">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）不同供应商委托同一单位或者个人办理竞标事宜；</w:t>
      </w:r>
    </w:p>
    <w:p w14:paraId="5FCE667A">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）不同的供应商的响应文件载明的项目管理员为同一个人；</w:t>
      </w:r>
    </w:p>
    <w:p w14:paraId="61F5B21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14:paraId="792033B1">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）不同供应商的响应文件相互混装；</w:t>
      </w:r>
    </w:p>
    <w:p w14:paraId="172A92CC">
      <w:pPr>
        <w:tabs>
          <w:tab w:val="left" w:pos="6931"/>
        </w:tabs>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）不同供应商的磋商保证金从同一单位或者个人账户转出。</w:t>
      </w:r>
      <w:r>
        <w:rPr>
          <w:rFonts w:ascii="宋体" w:cs="宋体"/>
          <w:color w:val="000000" w:themeColor="text1"/>
          <w:szCs w:val="21"/>
          <w14:textFill>
            <w14:solidFill>
              <w14:schemeClr w14:val="tx1"/>
            </w14:solidFill>
          </w14:textFill>
        </w:rPr>
        <w:tab/>
      </w:r>
    </w:p>
    <w:p w14:paraId="462F14D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7.6</w:t>
      </w:r>
      <w:r>
        <w:rPr>
          <w:rFonts w:hint="eastAsia" w:ascii="宋体" w:hAnsi="宋体" w:cs="宋体"/>
          <w:color w:val="000000" w:themeColor="text1"/>
          <w:szCs w:val="21"/>
          <w14:textFill>
            <w14:solidFill>
              <w14:schemeClr w14:val="tx1"/>
            </w14:solidFill>
          </w14:textFill>
        </w:rPr>
        <w:t>供应商有下列情形之一的，属于恶意串通行为，将报同级监督管理部门：</w:t>
      </w:r>
    </w:p>
    <w:p w14:paraId="1C093C17">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）供应商直接或者间接从采购人或者采购代理机构处获得其他供应商的相关信息并修改其响应文件；</w:t>
      </w:r>
    </w:p>
    <w:p w14:paraId="4D1FA535">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）供应商按照采购人或者采购代理机构的授意撤换、修改响应文件；</w:t>
      </w:r>
    </w:p>
    <w:p w14:paraId="61004A2F">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）供应商之间协商报价、技术方案等响应文件或者响应文件的实质性内容；</w:t>
      </w:r>
    </w:p>
    <w:p w14:paraId="45E9AF1A">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）属于同一集团、协会、商会等组织成员的供应商按照该组织要求协同参加政府采购活动；</w:t>
      </w:r>
    </w:p>
    <w:p w14:paraId="6E19E5C2">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）供应商之间事先约定一致抬高或者压低报价，或者在政府采购活动中事先约定轮流以高价位或者低价位成交，或者事先约定由某一特定供应商成交，然后再参加竞标；</w:t>
      </w:r>
    </w:p>
    <w:p w14:paraId="478A098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）供应商之间商定部分供应商放弃参加政府采购活动或者放弃成交；</w:t>
      </w:r>
    </w:p>
    <w:p w14:paraId="396163C9">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）供应商与采购人或者采购代理机构之间、供应商相互之间，为谋求特定供应商成交或者排斥其他供应商的其他串通行为。</w:t>
      </w:r>
    </w:p>
    <w:p w14:paraId="0977A0F8">
      <w:pPr>
        <w:spacing w:line="360" w:lineRule="auto"/>
        <w:ind w:firstLine="420" w:firstLineChars="200"/>
        <w:rPr>
          <w:rFonts w:ascii="宋体" w:cs="宋体"/>
          <w:color w:val="000000" w:themeColor="text1"/>
          <w:szCs w:val="21"/>
          <w14:textFill>
            <w14:solidFill>
              <w14:schemeClr w14:val="tx1"/>
            </w14:solidFill>
          </w14:textFill>
        </w:rPr>
      </w:pPr>
    </w:p>
    <w:p w14:paraId="61EEA1BB">
      <w:pPr>
        <w:spacing w:line="360" w:lineRule="auto"/>
        <w:ind w:left="1" w:firstLine="417" w:firstLineChars="199"/>
        <w:jc w:val="center"/>
        <w:rPr>
          <w:rFonts w:ascii="宋体"/>
          <w:color w:val="000000" w:themeColor="text1"/>
          <w14:textFill>
            <w14:solidFill>
              <w14:schemeClr w14:val="tx1"/>
            </w14:solidFill>
          </w14:textFill>
        </w:rPr>
      </w:pPr>
      <w:bookmarkStart w:id="77" w:name="_Toc254970675"/>
      <w:bookmarkStart w:id="78" w:name="_Toc254970534"/>
    </w:p>
    <w:p w14:paraId="7D7FB79E">
      <w:pPr>
        <w:spacing w:line="360" w:lineRule="auto"/>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二、磋商文件</w:t>
      </w:r>
      <w:bookmarkEnd w:id="77"/>
      <w:bookmarkEnd w:id="78"/>
    </w:p>
    <w:p w14:paraId="4BA729BD">
      <w:pPr>
        <w:spacing w:line="360" w:lineRule="auto"/>
        <w:rPr>
          <w:rFonts w:ascii="宋体"/>
          <w:color w:val="000000" w:themeColor="text1"/>
          <w:szCs w:val="21"/>
          <w14:textFill>
            <w14:solidFill>
              <w14:schemeClr w14:val="tx1"/>
            </w14:solidFill>
          </w14:textFill>
        </w:rPr>
      </w:pPr>
    </w:p>
    <w:p w14:paraId="6D1F74F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8.</w:t>
      </w:r>
      <w:r>
        <w:rPr>
          <w:rFonts w:hint="eastAsia" w:ascii="黑体" w:hAnsi="黑体" w:eastAsia="黑体" w:cs="宋体"/>
          <w:b/>
          <w:bCs/>
          <w:color w:val="000000" w:themeColor="text1"/>
          <w:sz w:val="24"/>
          <w14:textFill>
            <w14:solidFill>
              <w14:schemeClr w14:val="tx1"/>
            </w14:solidFill>
          </w14:textFill>
        </w:rPr>
        <w:t>磋商文件的构成</w:t>
      </w:r>
    </w:p>
    <w:p w14:paraId="0628DB4B">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第一章竞争性磋商公告；</w:t>
      </w:r>
    </w:p>
    <w:p w14:paraId="6653EA12">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第二章供应商须知；</w:t>
      </w:r>
    </w:p>
    <w:p w14:paraId="110E5199">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第三章采购需求；</w:t>
      </w:r>
    </w:p>
    <w:p w14:paraId="144CA30D">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第四章评审程序、评审方法和评审标准；</w:t>
      </w:r>
    </w:p>
    <w:p w14:paraId="12CF0919">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第五章工程量清单及图纸；</w:t>
      </w:r>
    </w:p>
    <w:p w14:paraId="09AA7459">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第六章响应文件格式；</w:t>
      </w:r>
    </w:p>
    <w:p w14:paraId="1E3FF066">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第七章合同文本。</w:t>
      </w:r>
    </w:p>
    <w:p w14:paraId="00B9F4F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9.</w:t>
      </w:r>
      <w:r>
        <w:rPr>
          <w:rFonts w:hint="eastAsia" w:ascii="黑体" w:hAnsi="黑体" w:eastAsia="黑体" w:cs="宋体"/>
          <w:b/>
          <w:bCs/>
          <w:color w:val="000000" w:themeColor="text1"/>
          <w:sz w:val="24"/>
          <w14:textFill>
            <w14:solidFill>
              <w14:schemeClr w14:val="tx1"/>
            </w14:solidFill>
          </w14:textFill>
        </w:rPr>
        <w:t>供应商的询问</w:t>
      </w:r>
    </w:p>
    <w:p w14:paraId="6E90B120">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供应商应认真阅读磋商文件的采购需求，如供应商对磋商文件有疑问的，如要求采购人作出澄清或者修改的，供应商尽可能在提交首次响应文件截止之日前，以书面形式向采购人、采购代理机构提出。</w:t>
      </w:r>
    </w:p>
    <w:p w14:paraId="79C96F0D">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10.</w:t>
      </w:r>
      <w:r>
        <w:rPr>
          <w:rFonts w:hint="eastAsia" w:ascii="黑体" w:hAnsi="黑体" w:eastAsia="黑体" w:cs="宋体"/>
          <w:b/>
          <w:bCs/>
          <w:color w:val="000000" w:themeColor="text1"/>
          <w:sz w:val="24"/>
          <w14:textFill>
            <w14:solidFill>
              <w14:schemeClr w14:val="tx1"/>
            </w14:solidFill>
          </w14:textFill>
        </w:rPr>
        <w:t>磋商文件的澄清和修改</w:t>
      </w:r>
    </w:p>
    <w:p w14:paraId="75A582B4">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个工作日前，以书面形式通知所有获取磋商文件的供应商，不足</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个工作日的，应当顺延提交首次响应文件截止之日。</w:t>
      </w:r>
    </w:p>
    <w:p w14:paraId="427D8FFE">
      <w:pPr>
        <w:spacing w:line="360" w:lineRule="auto"/>
        <w:rPr>
          <w:rFonts w:ascii="宋体"/>
          <w:color w:val="000000" w:themeColor="text1"/>
          <w:szCs w:val="21"/>
          <w14:textFill>
            <w14:solidFill>
              <w14:schemeClr w14:val="tx1"/>
            </w14:solidFill>
          </w14:textFill>
        </w:rPr>
      </w:pPr>
    </w:p>
    <w:p w14:paraId="685C5CFF">
      <w:pPr>
        <w:spacing w:line="360" w:lineRule="auto"/>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14:paraId="174A5A30">
      <w:pPr>
        <w:spacing w:line="360" w:lineRule="auto"/>
        <w:rPr>
          <w:rFonts w:ascii="宋体"/>
          <w:color w:val="000000" w:themeColor="text1"/>
          <w:szCs w:val="21"/>
          <w14:textFill>
            <w14:solidFill>
              <w14:schemeClr w14:val="tx1"/>
            </w14:solidFill>
          </w14:textFill>
        </w:rPr>
      </w:pPr>
    </w:p>
    <w:p w14:paraId="5DDB6BA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11.</w:t>
      </w:r>
      <w:r>
        <w:rPr>
          <w:rFonts w:hint="eastAsia" w:ascii="黑体" w:hAnsi="黑体" w:eastAsia="黑体" w:cs="宋体"/>
          <w:b/>
          <w:bCs/>
          <w:color w:val="000000" w:themeColor="text1"/>
          <w:sz w:val="24"/>
          <w14:textFill>
            <w14:solidFill>
              <w14:schemeClr w14:val="tx1"/>
            </w14:solidFill>
          </w14:textFill>
        </w:rPr>
        <w:t>响应文件的编制原则</w:t>
      </w:r>
    </w:p>
    <w:p w14:paraId="312B48CE">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348BB97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12.</w:t>
      </w:r>
      <w:r>
        <w:rPr>
          <w:rFonts w:hint="eastAsia" w:ascii="黑体" w:hAnsi="黑体" w:eastAsia="黑体" w:cs="宋体"/>
          <w:b/>
          <w:bCs/>
          <w:color w:val="000000" w:themeColor="text1"/>
          <w:sz w:val="24"/>
          <w14:textFill>
            <w14:solidFill>
              <w14:schemeClr w14:val="tx1"/>
            </w14:solidFill>
          </w14:textFill>
        </w:rPr>
        <w:t>响应文件的组成</w:t>
      </w:r>
    </w:p>
    <w:p w14:paraId="0B2ED6B2">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响应文件由资格证明文件、报价文件、商务技术文件三部分组成。</w:t>
      </w:r>
    </w:p>
    <w:p w14:paraId="493BAE7C">
      <w:pPr>
        <w:spacing w:line="360" w:lineRule="auto"/>
        <w:ind w:left="840" w:leftChars="200" w:hanging="420" w:hanging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12.1.1</w:t>
      </w:r>
      <w:r>
        <w:rPr>
          <w:rFonts w:hint="eastAsia" w:ascii="宋体" w:hAnsi="宋体" w:cs="宋体"/>
          <w:color w:val="000000" w:themeColor="text1"/>
          <w:szCs w:val="21"/>
          <w14:textFill>
            <w14:solidFill>
              <w14:schemeClr w14:val="tx1"/>
            </w14:solidFill>
          </w14:textFill>
        </w:rPr>
        <w:t>资格证明文件：详见“供应商须知前附表”</w:t>
      </w:r>
    </w:p>
    <w:p w14:paraId="04D6D011">
      <w:pPr>
        <w:spacing w:line="360" w:lineRule="auto"/>
        <w:ind w:left="840" w:leftChars="200" w:hanging="420" w:hanging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12.1.2</w:t>
      </w:r>
      <w:r>
        <w:rPr>
          <w:rFonts w:hint="eastAsia" w:ascii="宋体" w:hAnsi="宋体" w:cs="宋体"/>
          <w:color w:val="000000" w:themeColor="text1"/>
          <w:szCs w:val="21"/>
          <w14:textFill>
            <w14:solidFill>
              <w14:schemeClr w14:val="tx1"/>
            </w14:solidFill>
          </w14:textFill>
        </w:rPr>
        <w:t>报价文件：详见“供应商须知前附表”</w:t>
      </w:r>
    </w:p>
    <w:p w14:paraId="5A5378F4">
      <w:pPr>
        <w:spacing w:line="360" w:lineRule="auto"/>
        <w:ind w:left="840" w:leftChars="200" w:hanging="420" w:hanging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12.1.3</w:t>
      </w:r>
      <w:r>
        <w:rPr>
          <w:rFonts w:hint="eastAsia" w:ascii="宋体" w:hAnsi="宋体" w:cs="宋体"/>
          <w:color w:val="000000" w:themeColor="text1"/>
          <w:szCs w:val="21"/>
          <w14:textFill>
            <w14:solidFill>
              <w14:schemeClr w14:val="tx1"/>
            </w14:solidFill>
          </w14:textFill>
        </w:rPr>
        <w:t>商务技术文件：详见“供应商须知前附表”</w:t>
      </w:r>
    </w:p>
    <w:p w14:paraId="719AC78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13.</w:t>
      </w:r>
      <w:r>
        <w:rPr>
          <w:rFonts w:hint="eastAsia" w:ascii="黑体" w:hAnsi="黑体" w:eastAsia="黑体" w:cs="宋体"/>
          <w:b/>
          <w:bCs/>
          <w:color w:val="000000" w:themeColor="text1"/>
          <w:sz w:val="24"/>
          <w14:textFill>
            <w14:solidFill>
              <w14:schemeClr w14:val="tx1"/>
            </w14:solidFill>
          </w14:textFill>
        </w:rPr>
        <w:t>计量单位</w:t>
      </w:r>
    </w:p>
    <w:p w14:paraId="5461BB0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4449E81D">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14.</w:t>
      </w:r>
      <w:r>
        <w:rPr>
          <w:rFonts w:hint="eastAsia" w:ascii="黑体" w:hAnsi="黑体" w:eastAsia="黑体" w:cs="宋体"/>
          <w:b/>
          <w:bCs/>
          <w:color w:val="000000" w:themeColor="text1"/>
          <w:sz w:val="24"/>
          <w14:textFill>
            <w14:solidFill>
              <w14:schemeClr w14:val="tx1"/>
            </w14:solidFill>
          </w14:textFill>
        </w:rPr>
        <w:t>竞标的风险</w:t>
      </w:r>
    </w:p>
    <w:p w14:paraId="17BEE866">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2E24CE39">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15.</w:t>
      </w:r>
      <w:r>
        <w:rPr>
          <w:rFonts w:hint="eastAsia" w:ascii="黑体" w:hAnsi="黑体" w:eastAsia="黑体" w:cs="宋体"/>
          <w:b/>
          <w:bCs/>
          <w:color w:val="000000" w:themeColor="text1"/>
          <w:sz w:val="24"/>
          <w14:textFill>
            <w14:solidFill>
              <w14:schemeClr w14:val="tx1"/>
            </w14:solidFill>
          </w14:textFill>
        </w:rPr>
        <w:t>竞标报价</w:t>
      </w:r>
    </w:p>
    <w:p w14:paraId="266D3EE4">
      <w:pPr>
        <w:tabs>
          <w:tab w:val="left" w:pos="2492"/>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15.1</w:t>
      </w:r>
      <w:r>
        <w:rPr>
          <w:rFonts w:hint="eastAsia" w:ascii="宋体" w:hAnsi="宋体" w:cs="宋体"/>
          <w:color w:val="000000" w:themeColor="text1"/>
          <w:szCs w:val="21"/>
          <w14:textFill>
            <w14:solidFill>
              <w14:schemeClr w14:val="tx1"/>
            </w14:solidFill>
          </w14:textFill>
        </w:rPr>
        <w:t>竞标报价应按磋商文件中“竞标报价表”及</w:t>
      </w:r>
      <w:r>
        <w:rPr>
          <w:rFonts w:hint="eastAsia"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已标价工程量清单</w:t>
      </w:r>
      <w:r>
        <w:rPr>
          <w:rFonts w:hint="eastAsia"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格式填写。</w:t>
      </w:r>
    </w:p>
    <w:p w14:paraId="151AB875">
      <w:pPr>
        <w:tabs>
          <w:tab w:val="left" w:pos="2492"/>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15.2</w:t>
      </w:r>
      <w:r>
        <w:rPr>
          <w:rFonts w:hint="eastAsia" w:ascii="宋体" w:hAnsi="宋体" w:cs="宋体"/>
          <w:color w:val="000000" w:themeColor="text1"/>
          <w:szCs w:val="21"/>
          <w14:textFill>
            <w14:solidFill>
              <w14:schemeClr w14:val="tx1"/>
            </w14:solidFill>
          </w14:textFill>
        </w:rPr>
        <w:t>竞标报价的内容见“供应商须知前附表”。</w:t>
      </w:r>
    </w:p>
    <w:p w14:paraId="2C2B4440">
      <w:pPr>
        <w:tabs>
          <w:tab w:val="left" w:pos="2492"/>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15.3</w:t>
      </w:r>
      <w:r>
        <w:rPr>
          <w:rFonts w:hint="eastAsia" w:ascii="宋体" w:hAnsi="宋体" w:cs="宋体"/>
          <w:color w:val="000000" w:themeColor="text1"/>
          <w:szCs w:val="21"/>
          <w14:textFill>
            <w14:solidFill>
              <w14:schemeClr w14:val="tx1"/>
            </w14:solidFill>
          </w14:textFill>
        </w:rPr>
        <w:t>本项目的增值税计税方法见“供应商须知前附表”。</w:t>
      </w:r>
    </w:p>
    <w:p w14:paraId="7B6FD1FB">
      <w:pPr>
        <w:spacing w:line="360" w:lineRule="auto"/>
        <w:ind w:left="426" w:leftChars="203"/>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w:t>
      </w:r>
      <w:r>
        <w:rPr>
          <w:rFonts w:hint="eastAsia" w:ascii="宋体" w:hAnsi="宋体" w:cs="宋体"/>
          <w:color w:val="000000" w:themeColor="text1"/>
          <w:szCs w:val="21"/>
          <w14:textFill>
            <w14:solidFill>
              <w14:schemeClr w14:val="tx1"/>
            </w14:solidFill>
          </w14:textFill>
        </w:rPr>
        <w:t>竞标报价要求</w:t>
      </w:r>
    </w:p>
    <w:p w14:paraId="7D7B396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15.4.1</w:t>
      </w:r>
      <w:r>
        <w:rPr>
          <w:rFonts w:hint="eastAsia" w:ascii="宋体" w:hAnsi="宋体" w:cs="宋体"/>
          <w:color w:val="000000" w:themeColor="text1"/>
          <w:szCs w:val="21"/>
          <w14:textFill>
            <w14:solidFill>
              <w14:schemeClr w14:val="tx1"/>
            </w14:solidFill>
          </w14:textFill>
        </w:rPr>
        <w:t>供应商的竞标报价应符合以下要求，否则响应文件按无效处理：</w:t>
      </w:r>
    </w:p>
    <w:p w14:paraId="0EABAE73">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）供应商必须就“采购需求”中所竞标的每个分标的全部内容分别作完整唯一总价报价，</w:t>
      </w:r>
    </w:p>
    <w:p w14:paraId="50BDD630">
      <w:pPr>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不得存在漏项报价；</w:t>
      </w:r>
    </w:p>
    <w:p w14:paraId="21B452DE">
      <w:pPr>
        <w:numPr>
          <w:ilvl w:val="0"/>
          <w:numId w:val="1"/>
        </w:num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供应商必须就所竞标的分标的单项内容作唯一报价。</w:t>
      </w:r>
    </w:p>
    <w:p w14:paraId="3A431209">
      <w:pPr>
        <w:numPr>
          <w:ilvl w:val="0"/>
          <w:numId w:val="1"/>
        </w:numPr>
        <w:spacing w:line="360" w:lineRule="auto"/>
        <w:ind w:firstLine="42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供应商竞标报价（含总报价和单项报价）如明显低于其他通过符合性审查供应商的报价，有可能不能诚信履约的，磋商小组可</w:t>
      </w:r>
      <w:r>
        <w:rPr>
          <w:rFonts w:hint="eastAsia" w:ascii="??" w:hAnsi="??"/>
          <w:color w:val="000000" w:themeColor="text1"/>
          <w:sz w:val="22"/>
          <w:szCs w:val="22"/>
          <w14:textFill>
            <w14:solidFill>
              <w14:schemeClr w14:val="tx1"/>
            </w14:solidFill>
          </w14:textFill>
        </w:rPr>
        <w:t>要求其在评标现场合理的时间内提供书面说明</w:t>
      </w:r>
      <w:r>
        <w:rPr>
          <w:rFonts w:hint="eastAsia" w:ascii="宋体" w:hAnsi="宋体" w:cs="宋体"/>
          <w:color w:val="000000" w:themeColor="text1"/>
          <w:szCs w:val="21"/>
          <w14:textFill>
            <w14:solidFill>
              <w14:schemeClr w14:val="tx1"/>
            </w14:solidFill>
          </w14:textFill>
        </w:rPr>
        <w:t>。如无法提供说明，或者说明不足以证明合理性的，经磋商小组评定，响应文件按无效处理。</w:t>
      </w:r>
    </w:p>
    <w:p w14:paraId="4D8E256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15.4.2</w:t>
      </w:r>
      <w:r>
        <w:rPr>
          <w:rFonts w:hint="eastAsia" w:ascii="宋体" w:hAnsi="宋体" w:cs="宋体"/>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14:paraId="4483589B">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15.4.3</w:t>
      </w:r>
      <w:bookmarkStart w:id="79" w:name="_Hlk42592874"/>
      <w:r>
        <w:rPr>
          <w:rFonts w:hint="eastAsia" w:ascii="宋体" w:hAnsi="宋体" w:cs="宋体"/>
          <w:color w:val="000000" w:themeColor="text1"/>
          <w:szCs w:val="21"/>
          <w14:textFill>
            <w14:solidFill>
              <w14:schemeClr w14:val="tx1"/>
            </w14:solidFill>
          </w14:textFill>
        </w:rPr>
        <w:t>竞标报价（包含首次报价、最后报价）超过分项采购预算金额或者最高限价的（如有要求），其响应文件将按无效处理。</w:t>
      </w:r>
    </w:p>
    <w:p w14:paraId="6B11BC0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15.4.4</w:t>
      </w:r>
      <w:r>
        <w:rPr>
          <w:rFonts w:hint="eastAsia" w:ascii="宋体" w:hAnsi="宋体" w:cs="宋体"/>
          <w:color w:val="000000" w:themeColor="text1"/>
          <w:szCs w:val="21"/>
          <w14:textFill>
            <w14:solidFill>
              <w14:schemeClr w14:val="tx1"/>
            </w14:solidFill>
          </w14:textFill>
        </w:rPr>
        <w:t>供应商在提交响应文件截止时间前修改竞标函中的竞标总报价，应同时修改响应文件“已标价工程量清单”中的相应报价。此修改须符合本须知正文第</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条、第</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条的有关要求。</w:t>
      </w:r>
    </w:p>
    <w:bookmarkEnd w:id="79"/>
    <w:p w14:paraId="0E38F0D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16.</w:t>
      </w:r>
      <w:r>
        <w:rPr>
          <w:rFonts w:hint="eastAsia" w:ascii="黑体" w:hAnsi="黑体" w:eastAsia="黑体" w:cs="宋体"/>
          <w:b/>
          <w:bCs/>
          <w:color w:val="000000" w:themeColor="text1"/>
          <w:sz w:val="24"/>
          <w14:textFill>
            <w14:solidFill>
              <w14:schemeClr w14:val="tx1"/>
            </w14:solidFill>
          </w14:textFill>
        </w:rPr>
        <w:t>竞标有效期</w:t>
      </w:r>
    </w:p>
    <w:p w14:paraId="77DAF2C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16.1</w:t>
      </w:r>
      <w:r>
        <w:rPr>
          <w:rFonts w:hint="eastAsia" w:ascii="宋体" w:hAnsi="宋体" w:cs="宋体"/>
          <w:color w:val="000000" w:themeColor="text1"/>
          <w:szCs w:val="21"/>
          <w14:textFill>
            <w14:solidFill>
              <w14:schemeClr w14:val="tx1"/>
            </w14:solidFill>
          </w14:textFill>
        </w:rPr>
        <w:t>竞标有效期是指为保证采购人有足够的时间在提交响应文件后完成评审、确定成交供应商、合同签订等工作而要求供应商提交的响应文件在一定时间内保持有效的期限。</w:t>
      </w:r>
    </w:p>
    <w:p w14:paraId="31CC2854">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16.2 </w:t>
      </w:r>
      <w:r>
        <w:rPr>
          <w:rFonts w:hint="eastAsia" w:ascii="宋体" w:hAnsi="宋体" w:cs="宋体"/>
          <w:color w:val="000000" w:themeColor="text1"/>
          <w:szCs w:val="21"/>
          <w14:textFill>
            <w14:solidFill>
              <w14:schemeClr w14:val="tx1"/>
            </w14:solidFill>
          </w14:textFill>
        </w:rPr>
        <w:t>竞标有效期应由供应商按“供应商须知前附表”规定的期限作出响应。</w:t>
      </w:r>
    </w:p>
    <w:p w14:paraId="0858ABA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16.3</w:t>
      </w:r>
      <w:r>
        <w:rPr>
          <w:rFonts w:hint="eastAsia" w:ascii="宋体" w:hAnsi="宋体" w:cs="宋体"/>
          <w:color w:val="000000" w:themeColor="text1"/>
          <w:szCs w:val="21"/>
          <w14:textFill>
            <w14:solidFill>
              <w14:schemeClr w14:val="tx1"/>
            </w14:solidFill>
          </w14:textFill>
        </w:rPr>
        <w:t>供应商的响应文件在竞标有效期内均保持有效。</w:t>
      </w:r>
    </w:p>
    <w:p w14:paraId="6AFDBF8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17.</w:t>
      </w:r>
      <w:r>
        <w:rPr>
          <w:rFonts w:hint="eastAsia" w:ascii="黑体" w:hAnsi="黑体" w:eastAsia="黑体" w:cs="宋体"/>
          <w:b/>
          <w:bCs/>
          <w:color w:val="000000" w:themeColor="text1"/>
          <w:sz w:val="24"/>
          <w14:textFill>
            <w14:solidFill>
              <w14:schemeClr w14:val="tx1"/>
            </w14:solidFill>
          </w14:textFill>
        </w:rPr>
        <w:t>磋商保证金</w:t>
      </w:r>
    </w:p>
    <w:p w14:paraId="4ECF5425">
      <w:pPr>
        <w:spacing w:line="360" w:lineRule="auto"/>
        <w:ind w:left="420" w:left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17.1</w:t>
      </w:r>
      <w:r>
        <w:rPr>
          <w:rFonts w:hint="eastAsia" w:ascii="宋体" w:hAnsi="宋体" w:cs="宋体"/>
          <w:color w:val="000000" w:themeColor="text1"/>
          <w:szCs w:val="21"/>
          <w14:textFill>
            <w14:solidFill>
              <w14:schemeClr w14:val="tx1"/>
            </w14:solidFill>
          </w14:textFill>
        </w:rPr>
        <w:t>供应商须按“供应商须知前附表”的规定提交磋商保证金。</w:t>
      </w:r>
    </w:p>
    <w:p w14:paraId="0D92D20C">
      <w:pPr>
        <w:spacing w:line="360" w:lineRule="auto"/>
        <w:ind w:left="420" w:left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17.2</w:t>
      </w:r>
      <w:r>
        <w:rPr>
          <w:rFonts w:hint="eastAsia" w:ascii="宋体" w:hAnsi="宋体" w:cs="宋体"/>
          <w:color w:val="000000" w:themeColor="text1"/>
          <w:szCs w:val="21"/>
          <w14:textFill>
            <w14:solidFill>
              <w14:schemeClr w14:val="tx1"/>
            </w14:solidFill>
          </w14:textFill>
        </w:rPr>
        <w:t>磋商保证金的退还</w:t>
      </w:r>
    </w:p>
    <w:p w14:paraId="688A6C63">
      <w:pPr>
        <w:spacing w:line="360" w:lineRule="auto"/>
        <w:ind w:firstLine="420" w:firstLineChars="200"/>
        <w:rPr>
          <w:rFonts w:ascii="宋体" w:cs="宋体"/>
          <w:color w:val="000000" w:themeColor="text1"/>
          <w:szCs w:val="21"/>
          <w14:textFill>
            <w14:solidFill>
              <w14:schemeClr w14:val="tx1"/>
            </w14:solidFill>
          </w14:textFill>
        </w:rPr>
      </w:pPr>
      <w:bookmarkStart w:id="80" w:name="_Hlk66782243"/>
      <w:r>
        <w:rPr>
          <w:rFonts w:hint="eastAsia" w:ascii="宋体" w:hAnsi="宋体" w:cs="宋体"/>
          <w:color w:val="000000" w:themeColor="text1"/>
          <w:szCs w:val="21"/>
          <w14:textFill>
            <w14:solidFill>
              <w14:schemeClr w14:val="tx1"/>
            </w14:solidFill>
          </w14:textFill>
        </w:rPr>
        <w:t>未成交供应商的磋商保证金自成交通知书发出之日起</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个工作日内退还；成交供应商的磋商保证金自签订合同之日起</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个工作日内退还或者转为成交供应商的履约保证金。</w:t>
      </w:r>
      <w:bookmarkEnd w:id="80"/>
    </w:p>
    <w:p w14:paraId="42A8CB42">
      <w:pPr>
        <w:spacing w:line="360" w:lineRule="auto"/>
        <w:ind w:left="420" w:left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17.3</w:t>
      </w:r>
      <w:r>
        <w:rPr>
          <w:rFonts w:hint="eastAsia" w:ascii="宋体" w:hAnsi="宋体" w:cs="宋体"/>
          <w:color w:val="000000" w:themeColor="text1"/>
          <w:szCs w:val="21"/>
          <w14:textFill>
            <w14:solidFill>
              <w14:schemeClr w14:val="tx1"/>
            </w14:solidFill>
          </w14:textFill>
        </w:rPr>
        <w:t>磋商保证金不计息。</w:t>
      </w:r>
    </w:p>
    <w:p w14:paraId="2E1FAFC7">
      <w:pPr>
        <w:spacing w:line="360" w:lineRule="auto"/>
        <w:ind w:left="420" w:left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17.4</w:t>
      </w:r>
      <w:r>
        <w:rPr>
          <w:rFonts w:hint="eastAsia" w:ascii="宋体" w:hAnsi="宋体" w:cs="宋体"/>
          <w:color w:val="000000" w:themeColor="text1"/>
          <w:szCs w:val="21"/>
          <w14:textFill>
            <w14:solidFill>
              <w14:schemeClr w14:val="tx1"/>
            </w14:solidFill>
          </w14:textFill>
        </w:rPr>
        <w:t>供应商有下列情形之一的，磋商保证金将不予退还：</w:t>
      </w:r>
    </w:p>
    <w:p w14:paraId="267925FA">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）供应商在提交响应文件截止时间后撤回响应文件的；</w:t>
      </w:r>
    </w:p>
    <w:p w14:paraId="0D7CD708">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）未按规定提交履约保证金的；</w:t>
      </w:r>
    </w:p>
    <w:p w14:paraId="0AF293CE">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）供应商在响应文件中提供虚假材料的；</w:t>
      </w:r>
    </w:p>
    <w:p w14:paraId="2413B2A3">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）除因不可抗力或者磋商文件认可的情形以外，成交供应商不与采购人签订合同的；</w:t>
      </w:r>
    </w:p>
    <w:p w14:paraId="4A237901">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）供应商与采购人、其他供应商或者采购代理机构恶意串通的；</w:t>
      </w:r>
    </w:p>
    <w:p w14:paraId="689F7CF3">
      <w:pPr>
        <w:spacing w:line="360" w:lineRule="auto"/>
        <w:ind w:left="420" w:left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）法律法规规定的其他情形。</w:t>
      </w:r>
    </w:p>
    <w:p w14:paraId="5DDADA5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18.</w:t>
      </w:r>
      <w:r>
        <w:rPr>
          <w:rFonts w:hint="eastAsia" w:ascii="黑体" w:hAnsi="黑体" w:eastAsia="黑体" w:cs="宋体"/>
          <w:b/>
          <w:bCs/>
          <w:color w:val="000000" w:themeColor="text1"/>
          <w:sz w:val="24"/>
          <w14:textFill>
            <w14:solidFill>
              <w14:schemeClr w14:val="tx1"/>
            </w14:solidFill>
          </w14:textFill>
        </w:rPr>
        <w:t>响应文件编制的要求</w:t>
      </w:r>
    </w:p>
    <w:p w14:paraId="174C2512">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18.1</w:t>
      </w:r>
      <w:r>
        <w:rPr>
          <w:rFonts w:hint="eastAsia" w:ascii="宋体" w:hAnsi="宋体" w:cs="宋体"/>
          <w:color w:val="000000" w:themeColor="text1"/>
          <w:szCs w:val="21"/>
          <w14:textFill>
            <w14:solidFill>
              <w14:schemeClr w14:val="tx1"/>
            </w14:solidFill>
          </w14:textFill>
        </w:rPr>
        <w:t>供应商应先安装“</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电子交易客户端”（请自行前往“</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”平台进行下载），并按照本项目磋商文件规定的格式和顺序和“</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”平台的要求编制并加密。响应文件内容不完整、编排混乱导致响应文件被误读、漏读或者查找不到相关内容的，由此引发的后果由供应商承担。</w:t>
      </w:r>
    </w:p>
    <w:p w14:paraId="40BDA6A0">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18.2</w:t>
      </w:r>
      <w:r>
        <w:rPr>
          <w:rFonts w:hint="eastAsia" w:ascii="宋体" w:hAnsi="宋体" w:cs="宋体"/>
          <w:color w:val="000000" w:themeColor="text1"/>
          <w:szCs w:val="21"/>
          <w14:textFill>
            <w14:solidFill>
              <w14:schemeClr w14:val="tx1"/>
            </w14:solidFill>
          </w14:textFill>
        </w:rPr>
        <w:t>为确保网上操作合法、有效和安全，供应商应当在提交响应文件截止时间前完成在“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”平台的身份认证，确保在电子竞标过程中能够对相关数据电文进行加密和使用电子签章。</w:t>
      </w:r>
    </w:p>
    <w:p w14:paraId="33C8E8B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18.3</w:t>
      </w:r>
      <w:r>
        <w:rPr>
          <w:rFonts w:hint="eastAsia" w:ascii="宋体" w:hAnsi="宋体" w:cs="宋体"/>
          <w:color w:val="000000" w:themeColor="text1"/>
          <w:szCs w:val="21"/>
          <w14:textFill>
            <w14:solidFill>
              <w14:schemeClr w14:val="tx1"/>
            </w14:solidFill>
          </w14:textFill>
        </w:rPr>
        <w:t>响应文件须由供应商在规定位置签字、盖章（具体以供应商须知前附表或响应文件格式规定为准），否则按无效响应处理。</w:t>
      </w:r>
    </w:p>
    <w:p w14:paraId="06111508">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18.4</w:t>
      </w:r>
      <w:r>
        <w:rPr>
          <w:rFonts w:hint="eastAsia" w:ascii="宋体" w:hAnsi="宋体" w:cs="宋体"/>
          <w:color w:val="000000" w:themeColor="text1"/>
          <w:szCs w:val="21"/>
          <w14:textFill>
            <w14:solidFill>
              <w14:schemeClr w14:val="tx1"/>
            </w14:solidFill>
          </w14:textFill>
        </w:rPr>
        <w:t>响应文件中标注的供应商名称应与主体资格证明（如营业执照或者事业单位法人证书或者执业许可证或者登记证书等）及公章一致，否则其响应文件按无效处理。</w:t>
      </w:r>
    </w:p>
    <w:p w14:paraId="7ADE10D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18.5</w:t>
      </w:r>
      <w:r>
        <w:rPr>
          <w:rFonts w:hint="eastAsia" w:ascii="宋体" w:hAnsi="宋体" w:cs="宋体"/>
          <w:color w:val="000000" w:themeColor="text1"/>
          <w:szCs w:val="21"/>
          <w14:textFill>
            <w14:solidFill>
              <w14:schemeClr w14:val="tx1"/>
            </w14:solidFill>
          </w14:textFill>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DD6A024">
      <w:pPr>
        <w:spacing w:line="360" w:lineRule="auto"/>
        <w:ind w:firstLine="482" w:firstLineChars="200"/>
        <w:rPr>
          <w:rFonts w:ascii="黑体" w:hAnsi="黑体" w:eastAsia="黑体"/>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19.</w:t>
      </w:r>
      <w:r>
        <w:rPr>
          <w:rFonts w:hint="eastAsia" w:ascii="黑体" w:hAnsi="黑体" w:eastAsia="黑体" w:cs="宋体"/>
          <w:b/>
          <w:bCs/>
          <w:color w:val="000000" w:themeColor="text1"/>
          <w:sz w:val="24"/>
          <w14:textFill>
            <w14:solidFill>
              <w14:schemeClr w14:val="tx1"/>
            </w14:solidFill>
          </w14:textFill>
        </w:rPr>
        <w:t>电子</w:t>
      </w:r>
      <w:r>
        <w:rPr>
          <w:rFonts w:hint="eastAsia" w:ascii="黑体" w:hAnsi="黑体" w:eastAsia="黑体"/>
          <w:b/>
          <w:color w:val="000000" w:themeColor="text1"/>
          <w:sz w:val="24"/>
          <w14:textFill>
            <w14:solidFill>
              <w14:schemeClr w14:val="tx1"/>
            </w14:solidFill>
          </w14:textFill>
        </w:rPr>
        <w:t>备份响应文件</w:t>
      </w:r>
    </w:p>
    <w:p w14:paraId="2B457BCA">
      <w:pPr>
        <w:spacing w:line="360" w:lineRule="auto"/>
        <w:ind w:firstLine="420" w:firstLineChars="200"/>
        <w:rPr>
          <w:rFonts w:asci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电子备份响应文件是指通过“</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”的文件，是否接受电子备份响应文件</w:t>
      </w:r>
      <w:r>
        <w:rPr>
          <w:rFonts w:hint="eastAsia" w:hAnsi="宋体"/>
          <w:bCs/>
          <w:color w:val="000000" w:themeColor="text1"/>
          <w:szCs w:val="21"/>
          <w14:textFill>
            <w14:solidFill>
              <w14:schemeClr w14:val="tx1"/>
            </w14:solidFill>
          </w14:textFill>
        </w:rPr>
        <w:t>详见在“供应商须知前附表”。</w:t>
      </w:r>
    </w:p>
    <w:p w14:paraId="41C6BE8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20.</w:t>
      </w:r>
      <w:r>
        <w:rPr>
          <w:rFonts w:hint="eastAsia" w:ascii="黑体" w:hAnsi="黑体" w:eastAsia="黑体" w:cs="宋体"/>
          <w:b/>
          <w:bCs/>
          <w:color w:val="000000" w:themeColor="text1"/>
          <w:sz w:val="24"/>
          <w14:textFill>
            <w14:solidFill>
              <w14:schemeClr w14:val="tx1"/>
            </w14:solidFill>
          </w14:textFill>
        </w:rPr>
        <w:t>响应文件的提交</w:t>
      </w:r>
    </w:p>
    <w:p w14:paraId="46415840">
      <w:pPr>
        <w:spacing w:line="360" w:lineRule="auto"/>
        <w:ind w:firstLine="420" w:firstLineChars="200"/>
        <w:rPr>
          <w:rFonts w:hAnsi="宋体"/>
          <w:b/>
          <w:color w:val="000000" w:themeColor="text1"/>
          <w14:textFill>
            <w14:solidFill>
              <w14:schemeClr w14:val="tx1"/>
            </w14:solidFill>
          </w14:textFill>
        </w:rPr>
      </w:pPr>
      <w:r>
        <w:rPr>
          <w:rFonts w:hAnsi="宋体"/>
          <w:bCs/>
          <w:color w:val="000000" w:themeColor="text1"/>
          <w:szCs w:val="21"/>
          <w14:textFill>
            <w14:solidFill>
              <w14:schemeClr w14:val="tx1"/>
            </w14:solidFill>
          </w14:textFill>
        </w:rPr>
        <w:t>20.1</w:t>
      </w:r>
      <w:r>
        <w:rPr>
          <w:rFonts w:hint="eastAsia" w:hAnsi="宋体"/>
          <w:bCs/>
          <w:color w:val="000000" w:themeColor="text1"/>
          <w:szCs w:val="21"/>
          <w14:textFill>
            <w14:solidFill>
              <w14:schemeClr w14:val="tx1"/>
            </w14:solidFill>
          </w14:textFill>
        </w:rPr>
        <w:t>供应商必须按“供应商须知前附表”规定的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地点提交响应文件。电子响应文件应在制作完成后，在提交响应文件截止时间前通过有效数字证书（</w:t>
      </w:r>
      <w:r>
        <w:rPr>
          <w:rFonts w:hAnsi="宋体"/>
          <w:bCs/>
          <w:color w:val="000000" w:themeColor="text1"/>
          <w:szCs w:val="21"/>
          <w14:textFill>
            <w14:solidFill>
              <w14:schemeClr w14:val="tx1"/>
            </w14:solidFill>
          </w14:textFill>
        </w:rPr>
        <w:t>CA</w:t>
      </w:r>
      <w:r>
        <w:rPr>
          <w:rFonts w:hint="eastAsia" w:hAnsi="宋体"/>
          <w:bCs/>
          <w:color w:val="000000" w:themeColor="text1"/>
          <w:szCs w:val="21"/>
          <w14:textFill>
            <w14:solidFill>
              <w14:schemeClr w14:val="tx1"/>
            </w14:solidFill>
          </w14:textFill>
        </w:rPr>
        <w:t>认证锁）进行电子签章、加密，然后通过网络将加密的电子响应文件提交至</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”平台</w:t>
      </w:r>
      <w:r>
        <w:rPr>
          <w:rFonts w:hint="eastAsia" w:hAnsi="宋体"/>
          <w:bCs/>
          <w:color w:val="000000" w:themeColor="text1"/>
          <w:szCs w:val="21"/>
          <w14:textFill>
            <w14:solidFill>
              <w14:schemeClr w14:val="tx1"/>
            </w14:solidFill>
          </w14:textFill>
        </w:rPr>
        <w:t>。</w:t>
      </w:r>
    </w:p>
    <w:p w14:paraId="4EEA4C78">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未在规定时间内提交或者未按照磋商文件要求加密的电子响应文件，“</w:t>
      </w:r>
      <w:r>
        <w:rPr>
          <w:rFonts w:hint="eastAsia" w:ascii="宋体" w:hAnsi="宋体"/>
          <w:color w:val="000000" w:themeColor="text1"/>
          <w:szCs w:val="21"/>
          <w:lang w:eastAsia="zh-CN"/>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”平台将拒收。</w:t>
      </w:r>
    </w:p>
    <w:p w14:paraId="4D837614">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21.</w:t>
      </w:r>
      <w:r>
        <w:rPr>
          <w:rFonts w:hint="eastAsia" w:ascii="黑体" w:hAnsi="黑体" w:eastAsia="黑体" w:cs="宋体"/>
          <w:b/>
          <w:bCs/>
          <w:color w:val="000000" w:themeColor="text1"/>
          <w:sz w:val="24"/>
          <w14:textFill>
            <w14:solidFill>
              <w14:schemeClr w14:val="tx1"/>
            </w14:solidFill>
          </w14:textFill>
        </w:rPr>
        <w:t>首次响应文件的补充、修改与撤回</w:t>
      </w:r>
    </w:p>
    <w:p w14:paraId="51B5B3F8">
      <w:pPr>
        <w:spacing w:line="360" w:lineRule="auto"/>
        <w:ind w:firstLine="420" w:firstLineChars="200"/>
        <w:rPr>
          <w:rFonts w:hAnsi="宋体"/>
          <w:bCs/>
          <w:color w:val="000000" w:themeColor="text1"/>
          <w:szCs w:val="21"/>
          <w14:textFill>
            <w14:solidFill>
              <w14:schemeClr w14:val="tx1"/>
            </w14:solidFill>
          </w14:textFill>
        </w:rPr>
      </w:pPr>
      <w:bookmarkStart w:id="81" w:name="_Toc254970684"/>
      <w:bookmarkStart w:id="82" w:name="_Toc254970543"/>
      <w:r>
        <w:rPr>
          <w:rFonts w:hAnsi="宋体"/>
          <w:bCs/>
          <w:color w:val="000000" w:themeColor="text1"/>
          <w:szCs w:val="21"/>
          <w14:textFill>
            <w14:solidFill>
              <w14:schemeClr w14:val="tx1"/>
            </w14:solidFill>
          </w14:textFill>
        </w:rPr>
        <w:t>21.1</w:t>
      </w:r>
      <w:r>
        <w:rPr>
          <w:rFonts w:hint="eastAsia" w:hAnsi="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hAnsi="宋体"/>
          <w:bCs/>
          <w:color w:val="000000" w:themeColor="text1"/>
          <w:szCs w:val="21"/>
          <w:lang w:eastAsia="zh-CN"/>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”平台将予以拒收。（注：补充、修改或者撤回方式可登陆“</w:t>
      </w:r>
      <w:r>
        <w:rPr>
          <w:rFonts w:hint="eastAsia" w:hAnsi="宋体"/>
          <w:bCs/>
          <w:color w:val="000000" w:themeColor="text1"/>
          <w:szCs w:val="21"/>
          <w:lang w:eastAsia="zh-CN"/>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”平台，进入“服务中心”中查看“电子投标文件制作与投送教程”）</w:t>
      </w:r>
    </w:p>
    <w:bookmarkEnd w:id="81"/>
    <w:bookmarkEnd w:id="82"/>
    <w:p w14:paraId="210EE0D0">
      <w:pPr>
        <w:pStyle w:val="62"/>
        <w:spacing w:before="0"/>
        <w:ind w:firstLine="420"/>
        <w:rPr>
          <w:rFonts w:asci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21</w:t>
      </w:r>
      <w:r>
        <w:rPr>
          <w:rFonts w:ascii="宋体" w:cs="宋体"/>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在提交响应文件截止时间前，除供应商补充、修改或者撤回响应文件外，任何单位和个人不得解密或提取响应文件。</w:t>
      </w:r>
    </w:p>
    <w:p w14:paraId="24326F4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bookmarkStart w:id="83" w:name="_Hlk45702405"/>
      <w:r>
        <w:rPr>
          <w:rFonts w:ascii="黑体" w:hAnsi="黑体" w:eastAsia="黑体" w:cs="宋体"/>
          <w:b/>
          <w:bCs/>
          <w:color w:val="000000" w:themeColor="text1"/>
          <w:sz w:val="24"/>
          <w14:textFill>
            <w14:solidFill>
              <w14:schemeClr w14:val="tx1"/>
            </w14:solidFill>
          </w14:textFill>
        </w:rPr>
        <w:t>22.</w:t>
      </w:r>
      <w:r>
        <w:rPr>
          <w:rFonts w:hint="eastAsia" w:ascii="黑体" w:hAnsi="黑体" w:eastAsia="黑体" w:cs="宋体"/>
          <w:b/>
          <w:bCs/>
          <w:color w:val="000000" w:themeColor="text1"/>
          <w:sz w:val="24"/>
          <w14:textFill>
            <w14:solidFill>
              <w14:schemeClr w14:val="tx1"/>
            </w14:solidFill>
          </w14:textFill>
        </w:rPr>
        <w:t>响应文件的退回</w:t>
      </w:r>
    </w:p>
    <w:p w14:paraId="666CF20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采购人和采购代理机构对已提交的响应文件概不退回。</w:t>
      </w:r>
    </w:p>
    <w:p w14:paraId="6BE0597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23.</w:t>
      </w:r>
      <w:r>
        <w:rPr>
          <w:rFonts w:hint="eastAsia" w:ascii="黑体" w:hAnsi="黑体" w:eastAsia="黑体" w:cs="宋体"/>
          <w:b/>
          <w:bCs/>
          <w:color w:val="000000" w:themeColor="text1"/>
          <w:sz w:val="24"/>
          <w14:textFill>
            <w14:solidFill>
              <w14:schemeClr w14:val="tx1"/>
            </w14:solidFill>
          </w14:textFill>
        </w:rPr>
        <w:t>截止时间后的撤回</w:t>
      </w:r>
    </w:p>
    <w:p w14:paraId="7945E269">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w:t>
      </w:r>
      <w:r>
        <w:rPr>
          <w:rFonts w:ascii="宋体" w:hAnsi="宋体" w:cs="宋体"/>
          <w:color w:val="000000" w:themeColor="text1"/>
          <w:szCs w:val="21"/>
          <w14:textFill>
            <w14:solidFill>
              <w14:schemeClr w14:val="tx1"/>
            </w14:solidFill>
          </w14:textFill>
        </w:rPr>
        <w:t>17.4</w:t>
      </w:r>
      <w:r>
        <w:rPr>
          <w:rFonts w:hint="eastAsia" w:ascii="宋体" w:hAnsi="宋体" w:cs="宋体"/>
          <w:color w:val="000000" w:themeColor="text1"/>
          <w:szCs w:val="21"/>
          <w14:textFill>
            <w14:solidFill>
              <w14:schemeClr w14:val="tx1"/>
            </w14:solidFill>
          </w14:textFill>
        </w:rPr>
        <w:t>条的规定不予退还其磋商保证金。</w:t>
      </w:r>
    </w:p>
    <w:bookmarkEnd w:id="83"/>
    <w:p w14:paraId="72B82C9D">
      <w:pPr>
        <w:spacing w:line="360" w:lineRule="auto"/>
        <w:rPr>
          <w:rFonts w:ascii="宋体"/>
          <w:color w:val="000000" w:themeColor="text1"/>
          <w:szCs w:val="21"/>
          <w14:textFill>
            <w14:solidFill>
              <w14:schemeClr w14:val="tx1"/>
            </w14:solidFill>
          </w14:textFill>
        </w:rPr>
      </w:pPr>
    </w:p>
    <w:p w14:paraId="5B50B8DB">
      <w:pPr>
        <w:spacing w:line="360" w:lineRule="auto"/>
        <w:ind w:left="420" w:firstLine="420"/>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14:paraId="6A2DF62D">
      <w:pPr>
        <w:spacing w:line="360" w:lineRule="auto"/>
        <w:ind w:left="420" w:firstLine="420"/>
        <w:rPr>
          <w:rFonts w:ascii="宋体"/>
          <w:color w:val="000000" w:themeColor="text1"/>
          <w:szCs w:val="21"/>
          <w14:textFill>
            <w14:solidFill>
              <w14:schemeClr w14:val="tx1"/>
            </w14:solidFill>
          </w14:textFill>
        </w:rPr>
      </w:pPr>
    </w:p>
    <w:p w14:paraId="20A72D9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24.</w:t>
      </w:r>
      <w:r>
        <w:rPr>
          <w:rFonts w:hint="eastAsia" w:ascii="黑体" w:hAnsi="黑体" w:eastAsia="黑体" w:cs="宋体"/>
          <w:b/>
          <w:bCs/>
          <w:color w:val="000000" w:themeColor="text1"/>
          <w:sz w:val="24"/>
          <w14:textFill>
            <w14:solidFill>
              <w14:schemeClr w14:val="tx1"/>
            </w14:solidFill>
          </w14:textFill>
        </w:rPr>
        <w:t>磋商小组成立</w:t>
      </w:r>
    </w:p>
    <w:p w14:paraId="384943F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w:t>
      </w:r>
      <w:r>
        <w:rPr>
          <w:rFonts w:hint="eastAsia" w:ascii="宋体" w:hAnsi="宋体" w:cs="宋体"/>
          <w:color w:val="000000" w:themeColor="text1"/>
          <w:szCs w:val="21"/>
          <w14:textFill>
            <w14:solidFill>
              <w14:schemeClr w14:val="tx1"/>
            </w14:solidFill>
          </w14:textFill>
        </w:rPr>
        <w:t>磋商小组由采购人代表和评审专家共</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人以上单数组成，具体人数见“供应商须知前附表”，其中评审专家人数不得少于磋商小组成员总数的</w:t>
      </w: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。采购人代表不得以评审专家身份参加本部门或者本单位采购项目的评审。采购代理机构人员不得参加本机构代理的采购项目的评审。</w:t>
      </w:r>
    </w:p>
    <w:p w14:paraId="7D5CE609">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24.2</w:t>
      </w:r>
      <w:r>
        <w:rPr>
          <w:rFonts w:hint="eastAsia" w:ascii="宋体" w:hAnsi="宋体" w:cs="宋体"/>
          <w:color w:val="000000" w:themeColor="text1"/>
          <w:szCs w:val="21"/>
          <w14:textFill>
            <w14:solidFill>
              <w14:schemeClr w14:val="tx1"/>
            </w14:solidFill>
          </w14:textFill>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名法律专家。</w:t>
      </w:r>
    </w:p>
    <w:p w14:paraId="1D430D7B">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24.3</w:t>
      </w:r>
      <w:r>
        <w:rPr>
          <w:rFonts w:hint="eastAsia" w:hAnsi="宋体"/>
          <w:bCs/>
          <w:color w:val="000000" w:themeColor="text1"/>
          <w:szCs w:val="21"/>
          <w14:textFill>
            <w14:solidFill>
              <w14:schemeClr w14:val="tx1"/>
            </w14:solidFill>
          </w14:textFill>
        </w:rPr>
        <w:t>采购代理机构</w:t>
      </w:r>
      <w:r>
        <w:rPr>
          <w:rFonts w:hint="eastAsia" w:hAnsi="宋体"/>
          <w:bCs/>
          <w:color w:val="000000" w:themeColor="text1"/>
          <w14:textFill>
            <w14:solidFill>
              <w14:schemeClr w14:val="tx1"/>
            </w14:solidFill>
          </w14:textFill>
        </w:rPr>
        <w:t>应当</w:t>
      </w:r>
      <w:r>
        <w:rPr>
          <w:rFonts w:hint="eastAsia" w:hAnsi="宋体"/>
          <w:bCs/>
          <w:color w:val="000000" w:themeColor="text1"/>
          <w:szCs w:val="21"/>
          <w14:textFill>
            <w14:solidFill>
              <w14:schemeClr w14:val="tx1"/>
            </w14:solidFill>
          </w14:textFill>
        </w:rPr>
        <w:t>基于“</w:t>
      </w:r>
      <w:r>
        <w:rPr>
          <w:rFonts w:hint="eastAsia" w:hAnsi="宋体"/>
          <w:bCs/>
          <w:color w:val="000000" w:themeColor="text1"/>
          <w:szCs w:val="21"/>
          <w:lang w:eastAsia="zh-CN"/>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”平台</w:t>
      </w:r>
      <w:r>
        <w:rPr>
          <w:rFonts w:hint="eastAsia" w:hAnsi="宋体"/>
          <w:bCs/>
          <w:color w:val="000000" w:themeColor="text1"/>
          <w14:textFill>
            <w14:solidFill>
              <w14:schemeClr w14:val="tx1"/>
            </w14:solidFill>
          </w14:textFill>
        </w:rPr>
        <w:t>抽（选）取</w:t>
      </w:r>
      <w:r>
        <w:rPr>
          <w:rFonts w:hint="eastAsia" w:hAnsi="宋体"/>
          <w:bCs/>
          <w:color w:val="000000" w:themeColor="text1"/>
          <w:szCs w:val="21"/>
          <w14:textFill>
            <w14:solidFill>
              <w14:schemeClr w14:val="tx1"/>
            </w14:solidFill>
          </w14:textFill>
        </w:rPr>
        <w:t>评审专家。</w:t>
      </w:r>
    </w:p>
    <w:p w14:paraId="6EBE2E5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25.</w:t>
      </w:r>
      <w:r>
        <w:rPr>
          <w:rFonts w:hint="eastAsia" w:ascii="黑体" w:hAnsi="黑体" w:eastAsia="黑体" w:cs="宋体"/>
          <w:b/>
          <w:bCs/>
          <w:color w:val="000000" w:themeColor="text1"/>
          <w:sz w:val="24"/>
          <w14:textFill>
            <w14:solidFill>
              <w14:schemeClr w14:val="tx1"/>
            </w14:solidFill>
          </w14:textFill>
        </w:rPr>
        <w:t>首次响应文件的开启和解密</w:t>
      </w:r>
    </w:p>
    <w:p w14:paraId="7019AAA5">
      <w:pPr>
        <w:spacing w:line="360" w:lineRule="auto"/>
        <w:ind w:firstLine="420" w:firstLineChars="200"/>
        <w:rPr>
          <w:rFonts w:ascii="宋体" w:cs="宋体"/>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采购代理机构将在“供应商须知前附表”规定的时</w:t>
      </w:r>
      <w:r>
        <w:rPr>
          <w:rFonts w:hint="eastAsia" w:hAnsi="宋体"/>
          <w:color w:val="000000" w:themeColor="text1"/>
          <w14:textFill>
            <w14:solidFill>
              <w14:schemeClr w14:val="tx1"/>
            </w14:solidFill>
          </w14:textFill>
        </w:rPr>
        <w:t>间通过电子交易平台组织响应文件开启，供应商的法定代表人或其委托代理人须携带加密时所用的</w:t>
      </w:r>
      <w:r>
        <w:rPr>
          <w:rFonts w:hAnsi="宋体"/>
          <w:color w:val="000000" w:themeColor="text1"/>
          <w14:textFill>
            <w14:solidFill>
              <w14:schemeClr w14:val="tx1"/>
            </w14:solidFill>
          </w14:textFill>
        </w:rPr>
        <w:t>CA</w:t>
      </w:r>
      <w:r>
        <w:rPr>
          <w:rFonts w:hint="eastAsia" w:hAnsi="宋体"/>
          <w:color w:val="000000" w:themeColor="text1"/>
          <w14:textFill>
            <w14:solidFill>
              <w14:schemeClr w14:val="tx1"/>
            </w14:solidFill>
          </w14:textFill>
        </w:rPr>
        <w:t>锁，按平台提示和磋商文件的规定登录到“</w:t>
      </w:r>
      <w:r>
        <w:rPr>
          <w:rFonts w:hint="eastAsia" w:hAnsi="宋体"/>
          <w:color w:val="000000" w:themeColor="text1"/>
          <w:lang w:eastAsia="zh-CN"/>
          <w14:textFill>
            <w14:solidFill>
              <w14:schemeClr w14:val="tx1"/>
            </w14:solidFill>
          </w14:textFill>
        </w:rPr>
        <w:t>广西政府采购云平台</w:t>
      </w:r>
      <w:r>
        <w:rPr>
          <w:rFonts w:hint="eastAsia" w:hAnsi="宋体"/>
          <w:color w:val="000000" w:themeColor="text1"/>
          <w14:textFill>
            <w14:solidFill>
              <w14:schemeClr w14:val="tx1"/>
            </w14:solidFill>
          </w14:textFill>
        </w:rPr>
        <w:t>”平台电子开标大厅签到，</w:t>
      </w:r>
      <w:r>
        <w:rPr>
          <w:rFonts w:hint="eastAsia"/>
          <w:color w:val="000000" w:themeColor="text1"/>
          <w14:textFill>
            <w14:solidFill>
              <w14:schemeClr w14:val="tx1"/>
            </w14:solidFill>
          </w14:textFill>
        </w:rPr>
        <w:t>采购代理机构依托“</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”平台向各供应商发出电子加密响应文件【开始解密】通知，由供应商按</w:t>
      </w:r>
      <w:r>
        <w:rPr>
          <w:rFonts w:hint="eastAsia" w:hAnsi="宋体"/>
          <w:bCs/>
          <w:color w:val="000000" w:themeColor="text1"/>
          <w:szCs w:val="21"/>
          <w14:textFill>
            <w14:solidFill>
              <w14:schemeClr w14:val="tx1"/>
            </w14:solidFill>
          </w14:textFill>
        </w:rPr>
        <w:t>“供应商须知前附表”</w:t>
      </w:r>
      <w:r>
        <w:rPr>
          <w:rFonts w:hint="eastAsia"/>
          <w:color w:val="000000" w:themeColor="text1"/>
          <w14:textFill>
            <w14:solidFill>
              <w14:schemeClr w14:val="tx1"/>
            </w14:solidFill>
          </w14:textFill>
        </w:rPr>
        <w:t>规定的时间内自行进行响应文件解密</w:t>
      </w:r>
      <w:r>
        <w:rPr>
          <w:rFonts w:hint="eastAsia" w:hAnsi="宋体"/>
          <w:color w:val="000000" w:themeColor="text1"/>
          <w14:textFill>
            <w14:solidFill>
              <w14:schemeClr w14:val="tx1"/>
            </w14:solidFill>
          </w14:textFill>
        </w:rPr>
        <w:t>。</w:t>
      </w:r>
      <w:r>
        <w:rPr>
          <w:rFonts w:hint="eastAsia"/>
          <w:b/>
          <w:color w:val="000000" w:themeColor="text1"/>
          <w14:textFill>
            <w14:solidFill>
              <w14:schemeClr w14:val="tx1"/>
            </w14:solidFill>
          </w14:textFill>
        </w:rPr>
        <w:t>供应商未在规定的时间内解密响应文件或者解密失败的，供应商</w:t>
      </w:r>
      <w:r>
        <w:rPr>
          <w:rFonts w:hint="eastAsia" w:ascii="宋体" w:hAnsi="宋体"/>
          <w:b/>
          <w:color w:val="000000" w:themeColor="text1"/>
          <w:szCs w:val="21"/>
          <w14:textFill>
            <w14:solidFill>
              <w14:schemeClr w14:val="tx1"/>
            </w14:solidFill>
          </w14:textFill>
        </w:rPr>
        <w:t>的响应文件按无效处理</w:t>
      </w:r>
      <w:r>
        <w:rPr>
          <w:rFonts w:hint="eastAsia"/>
          <w:b/>
          <w:color w:val="000000" w:themeColor="text1"/>
          <w14:textFill>
            <w14:solidFill>
              <w14:schemeClr w14:val="tx1"/>
            </w14:solidFill>
          </w14:textFill>
        </w:rPr>
        <w:t>。</w:t>
      </w:r>
    </w:p>
    <w:p w14:paraId="69C3BF3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26.</w:t>
      </w:r>
      <w:r>
        <w:rPr>
          <w:rFonts w:hint="eastAsia" w:ascii="黑体" w:hAnsi="黑体" w:eastAsia="黑体" w:cs="宋体"/>
          <w:b/>
          <w:bCs/>
          <w:color w:val="000000" w:themeColor="text1"/>
          <w:sz w:val="24"/>
          <w14:textFill>
            <w14:solidFill>
              <w14:schemeClr w14:val="tx1"/>
            </w14:solidFill>
          </w14:textFill>
        </w:rPr>
        <w:t>评审程序、评审方法和评审标准</w:t>
      </w:r>
    </w:p>
    <w:p w14:paraId="26B2ECA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26.1</w:t>
      </w:r>
      <w:r>
        <w:rPr>
          <w:rFonts w:hint="eastAsia" w:ascii="宋体" w:hAnsi="宋体" w:cs="宋体"/>
          <w:color w:val="000000" w:themeColor="text1"/>
          <w:szCs w:val="21"/>
          <w14:textFill>
            <w14:solidFill>
              <w14:schemeClr w14:val="tx1"/>
            </w14:solidFill>
          </w14:textFill>
        </w:rPr>
        <w:t>本项目的评审方法为综合评分法。</w:t>
      </w:r>
    </w:p>
    <w:p w14:paraId="3F680E4C">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26.2</w:t>
      </w:r>
      <w:r>
        <w:rPr>
          <w:rFonts w:hint="eastAsia" w:ascii="宋体" w:hAnsi="宋体" w:cs="宋体"/>
          <w:color w:val="000000" w:themeColor="text1"/>
          <w:szCs w:val="21"/>
          <w14:textFill>
            <w14:solidFill>
              <w14:schemeClr w14:val="tx1"/>
            </w14:solidFill>
          </w14:textFill>
        </w:rPr>
        <w:t>磋商小组按照“第四章评审程序、评审方法和评审标准”规定的方法、评审因素、标准和程序对响应文件进行评审并推荐成交候选供应商。</w:t>
      </w:r>
    </w:p>
    <w:p w14:paraId="6FD3D509">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26.3 </w:t>
      </w:r>
      <w:r>
        <w:rPr>
          <w:rFonts w:hint="eastAsia" w:ascii="宋体" w:hAnsi="宋体"/>
          <w:color w:val="000000" w:themeColor="text1"/>
          <w:szCs w:val="21"/>
          <w14:textFill>
            <w14:solidFill>
              <w14:schemeClr w14:val="tx1"/>
            </w14:solidFill>
          </w14:textFill>
        </w:rPr>
        <w:t>商务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技术要求允许负偏离的条款数详见“供应商须知前附表”。</w:t>
      </w:r>
    </w:p>
    <w:p w14:paraId="5F2D7FB6">
      <w:pPr>
        <w:spacing w:line="360" w:lineRule="auto"/>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26.4</w:t>
      </w:r>
      <w:r>
        <w:rPr>
          <w:rFonts w:hint="eastAsia" w:ascii="宋体" w:hAnsi="宋体" w:cs="宋体"/>
          <w:color w:val="000000" w:themeColor="text1"/>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E58CA05">
      <w:pPr>
        <w:spacing w:line="360" w:lineRule="auto"/>
        <w:ind w:firstLine="420" w:firstLineChars="200"/>
        <w:rPr>
          <w:rFonts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26.5</w:t>
      </w:r>
      <w:r>
        <w:rPr>
          <w:rFonts w:hint="eastAsia" w:hAnsi="宋体"/>
          <w:color w:val="000000" w:themeColor="text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5B960C9B">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）电子交易平台发生故障而无法登录访问的；</w:t>
      </w:r>
    </w:p>
    <w:p w14:paraId="3EEF82C7">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）电子交易平台应用或数据库出现错误，不能进行正常操作的；</w:t>
      </w:r>
    </w:p>
    <w:p w14:paraId="0D305769">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）电子交易平台发现严重安全漏洞，有潜在泄密危险的；</w:t>
      </w:r>
    </w:p>
    <w:p w14:paraId="05E7B315">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）病毒发作导致不能进行正常操作的；</w:t>
      </w:r>
    </w:p>
    <w:p w14:paraId="393AC140">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）其他无法保证电子交易的公平、公正和安全的情况。</w:t>
      </w:r>
    </w:p>
    <w:p w14:paraId="18776389">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26.6</w:t>
      </w:r>
      <w:r>
        <w:rPr>
          <w:rFonts w:hint="eastAsia" w:hAnsi="宋体"/>
          <w:color w:val="000000" w:themeColor="text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B95FBE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27.</w:t>
      </w:r>
      <w:r>
        <w:rPr>
          <w:rFonts w:hint="eastAsia" w:ascii="黑体" w:hAnsi="黑体" w:eastAsia="黑体" w:cs="宋体"/>
          <w:b/>
          <w:bCs/>
          <w:color w:val="000000" w:themeColor="text1"/>
          <w:sz w:val="24"/>
          <w14:textFill>
            <w14:solidFill>
              <w14:schemeClr w14:val="tx1"/>
            </w14:solidFill>
          </w14:textFill>
        </w:rPr>
        <w:t>确定成交供应商及结果公告</w:t>
      </w:r>
    </w:p>
    <w:p w14:paraId="35B96428">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27.1</w:t>
      </w:r>
      <w:r>
        <w:rPr>
          <w:rFonts w:hint="eastAsia" w:ascii="宋体" w:hAnsi="宋体" w:cs="宋体"/>
          <w:color w:val="000000" w:themeColor="text1"/>
          <w:szCs w:val="21"/>
          <w14:textFill>
            <w14:solidFill>
              <w14:schemeClr w14:val="tx1"/>
            </w14:solidFill>
          </w14:textFill>
        </w:rPr>
        <w:t>采购代理机构应当在评审结束后</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个工作日内将评审报告送采购人确认。采购人应当在收到评审报告后</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23BA26">
      <w:pPr>
        <w:spacing w:line="360" w:lineRule="auto"/>
        <w:ind w:firstLine="420" w:firstLineChars="200"/>
        <w:rPr>
          <w:rFonts w:ascii="宋体" w:cs="Courier New"/>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27.2</w:t>
      </w:r>
      <w:r>
        <w:rPr>
          <w:rFonts w:hint="eastAsia" w:ascii="宋体" w:hAnsi="宋体" w:cs="宋体"/>
          <w:color w:val="000000" w:themeColor="text1"/>
          <w:szCs w:val="21"/>
          <w14:textFill>
            <w14:solidFill>
              <w14:schemeClr w14:val="tx1"/>
            </w14:solidFill>
          </w14:textFill>
        </w:rPr>
        <w:t>采购代理机构应当在</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color w:val="000000" w:themeColor="text1"/>
          <w:szCs w:val="21"/>
          <w14:textFill>
            <w14:solidFill>
              <w14:schemeClr w14:val="tx1"/>
            </w14:solidFill>
          </w14:textFill>
        </w:rPr>
        <w:t>成交供应商享受</w:t>
      </w:r>
      <w:r>
        <w:rPr>
          <w:rFonts w:hint="eastAsia" w:ascii="宋体" w:hAnsi="宋体"/>
          <w:color w:val="000000" w:themeColor="text1"/>
          <w:szCs w:val="21"/>
          <w14:textFill>
            <w14:solidFill>
              <w14:schemeClr w14:val="tx1"/>
            </w14:solidFill>
          </w14:textFill>
        </w:rPr>
        <w:t>《政府采购促进中小企业发展管理办法》（财库〔</w:t>
      </w:r>
      <w:r>
        <w:rPr>
          <w:rFonts w:ascii="宋体" w:hAnsi="宋体"/>
          <w:color w:val="000000" w:themeColor="text1"/>
          <w:szCs w:val="21"/>
          <w14:textFill>
            <w14:solidFill>
              <w14:schemeClr w14:val="tx1"/>
            </w14:solidFill>
          </w14:textFill>
        </w:rPr>
        <w:t>2020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46</w:t>
      </w:r>
      <w:r>
        <w:rPr>
          <w:rFonts w:hint="eastAsia" w:ascii="宋体" w:hAnsi="宋体"/>
          <w:color w:val="000000" w:themeColor="text1"/>
          <w:szCs w:val="21"/>
          <w14:textFill>
            <w14:solidFill>
              <w14:schemeClr w14:val="tx1"/>
            </w14:solidFill>
          </w14:textFill>
        </w:rPr>
        <w:t>号）规定的中小企业扶持</w:t>
      </w:r>
      <w:r>
        <w:rPr>
          <w:rFonts w:hint="eastAsia" w:ascii="宋体" w:hAnsi="宋体" w:cs="Courier New"/>
          <w:color w:val="000000" w:themeColor="text1"/>
          <w:szCs w:val="21"/>
          <w14:textFill>
            <w14:solidFill>
              <w14:schemeClr w14:val="tx1"/>
            </w14:solidFill>
          </w14:textFill>
        </w:rPr>
        <w:t>政策的，采购人、采购代理机构应当随成交结果公开成交供应商的《中小企业声明函》。</w:t>
      </w:r>
      <w:bookmarkEnd w:id="84"/>
    </w:p>
    <w:p w14:paraId="7D1B1128">
      <w:pPr>
        <w:spacing w:line="360" w:lineRule="auto"/>
        <w:ind w:firstLine="420" w:firstLineChars="200"/>
        <w:rPr>
          <w:rFonts w:asci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27.3</w:t>
      </w:r>
      <w:r>
        <w:rPr>
          <w:rFonts w:hint="eastAsia" w:ascii="宋体" w:hAnsi="宋体" w:cs="Courier New"/>
          <w:color w:val="000000" w:themeColor="text1"/>
          <w:szCs w:val="21"/>
          <w14:textFill>
            <w14:solidFill>
              <w14:schemeClr w14:val="tx1"/>
            </w14:solidFill>
          </w14:textFill>
        </w:rPr>
        <w:t>出现下列情形之一的，采购人或者采购代理机构应当终止竞争性磋商采购活动，发布项目终止公告并说明原因，重新开展采购活动：</w:t>
      </w:r>
    </w:p>
    <w:p w14:paraId="0B07B26A">
      <w:pPr>
        <w:spacing w:line="360" w:lineRule="auto"/>
        <w:ind w:firstLine="420" w:firstLineChars="200"/>
        <w:rPr>
          <w:rFonts w:asci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1</w:t>
      </w:r>
      <w:r>
        <w:rPr>
          <w:rFonts w:hint="eastAsia" w:ascii="宋体" w:hAnsi="宋体" w:cs="Courier New"/>
          <w:color w:val="000000" w:themeColor="text1"/>
          <w:szCs w:val="21"/>
          <w14:textFill>
            <w14:solidFill>
              <w14:schemeClr w14:val="tx1"/>
            </w14:solidFill>
          </w14:textFill>
        </w:rPr>
        <w:t>）因情况变化，不再符合规定的竞争性磋商采购方式适用情形的；</w:t>
      </w:r>
    </w:p>
    <w:p w14:paraId="5C886C04">
      <w:pPr>
        <w:spacing w:line="360" w:lineRule="auto"/>
        <w:ind w:firstLine="420" w:firstLineChars="200"/>
        <w:rPr>
          <w:rFonts w:asci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2</w:t>
      </w:r>
      <w:r>
        <w:rPr>
          <w:rFonts w:hint="eastAsia" w:ascii="宋体" w:hAnsi="宋体" w:cs="Courier New"/>
          <w:color w:val="000000" w:themeColor="text1"/>
          <w:szCs w:val="21"/>
          <w14:textFill>
            <w14:solidFill>
              <w14:schemeClr w14:val="tx1"/>
            </w14:solidFill>
          </w14:textFill>
        </w:rPr>
        <w:t>）出现影响采购公正的违法、违规行为的；</w:t>
      </w:r>
    </w:p>
    <w:p w14:paraId="2C43EB1F">
      <w:pPr>
        <w:spacing w:line="360" w:lineRule="auto"/>
        <w:ind w:firstLine="420" w:firstLineChars="200"/>
        <w:rPr>
          <w:rFonts w:asci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w:t>
      </w:r>
      <w:r>
        <w:rPr>
          <w:rFonts w:ascii="宋体" w:hAnsi="宋体" w:cs="Courier New"/>
          <w:color w:val="000000" w:themeColor="text1"/>
          <w:szCs w:val="21"/>
          <w14:textFill>
            <w14:solidFill>
              <w14:schemeClr w14:val="tx1"/>
            </w14:solidFill>
          </w14:textFill>
        </w:rPr>
        <w:t>3</w:t>
      </w:r>
      <w:r>
        <w:rPr>
          <w:rFonts w:hint="eastAsia" w:ascii="宋体" w:hAnsi="宋体" w:cs="Courier New"/>
          <w:color w:val="000000" w:themeColor="text1"/>
          <w:szCs w:val="21"/>
          <w14:textFill>
            <w14:solidFill>
              <w14:schemeClr w14:val="tx1"/>
            </w14:solidFill>
          </w14:textFill>
        </w:rPr>
        <w:t>）除“第四章评审程序、评审方法和评审标准”第</w:t>
      </w:r>
      <w:r>
        <w:rPr>
          <w:rFonts w:ascii="宋体" w:hAnsi="宋体" w:cs="Courier New"/>
          <w:color w:val="000000" w:themeColor="text1"/>
          <w:szCs w:val="21"/>
          <w14:textFill>
            <w14:solidFill>
              <w14:schemeClr w14:val="tx1"/>
            </w14:solidFill>
          </w14:textFill>
        </w:rPr>
        <w:t>4.3</w:t>
      </w:r>
      <w:r>
        <w:rPr>
          <w:rFonts w:hint="eastAsia" w:ascii="宋体" w:hAnsi="宋体" w:cs="Courier New"/>
          <w:color w:val="000000" w:themeColor="text1"/>
          <w:szCs w:val="21"/>
          <w14:textFill>
            <w14:solidFill>
              <w14:schemeClr w14:val="tx1"/>
            </w14:solidFill>
          </w14:textFill>
        </w:rPr>
        <w:t>条规定的情形外，在采购过程中符合要求的供应商或者报价未超过采购预算的供应商不足</w:t>
      </w:r>
      <w:r>
        <w:rPr>
          <w:rFonts w:ascii="宋体" w:hAnsi="宋体" w:cs="Courier New"/>
          <w:color w:val="000000" w:themeColor="text1"/>
          <w:szCs w:val="21"/>
          <w14:textFill>
            <w14:solidFill>
              <w14:schemeClr w14:val="tx1"/>
            </w14:solidFill>
          </w14:textFill>
        </w:rPr>
        <w:t>3</w:t>
      </w:r>
      <w:r>
        <w:rPr>
          <w:rFonts w:hint="eastAsia" w:ascii="宋体" w:hAnsi="宋体" w:cs="Courier New"/>
          <w:color w:val="000000" w:themeColor="text1"/>
          <w:szCs w:val="21"/>
          <w14:textFill>
            <w14:solidFill>
              <w14:schemeClr w14:val="tx1"/>
            </w14:solidFill>
          </w14:textFill>
        </w:rPr>
        <w:t>家的。</w:t>
      </w:r>
    </w:p>
    <w:p w14:paraId="752AE68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 xml:space="preserve">27.4 </w:t>
      </w:r>
      <w:r>
        <w:rPr>
          <w:rFonts w:hint="eastAsia" w:ascii="宋体" w:hAnsi="宋体" w:cs="Courier New"/>
          <w:color w:val="000000" w:themeColor="text1"/>
          <w:szCs w:val="21"/>
          <w14:textFill>
            <w14:solidFill>
              <w14:schemeClr w14:val="tx1"/>
            </w14:solidFill>
          </w14:textFill>
        </w:rPr>
        <w:t>在采购活动中因重大变故，采购任务取消的，采购人或者采购代理机构应当终止采购活动，通知所有参加采购活动的供应商，并将项目实施情况和采购任务取消原因报送本级财政部门。</w:t>
      </w:r>
    </w:p>
    <w:p w14:paraId="7E3024B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28.</w:t>
      </w:r>
      <w:r>
        <w:rPr>
          <w:rFonts w:hint="eastAsia" w:ascii="黑体" w:hAnsi="黑体" w:eastAsia="黑体" w:cs="宋体"/>
          <w:b/>
          <w:bCs/>
          <w:color w:val="000000" w:themeColor="text1"/>
          <w:sz w:val="24"/>
          <w14:textFill>
            <w14:solidFill>
              <w14:schemeClr w14:val="tx1"/>
            </w14:solidFill>
          </w14:textFill>
        </w:rPr>
        <w:t>履约保证金</w:t>
      </w:r>
    </w:p>
    <w:p w14:paraId="0E6225F5">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r>
        <w:rPr>
          <w:rFonts w:hint="eastAsia" w:ascii="宋体" w:hAnsi="宋体" w:cs="宋体"/>
          <w:color w:val="000000" w:themeColor="text1"/>
          <w:szCs w:val="21"/>
          <w14:textFill>
            <w14:solidFill>
              <w14:schemeClr w14:val="tx1"/>
            </w14:solidFill>
          </w14:textFill>
        </w:rPr>
        <w:t>履约保证金的金额、提交方式、退付的时间和条件详见“供应商须知前附表”。成交供应商未按规定提交履约保证金的，视为拒绝</w:t>
      </w:r>
      <w:r>
        <w:rPr>
          <w:rFonts w:hint="eastAsia" w:ascii="宋体" w:hAnsi="宋体"/>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w:t>
      </w:r>
    </w:p>
    <w:p w14:paraId="4741C7A3">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28.2</w:t>
      </w:r>
      <w:r>
        <w:rPr>
          <w:rFonts w:hint="eastAsia" w:ascii="宋体" w:hAnsi="宋体" w:cs="宋体"/>
          <w:color w:val="000000" w:themeColor="text1"/>
          <w:szCs w:val="21"/>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70CD157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29.</w:t>
      </w:r>
      <w:r>
        <w:rPr>
          <w:rFonts w:hint="eastAsia" w:ascii="黑体" w:hAnsi="黑体" w:eastAsia="黑体" w:cs="宋体"/>
          <w:b/>
          <w:bCs/>
          <w:color w:val="000000" w:themeColor="text1"/>
          <w:sz w:val="24"/>
          <w14:textFill>
            <w14:solidFill>
              <w14:schemeClr w14:val="tx1"/>
            </w14:solidFill>
          </w14:textFill>
        </w:rPr>
        <w:t>签订合同</w:t>
      </w:r>
    </w:p>
    <w:p w14:paraId="6B055E77">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r>
        <w:rPr>
          <w:rFonts w:hint="eastAsia" w:ascii="宋体" w:hAnsi="宋体" w:cs="宋体"/>
          <w:color w:val="000000" w:themeColor="text1"/>
          <w:szCs w:val="21"/>
          <w14:textFill>
            <w14:solidFill>
              <w14:schemeClr w14:val="tx1"/>
            </w14:solidFill>
          </w14:textFill>
        </w:rPr>
        <w:t>签订电子采购合同：成交供应商领取电子成交通知书后，在</w:t>
      </w:r>
      <w:r>
        <w:rPr>
          <w:rFonts w:hint="eastAsia" w:ascii="宋体" w:hAnsi="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47A1E0D1">
      <w:pPr>
        <w:spacing w:line="360" w:lineRule="auto"/>
        <w:ind w:firstLine="424" w:firstLineChars="202"/>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12A1684C">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29.2</w:t>
      </w:r>
      <w:r>
        <w:rPr>
          <w:rFonts w:hint="eastAsia" w:ascii="宋体" w:hAnsi="宋体" w:cs="宋体"/>
          <w:color w:val="000000" w:themeColor="text1"/>
          <w:szCs w:val="21"/>
          <w14:textFill>
            <w14:solidFill>
              <w14:schemeClr w14:val="tx1"/>
            </w14:solidFill>
          </w14:textFill>
        </w:rPr>
        <w:t>签订合同时间：按成交通知书规定的时间与采购人签订合同。</w:t>
      </w:r>
    </w:p>
    <w:p w14:paraId="72F45C3E">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29.3</w:t>
      </w:r>
      <w:r>
        <w:rPr>
          <w:rFonts w:hint="eastAsia" w:ascii="宋体" w:hAnsi="宋体" w:cs="宋体"/>
          <w:color w:val="000000" w:themeColor="text1"/>
          <w:szCs w:val="21"/>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53E493">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29.4</w:t>
      </w:r>
      <w:r>
        <w:rPr>
          <w:rFonts w:hint="eastAsia" w:ascii="宋体" w:hAnsi="宋体" w:cs="宋体"/>
          <w:color w:val="000000" w:themeColor="text1"/>
          <w:szCs w:val="21"/>
          <w14:textFill>
            <w14:solidFill>
              <w14:schemeClr w14:val="tx1"/>
            </w14:solidFill>
          </w14:textFill>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2399CA0">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29.5</w:t>
      </w:r>
      <w:r>
        <w:rPr>
          <w:rFonts w:hint="eastAsia" w:ascii="宋体" w:hAnsi="宋体" w:cs="宋体"/>
          <w:color w:val="000000" w:themeColor="text1"/>
          <w:szCs w:val="21"/>
          <w14:textFill>
            <w14:solidFill>
              <w14:schemeClr w14:val="tx1"/>
            </w14:solidFill>
          </w14:textFill>
        </w:rPr>
        <w:t>采购人或成交供应商不得单方面向合同另一方提出任何磋商文件没有约定的条件或不合理的要求，作为签订合同的条件；也不得协商另行订立背离磋商文件和合同实质性内容的协议。</w:t>
      </w:r>
    </w:p>
    <w:p w14:paraId="17AAD936">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29.6</w:t>
      </w:r>
      <w:r>
        <w:rPr>
          <w:rFonts w:hint="eastAsia" w:ascii="宋体" w:hAnsi="宋体" w:cs="宋体"/>
          <w:color w:val="000000" w:themeColor="text1"/>
          <w:szCs w:val="21"/>
          <w14:textFill>
            <w14:solidFill>
              <w14:schemeClr w14:val="tx1"/>
            </w14:solidFill>
          </w14:textFill>
        </w:rPr>
        <w:t>如签订合同并生效后，供应商无故拒绝或延期，除按照合同条款处理外，将承担相应的法律责任。</w:t>
      </w:r>
    </w:p>
    <w:p w14:paraId="6A8164DA">
      <w:pPr>
        <w:spacing w:line="360" w:lineRule="auto"/>
        <w:ind w:firstLine="424" w:firstLineChars="202"/>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29.7</w:t>
      </w:r>
      <w:r>
        <w:rPr>
          <w:rFonts w:hint="eastAsia" w:ascii="宋体" w:hAnsi="宋体" w:cs="宋体"/>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w:t>
      </w:r>
    </w:p>
    <w:p w14:paraId="155EF49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30.</w:t>
      </w:r>
      <w:r>
        <w:rPr>
          <w:rFonts w:hint="eastAsia" w:ascii="黑体" w:hAnsi="黑体" w:eastAsia="黑体" w:cs="宋体"/>
          <w:b/>
          <w:bCs/>
          <w:color w:val="000000" w:themeColor="text1"/>
          <w:sz w:val="24"/>
          <w14:textFill>
            <w14:solidFill>
              <w14:schemeClr w14:val="tx1"/>
            </w14:solidFill>
          </w14:textFill>
        </w:rPr>
        <w:t>政府采购合同公告</w:t>
      </w:r>
    </w:p>
    <w:p w14:paraId="1950C35F">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个工作日内，将政府采购合同在省级以上人民政府财政部门指定的媒体上公告，但政府采购合同中涉及国家秘密、商业秘密的内容除外。</w:t>
      </w:r>
    </w:p>
    <w:p w14:paraId="24BDC95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 xml:space="preserve">31. </w:t>
      </w:r>
      <w:r>
        <w:rPr>
          <w:rFonts w:hint="eastAsia" w:ascii="黑体" w:hAnsi="黑体" w:eastAsia="黑体" w:cs="宋体"/>
          <w:b/>
          <w:bCs/>
          <w:color w:val="000000" w:themeColor="text1"/>
          <w:sz w:val="24"/>
          <w14:textFill>
            <w14:solidFill>
              <w14:schemeClr w14:val="tx1"/>
            </w14:solidFill>
          </w14:textFill>
        </w:rPr>
        <w:t>询问、质疑和投诉</w:t>
      </w:r>
    </w:p>
    <w:p w14:paraId="7FB747CF">
      <w:pPr>
        <w:pStyle w:val="7"/>
        <w:spacing w:line="360" w:lineRule="auto"/>
        <w:rPr>
          <w:rFonts w:ascii="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31.1</w:t>
      </w:r>
      <w:r>
        <w:rPr>
          <w:rFonts w:hint="eastAsia" w:ascii="宋体" w:hAnsi="宋体" w:cs="宋体"/>
          <w:color w:val="000000" w:themeColor="text1"/>
          <w14:textFill>
            <w14:solidFill>
              <w14:schemeClr w14:val="tx1"/>
            </w14:solidFill>
          </w14:textFill>
        </w:rPr>
        <w:t>供应商对政府采购活动事项有疑问的，可以向采购人、采购代理机构提出询问，采购人或者采购代理机构应当在</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个工作日内对供应商依法提出的询问作出答复，</w:t>
      </w:r>
      <w:r>
        <w:rPr>
          <w:rFonts w:hint="eastAsia" w:ascii="宋体" w:hAnsi="宋体"/>
          <w:color w:val="000000" w:themeColor="text1"/>
          <w:szCs w:val="21"/>
          <w14:textFill>
            <w14:solidFill>
              <w14:schemeClr w14:val="tx1"/>
            </w14:solidFill>
          </w14:textFill>
        </w:rPr>
        <w:t>但答复的内容不得涉及商业秘密</w:t>
      </w:r>
      <w:r>
        <w:rPr>
          <w:rFonts w:hint="eastAsia" w:ascii="宋体" w:hAnsi="宋体" w:cs="宋体"/>
          <w:color w:val="000000" w:themeColor="text1"/>
          <w14:textFill>
            <w14:solidFill>
              <w14:schemeClr w14:val="tx1"/>
            </w14:solidFill>
          </w14:textFill>
        </w:rPr>
        <w:t>。</w:t>
      </w:r>
    </w:p>
    <w:p w14:paraId="70A18F12">
      <w:pPr>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31.2</w:t>
      </w:r>
      <w:r>
        <w:rPr>
          <w:rFonts w:hint="eastAsia" w:ascii="宋体" w:hAnsi="宋体" w:cs="宋体"/>
          <w:color w:val="000000" w:themeColor="text1"/>
          <w14:textFill>
            <w14:solidFill>
              <w14:schemeClr w14:val="tx1"/>
            </w14:solidFill>
          </w14:textFill>
        </w:rPr>
        <w:t>供应商认为磋商文件、采购过程或者成交结果使自己的合法权益受到损害的，应当在知道或者应知其权益受到损害之日起</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个工作日内，以书面形式向采购人、采购代理机构提出质疑，</w:t>
      </w:r>
      <w:r>
        <w:rPr>
          <w:rFonts w:hint="eastAsia" w:ascii="宋体" w:hAnsi="宋体" w:cs="Arial"/>
          <w:color w:val="000000" w:themeColor="text1"/>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。具体质疑起算时间如下：</w:t>
      </w:r>
    </w:p>
    <w:p w14:paraId="192D5B8D">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）对可以质疑的磋商文件提出质疑的，为获取磋商文件之日或者</w:t>
      </w:r>
      <w:r>
        <w:rPr>
          <w:rFonts w:hint="eastAsia" w:ascii="宋体" w:hAnsi="宋体"/>
          <w:color w:val="000000" w:themeColor="text1"/>
          <w14:textFill>
            <w14:solidFill>
              <w14:schemeClr w14:val="tx1"/>
            </w14:solidFill>
          </w14:textFill>
        </w:rPr>
        <w:t>竞争性磋商公告期限届满之日</w:t>
      </w:r>
      <w:r>
        <w:rPr>
          <w:rFonts w:hint="eastAsia" w:ascii="宋体" w:hAnsi="宋体" w:cs="宋体"/>
          <w:color w:val="000000" w:themeColor="text1"/>
          <w14:textFill>
            <w14:solidFill>
              <w14:schemeClr w14:val="tx1"/>
            </w14:solidFill>
          </w14:textFill>
        </w:rPr>
        <w:t>；</w:t>
      </w:r>
    </w:p>
    <w:p w14:paraId="1C1068BE">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）对采购过程提出质疑的，为各采购程序环节结束之日；</w:t>
      </w:r>
    </w:p>
    <w:p w14:paraId="3FCCA489">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）对成交结果提出质疑的，为成交结果公告期限届满之日。</w:t>
      </w:r>
    </w:p>
    <w:p w14:paraId="471EEA5D">
      <w:pPr>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31.3</w:t>
      </w:r>
      <w:r>
        <w:rPr>
          <w:rFonts w:hint="eastAsia" w:ascii="宋体" w:hAnsi="宋体" w:cs="宋体"/>
          <w:color w:val="000000" w:themeColor="text1"/>
          <w14:textFill>
            <w14:solidFill>
              <w14:schemeClr w14:val="tx1"/>
            </w14:solidFill>
          </w14:textFill>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10E7431C">
      <w:pPr>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31.4 </w:t>
      </w:r>
      <w:r>
        <w:rPr>
          <w:rFonts w:hint="eastAsia" w:ascii="宋体" w:hAnsi="宋体" w:cs="宋体"/>
          <w:color w:val="000000" w:themeColor="text1"/>
          <w14:textFill>
            <w14:solidFill>
              <w14:schemeClr w14:val="tx1"/>
            </w14:solidFill>
          </w14:textFill>
        </w:rPr>
        <w:t>供应商提出质疑应当提交质疑函和必要的证明材料，针对同一采购程序环节的质疑必须在法定质疑期内一次性提出。质疑函应当包括下列内容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2E874998">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）供应商的姓名或者名称、地址、邮编、联系人及联系电话；</w:t>
      </w:r>
    </w:p>
    <w:p w14:paraId="40B6A330">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）质疑项目的名称、编号；</w:t>
      </w:r>
    </w:p>
    <w:p w14:paraId="0C72248C">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）具体、明确的质疑事项和与质疑事项相关的请求；</w:t>
      </w:r>
    </w:p>
    <w:p w14:paraId="4C7775F6">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）事实依据；</w:t>
      </w:r>
    </w:p>
    <w:p w14:paraId="79DB8DE8">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）必要的法律依据；</w:t>
      </w:r>
    </w:p>
    <w:p w14:paraId="0F6E0E0F">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）提出质疑的日期。</w:t>
      </w:r>
    </w:p>
    <w:p w14:paraId="7AB41AE4">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060BADF">
      <w:pPr>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52F0BB45">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620E5D97">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03F955F2">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4DD7A3B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asci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质疑供应商对采购人、采购代理机构的答复不满意，或者采购人、采购代理机构未在规定时间内作出答复的，可以在答复期满后</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个工作日内向《政府采购质疑和投诉办法》（财政部令第</w:t>
      </w:r>
      <w:r>
        <w:rPr>
          <w:rFonts w:ascii="宋体" w:hAnsi="宋体" w:cs="宋体"/>
          <w:color w:val="000000" w:themeColor="text1"/>
          <w14:textFill>
            <w14:solidFill>
              <w14:schemeClr w14:val="tx1"/>
            </w14:solidFill>
          </w14:textFill>
        </w:rPr>
        <w:t>94</w:t>
      </w:r>
      <w:r>
        <w:rPr>
          <w:rFonts w:hint="eastAsia" w:ascii="宋体" w:hAnsi="宋体" w:cs="宋体"/>
          <w:color w:val="000000" w:themeColor="text1"/>
          <w14:textFill>
            <w14:solidFill>
              <w14:schemeClr w14:val="tx1"/>
            </w14:solidFill>
          </w14:textFill>
        </w:rPr>
        <w:t>号）第六条规定的财政部门提起投诉（投诉书格式后附）。</w:t>
      </w:r>
    </w:p>
    <w:p w14:paraId="356A1B0A">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32.</w:t>
      </w:r>
      <w:r>
        <w:rPr>
          <w:rFonts w:hint="eastAsia" w:ascii="黑体" w:hAnsi="黑体" w:eastAsia="黑体" w:cs="宋体"/>
          <w:b/>
          <w:bCs/>
          <w:color w:val="000000" w:themeColor="text1"/>
          <w:sz w:val="24"/>
          <w14:textFill>
            <w14:solidFill>
              <w14:schemeClr w14:val="tx1"/>
            </w14:solidFill>
          </w14:textFill>
        </w:rPr>
        <w:t>其他内容</w:t>
      </w:r>
    </w:p>
    <w:p w14:paraId="210830B3">
      <w:pPr>
        <w:tabs>
          <w:tab w:val="left" w:pos="2835"/>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r>
        <w:rPr>
          <w:rFonts w:hint="eastAsia" w:ascii="宋体" w:hAnsi="宋体" w:cs="宋体"/>
          <w:color w:val="000000" w:themeColor="text1"/>
          <w:szCs w:val="21"/>
          <w14:textFill>
            <w14:solidFill>
              <w14:schemeClr w14:val="tx1"/>
            </w14:solidFill>
          </w14:textFill>
        </w:rPr>
        <w:t>代理服务收取标准及缴费账户详见“供应商须知前附表”，供应商为联合体的，可以由联合体中的一方或者多方共同交纳代理服务费。</w:t>
      </w:r>
    </w:p>
    <w:p w14:paraId="637996D4">
      <w:pPr>
        <w:tabs>
          <w:tab w:val="left" w:pos="2835"/>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代理服务费收费计算标准：</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A2B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D38F8D5">
            <w:pPr>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费率</w:t>
            </w:r>
          </w:p>
          <w:p w14:paraId="50E29F6A">
            <w:pPr>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c>
          <w:tcPr>
            <w:tcW w:w="1659" w:type="dxa"/>
            <w:vAlign w:val="center"/>
          </w:tcPr>
          <w:p w14:paraId="691D805D">
            <w:pPr>
              <w:spacing w:line="360" w:lineRule="auto"/>
              <w:ind w:firstLine="105" w:firstLineChars="50"/>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w:t>
            </w:r>
          </w:p>
        </w:tc>
        <w:tc>
          <w:tcPr>
            <w:tcW w:w="1532" w:type="dxa"/>
            <w:vAlign w:val="center"/>
          </w:tcPr>
          <w:p w14:paraId="05830D3A">
            <w:pPr>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w:t>
            </w:r>
          </w:p>
        </w:tc>
        <w:tc>
          <w:tcPr>
            <w:tcW w:w="1546" w:type="dxa"/>
            <w:vAlign w:val="center"/>
          </w:tcPr>
          <w:p w14:paraId="4803415B">
            <w:pPr>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w:t>
            </w:r>
          </w:p>
        </w:tc>
      </w:tr>
      <w:tr w14:paraId="1FBB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9FF45C">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万元以下</w:t>
            </w:r>
          </w:p>
        </w:tc>
        <w:tc>
          <w:tcPr>
            <w:tcW w:w="1659" w:type="dxa"/>
          </w:tcPr>
          <w:p w14:paraId="2C163DD9">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  1.5%                </w:t>
            </w:r>
          </w:p>
        </w:tc>
        <w:tc>
          <w:tcPr>
            <w:tcW w:w="1532" w:type="dxa"/>
          </w:tcPr>
          <w:p w14:paraId="109D620E">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546" w:type="dxa"/>
          </w:tcPr>
          <w:p w14:paraId="1F61E26B">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1.0% </w:t>
            </w:r>
          </w:p>
        </w:tc>
      </w:tr>
      <w:tr w14:paraId="53BB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37295C">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万元</w:t>
            </w:r>
          </w:p>
        </w:tc>
        <w:tc>
          <w:tcPr>
            <w:tcW w:w="1659" w:type="dxa"/>
          </w:tcPr>
          <w:p w14:paraId="7EEF768B">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1.1%                 </w:t>
            </w:r>
          </w:p>
        </w:tc>
        <w:tc>
          <w:tcPr>
            <w:tcW w:w="1532" w:type="dxa"/>
          </w:tcPr>
          <w:p w14:paraId="6BDC28AD">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546" w:type="dxa"/>
          </w:tcPr>
          <w:p w14:paraId="3DDF3F22">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0.7% </w:t>
            </w:r>
          </w:p>
        </w:tc>
      </w:tr>
      <w:tr w14:paraId="754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FBBF73">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万元</w:t>
            </w:r>
          </w:p>
        </w:tc>
        <w:tc>
          <w:tcPr>
            <w:tcW w:w="1659" w:type="dxa"/>
          </w:tcPr>
          <w:p w14:paraId="7739CBE0">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  0.8%                </w:t>
            </w:r>
          </w:p>
        </w:tc>
        <w:tc>
          <w:tcPr>
            <w:tcW w:w="1532" w:type="dxa"/>
          </w:tcPr>
          <w:p w14:paraId="2FBEB099">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0.45%</w:t>
            </w:r>
          </w:p>
        </w:tc>
        <w:tc>
          <w:tcPr>
            <w:tcW w:w="1546" w:type="dxa"/>
          </w:tcPr>
          <w:p w14:paraId="0D6B41B5">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0.55%</w:t>
            </w:r>
          </w:p>
        </w:tc>
      </w:tr>
      <w:tr w14:paraId="19FE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3DA124">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5000</w:t>
            </w:r>
            <w:r>
              <w:rPr>
                <w:rFonts w:hint="eastAsia" w:ascii="宋体" w:hAnsi="宋体" w:cs="宋体"/>
                <w:color w:val="000000" w:themeColor="text1"/>
                <w:szCs w:val="21"/>
                <w14:textFill>
                  <w14:solidFill>
                    <w14:schemeClr w14:val="tx1"/>
                  </w14:solidFill>
                </w14:textFill>
              </w:rPr>
              <w:t>万元</w:t>
            </w:r>
          </w:p>
        </w:tc>
        <w:tc>
          <w:tcPr>
            <w:tcW w:w="1659" w:type="dxa"/>
          </w:tcPr>
          <w:p w14:paraId="430F13D5">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0.5%                </w:t>
            </w:r>
          </w:p>
        </w:tc>
        <w:tc>
          <w:tcPr>
            <w:tcW w:w="1532" w:type="dxa"/>
          </w:tcPr>
          <w:p w14:paraId="53E6FF80">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546" w:type="dxa"/>
          </w:tcPr>
          <w:p w14:paraId="36F9A482">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0.35% </w:t>
            </w:r>
          </w:p>
        </w:tc>
      </w:tr>
      <w:tr w14:paraId="75B5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9EC4A5A">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5000</w:t>
            </w:r>
            <w:r>
              <w:rPr>
                <w:rFonts w:hint="eastAsia" w:ascii="宋体" w:hAnsi="宋体" w:cs="宋体"/>
                <w:color w:val="000000" w:themeColor="text1"/>
                <w:szCs w:val="21"/>
                <w14:textFill>
                  <w14:solidFill>
                    <w14:schemeClr w14:val="tx1"/>
                  </w14:solidFill>
                </w14:textFill>
              </w:rPr>
              <w:t>万元～</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亿元</w:t>
            </w:r>
          </w:p>
        </w:tc>
        <w:tc>
          <w:tcPr>
            <w:tcW w:w="1659" w:type="dxa"/>
          </w:tcPr>
          <w:p w14:paraId="57E4028A">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0.25%                 </w:t>
            </w:r>
          </w:p>
        </w:tc>
        <w:tc>
          <w:tcPr>
            <w:tcW w:w="1532" w:type="dxa"/>
          </w:tcPr>
          <w:p w14:paraId="0AAE1ABF">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0.1%</w:t>
            </w:r>
          </w:p>
        </w:tc>
        <w:tc>
          <w:tcPr>
            <w:tcW w:w="1546" w:type="dxa"/>
          </w:tcPr>
          <w:p w14:paraId="78664C86">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w:t>
            </w:r>
          </w:p>
        </w:tc>
      </w:tr>
      <w:tr w14:paraId="0B0A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0423CF">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亿元</w:t>
            </w:r>
          </w:p>
        </w:tc>
        <w:tc>
          <w:tcPr>
            <w:tcW w:w="1659" w:type="dxa"/>
          </w:tcPr>
          <w:p w14:paraId="3E69C838">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0.05%</w:t>
            </w:r>
          </w:p>
        </w:tc>
        <w:tc>
          <w:tcPr>
            <w:tcW w:w="1532" w:type="dxa"/>
          </w:tcPr>
          <w:p w14:paraId="437FA8E9">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0.05%</w:t>
            </w:r>
          </w:p>
        </w:tc>
        <w:tc>
          <w:tcPr>
            <w:tcW w:w="1546" w:type="dxa"/>
          </w:tcPr>
          <w:p w14:paraId="3EF8612B">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0.05%</w:t>
            </w:r>
          </w:p>
        </w:tc>
      </w:tr>
      <w:tr w14:paraId="26C1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659BA3">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亿元</w:t>
            </w:r>
          </w:p>
        </w:tc>
        <w:tc>
          <w:tcPr>
            <w:tcW w:w="1659" w:type="dxa"/>
          </w:tcPr>
          <w:p w14:paraId="2756A45C">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0.035%</w:t>
            </w:r>
          </w:p>
        </w:tc>
        <w:tc>
          <w:tcPr>
            <w:tcW w:w="1532" w:type="dxa"/>
          </w:tcPr>
          <w:p w14:paraId="0596B60D">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0.035%</w:t>
            </w:r>
          </w:p>
        </w:tc>
        <w:tc>
          <w:tcPr>
            <w:tcW w:w="1546" w:type="dxa"/>
          </w:tcPr>
          <w:p w14:paraId="11AE9875">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0.035%</w:t>
            </w:r>
          </w:p>
        </w:tc>
      </w:tr>
      <w:tr w14:paraId="4E20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C71493">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亿元</w:t>
            </w:r>
          </w:p>
        </w:tc>
        <w:tc>
          <w:tcPr>
            <w:tcW w:w="1659" w:type="dxa"/>
          </w:tcPr>
          <w:p w14:paraId="4B0B3737">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0.008%</w:t>
            </w:r>
          </w:p>
        </w:tc>
        <w:tc>
          <w:tcPr>
            <w:tcW w:w="1532" w:type="dxa"/>
          </w:tcPr>
          <w:p w14:paraId="337B4343">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0.008%</w:t>
            </w:r>
          </w:p>
        </w:tc>
        <w:tc>
          <w:tcPr>
            <w:tcW w:w="1546" w:type="dxa"/>
          </w:tcPr>
          <w:p w14:paraId="7E87B6F8">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0.008%</w:t>
            </w:r>
          </w:p>
        </w:tc>
      </w:tr>
      <w:tr w14:paraId="48AF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0D0C61">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亿元</w:t>
            </w:r>
          </w:p>
        </w:tc>
        <w:tc>
          <w:tcPr>
            <w:tcW w:w="1659" w:type="dxa"/>
          </w:tcPr>
          <w:p w14:paraId="5F31FB8E">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0.006%</w:t>
            </w:r>
          </w:p>
        </w:tc>
        <w:tc>
          <w:tcPr>
            <w:tcW w:w="1532" w:type="dxa"/>
          </w:tcPr>
          <w:p w14:paraId="4CC84E61">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0.006%</w:t>
            </w:r>
          </w:p>
        </w:tc>
        <w:tc>
          <w:tcPr>
            <w:tcW w:w="1546" w:type="dxa"/>
          </w:tcPr>
          <w:p w14:paraId="4185D038">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0.006%</w:t>
            </w:r>
          </w:p>
        </w:tc>
      </w:tr>
      <w:tr w14:paraId="3A4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D64B80C">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亿以上</w:t>
            </w:r>
          </w:p>
        </w:tc>
        <w:tc>
          <w:tcPr>
            <w:tcW w:w="1659" w:type="dxa"/>
          </w:tcPr>
          <w:p w14:paraId="352FE4D9">
            <w:pPr>
              <w:spacing w:line="360" w:lineRule="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0.004%</w:t>
            </w:r>
          </w:p>
        </w:tc>
        <w:tc>
          <w:tcPr>
            <w:tcW w:w="1532" w:type="dxa"/>
          </w:tcPr>
          <w:p w14:paraId="032AEDD9">
            <w:pPr>
              <w:spacing w:line="360" w:lineRule="auto"/>
              <w:ind w:firstLine="210" w:firstLineChars="1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0.004%</w:t>
            </w:r>
          </w:p>
        </w:tc>
        <w:tc>
          <w:tcPr>
            <w:tcW w:w="1546" w:type="dxa"/>
          </w:tcPr>
          <w:p w14:paraId="34608789">
            <w:pPr>
              <w:spacing w:line="360" w:lineRule="auto"/>
              <w:ind w:firstLine="105" w:firstLineChars="5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0.004%</w:t>
            </w:r>
          </w:p>
        </w:tc>
      </w:tr>
    </w:tbl>
    <w:p w14:paraId="28066512">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14:paraId="569AF9A8">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）按本表费率计算的收费为采购代理的收费基准价格；</w:t>
      </w:r>
    </w:p>
    <w:p w14:paraId="1986F0AA">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）采购代理收费按差额定率累进法计算。</w:t>
      </w:r>
    </w:p>
    <w:p w14:paraId="192E8C33">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例如：某工程项目采购代理业务成交金额为</w:t>
      </w:r>
      <w:r>
        <w:rPr>
          <w:rFonts w:ascii="宋体" w:hAnsi="宋体" w:cs="宋体"/>
          <w:color w:val="000000" w:themeColor="text1"/>
          <w14:textFill>
            <w14:solidFill>
              <w14:schemeClr w14:val="tx1"/>
            </w14:solidFill>
          </w14:textFill>
        </w:rPr>
        <w:t>150</w:t>
      </w:r>
      <w:r>
        <w:rPr>
          <w:rFonts w:hint="eastAsia" w:ascii="宋体" w:hAnsi="宋体" w:cs="宋体"/>
          <w:color w:val="000000" w:themeColor="text1"/>
          <w14:textFill>
            <w14:solidFill>
              <w14:schemeClr w14:val="tx1"/>
            </w14:solidFill>
          </w14:textFill>
        </w:rPr>
        <w:t>万元，计算采购代理收费额如下：</w:t>
      </w:r>
    </w:p>
    <w:p w14:paraId="2DB56513">
      <w:pPr>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100 </w:t>
      </w:r>
      <w:r>
        <w:rPr>
          <w:rFonts w:hint="eastAsia" w:ascii="宋体" w:hAnsi="宋体" w:cs="宋体"/>
          <w:color w:val="000000" w:themeColor="text1"/>
          <w14:textFill>
            <w14:solidFill>
              <w14:schemeClr w14:val="tx1"/>
            </w14:solidFill>
          </w14:textFill>
        </w:rPr>
        <w:t>万元×</w:t>
      </w:r>
      <w:r>
        <w:rPr>
          <w:rFonts w:ascii="宋体" w:hAnsi="宋体" w:cs="宋体"/>
          <w:color w:val="000000" w:themeColor="text1"/>
          <w14:textFill>
            <w14:solidFill>
              <w14:schemeClr w14:val="tx1"/>
            </w14:solidFill>
          </w14:textFill>
        </w:rPr>
        <w:t>l.</w:t>
      </w:r>
      <w:r>
        <w:rPr>
          <w:rFonts w:ascii="宋体" w:cs="宋体"/>
          <w:color w:val="000000" w:themeColor="text1"/>
          <w14:textFill>
            <w14:solidFill>
              <w14:schemeClr w14:val="tx1"/>
            </w14:solidFill>
          </w14:textFill>
        </w:rPr>
        <w:t>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1.</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万元</w:t>
      </w:r>
    </w:p>
    <w:p w14:paraId="2EF44419">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150</w:t>
      </w:r>
      <w:r>
        <w:rPr>
          <w:rFonts w:asci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100 </w:t>
      </w:r>
      <w:r>
        <w:rPr>
          <w:rFonts w:hint="eastAsia" w:ascii="宋体" w:hAnsi="宋体" w:cs="宋体"/>
          <w:color w:val="000000" w:themeColor="text1"/>
          <w14:textFill>
            <w14:solidFill>
              <w14:schemeClr w14:val="tx1"/>
            </w14:solidFill>
          </w14:textFill>
        </w:rPr>
        <w:t>）万元×</w:t>
      </w:r>
      <w:r>
        <w:rPr>
          <w:rFonts w:ascii="宋体" w:hAnsi="宋体" w:cs="宋体"/>
          <w:color w:val="000000" w:themeColor="text1"/>
          <w14:textFill>
            <w14:solidFill>
              <w14:schemeClr w14:val="tx1"/>
            </w14:solidFill>
          </w14:textFill>
        </w:rPr>
        <w:t>0.7%</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0.35</w:t>
      </w:r>
      <w:r>
        <w:rPr>
          <w:rFonts w:hint="eastAsia" w:ascii="宋体" w:hAnsi="宋体" w:cs="宋体"/>
          <w:color w:val="000000" w:themeColor="text1"/>
          <w14:textFill>
            <w14:solidFill>
              <w14:schemeClr w14:val="tx1"/>
            </w14:solidFill>
          </w14:textFill>
        </w:rPr>
        <w:t>万元</w:t>
      </w:r>
    </w:p>
    <w:p w14:paraId="45CE90D1">
      <w:pPr>
        <w:spacing w:line="360" w:lineRule="auto"/>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合计收费＝</w:t>
      </w:r>
      <w:r>
        <w:rPr>
          <w:rFonts w:ascii="宋体" w:hAnsi="宋体" w:cs="宋体"/>
          <w:color w:val="000000" w:themeColor="text1"/>
          <w14:textFill>
            <w14:solidFill>
              <w14:schemeClr w14:val="tx1"/>
            </w14:solidFill>
          </w14:textFill>
        </w:rPr>
        <w:t xml:space="preserve"> 1.0 + </w:t>
      </w:r>
      <w:r>
        <w:rPr>
          <w:rFonts w:ascii="宋体" w:cs="宋体"/>
          <w:color w:val="000000" w:themeColor="text1"/>
          <w14:textFill>
            <w14:solidFill>
              <w14:schemeClr w14:val="tx1"/>
            </w14:solidFill>
          </w14:textFill>
        </w:rPr>
        <w:t>0.</w:t>
      </w:r>
      <w:r>
        <w:rPr>
          <w:rFonts w:ascii="宋体" w:hAnsi="宋体" w:cs="宋体"/>
          <w:color w:val="000000" w:themeColor="text1"/>
          <w14:textFill>
            <w14:solidFill>
              <w14:schemeClr w14:val="tx1"/>
            </w14:solidFill>
          </w14:textFill>
        </w:rPr>
        <w:t xml:space="preserve">35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1.35 </w:t>
      </w:r>
      <w:r>
        <w:rPr>
          <w:rFonts w:hint="eastAsia" w:ascii="宋体" w:hAnsi="宋体" w:cs="宋体"/>
          <w:color w:val="000000" w:themeColor="text1"/>
          <w14:textFill>
            <w14:solidFill>
              <w14:schemeClr w14:val="tx1"/>
            </w14:solidFill>
          </w14:textFill>
        </w:rPr>
        <w:t>万元</w:t>
      </w:r>
    </w:p>
    <w:p w14:paraId="5879F03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33.</w:t>
      </w:r>
      <w:r>
        <w:rPr>
          <w:rFonts w:hint="eastAsia" w:ascii="黑体" w:hAnsi="黑体" w:eastAsia="黑体" w:cs="宋体"/>
          <w:b/>
          <w:bCs/>
          <w:color w:val="000000" w:themeColor="text1"/>
          <w:sz w:val="24"/>
          <w14:textFill>
            <w14:solidFill>
              <w14:schemeClr w14:val="tx1"/>
            </w14:solidFill>
          </w14:textFill>
        </w:rPr>
        <w:t>需要补充的其他内容</w:t>
      </w:r>
    </w:p>
    <w:p w14:paraId="59441E72">
      <w:pPr>
        <w:pStyle w:val="24"/>
        <w:spacing w:line="360" w:lineRule="auto"/>
        <w:ind w:firstLine="420" w:firstLineChars="200"/>
        <w:textAlignment w:val="center"/>
        <w:rPr>
          <w:rFonts w:hAnsi="宋体" w:cs="宋体"/>
          <w:color w:val="000000" w:themeColor="text1"/>
          <w:kern w:val="2"/>
          <w14:textFill>
            <w14:solidFill>
              <w14:schemeClr w14:val="tx1"/>
            </w14:solidFill>
          </w14:textFill>
        </w:rPr>
      </w:pPr>
      <w:r>
        <w:rPr>
          <w:rFonts w:hAnsi="宋体" w:cs="宋体"/>
          <w:color w:val="000000" w:themeColor="text1"/>
          <w:kern w:val="2"/>
          <w14:textFill>
            <w14:solidFill>
              <w14:schemeClr w14:val="tx1"/>
            </w14:solidFill>
          </w14:textFill>
        </w:rPr>
        <w:t>33.1</w:t>
      </w:r>
      <w:r>
        <w:rPr>
          <w:rFonts w:hint="eastAsia" w:hAnsi="宋体" w:cs="宋体"/>
          <w:color w:val="000000" w:themeColor="text1"/>
          <w:kern w:val="2"/>
          <w14:textFill>
            <w14:solidFill>
              <w14:schemeClr w14:val="tx1"/>
            </w14:solidFill>
          </w14:textFill>
        </w:rPr>
        <w:t>本磋商文件解释规则详见“供应商须知前附表”。</w:t>
      </w:r>
    </w:p>
    <w:p w14:paraId="3DD6892E">
      <w:pPr>
        <w:pStyle w:val="24"/>
        <w:spacing w:line="360" w:lineRule="auto"/>
        <w:ind w:firstLine="420" w:firstLineChars="200"/>
        <w:textAlignment w:val="center"/>
        <w:rPr>
          <w:rFonts w:hAnsi="宋体" w:cs="宋体"/>
          <w:color w:val="000000" w:themeColor="text1"/>
          <w:kern w:val="2"/>
          <w14:textFill>
            <w14:solidFill>
              <w14:schemeClr w14:val="tx1"/>
            </w14:solidFill>
          </w14:textFill>
        </w:rPr>
      </w:pPr>
      <w:r>
        <w:rPr>
          <w:rFonts w:hAnsi="宋体" w:cs="宋体"/>
          <w:color w:val="000000" w:themeColor="text1"/>
          <w:kern w:val="2"/>
          <w14:textFill>
            <w14:solidFill>
              <w14:schemeClr w14:val="tx1"/>
            </w14:solidFill>
          </w14:textFill>
        </w:rPr>
        <w:t>33.2</w:t>
      </w:r>
      <w:r>
        <w:rPr>
          <w:rFonts w:hint="eastAsia" w:hAnsi="宋体" w:cs="宋体"/>
          <w:color w:val="000000" w:themeColor="text1"/>
          <w:kern w:val="2"/>
          <w14:textFill>
            <w14:solidFill>
              <w14:schemeClr w14:val="tx1"/>
            </w14:solidFill>
          </w14:textFill>
        </w:rPr>
        <w:t>农民工工资保证金见“供应商须知前附表”。</w:t>
      </w:r>
    </w:p>
    <w:p w14:paraId="593D5351">
      <w:pPr>
        <w:pStyle w:val="24"/>
        <w:spacing w:line="360" w:lineRule="auto"/>
        <w:ind w:firstLine="420" w:firstLineChars="200"/>
        <w:textAlignment w:val="center"/>
        <w:rPr>
          <w:rFonts w:hAnsi="宋体" w:cs="宋体"/>
          <w:color w:val="000000" w:themeColor="text1"/>
          <w:kern w:val="2"/>
          <w14:textFill>
            <w14:solidFill>
              <w14:schemeClr w14:val="tx1"/>
            </w14:solidFill>
          </w14:textFill>
        </w:rPr>
      </w:pPr>
      <w:r>
        <w:rPr>
          <w:rFonts w:hAnsi="宋体" w:cs="宋体"/>
          <w:color w:val="000000" w:themeColor="text1"/>
          <w:kern w:val="2"/>
          <w14:textFill>
            <w14:solidFill>
              <w14:schemeClr w14:val="tx1"/>
            </w14:solidFill>
          </w14:textFill>
        </w:rPr>
        <w:t xml:space="preserve">33.3 </w:t>
      </w:r>
      <w:r>
        <w:rPr>
          <w:rFonts w:hint="eastAsia" w:hAnsi="宋体" w:cs="宋体"/>
          <w:color w:val="000000" w:themeColor="text1"/>
          <w:kern w:val="2"/>
          <w14:textFill>
            <w14:solidFill>
              <w14:schemeClr w14:val="tx1"/>
            </w14:solidFill>
          </w14:textFill>
        </w:rPr>
        <w:t>其他事项详见“供应商须知前附表”。</w:t>
      </w:r>
    </w:p>
    <w:p w14:paraId="4A4AF2A0">
      <w:pPr>
        <w:pStyle w:val="24"/>
        <w:spacing w:line="360" w:lineRule="auto"/>
        <w:ind w:firstLine="420" w:firstLineChars="200"/>
        <w:textAlignment w:val="center"/>
        <w:rPr>
          <w:rFonts w:hAnsi="宋体" w:cs="宋体"/>
          <w:color w:val="000000" w:themeColor="text1"/>
          <w:kern w:val="2"/>
          <w14:textFill>
            <w14:solidFill>
              <w14:schemeClr w14:val="tx1"/>
            </w14:solidFill>
          </w14:textFill>
        </w:rPr>
      </w:pPr>
      <w:r>
        <w:rPr>
          <w:rFonts w:hAnsi="宋体" w:cs="宋体"/>
          <w:color w:val="000000" w:themeColor="text1"/>
          <w:kern w:val="2"/>
          <w14:textFill>
            <w14:solidFill>
              <w14:schemeClr w14:val="tx1"/>
            </w14:solidFill>
          </w14:textFill>
        </w:rPr>
        <w:t>33.4</w:t>
      </w:r>
      <w:r>
        <w:rPr>
          <w:rFonts w:hint="eastAsia" w:hAnsi="宋体" w:cs="宋体"/>
          <w:color w:val="000000" w:themeColor="text1"/>
          <w:kern w:val="2"/>
          <w14:textFill>
            <w14:solidFill>
              <w14:schemeClr w14:val="tx1"/>
            </w14:solidFill>
          </w14:textFill>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E6EF2E3">
      <w:pPr>
        <w:pStyle w:val="24"/>
        <w:spacing w:line="360" w:lineRule="auto"/>
        <w:ind w:firstLine="420"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）在货物采购项目中，货物由中小企业制造，即货物由中小企业生产且使用该中小企业商号或者注册商标，不对其中涉及的工程承建商和服务的承接商作出要求；</w:t>
      </w:r>
    </w:p>
    <w:p w14:paraId="71D333F9">
      <w:pPr>
        <w:pStyle w:val="24"/>
        <w:spacing w:line="360" w:lineRule="auto"/>
        <w:ind w:firstLine="420"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）在工程采购项目中，工程由中小企业承建，即工程施工单位为中小企业，不对其中涉及的货物的制造商和服务的承接商作出要求；</w:t>
      </w:r>
    </w:p>
    <w:p w14:paraId="02BE333E">
      <w:pPr>
        <w:pStyle w:val="24"/>
        <w:spacing w:line="360" w:lineRule="auto"/>
        <w:ind w:firstLine="420"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）在服务采购项目中，服务由中小企业承接，即提供服务的人员为中小企业依照《中华人民共和国劳动合同法》订立劳动合同的从业人员，不对其中涉及的货物的制造商和工程承建商作出要求。</w:t>
      </w:r>
    </w:p>
    <w:p w14:paraId="192768B7">
      <w:pPr>
        <w:pStyle w:val="24"/>
        <w:spacing w:line="360" w:lineRule="auto"/>
        <w:ind w:firstLine="420" w:firstLineChars="200"/>
        <w:contextualSpacing/>
        <w:rPr>
          <w:rFonts w:hAnsi="宋体"/>
          <w:color w:val="000000" w:themeColor="text1"/>
          <w14:textFill>
            <w14:solidFill>
              <w14:schemeClr w14:val="tx1"/>
            </w14:solidFill>
          </w14:textFill>
        </w:rPr>
      </w:pPr>
      <w:r>
        <w:rPr>
          <w:rFonts w:hint="eastAsia" w:hAnsi="宋体" w:cs="宋体"/>
          <w:color w:val="000000" w:themeColor="text1"/>
          <w:kern w:val="2"/>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14:textFill>
            <w14:solidFill>
              <w14:schemeClr w14:val="tx1"/>
            </w14:solidFill>
          </w14:textFill>
        </w:rPr>
        <w:t>中小企业的，联合体视同中小企业。其中，联合体各方均为小微企业的，联合体视同小微企业。</w:t>
      </w:r>
    </w:p>
    <w:p w14:paraId="02B988D2">
      <w:pPr>
        <w:pStyle w:val="24"/>
        <w:spacing w:line="360" w:lineRule="auto"/>
        <w:ind w:firstLine="420" w:firstLineChars="200"/>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依据本磋商文件规定享受扶持政策获得政府采购合同的，小微企业不得将合同分包给大中型企业，中型企业不得将合同分包给大型企业。</w:t>
      </w:r>
    </w:p>
    <w:p w14:paraId="0D781513">
      <w:pPr>
        <w:pStyle w:val="24"/>
        <w:spacing w:before="340" w:after="340" w:line="360" w:lineRule="auto"/>
        <w:ind w:firstLine="422" w:firstLineChars="200"/>
        <w:jc w:val="center"/>
        <w:textAlignment w:val="center"/>
        <w:outlineLvl w:val="0"/>
        <w:rPr>
          <w:b/>
          <w:color w:val="000000" w:themeColor="text1"/>
          <w:sz w:val="44"/>
          <w:szCs w:val="44"/>
          <w14:textFill>
            <w14:solidFill>
              <w14:schemeClr w14:val="tx1"/>
            </w14:solidFill>
          </w14:textFill>
        </w:rPr>
      </w:pPr>
      <w:r>
        <w:rPr>
          <w:rFonts w:hAnsi="宋体"/>
          <w:b/>
          <w:color w:val="000000" w:themeColor="text1"/>
          <w14:textFill>
            <w14:solidFill>
              <w14:schemeClr w14:val="tx1"/>
            </w14:solidFill>
          </w14:textFill>
        </w:rPr>
        <w:br w:type="page"/>
      </w:r>
      <w:bookmarkStart w:id="85" w:name="_Toc74323458"/>
      <w:r>
        <w:rPr>
          <w:rFonts w:hint="eastAsia" w:ascii="Times New Roman" w:hAnsi="Times New Roman" w:eastAsia="宋体" w:cs="Times New Roman"/>
          <w:b/>
          <w:color w:val="000000" w:themeColor="text1"/>
          <w:kern w:val="44"/>
          <w:sz w:val="44"/>
          <w:szCs w:val="20"/>
          <w:lang w:val="en-US" w:eastAsia="zh-CN" w:bidi="ar-SA"/>
          <w14:textFill>
            <w14:solidFill>
              <w14:schemeClr w14:val="tx1"/>
            </w14:solidFill>
          </w14:textFill>
        </w:rPr>
        <w:t>第三章</w:t>
      </w:r>
      <w:r>
        <w:rPr>
          <w:rFonts w:hint="eastAsia" w:ascii="Times New Roman" w:hAnsi="Times New Roman" w:cs="Times New Roman"/>
          <w:b/>
          <w:color w:val="000000" w:themeColor="text1"/>
          <w:kern w:val="44"/>
          <w:sz w:val="44"/>
          <w:szCs w:val="20"/>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44"/>
          <w:sz w:val="44"/>
          <w:szCs w:val="20"/>
          <w:lang w:val="en-US" w:eastAsia="zh-CN" w:bidi="ar-SA"/>
          <w14:textFill>
            <w14:solidFill>
              <w14:schemeClr w14:val="tx1"/>
            </w14:solidFill>
          </w14:textFill>
        </w:rPr>
        <w:t>采购需求</w:t>
      </w:r>
      <w:bookmarkEnd w:id="85"/>
    </w:p>
    <w:p w14:paraId="4E98DD39">
      <w:pPr>
        <w:spacing w:line="36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2C1FC894">
      <w:pPr>
        <w:spacing w:line="360" w:lineRule="auto"/>
        <w:ind w:firstLine="420" w:firstLineChars="200"/>
        <w:jc w:val="left"/>
        <w:rPr>
          <w:rFonts w:ascii="宋体" w:cs="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为落实政府采购政策需满足的要求</w:t>
      </w:r>
      <w:r>
        <w:rPr>
          <w:rFonts w:hint="eastAsia" w:ascii="宋体" w:hAnsi="宋体" w:cs="宋体"/>
          <w:color w:val="000000" w:themeColor="text1"/>
          <w:szCs w:val="21"/>
          <w14:textFill>
            <w14:solidFill>
              <w14:schemeClr w14:val="tx1"/>
            </w14:solidFill>
          </w14:textFill>
        </w:rPr>
        <w:t>：</w:t>
      </w:r>
    </w:p>
    <w:p w14:paraId="075504C0">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）政府采购促进中小企业发展。</w:t>
      </w:r>
    </w:p>
    <w:p w14:paraId="32A09F43">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）政府采购支持采用本国产品的政策。</w:t>
      </w:r>
    </w:p>
    <w:p w14:paraId="26EEC017">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）强制采购节能产品；优先采购节能产品、环境标志产品。</w:t>
      </w:r>
    </w:p>
    <w:p w14:paraId="074365A5">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）政府采购促进残疾人就业政策。</w:t>
      </w:r>
    </w:p>
    <w:p w14:paraId="2AB3E4BE">
      <w:pPr>
        <w:spacing w:line="360" w:lineRule="auto"/>
        <w:ind w:firstLine="424" w:firstLineChars="202"/>
        <w:rPr>
          <w:rFonts w:asci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）政府采购支持监狱企业发展。</w:t>
      </w:r>
    </w:p>
    <w:p w14:paraId="4E58049F">
      <w:pPr>
        <w:spacing w:line="360" w:lineRule="auto"/>
        <w:ind w:firstLine="424" w:firstLineChars="202"/>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“实质性要求”是指采购需求中带“▲”的条款或者不能负偏离的条款或者已经指明不满足按响应文件按无效处理的条款。</w:t>
      </w:r>
    </w:p>
    <w:p w14:paraId="331B0289">
      <w:pPr>
        <w:spacing w:line="360" w:lineRule="auto"/>
        <w:ind w:firstLine="422" w:firstLineChars="200"/>
        <w:rPr>
          <w:rFonts w:ascii="宋体" w:cs="Arial"/>
          <w:b/>
          <w:bCs w:val="0"/>
          <w:color w:val="auto"/>
          <w:szCs w:val="21"/>
          <w:u w:val="single"/>
        </w:rPr>
      </w:pPr>
      <w:r>
        <w:rPr>
          <w:rFonts w:hint="eastAsia" w:ascii="宋体" w:hAnsi="宋体"/>
          <w:b/>
          <w:bCs w:val="0"/>
          <w:color w:val="auto"/>
          <w:szCs w:val="21"/>
        </w:rPr>
        <w:t>采购预算：</w:t>
      </w:r>
      <w:r>
        <w:rPr>
          <w:rFonts w:hint="eastAsia" w:cs="Times New Roman"/>
          <w:b/>
          <w:bCs w:val="0"/>
          <w:color w:val="auto"/>
          <w:szCs w:val="21"/>
          <w:lang w:val="en-US" w:eastAsia="zh-CN"/>
        </w:rPr>
        <w:t>636438.00</w:t>
      </w:r>
      <w:r>
        <w:rPr>
          <w:rFonts w:hint="default" w:ascii="Times New Roman" w:hAnsi="Times New Roman" w:cs="Times New Roman"/>
          <w:b/>
          <w:bCs w:val="0"/>
          <w:color w:val="auto"/>
          <w:szCs w:val="21"/>
        </w:rPr>
        <w:t>元</w:t>
      </w:r>
      <w:r>
        <w:rPr>
          <w:rFonts w:hint="default" w:ascii="Times New Roman" w:hAnsi="Times New Roman" w:cs="Times New Roman"/>
          <w:b/>
          <w:bCs w:val="0"/>
          <w:color w:val="auto"/>
          <w:szCs w:val="21"/>
          <w:lang w:eastAsia="zh-CN"/>
        </w:rPr>
        <w:t>（大写人民币：</w:t>
      </w:r>
      <w:r>
        <w:rPr>
          <w:rFonts w:hint="eastAsia" w:cs="Times New Roman"/>
          <w:b/>
          <w:bCs w:val="0"/>
          <w:color w:val="auto"/>
          <w:szCs w:val="21"/>
          <w:lang w:eastAsia="zh-CN"/>
        </w:rPr>
        <w:t>陆拾叁万陆仟肆佰叁拾捌元整</w:t>
      </w:r>
      <w:r>
        <w:rPr>
          <w:rFonts w:hint="default" w:ascii="Times New Roman" w:hAnsi="Times New Roman" w:cs="Times New Roman"/>
          <w:b/>
          <w:bCs w:val="0"/>
          <w:color w:val="auto"/>
          <w:szCs w:val="21"/>
          <w:lang w:eastAsia="zh-CN"/>
        </w:rPr>
        <w:t>）</w:t>
      </w:r>
    </w:p>
    <w:p w14:paraId="6F2E1BA6">
      <w:pPr>
        <w:spacing w:line="360" w:lineRule="auto"/>
        <w:ind w:firstLine="422" w:firstLineChars="200"/>
        <w:rPr>
          <w:rFonts w:ascii="宋体" w:cs="Arial"/>
          <w:b/>
          <w:bCs w:val="0"/>
          <w:color w:val="auto"/>
          <w:szCs w:val="21"/>
          <w:u w:val="single"/>
        </w:rPr>
      </w:pPr>
      <w:r>
        <w:rPr>
          <w:rFonts w:hint="eastAsia" w:ascii="宋体" w:hAnsi="宋体" w:cs="Arial"/>
          <w:b/>
          <w:bCs w:val="0"/>
          <w:color w:val="auto"/>
          <w:szCs w:val="21"/>
        </w:rPr>
        <w:t>最高限价</w:t>
      </w:r>
      <w:r>
        <w:rPr>
          <w:rFonts w:hint="eastAsia" w:ascii="宋体" w:hAnsi="宋体" w:eastAsia="宋体" w:cs="Times New Roman"/>
          <w:b/>
          <w:bCs w:val="0"/>
          <w:color w:val="auto"/>
          <w:szCs w:val="21"/>
        </w:rPr>
        <w:t>：</w:t>
      </w:r>
      <w:r>
        <w:rPr>
          <w:rFonts w:hint="eastAsia" w:cs="Times New Roman"/>
          <w:b/>
          <w:bCs w:val="0"/>
          <w:color w:val="auto"/>
          <w:szCs w:val="21"/>
          <w:lang w:val="en-US" w:eastAsia="zh-CN"/>
        </w:rPr>
        <w:t>636438.00</w:t>
      </w:r>
      <w:r>
        <w:rPr>
          <w:rFonts w:hint="default" w:ascii="Times New Roman" w:hAnsi="Times New Roman" w:cs="Times New Roman"/>
          <w:b/>
          <w:bCs w:val="0"/>
          <w:color w:val="auto"/>
          <w:szCs w:val="21"/>
        </w:rPr>
        <w:t>元</w:t>
      </w:r>
      <w:r>
        <w:rPr>
          <w:rFonts w:hint="default" w:ascii="Times New Roman" w:hAnsi="Times New Roman" w:cs="Times New Roman"/>
          <w:b/>
          <w:bCs w:val="0"/>
          <w:color w:val="auto"/>
          <w:szCs w:val="21"/>
          <w:lang w:eastAsia="zh-CN"/>
        </w:rPr>
        <w:t>（大写人民币：</w:t>
      </w:r>
      <w:r>
        <w:rPr>
          <w:rFonts w:hint="eastAsia" w:cs="Times New Roman"/>
          <w:b/>
          <w:bCs w:val="0"/>
          <w:color w:val="auto"/>
          <w:szCs w:val="21"/>
          <w:lang w:eastAsia="zh-CN"/>
        </w:rPr>
        <w:t>陆拾叁万陆仟肆佰叁拾捌元整</w:t>
      </w:r>
      <w:r>
        <w:rPr>
          <w:rFonts w:hint="default" w:ascii="Times New Roman" w:hAnsi="Times New Roman" w:cs="Times New Roman"/>
          <w:b/>
          <w:bCs w:val="0"/>
          <w:color w:val="auto"/>
          <w:szCs w:val="21"/>
          <w:lang w:eastAsia="zh-CN"/>
        </w:rPr>
        <w:t>）</w:t>
      </w:r>
    </w:p>
    <w:tbl>
      <w:tblPr>
        <w:tblStyle w:val="44"/>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92"/>
        <w:gridCol w:w="940"/>
        <w:gridCol w:w="4490"/>
      </w:tblGrid>
      <w:tr w14:paraId="6685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6FCA9037">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28" w:type="dxa"/>
            <w:gridSpan w:val="2"/>
            <w:vAlign w:val="center"/>
          </w:tcPr>
          <w:p w14:paraId="3ACA1E32">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标的的名称</w:t>
            </w:r>
          </w:p>
        </w:tc>
        <w:tc>
          <w:tcPr>
            <w:tcW w:w="992" w:type="dxa"/>
            <w:vAlign w:val="center"/>
          </w:tcPr>
          <w:p w14:paraId="421981C6">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数量及单位</w:t>
            </w:r>
          </w:p>
        </w:tc>
        <w:tc>
          <w:tcPr>
            <w:tcW w:w="940" w:type="dxa"/>
            <w:vAlign w:val="center"/>
          </w:tcPr>
          <w:p w14:paraId="28620210">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所属</w:t>
            </w:r>
          </w:p>
          <w:p w14:paraId="03EE1A11">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行业</w:t>
            </w:r>
          </w:p>
        </w:tc>
        <w:tc>
          <w:tcPr>
            <w:tcW w:w="4490" w:type="dxa"/>
            <w:vAlign w:val="center"/>
          </w:tcPr>
          <w:p w14:paraId="6702D70D">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p>
        </w:tc>
      </w:tr>
      <w:tr w14:paraId="6DD9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1E4AF1AB">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728" w:type="dxa"/>
            <w:gridSpan w:val="2"/>
            <w:vAlign w:val="center"/>
          </w:tcPr>
          <w:p w14:paraId="7EA7DCD7">
            <w:pPr>
              <w:tabs>
                <w:tab w:val="left" w:pos="180"/>
                <w:tab w:val="left" w:pos="1620"/>
              </w:tabs>
              <w:spacing w:line="360" w:lineRule="auto"/>
              <w:jc w:val="center"/>
              <w:rPr>
                <w:rFonts w:hint="default" w:ascii="宋体" w:eastAsia="宋体" w:cs="宋体"/>
                <w:color w:val="000000" w:themeColor="text1"/>
                <w:szCs w:val="21"/>
                <w:lang w:val="en-US"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龙州县响水镇红阳村渡口维修项目</w:t>
            </w:r>
          </w:p>
        </w:tc>
        <w:tc>
          <w:tcPr>
            <w:tcW w:w="992" w:type="dxa"/>
            <w:vAlign w:val="center"/>
          </w:tcPr>
          <w:p w14:paraId="733C2193">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项</w:t>
            </w:r>
          </w:p>
        </w:tc>
        <w:tc>
          <w:tcPr>
            <w:tcW w:w="940" w:type="dxa"/>
            <w:vAlign w:val="center"/>
          </w:tcPr>
          <w:p w14:paraId="1528D0A4">
            <w:pPr>
              <w:tabs>
                <w:tab w:val="left" w:pos="180"/>
                <w:tab w:val="left" w:pos="1620"/>
              </w:tabs>
              <w:spacing w:line="36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建筑业</w:t>
            </w:r>
          </w:p>
        </w:tc>
        <w:tc>
          <w:tcPr>
            <w:tcW w:w="4490" w:type="dxa"/>
            <w:vAlign w:val="center"/>
          </w:tcPr>
          <w:p w14:paraId="4F13AA20">
            <w:pPr>
              <w:keepNext w:val="0"/>
              <w:keepLines w:val="0"/>
              <w:widowControl/>
              <w:suppressLineNumbers w:val="0"/>
              <w:spacing w:line="360"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1.项目概况：</w:t>
            </w:r>
            <w:r>
              <w:rPr>
                <w:rFonts w:hint="eastAsia" w:ascii="宋体" w:hAnsi="宋体" w:cs="宋体"/>
                <w:color w:val="000000" w:themeColor="text1"/>
                <w:kern w:val="2"/>
                <w:sz w:val="21"/>
                <w:szCs w:val="21"/>
                <w:lang w:val="en-US" w:eastAsia="zh-CN" w:bidi="ar-SA"/>
                <w14:textFill>
                  <w14:solidFill>
                    <w14:schemeClr w14:val="tx1"/>
                  </w14:solidFill>
                </w14:textFill>
              </w:rPr>
              <w:t>本项目建设内容是渡口浅滩扩建维修工程、挡墙工程等；详见工程量清单及图纸。</w:t>
            </w:r>
          </w:p>
          <w:p w14:paraId="7E9CF0CB">
            <w:pPr>
              <w:pStyle w:val="16"/>
              <w:spacing w:line="360" w:lineRule="auto"/>
              <w:rPr>
                <w:rFonts w:ascii="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2.技术标准和要</w:t>
            </w:r>
            <w:r>
              <w:rPr>
                <w:rFonts w:hint="eastAsia" w:ascii="宋体" w:hAnsi="宋体" w:cs="宋体"/>
                <w:color w:val="000000" w:themeColor="text1"/>
                <w:sz w:val="21"/>
                <w:szCs w:val="21"/>
                <w14:textFill>
                  <w14:solidFill>
                    <w14:schemeClr w14:val="tx1"/>
                  </w14:solidFill>
                </w14:textFill>
              </w:rPr>
              <w:t>求：符合国家现行的工程建设标准、技术规范及强制性标准条文、以及施工图纸载明的其他有关规范标准。</w:t>
            </w:r>
          </w:p>
          <w:p w14:paraId="24E3BC4B">
            <w:pPr>
              <w:pStyle w:val="16"/>
              <w:spacing w:line="360" w:lineRule="auto"/>
              <w:rPr>
                <w:rFonts w:asci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3</w:t>
            </w:r>
            <w:r>
              <w:rPr>
                <w:rFonts w:asci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质量标准：合格。</w:t>
            </w:r>
          </w:p>
          <w:p w14:paraId="03E3AA8B">
            <w:pPr>
              <w:pStyle w:val="16"/>
              <w:spacing w:line="360" w:lineRule="auto"/>
              <w:rPr>
                <w:rFonts w:asci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4</w:t>
            </w:r>
            <w:r>
              <w:rPr>
                <w:rFonts w:asci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报价方式：工程量清单报价。</w:t>
            </w:r>
          </w:p>
          <w:p w14:paraId="57D748E2">
            <w:pPr>
              <w:pStyle w:val="16"/>
              <w:spacing w:line="360" w:lineRule="auto"/>
              <w:rPr>
                <w:color w:val="000000" w:themeColor="text1"/>
                <w:sz w:val="21"/>
                <w:szCs w:val="24"/>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ascii="宋体" w:cs="宋体"/>
                <w:color w:val="000000" w:themeColor="text1"/>
                <w:sz w:val="21"/>
                <w:szCs w:val="21"/>
                <w14:textFill>
                  <w14:solidFill>
                    <w14:schemeClr w14:val="tx1"/>
                  </w14:solidFill>
                </w14:textFill>
              </w:rPr>
              <w:t>.</w:t>
            </w:r>
            <w:r>
              <w:rPr>
                <w:rFonts w:hint="eastAsia"/>
                <w:color w:val="000000" w:themeColor="text1"/>
                <w:sz w:val="21"/>
                <w:szCs w:val="24"/>
                <w14:textFill>
                  <w14:solidFill>
                    <w14:schemeClr w14:val="tx1"/>
                  </w14:solidFill>
                </w14:textFill>
              </w:rPr>
              <w:t>开工日期：以签订合同后采购人通知为准。</w:t>
            </w:r>
          </w:p>
        </w:tc>
      </w:tr>
      <w:tr w14:paraId="6B74D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805" w:type="dxa"/>
            <w:gridSpan w:val="6"/>
            <w:tcBorders>
              <w:top w:val="single" w:color="auto" w:sz="4" w:space="0"/>
              <w:bottom w:val="single" w:color="auto" w:sz="4" w:space="0"/>
            </w:tcBorders>
            <w:vAlign w:val="center"/>
          </w:tcPr>
          <w:p w14:paraId="687A9204">
            <w:pPr>
              <w:spacing w:line="360"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商务要求</w:t>
            </w:r>
          </w:p>
        </w:tc>
      </w:tr>
      <w:tr w14:paraId="4139E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6046D6C">
            <w:pPr>
              <w:spacing w:line="360" w:lineRule="auto"/>
              <w:jc w:val="center"/>
              <w:rPr>
                <w:rFonts w:ascii="宋体"/>
                <w:b w:val="0"/>
                <w:bCs w:val="0"/>
                <w:color w:val="auto"/>
                <w:szCs w:val="21"/>
              </w:rPr>
            </w:pPr>
            <w:r>
              <w:rPr>
                <w:rFonts w:hint="eastAsia" w:ascii="宋体" w:hAnsi="宋体" w:cs="宋体"/>
                <w:b w:val="0"/>
                <w:bCs w:val="0"/>
                <w:color w:val="auto"/>
                <w:szCs w:val="21"/>
              </w:rPr>
              <w:t>计划工期</w:t>
            </w:r>
          </w:p>
        </w:tc>
        <w:tc>
          <w:tcPr>
            <w:tcW w:w="6705" w:type="dxa"/>
            <w:gridSpan w:val="4"/>
            <w:tcBorders>
              <w:top w:val="single" w:color="auto" w:sz="4" w:space="0"/>
              <w:left w:val="single" w:color="auto" w:sz="4" w:space="0"/>
              <w:bottom w:val="single" w:color="auto" w:sz="4" w:space="0"/>
            </w:tcBorders>
            <w:vAlign w:val="center"/>
          </w:tcPr>
          <w:p w14:paraId="29C6E918">
            <w:pPr>
              <w:spacing w:line="360" w:lineRule="auto"/>
              <w:rPr>
                <w:rFonts w:ascii="宋体"/>
                <w:b w:val="0"/>
                <w:bCs w:val="0"/>
                <w:color w:val="auto"/>
                <w:szCs w:val="21"/>
              </w:rPr>
            </w:pPr>
            <w:r>
              <w:rPr>
                <w:rFonts w:hint="eastAsia" w:ascii="宋体"/>
                <w:b w:val="0"/>
                <w:bCs w:val="0"/>
                <w:color w:val="auto"/>
                <w:szCs w:val="21"/>
              </w:rPr>
              <w:t>要求工期为90日历天。</w:t>
            </w:r>
          </w:p>
        </w:tc>
      </w:tr>
      <w:tr w14:paraId="1CB49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100" w:type="dxa"/>
            <w:gridSpan w:val="2"/>
            <w:tcBorders>
              <w:top w:val="single" w:color="auto" w:sz="4" w:space="0"/>
              <w:bottom w:val="single" w:color="auto" w:sz="4" w:space="0"/>
              <w:right w:val="single" w:color="auto" w:sz="4" w:space="0"/>
            </w:tcBorders>
            <w:vAlign w:val="center"/>
          </w:tcPr>
          <w:p w14:paraId="1CC61759">
            <w:pPr>
              <w:spacing w:line="360" w:lineRule="auto"/>
              <w:jc w:val="center"/>
              <w:rPr>
                <w:rFonts w:ascii="宋体"/>
                <w:b w:val="0"/>
                <w:bCs w:val="0"/>
                <w:color w:val="auto"/>
                <w:szCs w:val="21"/>
              </w:rPr>
            </w:pPr>
            <w:r>
              <w:rPr>
                <w:rFonts w:hint="eastAsia" w:ascii="宋体" w:hAnsi="宋体"/>
                <w:b w:val="0"/>
                <w:bCs w:val="0"/>
                <w:color w:val="auto"/>
                <w:szCs w:val="21"/>
              </w:rPr>
              <w:t>建设地点</w:t>
            </w:r>
          </w:p>
        </w:tc>
        <w:tc>
          <w:tcPr>
            <w:tcW w:w="6705" w:type="dxa"/>
            <w:gridSpan w:val="4"/>
            <w:tcBorders>
              <w:top w:val="single" w:color="auto" w:sz="4" w:space="0"/>
              <w:left w:val="single" w:color="auto" w:sz="4" w:space="0"/>
              <w:bottom w:val="single" w:color="auto" w:sz="4" w:space="0"/>
            </w:tcBorders>
            <w:vAlign w:val="center"/>
          </w:tcPr>
          <w:p w14:paraId="5DD38FD8">
            <w:pPr>
              <w:spacing w:line="360" w:lineRule="auto"/>
              <w:rPr>
                <w:rFonts w:hint="eastAsia" w:ascii="宋体" w:eastAsia="宋体"/>
                <w:b w:val="0"/>
                <w:bCs w:val="0"/>
                <w:color w:val="auto"/>
                <w:szCs w:val="21"/>
                <w:lang w:eastAsia="zh-CN"/>
              </w:rPr>
            </w:pPr>
            <w:r>
              <w:rPr>
                <w:rFonts w:hint="eastAsia"/>
                <w:b w:val="0"/>
                <w:bCs w:val="0"/>
                <w:color w:val="auto"/>
                <w:lang w:eastAsia="zh-CN"/>
              </w:rPr>
              <w:t>崇左市龙州县红阳村。</w:t>
            </w:r>
          </w:p>
        </w:tc>
      </w:tr>
      <w:tr w14:paraId="37ACC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100" w:type="dxa"/>
            <w:gridSpan w:val="2"/>
            <w:tcBorders>
              <w:top w:val="single" w:color="auto" w:sz="4" w:space="0"/>
              <w:bottom w:val="single" w:color="auto" w:sz="4" w:space="0"/>
              <w:right w:val="single" w:color="auto" w:sz="4" w:space="0"/>
            </w:tcBorders>
            <w:vAlign w:val="center"/>
          </w:tcPr>
          <w:p w14:paraId="36243B3B">
            <w:pPr>
              <w:spacing w:line="360" w:lineRule="auto"/>
              <w:jc w:val="center"/>
              <w:rPr>
                <w:rFonts w:ascii="宋体"/>
                <w:b w:val="0"/>
                <w:bCs w:val="0"/>
                <w:color w:val="auto"/>
                <w:szCs w:val="21"/>
              </w:rPr>
            </w:pPr>
            <w:r>
              <w:rPr>
                <w:rFonts w:hint="eastAsia" w:ascii="宋体" w:hAnsi="宋体"/>
                <w:b w:val="0"/>
                <w:bCs w:val="0"/>
                <w:color w:val="auto"/>
                <w:szCs w:val="21"/>
              </w:rPr>
              <w:t>合同签订时间</w:t>
            </w:r>
          </w:p>
        </w:tc>
        <w:tc>
          <w:tcPr>
            <w:tcW w:w="6705" w:type="dxa"/>
            <w:gridSpan w:val="4"/>
            <w:tcBorders>
              <w:top w:val="single" w:color="auto" w:sz="4" w:space="0"/>
              <w:left w:val="single" w:color="auto" w:sz="4" w:space="0"/>
              <w:bottom w:val="single" w:color="auto" w:sz="4" w:space="0"/>
            </w:tcBorders>
            <w:vAlign w:val="center"/>
          </w:tcPr>
          <w:p w14:paraId="6F4F4ACA">
            <w:pPr>
              <w:spacing w:line="360" w:lineRule="auto"/>
              <w:rPr>
                <w:rFonts w:hint="eastAsia" w:ascii="宋体" w:eastAsia="宋体"/>
                <w:b w:val="0"/>
                <w:bCs w:val="0"/>
                <w:color w:val="auto"/>
                <w:szCs w:val="21"/>
                <w:lang w:eastAsia="zh-CN"/>
              </w:rPr>
            </w:pPr>
            <w:r>
              <w:rPr>
                <w:rFonts w:hint="eastAsia" w:ascii="宋体" w:hAnsi="宋体"/>
                <w:b w:val="0"/>
                <w:bCs w:val="0"/>
                <w:color w:val="auto"/>
                <w:szCs w:val="21"/>
              </w:rPr>
              <w:t>自成交通知书发出之日</w:t>
            </w:r>
            <w:r>
              <w:rPr>
                <w:rFonts w:hint="eastAsia" w:ascii="宋体" w:hAnsi="宋体"/>
                <w:b w:val="0"/>
                <w:bCs w:val="0"/>
                <w:color w:val="auto"/>
                <w:szCs w:val="21"/>
                <w:u w:val="none"/>
              </w:rPr>
              <w:t>起</w:t>
            </w:r>
            <w:r>
              <w:rPr>
                <w:rFonts w:hint="eastAsia" w:ascii="宋体" w:hAnsi="宋体"/>
                <w:b w:val="0"/>
                <w:bCs w:val="0"/>
                <w:color w:val="auto"/>
                <w:szCs w:val="21"/>
                <w:u w:val="none"/>
                <w:lang w:val="en-US" w:eastAsia="zh-CN"/>
              </w:rPr>
              <w:t>2</w:t>
            </w:r>
            <w:r>
              <w:rPr>
                <w:rFonts w:ascii="宋体" w:hAnsi="宋体"/>
                <w:b w:val="0"/>
                <w:bCs w:val="0"/>
                <w:color w:val="auto"/>
                <w:szCs w:val="21"/>
                <w:u w:val="none"/>
              </w:rPr>
              <w:t>5</w:t>
            </w:r>
            <w:r>
              <w:rPr>
                <w:rFonts w:hint="eastAsia" w:ascii="宋体" w:hAnsi="宋体"/>
                <w:b w:val="0"/>
                <w:bCs w:val="0"/>
                <w:color w:val="auto"/>
                <w:szCs w:val="21"/>
                <w:u w:val="none"/>
              </w:rPr>
              <w:t>日内</w:t>
            </w:r>
            <w:r>
              <w:rPr>
                <w:rFonts w:hint="eastAsia" w:ascii="宋体" w:hAnsi="宋体"/>
                <w:b w:val="0"/>
                <w:bCs w:val="0"/>
                <w:color w:val="auto"/>
                <w:szCs w:val="21"/>
                <w:u w:val="none"/>
                <w:lang w:eastAsia="zh-CN"/>
              </w:rPr>
              <w:t>。</w:t>
            </w:r>
          </w:p>
        </w:tc>
      </w:tr>
      <w:tr w14:paraId="46D0A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2100" w:type="dxa"/>
            <w:gridSpan w:val="2"/>
            <w:tcBorders>
              <w:top w:val="single" w:color="auto" w:sz="4" w:space="0"/>
              <w:bottom w:val="single" w:color="auto" w:sz="4" w:space="0"/>
              <w:right w:val="single" w:color="auto" w:sz="4" w:space="0"/>
            </w:tcBorders>
            <w:vAlign w:val="center"/>
          </w:tcPr>
          <w:p w14:paraId="14FF44BA">
            <w:pPr>
              <w:spacing w:line="360" w:lineRule="auto"/>
              <w:jc w:val="center"/>
              <w:rPr>
                <w:rFonts w:ascii="宋体"/>
                <w:b/>
                <w:color w:val="auto"/>
                <w:szCs w:val="21"/>
              </w:rPr>
            </w:pPr>
            <w:r>
              <w:rPr>
                <w:rFonts w:hint="eastAsia"/>
                <w:color w:val="auto"/>
              </w:rPr>
              <w:t>付款条件（进度和方式）</w:t>
            </w:r>
          </w:p>
        </w:tc>
        <w:tc>
          <w:tcPr>
            <w:tcW w:w="6705" w:type="dxa"/>
            <w:gridSpan w:val="4"/>
            <w:tcBorders>
              <w:top w:val="single" w:color="auto" w:sz="4" w:space="0"/>
              <w:left w:val="single" w:color="auto" w:sz="4" w:space="0"/>
              <w:bottom w:val="single" w:color="auto" w:sz="4" w:space="0"/>
            </w:tcBorders>
            <w:vAlign w:val="center"/>
          </w:tcPr>
          <w:p w14:paraId="338804FB">
            <w:pPr>
              <w:spacing w:line="360" w:lineRule="auto"/>
              <w:rPr>
                <w:color w:val="auto"/>
              </w:rPr>
            </w:pPr>
            <w:r>
              <w:rPr>
                <w:rFonts w:hint="eastAsia"/>
                <w:color w:val="auto"/>
              </w:rPr>
              <w:t>签订合同后，项目主要设备、材料进场具备开工条件后7日内（承包人向发包人提交申请，申请支付本项目的预付款）一次性支付预付款为合同总价的30%，资金拨付按月进度款实际支付金额为监理和发包人审定当月实际完成合同工程量的80%[其中经审定的当月实际完成合同工程量的25%须支付至承包人农民工工资专户（银行代发）]，竣工验收合格后支付至合同总价的</w:t>
            </w:r>
            <w:r>
              <w:rPr>
                <w:rFonts w:hint="eastAsia"/>
                <w:color w:val="auto"/>
                <w:lang w:val="en-US" w:eastAsia="zh-CN"/>
              </w:rPr>
              <w:t>8</w:t>
            </w:r>
            <w:r>
              <w:rPr>
                <w:rFonts w:hint="eastAsia"/>
                <w:color w:val="auto"/>
              </w:rPr>
              <w:t>0%，工程竣工验收并且结算送审后，以审计结算价为准支付至结算总价的97%，采购人按工程价款结算总额的3%预留工程质量保修金，在质保期结束后一个月内付清(不计利息)。</w:t>
            </w:r>
          </w:p>
        </w:tc>
      </w:tr>
      <w:tr w14:paraId="4ECB1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2100" w:type="dxa"/>
            <w:gridSpan w:val="2"/>
            <w:tcBorders>
              <w:top w:val="single" w:color="auto" w:sz="4" w:space="0"/>
              <w:bottom w:val="single" w:color="auto" w:sz="4" w:space="0"/>
              <w:right w:val="single" w:color="auto" w:sz="4" w:space="0"/>
            </w:tcBorders>
            <w:vAlign w:val="center"/>
          </w:tcPr>
          <w:p w14:paraId="3A230DA8">
            <w:pPr>
              <w:spacing w:line="360" w:lineRule="auto"/>
              <w:jc w:val="center"/>
              <w:rPr>
                <w:rFonts w:hint="eastAsia"/>
              </w:rPr>
            </w:pPr>
            <w:r>
              <w:rPr>
                <w:rFonts w:hint="eastAsia"/>
              </w:rPr>
              <w:t>其他要求</w:t>
            </w:r>
          </w:p>
        </w:tc>
        <w:tc>
          <w:tcPr>
            <w:tcW w:w="6705" w:type="dxa"/>
            <w:gridSpan w:val="4"/>
            <w:tcBorders>
              <w:top w:val="single" w:color="auto" w:sz="4" w:space="0"/>
              <w:left w:val="single" w:color="auto" w:sz="4" w:space="0"/>
              <w:bottom w:val="single" w:color="auto" w:sz="4" w:space="0"/>
            </w:tcBorders>
            <w:vAlign w:val="center"/>
          </w:tcPr>
          <w:p w14:paraId="22A1EB2A">
            <w:pPr>
              <w:spacing w:line="360" w:lineRule="auto"/>
              <w:rPr>
                <w:rFonts w:hint="eastAsia"/>
              </w:rPr>
            </w:pPr>
            <w:r>
              <w:rPr>
                <w:rFonts w:hint="eastAsia"/>
              </w:rPr>
              <w:t>供应商可以根据实际情况在响应文件中提供项目管理机构、施工组织设计、业绩等内容。</w:t>
            </w:r>
          </w:p>
        </w:tc>
      </w:tr>
    </w:tbl>
    <w:p w14:paraId="63AAB00E">
      <w:pPr>
        <w:pStyle w:val="24"/>
        <w:spacing w:before="340" w:after="340" w:line="360" w:lineRule="auto"/>
        <w:ind w:firstLine="422" w:firstLineChars="200"/>
        <w:jc w:val="center"/>
        <w:textAlignment w:val="center"/>
        <w:outlineLvl w:val="0"/>
        <w:rPr>
          <w:color w:val="000000" w:themeColor="text1"/>
          <w14:textFill>
            <w14:solidFill>
              <w14:schemeClr w14:val="tx1"/>
            </w14:solidFill>
          </w14:textFill>
        </w:rPr>
      </w:pPr>
      <w:r>
        <w:rPr>
          <w:rFonts w:hAnsi="宋体" w:cs="宋体"/>
          <w:b/>
          <w:bCs/>
          <w:color w:val="000000" w:themeColor="text1"/>
          <w14:textFill>
            <w14:solidFill>
              <w14:schemeClr w14:val="tx1"/>
            </w14:solidFill>
          </w14:textFill>
        </w:rPr>
        <w:br w:type="page"/>
      </w:r>
      <w:bookmarkStart w:id="86" w:name="_Toc74323459"/>
      <w:r>
        <w:rPr>
          <w:rFonts w:hint="eastAsia" w:ascii="Times New Roman" w:hAnsi="Times New Roman" w:eastAsia="宋体" w:cs="Times New Roman"/>
          <w:b/>
          <w:color w:val="000000" w:themeColor="text1"/>
          <w:kern w:val="44"/>
          <w:sz w:val="44"/>
          <w:szCs w:val="20"/>
          <w:lang w:val="en-US" w:eastAsia="zh-CN" w:bidi="ar-SA"/>
          <w14:textFill>
            <w14:solidFill>
              <w14:schemeClr w14:val="tx1"/>
            </w14:solidFill>
          </w14:textFill>
        </w:rPr>
        <w:t>第四章</w:t>
      </w:r>
      <w:r>
        <w:rPr>
          <w:rFonts w:hint="eastAsia" w:ascii="Times New Roman" w:hAnsi="Times New Roman" w:cs="Times New Roman"/>
          <w:b/>
          <w:color w:val="000000" w:themeColor="text1"/>
          <w:kern w:val="44"/>
          <w:sz w:val="44"/>
          <w:szCs w:val="20"/>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44"/>
          <w:sz w:val="44"/>
          <w:szCs w:val="20"/>
          <w:lang w:val="en-US" w:eastAsia="zh-CN" w:bidi="ar-SA"/>
          <w14:textFill>
            <w14:solidFill>
              <w14:schemeClr w14:val="tx1"/>
            </w14:solidFill>
          </w14:textFill>
        </w:rPr>
        <w:t>评审程序、评审方法和评审标准</w:t>
      </w:r>
      <w:bookmarkEnd w:id="86"/>
    </w:p>
    <w:p w14:paraId="7FD27BA3">
      <w:pPr>
        <w:spacing w:line="360" w:lineRule="auto"/>
        <w:jc w:val="center"/>
        <w:rPr>
          <w:rFonts w:asci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一、评审程序和评审方法</w:t>
      </w:r>
    </w:p>
    <w:p w14:paraId="24FDB5C1">
      <w:pPr>
        <w:spacing w:line="360" w:lineRule="auto"/>
        <w:ind w:firstLine="354" w:firstLineChars="147"/>
        <w:jc w:val="left"/>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资格审查</w:t>
      </w:r>
    </w:p>
    <w:p w14:paraId="1203263E">
      <w:pPr>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响应文件开启后，磋商小组依法对供应商的资格证明文件进行审查。</w:t>
      </w:r>
    </w:p>
    <w:p w14:paraId="78BAC704">
      <w:pPr>
        <w:snapToGrid w:val="0"/>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color w:val="000000" w:themeColor="text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在资格审查结束前，对供应商进行信用查询。</w:t>
      </w:r>
    </w:p>
    <w:p w14:paraId="162A4AED">
      <w:pPr>
        <w:snapToGrid w:val="0"/>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）查询渠道：“</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”平台“信用中国”网站（</w:t>
      </w:r>
      <w:r>
        <w:rPr>
          <w:rFonts w:ascii="宋体" w:hAnsi="宋体" w:cs="宋体"/>
          <w:color w:val="000000" w:themeColor="text1"/>
          <w:szCs w:val="21"/>
          <w14:textFill>
            <w14:solidFill>
              <w14:schemeClr w14:val="tx1"/>
            </w14:solidFill>
          </w14:textFill>
        </w:rPr>
        <w:t>www.creditchina.gov.cn</w:t>
      </w:r>
      <w:r>
        <w:rPr>
          <w:rFonts w:hint="eastAsia" w:ascii="宋体" w:hAnsi="宋体" w:cs="宋体"/>
          <w:color w:val="000000" w:themeColor="text1"/>
          <w:szCs w:val="21"/>
          <w14:textFill>
            <w14:solidFill>
              <w14:schemeClr w14:val="tx1"/>
            </w14:solidFill>
          </w14:textFill>
        </w:rPr>
        <w:t>）、中国政府采购网（</w:t>
      </w:r>
      <w:r>
        <w:rPr>
          <w:rFonts w:ascii="宋体" w:hAnsi="宋体" w:cs="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t>）链接入口。</w:t>
      </w:r>
    </w:p>
    <w:p w14:paraId="020D0CC7">
      <w:pPr>
        <w:snapToGrid w:val="0"/>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）信用查询截止时点：资格审查结束前。</w:t>
      </w:r>
    </w:p>
    <w:p w14:paraId="65899E93">
      <w:pPr>
        <w:snapToGrid w:val="0"/>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）查询记录和证据留存方式：在查询网站中直接查询，截图另存为电子文档作为评审资料保存。</w:t>
      </w:r>
    </w:p>
    <w:p w14:paraId="13F998AB">
      <w:pPr>
        <w:snapToGrid w:val="0"/>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）信用信息使用规则：对在“信用中国”网站（</w:t>
      </w:r>
      <w:r>
        <w:rPr>
          <w:rFonts w:ascii="宋体" w:hAnsi="宋体" w:cs="宋体"/>
          <w:color w:val="000000" w:themeColor="text1"/>
          <w:szCs w:val="21"/>
          <w14:textFill>
            <w14:solidFill>
              <w14:schemeClr w14:val="tx1"/>
            </w14:solidFill>
          </w14:textFill>
        </w:rPr>
        <w:t>www.creditchina.gov.cn</w:t>
      </w:r>
      <w:r>
        <w:rPr>
          <w:rFonts w:hint="eastAsia" w:ascii="宋体" w:hAnsi="宋体" w:cs="宋体"/>
          <w:color w:val="000000" w:themeColor="text1"/>
          <w:szCs w:val="21"/>
          <w14:textFill>
            <w14:solidFill>
              <w14:schemeClr w14:val="tx1"/>
            </w14:solidFill>
          </w14:textFill>
        </w:rPr>
        <w:t>）、中国政府采购网（</w:t>
      </w:r>
      <w:r>
        <w:rPr>
          <w:rFonts w:ascii="宋体" w:hAnsi="宋体" w:cs="宋体"/>
          <w:color w:val="000000" w:themeColor="text1"/>
          <w:szCs w:val="21"/>
          <w14:textFill>
            <w14:solidFill>
              <w14:schemeClr w14:val="tx1"/>
            </w14:solidFill>
          </w14:textFill>
        </w:rPr>
        <w:t>www.ccgp.gov.cn</w:t>
      </w:r>
      <w:r>
        <w:rPr>
          <w:rFonts w:hint="eastAsia" w:ascii="宋体" w:hAnsi="宋体" w:cs="宋体"/>
          <w:color w:val="000000" w:themeColor="text1"/>
          <w:szCs w:val="21"/>
          <w14:textFill>
            <w14:solidFill>
              <w14:schemeClr w14:val="tx1"/>
            </w14:solidFill>
          </w14:textFill>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14:textFill>
            <w14:solidFill>
              <w14:schemeClr w14:val="tx1"/>
            </w14:solidFill>
          </w14:textFill>
        </w:rPr>
        <w:t>。</w:t>
      </w:r>
    </w:p>
    <w:p w14:paraId="07A737A2">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资格审查标准为本磋商文件中载明对供应商资格要求的条件。资格审查采用合格制，凡符合磋商文件规定的供应商资格要求的响应文件均通过资格审查。</w:t>
      </w:r>
    </w:p>
    <w:p w14:paraId="3C2F61E1">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供应商有下列情形之一的，资格审查不通过，其响应文件按无效处理：</w:t>
      </w:r>
    </w:p>
    <w:p w14:paraId="07013BAF">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）不具备磋商文件中规定的资格要求的；</w:t>
      </w:r>
    </w:p>
    <w:p w14:paraId="39EFA35A">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）未按磋商文件规定的方式获取本磋商文件的供应商；</w:t>
      </w:r>
    </w:p>
    <w:p w14:paraId="1DC676BE">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）响应文件的资格证明文件缺少任一项“供应商须知前附表”资格证明文件规定的“必须提供”的文件资料的；</w:t>
      </w:r>
    </w:p>
    <w:p w14:paraId="395D93AF">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）响应文件中的资格证明文件出现任一项不符合“供应商须知前附表”资格证明文件规定的“必须提供”的文件资料要求或者无效的；</w:t>
      </w:r>
    </w:p>
    <w:p w14:paraId="2E6997F0">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1C8FCBC1">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通过资格审查的合格供应商不足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家的，不得进入符合性审查环节，</w:t>
      </w:r>
      <w:r>
        <w:rPr>
          <w:rFonts w:hint="eastAsia" w:ascii="宋体" w:hAnsi="宋体"/>
          <w:color w:val="000000" w:themeColor="text1"/>
          <w:szCs w:val="21"/>
          <w14:textFill>
            <w14:solidFill>
              <w14:schemeClr w14:val="tx1"/>
            </w14:solidFill>
          </w14:textFill>
        </w:rPr>
        <w:t>应当重新开展采购活动。</w:t>
      </w:r>
    </w:p>
    <w:p w14:paraId="181FFDB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符合性审查</w:t>
      </w:r>
    </w:p>
    <w:p w14:paraId="71BC79B7">
      <w:pPr>
        <w:spacing w:line="360" w:lineRule="auto"/>
        <w:ind w:firstLine="420" w:firstLineChars="200"/>
        <w:rPr>
          <w:rFonts w:ascii="宋体" w:cs="宋体"/>
          <w:color w:val="000000" w:themeColor="text1"/>
          <w:szCs w:val="21"/>
          <w14:textFill>
            <w14:solidFill>
              <w14:schemeClr w14:val="tx1"/>
            </w14:solidFill>
          </w14:textFill>
        </w:rPr>
      </w:pPr>
      <w:bookmarkStart w:id="87"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的响应文件的竞标报价、商务、技术等实质性要求进行符合性审查，以确定其是否满足磋商文件的实质性要求。</w:t>
      </w:r>
    </w:p>
    <w:bookmarkEnd w:id="87"/>
    <w:p w14:paraId="18AD7A01">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27AD54">
      <w:pPr>
        <w:spacing w:line="360" w:lineRule="auto"/>
        <w:ind w:firstLine="420" w:firstLineChars="200"/>
        <w:rPr>
          <w:rFonts w:asci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asci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14:textFill>
            <w14:solidFill>
              <w14:schemeClr w14:val="tx1"/>
            </w14:solidFill>
          </w14:textFill>
        </w:rPr>
        <w:t>签章</w:t>
      </w:r>
      <w:r>
        <w:rPr>
          <w:rFonts w:hint="eastAsia" w:ascii="宋体" w:hAnsi="宋体" w:cs="宋体"/>
          <w:color w:val="000000" w:themeColor="text1"/>
          <w:spacing w:val="-6"/>
          <w:szCs w:val="21"/>
          <w14:textFill>
            <w14:solidFill>
              <w14:schemeClr w14:val="tx1"/>
            </w14:solidFill>
          </w14:textFill>
        </w:rPr>
        <w:t>。</w:t>
      </w:r>
    </w:p>
    <w:p w14:paraId="31F0F787">
      <w:pPr>
        <w:spacing w:line="360" w:lineRule="auto"/>
        <w:ind w:firstLine="420" w:firstLineChars="200"/>
        <w:rPr>
          <w:rFonts w:ascii="宋体" w:cs="宋体"/>
          <w:color w:val="000000" w:themeColor="text1"/>
          <w:spacing w:val="-6"/>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EE33A35">
      <w:pPr>
        <w:spacing w:line="360" w:lineRule="auto"/>
        <w:ind w:firstLine="396" w:firstLineChars="200"/>
        <w:rPr>
          <w:rFonts w:asci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首次响应文件报价出现前后不一致的，按照下列规定修正：</w:t>
      </w:r>
    </w:p>
    <w:p w14:paraId="0A5161A8">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）响应文件中报价表内容与响应文件中相应内容不一致的，以报价表为准；</w:t>
      </w:r>
    </w:p>
    <w:p w14:paraId="03054BDB">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）大写金额和小写金额不一致的，以大写金额为准；</w:t>
      </w:r>
    </w:p>
    <w:p w14:paraId="01618611">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）单价金额小数点或者百分比有明显错位的，以报价表的总价为准，并修改单价；</w:t>
      </w:r>
    </w:p>
    <w:p w14:paraId="4D6901B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）总价金额与按单价汇总金额不一致的，以单价金额计算结果为准。</w:t>
      </w:r>
    </w:p>
    <w:p w14:paraId="35A0EEA6">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）规定的顺序逐条进行修正。修正后的报价经供应商确认后产生约束力，供应商不确认的，其响应文件按无效处理。</w:t>
      </w:r>
    </w:p>
    <w:p w14:paraId="48BF75A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asci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1E9769C3">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在评审时，如发现下列情形之一的，将被视为响应文件无效处理：</w:t>
      </w:r>
    </w:p>
    <w:p w14:paraId="05603FB0">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）商务技术评审</w:t>
      </w:r>
    </w:p>
    <w:p w14:paraId="0BADBA64">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）响应文件未按磋商文件要求签署、盖章的；</w:t>
      </w:r>
    </w:p>
    <w:p w14:paraId="4DF13D79">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）委托代理人未能出具有效身份证或者出具的身份证与授权委托书中的信息不符的；</w:t>
      </w:r>
    </w:p>
    <w:p w14:paraId="55F0F278">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）提交的磋商保证金无效的或者未按照磋商文件的规定提交磋商保证金的；</w:t>
      </w:r>
    </w:p>
    <w:p w14:paraId="0CD672F1">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3C29FCAA">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）商务要求允许负偏离的条款数超过“供应商须知前附表”规定项数的；</w:t>
      </w:r>
    </w:p>
    <w:p w14:paraId="7102CC7D">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）未对竞标有效期作出响应或者响应文件承诺的竞标有效期不满足磋商文件要求的；</w:t>
      </w:r>
    </w:p>
    <w:p w14:paraId="28DD02A2">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）响应文件的实质性内容未使用中文表述、使用计量单位不符合磋商文件要求的；</w:t>
      </w:r>
    </w:p>
    <w:p w14:paraId="60F6B41D">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8</w:t>
      </w:r>
      <w:r>
        <w:rPr>
          <w:rFonts w:hint="eastAsia" w:ascii="宋体" w:hAnsi="宋体" w:cs="宋体"/>
          <w:b/>
          <w:color w:val="000000" w:themeColor="text1"/>
          <w:szCs w:val="21"/>
          <w14:textFill>
            <w14:solidFill>
              <w14:schemeClr w14:val="tx1"/>
            </w14:solidFill>
          </w14:textFill>
        </w:rPr>
        <w:t>）响应文件中的文件资料因填写不齐全或者内容虚假或者出现其他情形而导致被磋商小组认定无效的；</w:t>
      </w:r>
    </w:p>
    <w:p w14:paraId="1988782E">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）响应文件含有采购人不能接受的附加条件的；</w:t>
      </w:r>
    </w:p>
    <w:p w14:paraId="4267B571">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10</w:t>
      </w:r>
      <w:r>
        <w:rPr>
          <w:rFonts w:hint="eastAsia" w:ascii="宋体" w:hAnsi="宋体" w:cs="宋体"/>
          <w:b/>
          <w:color w:val="000000" w:themeColor="text1"/>
          <w:szCs w:val="21"/>
          <w14:textFill>
            <w14:solidFill>
              <w14:schemeClr w14:val="tx1"/>
            </w14:solidFill>
          </w14:textFill>
        </w:rPr>
        <w:t>）属于“供应商须知正文”第</w:t>
      </w:r>
      <w:r>
        <w:rPr>
          <w:rFonts w:ascii="宋体" w:hAnsi="宋体" w:cs="宋体"/>
          <w:b/>
          <w:color w:val="000000" w:themeColor="text1"/>
          <w:szCs w:val="21"/>
          <w14:textFill>
            <w14:solidFill>
              <w14:schemeClr w14:val="tx1"/>
            </w14:solidFill>
          </w14:textFill>
        </w:rPr>
        <w:t>7.5</w:t>
      </w:r>
      <w:r>
        <w:rPr>
          <w:rFonts w:hint="eastAsia" w:ascii="宋体" w:hAnsi="宋体" w:cs="宋体"/>
          <w:b/>
          <w:color w:val="000000" w:themeColor="text1"/>
          <w:szCs w:val="21"/>
          <w14:textFill>
            <w14:solidFill>
              <w14:schemeClr w14:val="tx1"/>
            </w14:solidFill>
          </w14:textFill>
        </w:rPr>
        <w:t>条供应商相互串通竞标情形的；</w:t>
      </w:r>
    </w:p>
    <w:p w14:paraId="2E2D2C11">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11</w:t>
      </w:r>
      <w:r>
        <w:rPr>
          <w:rFonts w:hint="eastAsia" w:ascii="宋体" w:hAnsi="宋体" w:cs="宋体"/>
          <w:b/>
          <w:color w:val="000000" w:themeColor="text1"/>
          <w:szCs w:val="21"/>
          <w14:textFill>
            <w14:solidFill>
              <w14:schemeClr w14:val="tx1"/>
            </w14:solidFill>
          </w14:textFill>
        </w:rPr>
        <w:t>）技术要求允许负偏离的条款数超过“供应商须知前附表”规定项数的；</w:t>
      </w:r>
    </w:p>
    <w:p w14:paraId="1F97712F">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）虚假竞标，或者出现其他情形而导致被磋商小组认定无效的；</w:t>
      </w:r>
    </w:p>
    <w:p w14:paraId="797711DE">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13</w:t>
      </w:r>
      <w:r>
        <w:rPr>
          <w:rFonts w:hint="eastAsia" w:ascii="宋体" w:hAnsi="宋体" w:cs="宋体"/>
          <w:b/>
          <w:color w:val="000000" w:themeColor="text1"/>
          <w:szCs w:val="21"/>
          <w14:textFill>
            <w14:solidFill>
              <w14:schemeClr w14:val="tx1"/>
            </w14:solidFill>
          </w14:textFill>
        </w:rPr>
        <w:t>）</w:t>
      </w:r>
      <w:bookmarkStart w:id="88" w:name="_Hlk71704147"/>
      <w:r>
        <w:rPr>
          <w:rFonts w:hint="eastAsia" w:ascii="宋体" w:hAnsi="宋体" w:cs="宋体"/>
          <w:b/>
          <w:color w:val="000000" w:themeColor="text1"/>
          <w:szCs w:val="21"/>
          <w14:textFill>
            <w14:solidFill>
              <w14:schemeClr w14:val="tx1"/>
            </w14:solidFill>
          </w14:textFill>
        </w:rPr>
        <w:t>磋商文件未载明允许提供备选（替代）竞标方案或明确不允许提供备选（替代）竞标方案时，供应商提供了备选（替代）竞标方案的；</w:t>
      </w:r>
      <w:bookmarkEnd w:id="88"/>
    </w:p>
    <w:p w14:paraId="06C785AB">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14</w:t>
      </w:r>
      <w:r>
        <w:rPr>
          <w:rFonts w:hint="eastAsia" w:ascii="宋体" w:hAnsi="宋体" w:cs="宋体"/>
          <w:b/>
          <w:color w:val="000000" w:themeColor="text1"/>
          <w:szCs w:val="21"/>
          <w14:textFill>
            <w14:solidFill>
              <w14:schemeClr w14:val="tx1"/>
            </w14:solidFill>
          </w14:textFill>
        </w:rPr>
        <w:t>）响应文件标注的项目名称或者项目编号与磋商文件标注的项目名称或者项目编号不一致的；</w:t>
      </w:r>
    </w:p>
    <w:p w14:paraId="12D732FE">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竞争性磋商文件明确不允许分包，响应文件拟分包的；</w:t>
      </w:r>
    </w:p>
    <w:p w14:paraId="7A8646DA">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16</w:t>
      </w:r>
      <w:r>
        <w:rPr>
          <w:rFonts w:hint="eastAsia" w:ascii="宋体" w:hAnsi="宋体" w:cs="宋体"/>
          <w:b/>
          <w:color w:val="000000" w:themeColor="text1"/>
          <w:szCs w:val="21"/>
          <w14:textFill>
            <w14:solidFill>
              <w14:schemeClr w14:val="tx1"/>
            </w14:solidFill>
          </w14:textFill>
        </w:rPr>
        <w:t>）未响应磋商文件实质性要求的；</w:t>
      </w:r>
    </w:p>
    <w:p w14:paraId="3D958E1F">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17</w:t>
      </w:r>
      <w:r>
        <w:rPr>
          <w:rFonts w:hint="eastAsia" w:ascii="宋体" w:hAnsi="宋体" w:cs="宋体"/>
          <w:b/>
          <w:color w:val="000000" w:themeColor="text1"/>
          <w:szCs w:val="21"/>
          <w14:textFill>
            <w14:solidFill>
              <w14:schemeClr w14:val="tx1"/>
            </w14:solidFill>
          </w14:textFill>
        </w:rPr>
        <w:t>）法律、法规和磋商文件规定的其他无效情形。</w:t>
      </w:r>
    </w:p>
    <w:p w14:paraId="1DD02F18">
      <w:pPr>
        <w:spacing w:line="360" w:lineRule="auto"/>
        <w:ind w:firstLine="422" w:firstLineChars="200"/>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）报价评审</w:t>
      </w:r>
    </w:p>
    <w:p w14:paraId="69023633">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）响应文件未提供“供应商须知前附表”报价文件中规定的“竞标报价表”的；</w:t>
      </w:r>
    </w:p>
    <w:p w14:paraId="6DF817B8">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）未采用人民币报价或者未按照磋商文件标明的币种报价的；</w:t>
      </w:r>
    </w:p>
    <w:p w14:paraId="484F6942">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1C841D5">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）竞标报价（包含首次报价、最后报价）超过所竞标分标规定的采购预算金额或者最高限价的（如本项目公布了最高限价）；</w:t>
      </w:r>
      <w:bookmarkStart w:id="89" w:name="_Hlk42596405"/>
      <w:r>
        <w:rPr>
          <w:rFonts w:hint="eastAsia" w:ascii="宋体" w:hAnsi="宋体" w:cs="宋体"/>
          <w:b/>
          <w:color w:val="000000" w:themeColor="text1"/>
          <w:szCs w:val="21"/>
          <w14:textFill>
            <w14:solidFill>
              <w14:schemeClr w14:val="tx1"/>
            </w14:solidFill>
          </w14:textFill>
        </w:rPr>
        <w:t>竞标报价（包含首次报价、最后报价）</w:t>
      </w:r>
      <w:bookmarkEnd w:id="89"/>
      <w:bookmarkStart w:id="90" w:name="_Hlk42596276"/>
      <w:r>
        <w:rPr>
          <w:rFonts w:hint="eastAsia" w:ascii="宋体" w:hAnsi="宋体" w:cs="宋体"/>
          <w:b/>
          <w:color w:val="000000" w:themeColor="text1"/>
          <w:szCs w:val="21"/>
          <w14:textFill>
            <w14:solidFill>
              <w14:schemeClr w14:val="tx1"/>
            </w14:solidFill>
          </w14:textFill>
        </w:rPr>
        <w:t>超过磋商文件分项采购预算金额或者最高限价的</w:t>
      </w:r>
      <w:bookmarkEnd w:id="90"/>
      <w:r>
        <w:rPr>
          <w:rFonts w:hint="eastAsia" w:ascii="宋体" w:hAnsi="宋体" w:cs="宋体"/>
          <w:b/>
          <w:color w:val="000000" w:themeColor="text1"/>
          <w:szCs w:val="21"/>
          <w14:textFill>
            <w14:solidFill>
              <w14:schemeClr w14:val="tx1"/>
            </w14:solidFill>
          </w14:textFill>
        </w:rPr>
        <w:t>（如本项目有要求并公布了分项采购预算金额或者最高限价）；</w:t>
      </w:r>
    </w:p>
    <w:p w14:paraId="5D4DA740">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2FF0432A">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）在单价合同工程中供应商采用总价优惠或以总价百分比优惠的方式进行竞标报价的；</w:t>
      </w:r>
    </w:p>
    <w:p w14:paraId="20FAF516">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）竞标总报价与已标价工程量清单汇总表不一致的；</w:t>
      </w:r>
    </w:p>
    <w:p w14:paraId="58487258">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8</w:t>
      </w:r>
      <w:r>
        <w:rPr>
          <w:rFonts w:hint="eastAsia" w:ascii="宋体" w:hAnsi="宋体" w:cs="宋体"/>
          <w:b/>
          <w:color w:val="000000" w:themeColor="text1"/>
          <w:szCs w:val="21"/>
          <w14:textFill>
            <w14:solidFill>
              <w14:schemeClr w14:val="tx1"/>
            </w14:solidFill>
          </w14:textFill>
        </w:rPr>
        <w:t>）安全文明施工费和规费、增值税不按广西区费用定额及造价管理相关文件规定报价的（园林绿化及仿古建筑工程除外）；（适用于房屋建筑和市政工程项目）</w:t>
      </w:r>
    </w:p>
    <w:p w14:paraId="6A41309F">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）供应商已标价工程量清单的项目编码（</w:t>
      </w:r>
      <w:r>
        <w:rPr>
          <w:rFonts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位）、计量单位、工程量任何一处与工程量清单不一致的；</w:t>
      </w:r>
    </w:p>
    <w:p w14:paraId="72BF4C5A">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10</w:t>
      </w:r>
      <w:r>
        <w:rPr>
          <w:rFonts w:hint="eastAsia" w:ascii="宋体" w:hAnsi="宋体" w:cs="宋体"/>
          <w:b/>
          <w:color w:val="000000" w:themeColor="text1"/>
          <w:szCs w:val="21"/>
          <w14:textFill>
            <w14:solidFill>
              <w14:schemeClr w14:val="tx1"/>
            </w14:solidFill>
          </w14:textFill>
        </w:rPr>
        <w:t>）供应商已标价工程量清单的项目名称或项目特征与工程量清单不一致，评标委员会要求澄清、说明或补正，但供应商拒绝澄清、说明或补正的；（适用于房屋建筑和市政工程项目）</w:t>
      </w:r>
    </w:p>
    <w:p w14:paraId="45029096">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11</w:t>
      </w:r>
      <w:r>
        <w:rPr>
          <w:rFonts w:hint="eastAsia" w:ascii="宋体" w:hAnsi="宋体" w:cs="宋体"/>
          <w:b/>
          <w:color w:val="000000" w:themeColor="text1"/>
          <w:szCs w:val="21"/>
          <w14:textFill>
            <w14:solidFill>
              <w14:schemeClr w14:val="tx1"/>
            </w14:solidFill>
          </w14:textFill>
        </w:rPr>
        <w:t>）设有暂估价、暂列金额的，竞标时未按工程量清单给出的暂估价总价、暂列金额总价计入竞标总报价中的；</w:t>
      </w:r>
    </w:p>
    <w:p w14:paraId="649CEB89">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）供应商对工程量清单内容进行增减或对竞标范围进行调整的；</w:t>
      </w:r>
    </w:p>
    <w:p w14:paraId="00F76F2E">
      <w:pPr>
        <w:spacing w:line="360" w:lineRule="auto"/>
        <w:ind w:firstLine="422" w:firstLineChars="200"/>
        <w:rPr>
          <w:rFonts w:ascii="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13</w:t>
      </w:r>
      <w:r>
        <w:rPr>
          <w:rFonts w:hint="eastAsia" w:ascii="宋体" w:hAnsi="宋体" w:cs="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响应文件响应的标的数量及单位与竞争性磋商采购文件要求实质性不一致的；</w:t>
      </w:r>
    </w:p>
    <w:p w14:paraId="6BB9BBB3">
      <w:pPr>
        <w:spacing w:line="360" w:lineRule="auto"/>
        <w:ind w:firstLine="422" w:firstLineChars="200"/>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14</w:t>
      </w:r>
      <w:r>
        <w:rPr>
          <w:rFonts w:hint="eastAsia" w:ascii="宋体" w:hAnsi="宋体" w:cs="宋体"/>
          <w:b/>
          <w:color w:val="000000" w:themeColor="text1"/>
          <w:szCs w:val="21"/>
          <w14:textFill>
            <w14:solidFill>
              <w14:schemeClr w14:val="tx1"/>
            </w14:solidFill>
          </w14:textFill>
        </w:rPr>
        <w:t>）未响应磋商文件实质性要求的。</w:t>
      </w:r>
    </w:p>
    <w:p w14:paraId="6EEE832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磋商小组对响应文件进行评审，未实质性响应磋商文件的响应文件按无效处理，磋商小组应当将资格和符合性不通过的情况告知有关供应商。</w:t>
      </w:r>
    </w:p>
    <w:p w14:paraId="01BD8FA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家的，不得进入磋商环节，应当重新开展采购活动。</w:t>
      </w:r>
    </w:p>
    <w:p w14:paraId="0D954E6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磋商程序</w:t>
      </w:r>
    </w:p>
    <w:p w14:paraId="59CB77D8">
      <w:pPr>
        <w:spacing w:line="360" w:lineRule="auto"/>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11C17616">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AF1F540">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对磋商文件作出的实质性变动是磋商文件的有效组成部分，由磋商小组及时以电子澄清函形式同时通知所有参加磋商的供应商。</w:t>
      </w:r>
    </w:p>
    <w:p w14:paraId="6003B53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8CEA54F">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14:textFill>
            <w14:solidFill>
              <w14:schemeClr w14:val="tx1"/>
            </w14:solidFill>
          </w14:textFill>
        </w:rPr>
        <w:t>。</w:t>
      </w:r>
    </w:p>
    <w:p w14:paraId="67821672">
      <w:pPr>
        <w:widowControl/>
        <w:tabs>
          <w:tab w:val="left" w:pos="540"/>
        </w:tabs>
        <w:spacing w:line="360" w:lineRule="auto"/>
        <w:ind w:firstLine="420" w:firstLineChars="200"/>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采购代理机构对磋商过程和磋商内容进行记录。</w:t>
      </w:r>
    </w:p>
    <w:p w14:paraId="7B879584">
      <w:pPr>
        <w:widowControl/>
        <w:tabs>
          <w:tab w:val="left" w:pos="540"/>
        </w:tabs>
        <w:spacing w:line="360" w:lineRule="auto"/>
        <w:ind w:firstLine="420" w:firstLineChars="200"/>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3.7</w:t>
      </w:r>
      <w:r>
        <w:rPr>
          <w:rFonts w:hint="eastAsia"/>
          <w:color w:val="000000" w:themeColor="text1"/>
          <w14:textFill>
            <w14:solidFill>
              <w14:schemeClr w14:val="tx1"/>
            </w14:solidFill>
          </w14:textFill>
        </w:rPr>
        <w:t>根据《</w:t>
      </w:r>
      <w:r>
        <w:rPr>
          <w:rFonts w:hint="eastAsia" w:ascii="宋体" w:hAnsi="宋体"/>
          <w:color w:val="000000" w:themeColor="text1"/>
          <w14:textFill>
            <w14:solidFill>
              <w14:schemeClr w14:val="tx1"/>
            </w14:solidFill>
          </w14:textFill>
        </w:rPr>
        <w:t>财政部关于政府采购竞争性磋商采购方式管理暂行办法有关问题的补充通知》（财库〔</w:t>
      </w:r>
      <w:r>
        <w:rPr>
          <w:rFonts w:ascii="宋体" w:hAnsi="宋体"/>
          <w:color w:val="000000" w:themeColor="text1"/>
          <w14:textFill>
            <w14:solidFill>
              <w14:schemeClr w14:val="tx1"/>
            </w14:solidFill>
          </w14:textFill>
        </w:rPr>
        <w:t>2015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124</w:t>
      </w:r>
      <w:r>
        <w:rPr>
          <w:rFonts w:hint="eastAsia" w:ascii="宋体" w:hAnsi="宋体"/>
          <w:color w:val="000000" w:themeColor="text1"/>
          <w14:textFill>
            <w14:solidFill>
              <w14:schemeClr w14:val="tx1"/>
            </w14:solidFill>
          </w14:textFill>
        </w:rPr>
        <w:t>号）的规定，采用竞争性磋商采购方式采购的政府购买服务项目（含政府和社会资本合作项目），在采购过程中符合要求的供应商（社会资本）只有</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家的，竞争性磋商采购活动可以继续进行。采购过程中符合要求的供应商（社会资本）只有</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家的，采购人（项目实施机构）或者采购代理机构应当终止竞争性磋商采购活动，发布项目终止公告并说明原因，重新开展采购活动。</w:t>
      </w:r>
    </w:p>
    <w:p w14:paraId="3F05182E">
      <w:pPr>
        <w:tabs>
          <w:tab w:val="left" w:pos="2835"/>
        </w:tabs>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3.8</w:t>
      </w:r>
      <w:r>
        <w:rPr>
          <w:rFonts w:hint="eastAsia" w:ascii="宋体" w:hAnsi="宋体" w:cs="宋体"/>
          <w:color w:val="000000" w:themeColor="text1"/>
          <w:szCs w:val="21"/>
          <w14:textFill>
            <w14:solidFill>
              <w14:schemeClr w14:val="tx1"/>
            </w14:solidFill>
          </w14:textFill>
        </w:rPr>
        <w:t>除</w:t>
      </w:r>
      <w:r>
        <w:rPr>
          <w:rFonts w:hint="eastAsia" w:ascii="宋体" w:hAnsi="宋体"/>
          <w:color w:val="000000" w:themeColor="text1"/>
          <w14:textFill>
            <w14:solidFill>
              <w14:schemeClr w14:val="tx1"/>
            </w14:solidFill>
          </w14:textFill>
        </w:rPr>
        <w:t>本章第</w:t>
      </w:r>
      <w:r>
        <w:rPr>
          <w:rFonts w:ascii="宋体" w:hAnsi="宋体"/>
          <w:color w:val="000000" w:themeColor="text1"/>
          <w14:textFill>
            <w14:solidFill>
              <w14:schemeClr w14:val="tx1"/>
            </w14:solidFill>
          </w14:textFill>
        </w:rPr>
        <w:t>3.7</w:t>
      </w:r>
      <w:r>
        <w:rPr>
          <w:rFonts w:hint="eastAsia" w:ascii="宋体" w:hAnsi="宋体"/>
          <w:color w:val="000000" w:themeColor="text1"/>
          <w14:textFill>
            <w14:solidFill>
              <w14:schemeClr w14:val="tx1"/>
            </w14:solidFill>
          </w14:textFill>
        </w:rPr>
        <w:t>条规定的情形外，</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家的，应当重新开展采购活动。</w:t>
      </w:r>
    </w:p>
    <w:p w14:paraId="7B5E7239">
      <w:pPr>
        <w:spacing w:line="360" w:lineRule="auto"/>
        <w:ind w:firstLine="482" w:firstLineChars="200"/>
        <w:rPr>
          <w:rFonts w:ascii="宋体" w:cs="宋体"/>
          <w:color w:val="000000" w:themeColor="text1"/>
          <w:szCs w:val="21"/>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 xml:space="preserve">4. </w:t>
      </w:r>
      <w:r>
        <w:rPr>
          <w:rFonts w:hint="eastAsia" w:ascii="黑体" w:hAnsi="黑体" w:eastAsia="黑体" w:cs="宋体"/>
          <w:b/>
          <w:bCs/>
          <w:color w:val="000000" w:themeColor="text1"/>
          <w:sz w:val="24"/>
          <w14:textFill>
            <w14:solidFill>
              <w14:schemeClr w14:val="tx1"/>
            </w14:solidFill>
          </w14:textFill>
        </w:rPr>
        <w:t>最后报价</w:t>
      </w:r>
    </w:p>
    <w:p w14:paraId="301F32E9">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磋商文件能够详细列明采购标的的技术、服务要求的，磋商结束后，磋商小组应当要求所有继续参加磋商的供应商在规定时间内在“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”平台开标大厅提交加盖供应商电子签章的最后报价，除本章第</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条规定的情形外，提交最后报价的供应商不得少于</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家，否则应当重新</w:t>
      </w:r>
      <w:r>
        <w:rPr>
          <w:rFonts w:hint="eastAsia" w:ascii="宋体" w:hAnsi="宋体"/>
          <w:color w:val="000000" w:themeColor="text1"/>
          <w:szCs w:val="21"/>
          <w14:textFill>
            <w14:solidFill>
              <w14:schemeClr w14:val="tx1"/>
            </w14:solidFill>
          </w14:textFill>
        </w:rPr>
        <w:t>开展采购活动</w:t>
      </w:r>
      <w:r>
        <w:rPr>
          <w:rFonts w:hint="eastAsia" w:ascii="宋体" w:hAnsi="宋体" w:cs="宋体"/>
          <w:color w:val="000000" w:themeColor="text1"/>
          <w:szCs w:val="21"/>
          <w14:textFill>
            <w14:solidFill>
              <w14:schemeClr w14:val="tx1"/>
            </w14:solidFill>
          </w14:textFill>
        </w:rPr>
        <w:t>。</w:t>
      </w:r>
    </w:p>
    <w:p w14:paraId="72B215A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家以上供应商的设计方案或者解决方案，并要求其在规定时间内在“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”平台开标大厅提交最后报价。</w:t>
      </w:r>
      <w:r>
        <w:rPr>
          <w:rFonts w:hint="eastAsia" w:ascii="宋体" w:hAnsi="宋体" w:cs="宋体"/>
          <w:b/>
          <w:color w:val="000000" w:themeColor="text1"/>
          <w:szCs w:val="21"/>
          <w14:textFill>
            <w14:solidFill>
              <w14:schemeClr w14:val="tx1"/>
            </w14:solidFill>
          </w14:textFill>
        </w:rPr>
        <w:t>如果供应商的最后报价与首次报价不一致的，不能只报竞标总报价，必须同时提供“已标价工程量清单”，否则做无效响应处理。</w:t>
      </w:r>
    </w:p>
    <w:p w14:paraId="2ADD2EB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4.3 </w:t>
      </w:r>
      <w:r>
        <w:rPr>
          <w:rFonts w:hint="eastAsia" w:ascii="宋体" w:hAnsi="宋体" w:cs="宋体"/>
          <w:color w:val="000000" w:themeColor="text1"/>
          <w:szCs w:val="21"/>
          <w14:textFill>
            <w14:solidFill>
              <w14:schemeClr w14:val="tx1"/>
            </w14:solidFill>
          </w14:textFill>
        </w:rPr>
        <w:t>最后报价是供应商响应文件的有效组成部分。</w:t>
      </w:r>
    </w:p>
    <w:p w14:paraId="5A385CB0">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符合《政府采购竞争性磋商采购方式管理暂行办法》（财库〔</w:t>
      </w:r>
      <w:r>
        <w:rPr>
          <w:rFonts w:ascii="宋体" w:hAnsi="宋体" w:cs="宋体"/>
          <w:color w:val="000000" w:themeColor="text1"/>
          <w:szCs w:val="21"/>
          <w14:textFill>
            <w14:solidFill>
              <w14:schemeClr w14:val="tx1"/>
            </w14:solidFill>
          </w14:textFill>
        </w:rPr>
        <w:t>2014</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214</w:t>
      </w:r>
      <w:r>
        <w:rPr>
          <w:rFonts w:hint="eastAsia" w:ascii="宋体" w:hAnsi="宋体" w:cs="宋体"/>
          <w:color w:val="000000" w:themeColor="text1"/>
          <w:szCs w:val="21"/>
          <w14:textFill>
            <w14:solidFill>
              <w14:schemeClr w14:val="tx1"/>
            </w14:solidFill>
          </w14:textFill>
        </w:rPr>
        <w:t>号）第三条第四项“市场竞争不充分的科研项目，以及需要扶持的科技成果转化项目”和</w:t>
      </w:r>
      <w:r>
        <w:rPr>
          <w:rFonts w:hint="eastAsia"/>
          <w:color w:val="000000" w:themeColor="text1"/>
          <w14:textFill>
            <w14:solidFill>
              <w14:schemeClr w14:val="tx1"/>
            </w14:solidFill>
          </w14:textFill>
        </w:rPr>
        <w:t>本章</w:t>
      </w:r>
      <w:r>
        <w:rPr>
          <w:rFonts w:hint="eastAsia" w:ascii="宋体" w:hAnsi="宋体"/>
          <w:color w:val="000000" w:themeColor="text1"/>
          <w14:textFill>
            <w14:solidFill>
              <w14:schemeClr w14:val="tx1"/>
            </w14:solidFill>
          </w14:textFill>
        </w:rPr>
        <w:t>第</w:t>
      </w:r>
      <w:r>
        <w:rPr>
          <w:rFonts w:ascii="宋体" w:hAnsi="宋体"/>
          <w:color w:val="000000" w:themeColor="text1"/>
          <w14:textFill>
            <w14:solidFill>
              <w14:schemeClr w14:val="tx1"/>
            </w14:solidFill>
          </w14:textFill>
        </w:rPr>
        <w:t>3.7</w:t>
      </w:r>
      <w:r>
        <w:rPr>
          <w:rFonts w:hint="eastAsia" w:ascii="宋体" w:hAnsi="宋体"/>
          <w:color w:val="000000" w:themeColor="text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规定</w:t>
      </w:r>
      <w:r>
        <w:rPr>
          <w:rFonts w:hint="eastAsia"/>
          <w:color w:val="000000" w:themeColor="text1"/>
          <w14:textFill>
            <w14:solidFill>
              <w14:schemeClr w14:val="tx1"/>
            </w14:solidFill>
          </w14:textFill>
        </w:rPr>
        <w:t>情形的，</w:t>
      </w:r>
      <w:r>
        <w:rPr>
          <w:rFonts w:hint="eastAsia" w:ascii="宋体" w:hAnsi="宋体" w:cs="宋体"/>
          <w:color w:val="000000" w:themeColor="text1"/>
          <w:szCs w:val="21"/>
          <w14:textFill>
            <w14:solidFill>
              <w14:schemeClr w14:val="tx1"/>
            </w14:solidFill>
          </w14:textFill>
        </w:rPr>
        <w:t>提交最后报价的供应商可以为</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家。</w:t>
      </w:r>
    </w:p>
    <w:p w14:paraId="358DE7F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已经提交响应文件的供应商，在提交最后报价之前，可以根据磋商情况退出磋商，退出磋商的供应商的响应文件按无效处理。采购人、采购代理机构将退还退出磋商的供应商的保证金。</w:t>
      </w:r>
    </w:p>
    <w:p w14:paraId="1530C125">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供应商未在规定时间内提交最后报价的，视同退出磋商，其响应文件按无效处理。</w:t>
      </w:r>
    </w:p>
    <w:p w14:paraId="348F524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最后报价统一开启后，磋商小组对最后报价进行有效性、完整性和响应程度的审查。</w:t>
      </w:r>
    </w:p>
    <w:p w14:paraId="0920605B">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条的规定修正。</w:t>
      </w:r>
    </w:p>
    <w:p w14:paraId="137A66A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修正后的报价出现下列情形的，按无效响应处理：</w:t>
      </w:r>
    </w:p>
    <w:p w14:paraId="1522CE5D">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）供应商不确认的（全流程电子化评标采取在线确认）；</w:t>
      </w:r>
    </w:p>
    <w:p w14:paraId="370B329B">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）经供应商确认修正后的竞标报价（包含首次报价、最后报价）超过所竞标分标规定的采购预算金额或者最高限价的（如本项目公布了最高限价）；</w:t>
      </w:r>
    </w:p>
    <w:p w14:paraId="446B8705">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）经供应商确认修正后的竞标报价（包含首次报价、最后报价）超过分项采购预算金额或者最高限价的（如本项目公布了最高限价）。</w:t>
      </w:r>
    </w:p>
    <w:p w14:paraId="4DFFFEBE">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7816931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4.10</w:t>
      </w:r>
      <w:r>
        <w:rPr>
          <w:rFonts w:hint="eastAsia" w:ascii="宋体" w:hAnsi="宋体" w:cs="宋体"/>
          <w:color w:val="000000" w:themeColor="text1"/>
          <w:szCs w:val="21"/>
          <w14:textFill>
            <w14:solidFill>
              <w14:schemeClr w14:val="tx1"/>
            </w14:solidFill>
          </w14:textFill>
        </w:rPr>
        <w:t>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4CEB91E3">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4.11</w:t>
      </w:r>
      <w:r>
        <w:rPr>
          <w:rFonts w:hint="eastAsia" w:ascii="宋体" w:hAnsi="宋体" w:cs="宋体"/>
          <w:color w:val="000000" w:themeColor="text1"/>
          <w:szCs w:val="21"/>
          <w14:textFill>
            <w14:solidFill>
              <w14:schemeClr w14:val="tx1"/>
            </w14:solidFill>
          </w14:textFill>
        </w:rPr>
        <w:t>最后报价结束后，磋商小组不得再与供应商进行任何形式的商谈。</w:t>
      </w:r>
    </w:p>
    <w:p w14:paraId="40C2DA86">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5.</w:t>
      </w:r>
      <w:r>
        <w:rPr>
          <w:rFonts w:hint="eastAsia" w:ascii="黑体" w:hAnsi="黑体" w:eastAsia="黑体" w:cs="宋体"/>
          <w:b/>
          <w:bCs/>
          <w:color w:val="000000" w:themeColor="text1"/>
          <w:sz w:val="24"/>
          <w14:textFill>
            <w14:solidFill>
              <w14:schemeClr w14:val="tx1"/>
            </w14:solidFill>
          </w14:textFill>
        </w:rPr>
        <w:t>比较与评价</w:t>
      </w:r>
    </w:p>
    <w:p w14:paraId="221D35E7">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14:paraId="2D7BB854">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30469690">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14:paraId="5C4171EA">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）磋商小组按照磋商文件中规定的评审标准计算各供应商的报价得分。项目评审过程中，不得去掉最后报价中的最高报价和最低报价。</w:t>
      </w:r>
    </w:p>
    <w:p w14:paraId="6AF28F21">
      <w:pPr>
        <w:spacing w:line="360" w:lineRule="auto"/>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）各供应商的得分为磋商小组所有成员的有效评分的算术平均数。</w:t>
      </w:r>
    </w:p>
    <w:p w14:paraId="30CEBB2A">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42EE1EF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 xml:space="preserve">6. </w:t>
      </w:r>
      <w:r>
        <w:rPr>
          <w:rFonts w:hint="eastAsia" w:ascii="黑体" w:hAnsi="黑体" w:eastAsia="黑体" w:cs="宋体"/>
          <w:b/>
          <w:bCs/>
          <w:color w:val="000000" w:themeColor="text1"/>
          <w:sz w:val="24"/>
          <w14:textFill>
            <w14:solidFill>
              <w14:schemeClr w14:val="tx1"/>
            </w14:solidFill>
          </w14:textFill>
        </w:rPr>
        <w:t>成交供应商荐原则</w:t>
      </w:r>
    </w:p>
    <w:p w14:paraId="0C7BEBC8">
      <w:pPr>
        <w:spacing w:line="360" w:lineRule="auto"/>
        <w:ind w:firstLine="420" w:firstLineChars="200"/>
        <w:rPr>
          <w:rFonts w:asci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asci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由磋商小组根据综合评分情况，按照评审得分由高到低顺序推荐</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名以上成交候选供应商，并编写评审报告，</w:t>
      </w:r>
      <w:r>
        <w:rPr>
          <w:rFonts w:hint="eastAsia" w:ascii="宋体" w:hAnsi="宋体" w:cs="宋体"/>
          <w:color w:val="000000" w:themeColor="text1"/>
          <w14:textFill>
            <w14:solidFill>
              <w14:schemeClr w14:val="tx1"/>
            </w14:solidFill>
          </w14:textFill>
        </w:rPr>
        <w:t>评审报告</w:t>
      </w:r>
      <w:r>
        <w:rPr>
          <w:rFonts w:hint="eastAsia" w:hAnsi="宋体"/>
          <w:color w:val="000000" w:themeColor="text1"/>
          <w14:textFill>
            <w14:solidFill>
              <w14:schemeClr w14:val="tx1"/>
            </w14:solidFill>
          </w14:textFill>
        </w:rPr>
        <w:t>通过电子交易平台向采购人、采购代理机构提交。</w:t>
      </w:r>
      <w:r>
        <w:rPr>
          <w:rFonts w:hint="eastAsia" w:ascii="宋体" w:hAnsi="宋体"/>
          <w:bCs/>
          <w:color w:val="000000" w:themeColor="text1"/>
          <w:szCs w:val="21"/>
          <w14:textFill>
            <w14:solidFill>
              <w14:schemeClr w14:val="tx1"/>
            </w14:solidFill>
          </w14:textFill>
        </w:rPr>
        <w:t>符合本章第</w:t>
      </w:r>
      <w:r>
        <w:rPr>
          <w:rFonts w:ascii="宋体" w:hAnsi="宋体"/>
          <w:bCs/>
          <w:color w:val="000000" w:themeColor="text1"/>
          <w:szCs w:val="21"/>
          <w14:textFill>
            <w14:solidFill>
              <w14:schemeClr w14:val="tx1"/>
            </w14:solidFill>
          </w14:textFill>
        </w:rPr>
        <w:t>4.3</w:t>
      </w:r>
      <w:r>
        <w:rPr>
          <w:rFonts w:hint="eastAsia" w:ascii="宋体" w:hAnsi="宋体"/>
          <w:bCs/>
          <w:color w:val="000000" w:themeColor="text1"/>
          <w:szCs w:val="21"/>
          <w14:textFill>
            <w14:solidFill>
              <w14:schemeClr w14:val="tx1"/>
            </w14:solidFill>
          </w14:textFill>
        </w:rPr>
        <w:t>条情形的，可以推荐</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000000" w:themeColor="text1"/>
          <w:kern w:val="0"/>
          <w:szCs w:val="21"/>
          <w14:textFill>
            <w14:solidFill>
              <w14:schemeClr w14:val="tx1"/>
            </w14:solidFill>
          </w14:textFill>
        </w:rPr>
        <w:t>。</w:t>
      </w:r>
    </w:p>
    <w:p w14:paraId="36B4473B">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w:t>
      </w:r>
      <w:r>
        <w:rPr>
          <w:rFonts w:asci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1C4E57C">
      <w:pPr>
        <w:spacing w:line="360" w:lineRule="auto"/>
        <w:jc w:val="center"/>
        <w:rPr>
          <w:rFonts w:asci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二、评审标准</w:t>
      </w:r>
    </w:p>
    <w:p w14:paraId="0DC2AD4C">
      <w:pPr>
        <w:spacing w:line="360" w:lineRule="auto"/>
        <w:ind w:firstLine="420" w:firstLineChars="200"/>
        <w:rPr>
          <w:rFonts w:asci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7</w:t>
      </w:r>
      <w:r>
        <w:rPr>
          <w:rFonts w:asci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评审依据：磋商小组以磋商文件为评审依据，对供应商的报价、技术、商务等方面内容按百分制打分。（计分方法按四舍五入取至百分位）</w:t>
      </w:r>
    </w:p>
    <w:tbl>
      <w:tblPr>
        <w:tblStyle w:val="4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179"/>
        <w:gridCol w:w="810"/>
      </w:tblGrid>
      <w:tr w14:paraId="6261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68E972F">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418" w:type="dxa"/>
            <w:vAlign w:val="center"/>
          </w:tcPr>
          <w:p w14:paraId="1795E20E">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w:t>
            </w:r>
          </w:p>
        </w:tc>
        <w:tc>
          <w:tcPr>
            <w:tcW w:w="6179" w:type="dxa"/>
            <w:vAlign w:val="center"/>
          </w:tcPr>
          <w:p w14:paraId="18A7E750">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评审标准</w:t>
            </w:r>
          </w:p>
        </w:tc>
        <w:tc>
          <w:tcPr>
            <w:tcW w:w="810" w:type="dxa"/>
            <w:vAlign w:val="center"/>
          </w:tcPr>
          <w:p w14:paraId="07ED7C83">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分值</w:t>
            </w:r>
          </w:p>
        </w:tc>
      </w:tr>
      <w:tr w14:paraId="6C15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6DDBEDA">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418" w:type="dxa"/>
            <w:vAlign w:val="center"/>
          </w:tcPr>
          <w:p w14:paraId="59206453">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价格分</w:t>
            </w:r>
          </w:p>
        </w:tc>
        <w:tc>
          <w:tcPr>
            <w:tcW w:w="6179" w:type="dxa"/>
          </w:tcPr>
          <w:p w14:paraId="1A3BB36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评审价为供应商的最后报价，最终成交供应商的成交金额等于最后报价（如有修正，以确认修正后的最后报价为准）。</w:t>
            </w:r>
          </w:p>
          <w:p w14:paraId="405BDA1B">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本项目为专门面向中小企业采购的项目，参加本项目磋商的供应商必须为中小微企业，或监狱企业，或残疾人福利性单位，否则竞标无效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价格评审时，参加本次项目竞标的供应商不重复享受政策，其评审价=竞标报价。</w:t>
            </w:r>
          </w:p>
          <w:p w14:paraId="5164EDB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color w:val="000000" w:themeColor="text1"/>
                <w:sz w:val="21"/>
                <w:szCs w:val="21"/>
                <w14:textFill>
                  <w14:solidFill>
                    <w14:schemeClr w14:val="tx1"/>
                  </w14:solidFill>
                </w14:textFill>
              </w:rPr>
              <w:t>监狱企业属于小型、微型企业的，</w:t>
            </w:r>
            <w:r>
              <w:rPr>
                <w:rFonts w:hint="eastAsia" w:ascii="宋体" w:hAnsi="宋体" w:eastAsia="宋体" w:cs="宋体"/>
                <w:color w:val="000000" w:themeColor="text1"/>
                <w:sz w:val="21"/>
                <w:szCs w:val="21"/>
                <w14:textFill>
                  <w14:solidFill>
                    <w14:schemeClr w14:val="tx1"/>
                  </w14:solidFill>
                </w14:textFill>
              </w:rPr>
              <w:t>不重复享受政策。</w:t>
            </w:r>
          </w:p>
          <w:p w14:paraId="0A30019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C53D70">
            <w:pPr>
              <w:pStyle w:val="24"/>
              <w:spacing w:line="360" w:lineRule="auto"/>
              <w:ind w:firstLine="420" w:firstLineChars="200"/>
              <w:rPr>
                <w:rFonts w:hint="eastAsia" w:ascii="宋体" w:hAnsi="宋体" w:eastAsia="宋体" w:cs="宋体"/>
                <w:bCs/>
                <w:color w:val="000000" w:themeColor="text1"/>
                <w:kern w:val="2"/>
                <w:sz w:val="21"/>
                <w:szCs w:val="21"/>
                <w:u w:val="none"/>
                <w14:textFill>
                  <w14:solidFill>
                    <w14:schemeClr w14:val="tx1"/>
                  </w14:solidFill>
                </w14:textFill>
              </w:rPr>
            </w:pPr>
            <w:r>
              <w:rPr>
                <w:rFonts w:hint="eastAsia" w:ascii="宋体" w:hAnsi="宋体" w:eastAsia="宋体" w:cs="宋体"/>
                <w:bCs/>
                <w:color w:val="000000" w:themeColor="text1"/>
                <w:kern w:val="2"/>
                <w:sz w:val="21"/>
                <w:szCs w:val="21"/>
                <w:u w:val="none"/>
                <w14:textFill>
                  <w14:solidFill>
                    <w14:schemeClr w14:val="tx1"/>
                  </w14:solidFill>
                </w14:textFill>
              </w:rPr>
              <w:t>（5）以进入比较与评价环节的最低的评审价为基准价，基准价得分为</w:t>
            </w:r>
            <w:r>
              <w:rPr>
                <w:rFonts w:hint="eastAsia" w:ascii="宋体" w:hAnsi="宋体" w:eastAsia="宋体" w:cs="宋体"/>
                <w:bCs/>
                <w:color w:val="000000" w:themeColor="text1"/>
                <w:kern w:val="2"/>
                <w:sz w:val="21"/>
                <w:szCs w:val="21"/>
                <w:u w:val="none"/>
                <w:lang w:val="en-US" w:eastAsia="zh-CN"/>
                <w14:textFill>
                  <w14:solidFill>
                    <w14:schemeClr w14:val="tx1"/>
                  </w14:solidFill>
                </w14:textFill>
              </w:rPr>
              <w:t>1</w:t>
            </w:r>
            <w:r>
              <w:rPr>
                <w:rFonts w:hint="eastAsia" w:ascii="宋体" w:hAnsi="宋体" w:eastAsia="宋体" w:cs="宋体"/>
                <w:bCs/>
                <w:color w:val="000000" w:themeColor="text1"/>
                <w:kern w:val="2"/>
                <w:sz w:val="21"/>
                <w:szCs w:val="21"/>
                <w:u w:val="none"/>
                <w14:textFill>
                  <w14:solidFill>
                    <w14:schemeClr w14:val="tx1"/>
                  </w14:solidFill>
                </w14:textFill>
              </w:rPr>
              <w:t>0分。</w:t>
            </w:r>
          </w:p>
          <w:p w14:paraId="2810F316">
            <w:pPr>
              <w:pStyle w:val="24"/>
              <w:spacing w:line="360" w:lineRule="auto"/>
              <w:ind w:firstLine="420" w:firstLineChars="200"/>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u w:val="none"/>
                <w14:textFill>
                  <w14:solidFill>
                    <w14:schemeClr w14:val="tx1"/>
                  </w14:solidFill>
                </w14:textFill>
              </w:rPr>
              <w:t>（6）价格分计算公式：价格得分=（基准价/</w:t>
            </w:r>
            <w:r>
              <w:rPr>
                <w:rFonts w:hint="eastAsia" w:ascii="宋体" w:hAnsi="宋体" w:eastAsia="宋体" w:cs="宋体"/>
                <w:bCs/>
                <w:color w:val="000000" w:themeColor="text1"/>
                <w:kern w:val="2"/>
                <w:sz w:val="21"/>
                <w:szCs w:val="21"/>
                <w:u w:val="none"/>
                <w:lang w:eastAsia="zh-CN"/>
                <w14:textFill>
                  <w14:solidFill>
                    <w14:schemeClr w14:val="tx1"/>
                  </w14:solidFill>
                </w14:textFill>
              </w:rPr>
              <w:t>某供应商</w:t>
            </w:r>
            <w:r>
              <w:rPr>
                <w:rFonts w:hint="eastAsia" w:ascii="宋体" w:hAnsi="宋体" w:eastAsia="宋体" w:cs="宋体"/>
                <w:bCs/>
                <w:color w:val="000000" w:themeColor="text1"/>
                <w:kern w:val="2"/>
                <w:sz w:val="21"/>
                <w:szCs w:val="21"/>
                <w:u w:val="none"/>
                <w14:textFill>
                  <w14:solidFill>
                    <w14:schemeClr w14:val="tx1"/>
                  </w14:solidFill>
                </w14:textFill>
              </w:rPr>
              <w:t>最后报价）×</w:t>
            </w:r>
            <w:r>
              <w:rPr>
                <w:rFonts w:hint="eastAsia" w:ascii="宋体" w:hAnsi="宋体" w:eastAsia="宋体" w:cs="宋体"/>
                <w:bCs/>
                <w:color w:val="000000" w:themeColor="text1"/>
                <w:kern w:val="2"/>
                <w:sz w:val="21"/>
                <w:szCs w:val="21"/>
                <w:u w:val="none"/>
                <w:lang w:val="en-US" w:eastAsia="zh-CN"/>
                <w14:textFill>
                  <w14:solidFill>
                    <w14:schemeClr w14:val="tx1"/>
                  </w14:solidFill>
                </w14:textFill>
              </w:rPr>
              <w:t>1</w:t>
            </w:r>
            <w:r>
              <w:rPr>
                <w:rFonts w:hint="eastAsia" w:ascii="宋体" w:hAnsi="宋体" w:eastAsia="宋体" w:cs="宋体"/>
                <w:bCs/>
                <w:color w:val="000000" w:themeColor="text1"/>
                <w:kern w:val="2"/>
                <w:sz w:val="21"/>
                <w:szCs w:val="21"/>
                <w:u w:val="none"/>
                <w14:textFill>
                  <w14:solidFill>
                    <w14:schemeClr w14:val="tx1"/>
                  </w14:solidFill>
                </w14:textFill>
              </w:rPr>
              <w:t>0分</w:t>
            </w:r>
          </w:p>
        </w:tc>
        <w:tc>
          <w:tcPr>
            <w:tcW w:w="810" w:type="dxa"/>
            <w:vAlign w:val="center"/>
          </w:tcPr>
          <w:p w14:paraId="626074DD">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0分</w:t>
            </w:r>
          </w:p>
        </w:tc>
      </w:tr>
      <w:tr w14:paraId="321F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6AFBFC6B">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1418" w:type="dxa"/>
            <w:vAlign w:val="center"/>
          </w:tcPr>
          <w:p w14:paraId="1323CE9B">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技术分</w:t>
            </w:r>
          </w:p>
        </w:tc>
        <w:tc>
          <w:tcPr>
            <w:tcW w:w="6179" w:type="dxa"/>
            <w:vAlign w:val="center"/>
          </w:tcPr>
          <w:p w14:paraId="510973BE">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评审标准</w:t>
            </w:r>
          </w:p>
        </w:tc>
        <w:tc>
          <w:tcPr>
            <w:tcW w:w="810" w:type="dxa"/>
            <w:vAlign w:val="center"/>
          </w:tcPr>
          <w:p w14:paraId="529CFBA8">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75</w:t>
            </w:r>
            <w:r>
              <w:rPr>
                <w:rFonts w:hint="eastAsia" w:ascii="宋体" w:hAnsi="宋体" w:eastAsia="宋体" w:cs="宋体"/>
                <w:color w:val="000000" w:themeColor="text1"/>
                <w:kern w:val="0"/>
                <w:sz w:val="21"/>
                <w:szCs w:val="21"/>
                <w14:textFill>
                  <w14:solidFill>
                    <w14:schemeClr w14:val="tx1"/>
                  </w14:solidFill>
                </w14:textFill>
              </w:rPr>
              <w:t>分</w:t>
            </w:r>
          </w:p>
        </w:tc>
      </w:tr>
      <w:tr w14:paraId="04C9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6A555E68">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2.1</w:t>
            </w:r>
          </w:p>
        </w:tc>
        <w:tc>
          <w:tcPr>
            <w:tcW w:w="1418" w:type="dxa"/>
            <w:vAlign w:val="center"/>
          </w:tcPr>
          <w:p w14:paraId="4CFF0C2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拟投入本工程管理人员情况（</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2F1E58BB">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拟投入本工程施工员、质量员、安全员、材料员配备齐全且全部持证上岗的（安全员具有C证），按以下标准计分：</w:t>
            </w:r>
          </w:p>
          <w:p w14:paraId="2769813E">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分）：完全满足施工需要，管理人员配备齐全且具有丰富地同类经验。</w:t>
            </w:r>
          </w:p>
          <w:p w14:paraId="72670B6B">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分）：满足施工需要，管理人员配备齐全且有一定的同类项目经验。</w:t>
            </w:r>
          </w:p>
          <w:p w14:paraId="37A70CD8">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中（3分）：基本满足施工需要，管理人员配备齐全。</w:t>
            </w:r>
          </w:p>
          <w:p w14:paraId="1FAA78CA">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差（1分）:不满足施工需要，管理人员配备不齐全。</w:t>
            </w:r>
          </w:p>
        </w:tc>
        <w:tc>
          <w:tcPr>
            <w:tcW w:w="810" w:type="dxa"/>
            <w:vAlign w:val="center"/>
          </w:tcPr>
          <w:p w14:paraId="771EC378">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r>
      <w:tr w14:paraId="04D4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04218D67">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2.2</w:t>
            </w:r>
          </w:p>
        </w:tc>
        <w:tc>
          <w:tcPr>
            <w:tcW w:w="1418" w:type="dxa"/>
            <w:vAlign w:val="center"/>
          </w:tcPr>
          <w:p w14:paraId="5B10566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主要施工方法（</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273663C0">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分）：各主要分部施工方法符合项目实际，有详尽的施工技术方案，工艺先进、方法科学合理、可行，能指导具体施工并确保安全。</w:t>
            </w:r>
          </w:p>
          <w:p w14:paraId="3FA4A63A">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分）：各主要分部施工方法符合项目实际，须有详尽的施工技术方案，工艺一般、方法可行，能指导具体施工并确保安全。</w:t>
            </w:r>
          </w:p>
          <w:p w14:paraId="05669E4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中（3分）：各主要分部施工方法符合项目基本实际，须有详尽的施工技术方案，工艺一般、方法基本可行，能指导具体施工并确保安全。</w:t>
            </w:r>
          </w:p>
          <w:p w14:paraId="3B287523">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差（1分）：各主要分部施工方法不符合项目实际，无详尽的施工技术方案，不能指导具体施工并确保安全。</w:t>
            </w:r>
          </w:p>
        </w:tc>
        <w:tc>
          <w:tcPr>
            <w:tcW w:w="810" w:type="dxa"/>
            <w:vAlign w:val="center"/>
          </w:tcPr>
          <w:p w14:paraId="393C5F0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r>
      <w:tr w14:paraId="79EB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45B2EA5E">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69CAF55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拟投入的主要物资计划（</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44C5C3CA">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分）：投入的施工材料有详细的组织计划且计划完整周密，数量、选型配置、进场时间安排科学合理，满足施工需要。</w:t>
            </w:r>
          </w:p>
          <w:p w14:paraId="7AA97FB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分）：投入的施工材料有组织计划且计划周密，数量、选型配置、进场时间安排合理，满足施工需要。</w:t>
            </w:r>
          </w:p>
          <w:p w14:paraId="7D43A61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中（3分）：投入的施工材料有组织计划且计划一般，数量、选型配置、进场时间安排基本合理，基本满足施工需要。</w:t>
            </w:r>
          </w:p>
          <w:p w14:paraId="27D5F84F">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差（1分）：投入的施工材料无详细的组织计划，数量、选型配置、进场时间安排不合理，不能满足施工需要。</w:t>
            </w:r>
          </w:p>
        </w:tc>
        <w:tc>
          <w:tcPr>
            <w:tcW w:w="810" w:type="dxa"/>
            <w:vAlign w:val="center"/>
          </w:tcPr>
          <w:p w14:paraId="0FEBF52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r>
      <w:tr w14:paraId="38D6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D8CC621">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200A98C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拟投入的主要施工机械、设备计划（</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5B765D4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分）：投入的施工机械、设备、机具有详细的组织计划且计划周密，设备数量、选型配置、进场时间安排合理，满足施工需要。</w:t>
            </w:r>
          </w:p>
          <w:p w14:paraId="607FEC92">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分）：投入的施工机械、设备、机具有组织计划且计划一般，设备数量、选型配置、进场时间安排合理，基本满足施工需要。</w:t>
            </w:r>
          </w:p>
          <w:p w14:paraId="757F9E5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中（3分）投入的施工机械、设备、机具有基本的组织计划且计划较差，设备数量、选型配置、进场时间安排基本合理，基本满足施工需要。</w:t>
            </w:r>
          </w:p>
          <w:p w14:paraId="7FDA49CE">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差（1分）：投入的施工机械、设备、机具无详细的组织计划，设备数量、选型配置、进场时间安排不合理，不能满足施工需要。</w:t>
            </w:r>
          </w:p>
        </w:tc>
        <w:tc>
          <w:tcPr>
            <w:tcW w:w="810" w:type="dxa"/>
            <w:vAlign w:val="center"/>
          </w:tcPr>
          <w:p w14:paraId="16ED946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r>
      <w:tr w14:paraId="3B9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5D6970D">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2702CCA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劳动力安排计划（</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1D1ECAA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分）：各主要施工工序有非常详细周密的劳动力安排计划，有非常详细周密的各工种劳动力安排计划，劳动力投入科学合理，完全满足施工需要。</w:t>
            </w:r>
          </w:p>
          <w:p w14:paraId="7B8D258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分）：各主要施工工序有较详细周密劳动力安排计划，有较详细周密的各工种劳动力安排计划，劳动力投入合理，基本满足施工需要。</w:t>
            </w:r>
          </w:p>
          <w:p w14:paraId="6BAE9A8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中（3分）：各主要施工工序有劳动力安排计划，有各工种劳动力安排计划，劳动力投入基本合理，基本满足施工需要。</w:t>
            </w:r>
          </w:p>
          <w:p w14:paraId="35DE1E8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差（1分）：各主要施工工序无劳动力安排计划，无各工种劳动力安排计划，劳动力投入不合理，不能满足施工需要。</w:t>
            </w:r>
          </w:p>
        </w:tc>
        <w:tc>
          <w:tcPr>
            <w:tcW w:w="810" w:type="dxa"/>
            <w:vAlign w:val="center"/>
          </w:tcPr>
          <w:p w14:paraId="3F443BF7">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r>
      <w:tr w14:paraId="10E5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C11A689">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6C36A1F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确保工程质量的技术组织措施（5.00分）</w:t>
            </w:r>
          </w:p>
        </w:tc>
        <w:tc>
          <w:tcPr>
            <w:tcW w:w="6179" w:type="dxa"/>
            <w:vAlign w:val="center"/>
          </w:tcPr>
          <w:p w14:paraId="502C70E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优（5分）：有专门且专业的质量技术管理班子和制度，且人员配备科学合理，制度科学合理健全。主要工序质量技术保证措施和手段科学合理，自控体系完整，能有效保证技术质量，达到承诺的质量标准。</w:t>
            </w:r>
          </w:p>
          <w:p w14:paraId="0C7C838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良（4分）：有专门的质量技术管理班子和制度，且人员配备合理，制度合理健全。主要工序的质量技术保证措施和手段合理，自控体系完整，保证技术质量，达到承诺的质量标准。</w:t>
            </w:r>
          </w:p>
          <w:p w14:paraId="38FE1B0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中（3分）有专门的质量技术管理班子和制度，且人员配备合理，制度健全。主要工序的质量技术保证措施和手段一般，自控体系一般，基本保证技术质量，达到承诺的质量标准。</w:t>
            </w:r>
          </w:p>
          <w:p w14:paraId="0CEBD9B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差（1分）：有专门的质量技术管理班子和制度，人员配备不合理，制度不健全。主要工序无质量技术保证措施和手段，自控体系不完整，不能有效保证技术质量，达不到承诺的质量标准。</w:t>
            </w:r>
          </w:p>
        </w:tc>
        <w:tc>
          <w:tcPr>
            <w:tcW w:w="810" w:type="dxa"/>
            <w:vAlign w:val="center"/>
          </w:tcPr>
          <w:p w14:paraId="73A709C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r>
      <w:tr w14:paraId="0A9F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309D334">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13AE6F6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确保安全生产的技术组织措施（5.00分）</w:t>
            </w:r>
          </w:p>
        </w:tc>
        <w:tc>
          <w:tcPr>
            <w:tcW w:w="6179" w:type="dxa"/>
            <w:vAlign w:val="center"/>
          </w:tcPr>
          <w:p w14:paraId="475B3388">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53A3B2C5">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7685BA4E">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259B8428">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差（1分）：有专门的安全管理人员和制度，人员配备不合理，制度不健全，各道工序安全技术措施针无对性，不满足有关安全技术标准要求。现场防火、应急救援、社会治安安全措施不得力。</w:t>
            </w:r>
          </w:p>
        </w:tc>
        <w:tc>
          <w:tcPr>
            <w:tcW w:w="810" w:type="dxa"/>
            <w:vAlign w:val="center"/>
          </w:tcPr>
          <w:p w14:paraId="639D2C0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r>
      <w:tr w14:paraId="64F0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4852A564">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397C9E6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确保工期的技术组织措施（5.00分）</w:t>
            </w:r>
          </w:p>
        </w:tc>
        <w:tc>
          <w:tcPr>
            <w:tcW w:w="6179" w:type="dxa"/>
            <w:vAlign w:val="center"/>
          </w:tcPr>
          <w:p w14:paraId="1AE42E9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37A421D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2246C5A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5B094F10">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差（1分）：在施工工艺、施工方法、材料选用、劳动力安排、技术等方面有保证工期的措施但措施差。无控制工期的施工进度计划。无施工总进度表或施工网络图，不符合本项目施工实际要求。</w:t>
            </w:r>
          </w:p>
        </w:tc>
        <w:tc>
          <w:tcPr>
            <w:tcW w:w="810" w:type="dxa"/>
            <w:vAlign w:val="center"/>
          </w:tcPr>
          <w:p w14:paraId="17631BB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r>
      <w:tr w14:paraId="10A3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F976884">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7B85DDB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确保文明施工的技术组织措施（5.00分）</w:t>
            </w:r>
          </w:p>
        </w:tc>
        <w:tc>
          <w:tcPr>
            <w:tcW w:w="6179" w:type="dxa"/>
            <w:vAlign w:val="center"/>
          </w:tcPr>
          <w:p w14:paraId="5AD4D2B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2BFA7D2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14:paraId="62E126A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有现场文明施工、环境保护措施，且措施内容达到《建筑施工安全生产检查标准》（JGJ59-2011）合格标准并符合《广西壮族自治区建筑工程文明施工导则》要求。各项措施一般。有具体实现现场文明施工目标的承诺。</w:t>
            </w:r>
          </w:p>
          <w:p w14:paraId="5B5667D5">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10" w:type="dxa"/>
            <w:vAlign w:val="center"/>
          </w:tcPr>
          <w:p w14:paraId="37A2E48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r>
      <w:tr w14:paraId="40CD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50E95384">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p>
        </w:tc>
        <w:tc>
          <w:tcPr>
            <w:tcW w:w="1418" w:type="dxa"/>
            <w:vAlign w:val="center"/>
          </w:tcPr>
          <w:p w14:paraId="5406F20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工程施工的重点和难点及保证措施（5.00分）</w:t>
            </w:r>
          </w:p>
        </w:tc>
        <w:tc>
          <w:tcPr>
            <w:tcW w:w="6179" w:type="dxa"/>
            <w:vAlign w:val="center"/>
          </w:tcPr>
          <w:p w14:paraId="77578E90">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优（5分）：针对本工程的特点，阐述本工程的重点和难点，解决重点和难点问题的方法科学合理且全面。</w:t>
            </w:r>
          </w:p>
          <w:p w14:paraId="4BBC6E2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良（4分）：针对本工程的特点，阐述本工程的重点和难点，解决重点和难点问题的方法合理。</w:t>
            </w:r>
          </w:p>
          <w:p w14:paraId="0F7F101F">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中（3分）：针对本工程的特点，阐述本工程的重点和难点，解决重点和难点问题的方法基本合理。</w:t>
            </w:r>
          </w:p>
          <w:p w14:paraId="0E7064E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差（1分）：针对本工程的特点，阐述本工程的重点和难点，解决重点和难点问题的方法不合理。</w:t>
            </w:r>
          </w:p>
        </w:tc>
        <w:tc>
          <w:tcPr>
            <w:tcW w:w="810" w:type="dxa"/>
            <w:vAlign w:val="center"/>
          </w:tcPr>
          <w:p w14:paraId="3BE68DCE">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r>
      <w:tr w14:paraId="67F5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0180D1D4">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418" w:type="dxa"/>
            <w:vAlign w:val="center"/>
          </w:tcPr>
          <w:p w14:paraId="72C49851">
            <w:pPr>
              <w:widowControl/>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商务分</w:t>
            </w:r>
          </w:p>
        </w:tc>
        <w:tc>
          <w:tcPr>
            <w:tcW w:w="6179" w:type="dxa"/>
            <w:vAlign w:val="center"/>
          </w:tcPr>
          <w:p w14:paraId="47CE364A">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评审标准</w:t>
            </w:r>
          </w:p>
        </w:tc>
        <w:tc>
          <w:tcPr>
            <w:tcW w:w="810" w:type="dxa"/>
            <w:vAlign w:val="center"/>
          </w:tcPr>
          <w:p w14:paraId="42380BAF">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tc>
      </w:tr>
      <w:tr w14:paraId="1231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67E74CDD">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3.1</w:t>
            </w:r>
          </w:p>
        </w:tc>
        <w:tc>
          <w:tcPr>
            <w:tcW w:w="1418" w:type="dxa"/>
            <w:vAlign w:val="center"/>
          </w:tcPr>
          <w:p w14:paraId="5A75BEE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业绩分（</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分）</w:t>
            </w:r>
          </w:p>
        </w:tc>
        <w:tc>
          <w:tcPr>
            <w:tcW w:w="6179" w:type="dxa"/>
            <w:vAlign w:val="center"/>
          </w:tcPr>
          <w:p w14:paraId="7851FDA4">
            <w:pPr>
              <w:autoSpaceDE w:val="0"/>
              <w:autoSpaceDN w:val="0"/>
              <w:adjustRightIn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供应商自202</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年1月1日以来完成过类似项目</w:t>
            </w:r>
            <w:r>
              <w:rPr>
                <w:rFonts w:hint="eastAsia" w:ascii="宋体" w:hAnsi="宋体" w:eastAsia="宋体" w:cs="宋体"/>
                <w:color w:val="000000" w:themeColor="text1"/>
                <w:kern w:val="0"/>
                <w:sz w:val="21"/>
                <w:szCs w:val="21"/>
                <w:lang w:eastAsia="zh-CN"/>
                <w14:textFill>
                  <w14:solidFill>
                    <w14:schemeClr w14:val="tx1"/>
                  </w14:solidFill>
                </w14:textFill>
              </w:rPr>
              <w:t>的</w:t>
            </w:r>
            <w:r>
              <w:rPr>
                <w:rFonts w:hint="eastAsia" w:ascii="宋体" w:hAnsi="宋体" w:eastAsia="宋体" w:cs="宋体"/>
                <w:color w:val="000000" w:themeColor="text1"/>
                <w:kern w:val="0"/>
                <w:sz w:val="21"/>
                <w:szCs w:val="21"/>
                <w14:textFill>
                  <w14:solidFill>
                    <w14:schemeClr w14:val="tx1"/>
                  </w14:solidFill>
                </w14:textFill>
              </w:rPr>
              <w:t>，每提供1个项目业绩计</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分；此项满分</w:t>
            </w: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分。</w:t>
            </w:r>
          </w:p>
          <w:p w14:paraId="144286D7">
            <w:pPr>
              <w:autoSpaceDE w:val="0"/>
              <w:autoSpaceDN w:val="0"/>
              <w:adjustRightIn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注：以上业绩均须在响应文件中提供合同书</w:t>
            </w:r>
            <w:r>
              <w:rPr>
                <w:rFonts w:hint="eastAsia" w:ascii="宋体" w:hAnsi="宋体" w:eastAsia="宋体" w:cs="宋体"/>
                <w:b/>
                <w:bCs/>
                <w:color w:val="000000" w:themeColor="text1"/>
                <w:kern w:val="0"/>
                <w:sz w:val="21"/>
                <w:szCs w:val="21"/>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14:textFill>
                  <w14:solidFill>
                    <w14:schemeClr w14:val="tx1"/>
                  </w14:solidFill>
                </w14:textFill>
              </w:rPr>
              <w:t>竣工验收材料扫描件，否则不予认可。</w:t>
            </w:r>
          </w:p>
        </w:tc>
        <w:tc>
          <w:tcPr>
            <w:tcW w:w="810" w:type="dxa"/>
            <w:vAlign w:val="center"/>
          </w:tcPr>
          <w:p w14:paraId="44308C66">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分</w:t>
            </w:r>
          </w:p>
        </w:tc>
      </w:tr>
      <w:tr w14:paraId="351D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1ED62339">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3.2</w:t>
            </w:r>
          </w:p>
        </w:tc>
        <w:tc>
          <w:tcPr>
            <w:tcW w:w="1418" w:type="dxa"/>
            <w:vAlign w:val="center"/>
          </w:tcPr>
          <w:p w14:paraId="3452BC5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项目经理情况（5.00分）</w:t>
            </w:r>
          </w:p>
        </w:tc>
        <w:tc>
          <w:tcPr>
            <w:tcW w:w="6179" w:type="dxa"/>
            <w:vAlign w:val="center"/>
          </w:tcPr>
          <w:p w14:paraId="03114AF7">
            <w:pPr>
              <w:autoSpaceDE w:val="0"/>
              <w:autoSpaceDN w:val="0"/>
              <w:adjustRightIn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拟派任项目经理具备市政公用工程专业二级(含)以上注册建造师执业资格及有效的安全生产考核合格证书（B类）的得</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分。</w:t>
            </w:r>
          </w:p>
          <w:p w14:paraId="1F517704">
            <w:pPr>
              <w:autoSpaceDE w:val="0"/>
              <w:autoSpaceDN w:val="0"/>
              <w:adjustRightInd w:val="0"/>
              <w:spacing w:line="360" w:lineRule="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注：须提供以上人员相关证明材料，双方签订的劳动合同或劳务合同或拟聘用协议或响应文件递交截止之日前一个月供应商为人员缴纳社保证明，加盖公章。</w:t>
            </w:r>
          </w:p>
        </w:tc>
        <w:tc>
          <w:tcPr>
            <w:tcW w:w="810" w:type="dxa"/>
            <w:vAlign w:val="center"/>
          </w:tcPr>
          <w:p w14:paraId="26703A9C">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5分</w:t>
            </w:r>
          </w:p>
        </w:tc>
      </w:tr>
      <w:tr w14:paraId="03B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7E521AFD">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3.3</w:t>
            </w:r>
          </w:p>
        </w:tc>
        <w:tc>
          <w:tcPr>
            <w:tcW w:w="1418" w:type="dxa"/>
            <w:vAlign w:val="center"/>
          </w:tcPr>
          <w:p w14:paraId="264E6C3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技术负责人情况（</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.00分）</w:t>
            </w:r>
          </w:p>
        </w:tc>
        <w:tc>
          <w:tcPr>
            <w:tcW w:w="6179" w:type="dxa"/>
            <w:vAlign w:val="center"/>
          </w:tcPr>
          <w:p w14:paraId="6B0A2A76">
            <w:pPr>
              <w:autoSpaceDE w:val="0"/>
              <w:autoSpaceDN w:val="0"/>
              <w:adjustRightIn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拟派任技术负责人具备</w:t>
            </w:r>
            <w:r>
              <w:rPr>
                <w:rFonts w:hint="eastAsia" w:ascii="宋体" w:hAnsi="宋体" w:eastAsia="宋体" w:cs="宋体"/>
                <w:color w:val="000000" w:themeColor="text1"/>
                <w:kern w:val="0"/>
                <w:sz w:val="21"/>
                <w:szCs w:val="21"/>
                <w:lang w:eastAsia="zh-CN"/>
                <w14:textFill>
                  <w14:solidFill>
                    <w14:schemeClr w14:val="tx1"/>
                  </w14:solidFill>
                </w14:textFill>
              </w:rPr>
              <w:t>工程类专业</w:t>
            </w:r>
            <w:r>
              <w:rPr>
                <w:rFonts w:hint="eastAsia" w:ascii="宋体" w:hAnsi="宋体" w:eastAsia="宋体" w:cs="宋体"/>
                <w:color w:val="000000" w:themeColor="text1"/>
                <w:kern w:val="0"/>
                <w:sz w:val="21"/>
                <w:szCs w:val="21"/>
                <w14:textFill>
                  <w14:solidFill>
                    <w14:schemeClr w14:val="tx1"/>
                  </w14:solidFill>
                </w14:textFill>
              </w:rPr>
              <w:t>中级及以上职称的得</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分。</w:t>
            </w:r>
          </w:p>
          <w:p w14:paraId="65145E35">
            <w:pPr>
              <w:autoSpaceDE w:val="0"/>
              <w:autoSpaceDN w:val="0"/>
              <w:adjustRightIn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注：须提供以上人员相关证明材料，双方签订的劳动合同或劳务合同或拟聘用协议或响应文件递交截止之日前一个月供应商为人员缴纳社保证明，加盖公章。</w:t>
            </w:r>
          </w:p>
        </w:tc>
        <w:tc>
          <w:tcPr>
            <w:tcW w:w="810" w:type="dxa"/>
            <w:vAlign w:val="center"/>
          </w:tcPr>
          <w:p w14:paraId="4ED3701C">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3分</w:t>
            </w:r>
          </w:p>
        </w:tc>
      </w:tr>
      <w:tr w14:paraId="43F0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30" w:type="dxa"/>
            <w:gridSpan w:val="3"/>
          </w:tcPr>
          <w:p w14:paraId="6EBE2D56">
            <w:pPr>
              <w:pStyle w:val="24"/>
              <w:spacing w:line="360" w:lineRule="auto"/>
              <w:jc w:val="center"/>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总得分＝1＋2＋3</w:t>
            </w:r>
          </w:p>
        </w:tc>
        <w:tc>
          <w:tcPr>
            <w:tcW w:w="810" w:type="dxa"/>
            <w:vAlign w:val="center"/>
          </w:tcPr>
          <w:p w14:paraId="59511A17">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100分</w:t>
            </w:r>
          </w:p>
        </w:tc>
      </w:tr>
      <w:tr w14:paraId="5F95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940" w:type="dxa"/>
            <w:gridSpan w:val="4"/>
          </w:tcPr>
          <w:p w14:paraId="3F61EEB2">
            <w:pPr>
              <w:widowControl/>
              <w:spacing w:line="360" w:lineRule="auto"/>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本项目为专门面向中小企业采购的项目，参加本项目磋商的供应商必须为中小微企业，或监狱企业，或残疾人福利性单位，否则竞标无效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价格评审时，参加本次项目竞标的供应商不重复享受政策，其评审价=竞标报价。</w:t>
            </w:r>
          </w:p>
        </w:tc>
      </w:tr>
    </w:tbl>
    <w:p w14:paraId="49AFD75C">
      <w:pPr>
        <w:pStyle w:val="2"/>
        <w:jc w:val="center"/>
        <w:rPr>
          <w:rFonts w:hint="eastAsia"/>
          <w:color w:val="000000" w:themeColor="text1"/>
          <w14:textFill>
            <w14:solidFill>
              <w14:schemeClr w14:val="tx1"/>
            </w14:solidFill>
          </w14:textFill>
        </w:rPr>
      </w:pPr>
      <w:r>
        <w:rPr>
          <w:rFonts w:ascii="宋体" w:cs="宋体"/>
          <w:color w:val="000000" w:themeColor="text1"/>
          <w14:textFill>
            <w14:solidFill>
              <w14:schemeClr w14:val="tx1"/>
            </w14:solidFill>
          </w14:textFill>
        </w:rPr>
        <w:br w:type="page"/>
      </w:r>
      <w:r>
        <w:rPr>
          <w:rFonts w:hint="eastAsia" w:ascii="Times New Roman" w:hAnsi="Times New Roman" w:eastAsia="宋体" w:cs="Times New Roman"/>
          <w:b/>
          <w:color w:val="000000" w:themeColor="text1"/>
          <w:kern w:val="44"/>
          <w:sz w:val="44"/>
          <w:szCs w:val="20"/>
          <w:lang w:val="en-US" w:eastAsia="zh-CN" w:bidi="ar-SA"/>
          <w14:textFill>
            <w14:solidFill>
              <w14:schemeClr w14:val="tx1"/>
            </w14:solidFill>
          </w14:textFill>
        </w:rPr>
        <w:t>第五章</w:t>
      </w:r>
      <w:r>
        <w:rPr>
          <w:rFonts w:hint="eastAsia" w:cs="Times New Roman"/>
          <w:b/>
          <w:color w:val="000000" w:themeColor="text1"/>
          <w:kern w:val="44"/>
          <w:sz w:val="44"/>
          <w:szCs w:val="20"/>
          <w:lang w:val="en-US" w:eastAsia="zh-CN" w:bidi="ar-SA"/>
          <w14:textFill>
            <w14:solidFill>
              <w14:schemeClr w14:val="tx1"/>
            </w14:solidFill>
          </w14:textFill>
        </w:rPr>
        <w:t xml:space="preserve"> </w:t>
      </w:r>
      <w:r>
        <w:rPr>
          <w:rFonts w:hint="eastAsia"/>
          <w:color w:val="000000" w:themeColor="text1"/>
          <w14:textFill>
            <w14:solidFill>
              <w14:schemeClr w14:val="tx1"/>
            </w14:solidFill>
          </w14:textFill>
        </w:rPr>
        <w:t>工程量清单及图纸</w:t>
      </w:r>
    </w:p>
    <w:p w14:paraId="7465682D">
      <w:pPr>
        <w:jc w:val="center"/>
        <w:rPr>
          <w:rFonts w:hint="eastAsia" w:eastAsia="宋体"/>
          <w:lang w:eastAsia="zh-CN"/>
        </w:rPr>
      </w:pPr>
      <w:r>
        <w:rPr>
          <w:rFonts w:hint="eastAsia" w:ascii="宋体" w:hAnsi="宋体"/>
          <w:b/>
          <w:bCs/>
          <w:color w:val="000000" w:themeColor="text1"/>
          <w:sz w:val="32"/>
          <w:szCs w:val="32"/>
          <w:lang w:eastAsia="zh-CN"/>
          <w14:textFill>
            <w14:solidFill>
              <w14:schemeClr w14:val="tx1"/>
            </w14:solidFill>
          </w14:textFill>
        </w:rPr>
        <w:t>供应商自行前往发布公告的媒介上下载。</w:t>
      </w:r>
    </w:p>
    <w:p w14:paraId="5EA9797F">
      <w:pPr>
        <w:jc w:val="center"/>
        <w:outlineLvl w:val="9"/>
        <w:rPr>
          <w:color w:val="000000" w:themeColor="text1"/>
          <w14:textFill>
            <w14:solidFill>
              <w14:schemeClr w14:val="tx1"/>
            </w14:solidFill>
          </w14:textFill>
        </w:rPr>
      </w:pPr>
    </w:p>
    <w:p w14:paraId="74EC09CB">
      <w:pPr>
        <w:spacing w:before="0" w:after="0" w:line="360" w:lineRule="auto"/>
        <w:jc w:val="both"/>
        <w:outlineLvl w:val="9"/>
        <w:rPr>
          <w:color w:val="auto"/>
        </w:rPr>
      </w:pPr>
      <w:r>
        <w:rPr>
          <w:rFonts w:cs="黑体"/>
          <w:color w:val="auto"/>
        </w:rPr>
        <w:br w:type="page"/>
      </w:r>
    </w:p>
    <w:p w14:paraId="3F6DA1CD">
      <w:pPr>
        <w:spacing w:before="0" w:after="0" w:line="360" w:lineRule="auto"/>
        <w:outlineLvl w:val="9"/>
        <w:rPr>
          <w:color w:val="000000" w:themeColor="text1"/>
          <w14:textFill>
            <w14:solidFill>
              <w14:schemeClr w14:val="tx1"/>
            </w14:solidFill>
          </w14:textFill>
        </w:rPr>
      </w:pPr>
    </w:p>
    <w:p w14:paraId="0ED3D33A">
      <w:pPr>
        <w:outlineLvl w:val="9"/>
        <w:rPr>
          <w:color w:val="000000" w:themeColor="text1"/>
          <w14:textFill>
            <w14:solidFill>
              <w14:schemeClr w14:val="tx1"/>
            </w14:solidFill>
          </w14:textFill>
        </w:rPr>
      </w:pPr>
    </w:p>
    <w:p w14:paraId="68D2E145">
      <w:pPr>
        <w:outlineLvl w:val="9"/>
        <w:rPr>
          <w:color w:val="000000" w:themeColor="text1"/>
          <w14:textFill>
            <w14:solidFill>
              <w14:schemeClr w14:val="tx1"/>
            </w14:solidFill>
          </w14:textFill>
        </w:rPr>
      </w:pPr>
    </w:p>
    <w:p w14:paraId="7D24A18B">
      <w:pPr>
        <w:outlineLvl w:val="9"/>
        <w:rPr>
          <w:color w:val="000000" w:themeColor="text1"/>
          <w14:textFill>
            <w14:solidFill>
              <w14:schemeClr w14:val="tx1"/>
            </w14:solidFill>
          </w14:textFill>
        </w:rPr>
      </w:pPr>
    </w:p>
    <w:p w14:paraId="05B33489">
      <w:pPr>
        <w:outlineLvl w:val="9"/>
        <w:rPr>
          <w:color w:val="000000" w:themeColor="text1"/>
          <w14:textFill>
            <w14:solidFill>
              <w14:schemeClr w14:val="tx1"/>
            </w14:solidFill>
          </w14:textFill>
        </w:rPr>
      </w:pPr>
    </w:p>
    <w:p w14:paraId="34E78273">
      <w:pPr>
        <w:outlineLvl w:val="9"/>
        <w:rPr>
          <w:color w:val="000000" w:themeColor="text1"/>
          <w14:textFill>
            <w14:solidFill>
              <w14:schemeClr w14:val="tx1"/>
            </w14:solidFill>
          </w14:textFill>
        </w:rPr>
      </w:pPr>
    </w:p>
    <w:p w14:paraId="2CA5D84A">
      <w:pPr>
        <w:outlineLvl w:val="9"/>
        <w:rPr>
          <w:color w:val="000000" w:themeColor="text1"/>
          <w14:textFill>
            <w14:solidFill>
              <w14:schemeClr w14:val="tx1"/>
            </w14:solidFill>
          </w14:textFill>
        </w:rPr>
      </w:pPr>
    </w:p>
    <w:p w14:paraId="38FE6629">
      <w:pPr>
        <w:outlineLvl w:val="9"/>
        <w:rPr>
          <w:color w:val="000000" w:themeColor="text1"/>
          <w14:textFill>
            <w14:solidFill>
              <w14:schemeClr w14:val="tx1"/>
            </w14:solidFill>
          </w14:textFill>
        </w:rPr>
      </w:pPr>
    </w:p>
    <w:p w14:paraId="75B3C5BB">
      <w:pPr>
        <w:pStyle w:val="63"/>
        <w:ind w:firstLine="480"/>
        <w:outlineLvl w:val="9"/>
        <w:rPr>
          <w:color w:val="000000" w:themeColor="text1"/>
          <w:lang w:eastAsia="zh-CN"/>
          <w14:textFill>
            <w14:solidFill>
              <w14:schemeClr w14:val="tx1"/>
            </w14:solidFill>
          </w14:textFill>
        </w:rPr>
      </w:pPr>
    </w:p>
    <w:p w14:paraId="1C0E5CA7">
      <w:pPr>
        <w:outlineLvl w:val="9"/>
        <w:rPr>
          <w:color w:val="000000" w:themeColor="text1"/>
          <w14:textFill>
            <w14:solidFill>
              <w14:schemeClr w14:val="tx1"/>
            </w14:solidFill>
          </w14:textFill>
        </w:rPr>
      </w:pPr>
    </w:p>
    <w:p w14:paraId="5C3ADF48">
      <w:pPr>
        <w:outlineLvl w:val="9"/>
        <w:rPr>
          <w:color w:val="000000" w:themeColor="text1"/>
          <w14:textFill>
            <w14:solidFill>
              <w14:schemeClr w14:val="tx1"/>
            </w14:solidFill>
          </w14:textFill>
        </w:rPr>
      </w:pPr>
    </w:p>
    <w:p w14:paraId="6FBDD9B3">
      <w:pPr>
        <w:outlineLvl w:val="9"/>
        <w:rPr>
          <w:color w:val="000000" w:themeColor="text1"/>
          <w14:textFill>
            <w14:solidFill>
              <w14:schemeClr w14:val="tx1"/>
            </w14:solidFill>
          </w14:textFill>
        </w:rPr>
      </w:pPr>
    </w:p>
    <w:p w14:paraId="4F9BE55F">
      <w:pPr>
        <w:outlineLvl w:val="9"/>
        <w:rPr>
          <w:color w:val="000000" w:themeColor="text1"/>
          <w14:textFill>
            <w14:solidFill>
              <w14:schemeClr w14:val="tx1"/>
            </w14:solidFill>
          </w14:textFill>
        </w:rPr>
      </w:pPr>
    </w:p>
    <w:p w14:paraId="1E27D72B">
      <w:pPr>
        <w:outlineLvl w:val="9"/>
        <w:rPr>
          <w:color w:val="000000" w:themeColor="text1"/>
          <w14:textFill>
            <w14:solidFill>
              <w14:schemeClr w14:val="tx1"/>
            </w14:solidFill>
          </w14:textFill>
        </w:rPr>
      </w:pPr>
    </w:p>
    <w:p w14:paraId="241BBD49">
      <w:pPr>
        <w:outlineLvl w:val="9"/>
        <w:rPr>
          <w:color w:val="000000" w:themeColor="text1"/>
          <w14:textFill>
            <w14:solidFill>
              <w14:schemeClr w14:val="tx1"/>
            </w14:solidFill>
          </w14:textFill>
        </w:rPr>
      </w:pPr>
    </w:p>
    <w:p w14:paraId="77975B57">
      <w:pPr>
        <w:pStyle w:val="2"/>
        <w:jc w:val="center"/>
        <w:rPr>
          <w:color w:val="000000" w:themeColor="text1"/>
          <w14:textFill>
            <w14:solidFill>
              <w14:schemeClr w14:val="tx1"/>
            </w14:solidFill>
          </w14:textFill>
        </w:rPr>
      </w:pPr>
      <w:bookmarkStart w:id="91" w:name="_Toc74323460"/>
      <w:r>
        <w:rPr>
          <w:rFonts w:hint="eastAsia"/>
          <w:color w:val="000000" w:themeColor="text1"/>
          <w14:textFill>
            <w14:solidFill>
              <w14:schemeClr w14:val="tx1"/>
            </w14:solidFill>
          </w14:textFill>
        </w:rPr>
        <w:t>第六章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响应文件格式</w:t>
      </w:r>
      <w:bookmarkEnd w:id="91"/>
    </w:p>
    <w:p w14:paraId="7D3A9EDC">
      <w:pPr>
        <w:spacing w:line="240" w:lineRule="atLeast"/>
        <w:outlineLvl w:val="9"/>
        <w:rPr>
          <w:rFonts w:ascii="宋体"/>
          <w:b/>
          <w:color w:val="000000" w:themeColor="text1"/>
          <w:sz w:val="32"/>
          <w:szCs w:val="32"/>
          <w14:textFill>
            <w14:solidFill>
              <w14:schemeClr w14:val="tx1"/>
            </w14:solidFill>
          </w14:textFill>
        </w:rPr>
      </w:pPr>
    </w:p>
    <w:p w14:paraId="28D82B88">
      <w:pPr>
        <w:spacing w:line="240" w:lineRule="atLeast"/>
        <w:outlineLvl w:val="9"/>
        <w:rPr>
          <w:rFonts w:ascii="宋体"/>
          <w:b/>
          <w:color w:val="000000" w:themeColor="text1"/>
          <w:sz w:val="32"/>
          <w:szCs w:val="32"/>
          <w14:textFill>
            <w14:solidFill>
              <w14:schemeClr w14:val="tx1"/>
            </w14:solidFill>
          </w14:textFill>
        </w:rPr>
      </w:pPr>
    </w:p>
    <w:p w14:paraId="06FE2F3B">
      <w:pPr>
        <w:spacing w:line="240" w:lineRule="atLeast"/>
        <w:outlineLvl w:val="9"/>
        <w:rPr>
          <w:rFonts w:ascii="宋体"/>
          <w:b/>
          <w:color w:val="000000" w:themeColor="text1"/>
          <w:sz w:val="32"/>
          <w:szCs w:val="32"/>
          <w14:textFill>
            <w14:solidFill>
              <w14:schemeClr w14:val="tx1"/>
            </w14:solidFill>
          </w14:textFill>
        </w:rPr>
      </w:pPr>
    </w:p>
    <w:p w14:paraId="4AAAE0DF">
      <w:pPr>
        <w:spacing w:line="240" w:lineRule="atLeast"/>
        <w:outlineLvl w:val="9"/>
        <w:rPr>
          <w:rFonts w:ascii="宋体"/>
          <w:b/>
          <w:color w:val="000000" w:themeColor="text1"/>
          <w:sz w:val="32"/>
          <w:szCs w:val="32"/>
          <w14:textFill>
            <w14:solidFill>
              <w14:schemeClr w14:val="tx1"/>
            </w14:solidFill>
          </w14:textFill>
        </w:rPr>
      </w:pPr>
    </w:p>
    <w:p w14:paraId="50C3E289">
      <w:pPr>
        <w:spacing w:line="240" w:lineRule="atLeast"/>
        <w:outlineLvl w:val="9"/>
        <w:rPr>
          <w:rFonts w:ascii="宋体"/>
          <w:b/>
          <w:color w:val="000000" w:themeColor="text1"/>
          <w:sz w:val="32"/>
          <w:szCs w:val="32"/>
          <w14:textFill>
            <w14:solidFill>
              <w14:schemeClr w14:val="tx1"/>
            </w14:solidFill>
          </w14:textFill>
        </w:rPr>
      </w:pPr>
    </w:p>
    <w:p w14:paraId="5A4555CF">
      <w:pPr>
        <w:spacing w:line="240" w:lineRule="atLeast"/>
        <w:outlineLvl w:val="9"/>
        <w:rPr>
          <w:rFonts w:ascii="宋体"/>
          <w:b/>
          <w:color w:val="000000" w:themeColor="text1"/>
          <w:sz w:val="32"/>
          <w:szCs w:val="32"/>
          <w14:textFill>
            <w14:solidFill>
              <w14:schemeClr w14:val="tx1"/>
            </w14:solidFill>
          </w14:textFill>
        </w:rPr>
      </w:pPr>
    </w:p>
    <w:p w14:paraId="2FEEB202">
      <w:pPr>
        <w:spacing w:line="240" w:lineRule="atLeast"/>
        <w:outlineLvl w:val="9"/>
        <w:rPr>
          <w:rFonts w:ascii="宋体"/>
          <w:b/>
          <w:color w:val="000000" w:themeColor="text1"/>
          <w:sz w:val="32"/>
          <w:szCs w:val="32"/>
          <w14:textFill>
            <w14:solidFill>
              <w14:schemeClr w14:val="tx1"/>
            </w14:solidFill>
          </w14:textFill>
        </w:rPr>
      </w:pPr>
    </w:p>
    <w:p w14:paraId="7C570134">
      <w:pPr>
        <w:spacing w:line="240" w:lineRule="atLeast"/>
        <w:outlineLvl w:val="9"/>
        <w:rPr>
          <w:rFonts w:ascii="宋体"/>
          <w:b/>
          <w:color w:val="000000" w:themeColor="text1"/>
          <w:sz w:val="32"/>
          <w:szCs w:val="32"/>
          <w14:textFill>
            <w14:solidFill>
              <w14:schemeClr w14:val="tx1"/>
            </w14:solidFill>
          </w14:textFill>
        </w:rPr>
      </w:pPr>
    </w:p>
    <w:p w14:paraId="3A664450">
      <w:pPr>
        <w:spacing w:line="240" w:lineRule="atLeast"/>
        <w:outlineLvl w:val="9"/>
        <w:rPr>
          <w:rFonts w:ascii="宋体"/>
          <w:b/>
          <w:color w:val="000000" w:themeColor="text1"/>
          <w:sz w:val="32"/>
          <w:szCs w:val="32"/>
          <w14:textFill>
            <w14:solidFill>
              <w14:schemeClr w14:val="tx1"/>
            </w14:solidFill>
          </w14:textFill>
        </w:rPr>
      </w:pPr>
    </w:p>
    <w:p w14:paraId="52BF9097">
      <w:pPr>
        <w:spacing w:line="240" w:lineRule="atLeast"/>
        <w:outlineLvl w:val="9"/>
        <w:rPr>
          <w:rFonts w:ascii="宋体"/>
          <w:b/>
          <w:color w:val="000000" w:themeColor="text1"/>
          <w:sz w:val="32"/>
          <w:szCs w:val="32"/>
          <w14:textFill>
            <w14:solidFill>
              <w14:schemeClr w14:val="tx1"/>
            </w14:solidFill>
          </w14:textFill>
        </w:rPr>
      </w:pPr>
    </w:p>
    <w:p w14:paraId="30A22A47">
      <w:pPr>
        <w:spacing w:line="240" w:lineRule="atLeast"/>
        <w:outlineLvl w:val="9"/>
        <w:rPr>
          <w:rFonts w:ascii="宋体"/>
          <w:b/>
          <w:color w:val="000000" w:themeColor="text1"/>
          <w:sz w:val="32"/>
          <w:szCs w:val="32"/>
          <w14:textFill>
            <w14:solidFill>
              <w14:schemeClr w14:val="tx1"/>
            </w14:solidFill>
          </w14:textFill>
        </w:rPr>
      </w:pPr>
    </w:p>
    <w:p w14:paraId="2E3587D9">
      <w:pPr>
        <w:snapToGrid w:val="0"/>
        <w:spacing w:before="50" w:after="50"/>
        <w:outlineLvl w:val="9"/>
        <w:rPr>
          <w:rFonts w:ascii="宋体"/>
          <w:b/>
          <w:bCs/>
          <w:color w:val="000000" w:themeColor="text1"/>
          <w:sz w:val="24"/>
          <w14:textFill>
            <w14:solidFill>
              <w14:schemeClr w14:val="tx1"/>
            </w14:solidFill>
          </w14:textFill>
        </w:rPr>
      </w:pPr>
    </w:p>
    <w:p w14:paraId="30184802">
      <w:pPr>
        <w:snapToGrid w:val="0"/>
        <w:spacing w:before="120" w:beforeLines="50" w:after="50"/>
        <w:jc w:val="center"/>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br w:type="page"/>
      </w:r>
    </w:p>
    <w:p w14:paraId="0A075C81">
      <w:pPr>
        <w:rPr>
          <w:b/>
          <w:color w:val="000000" w:themeColor="text1"/>
          <w:sz w:val="32"/>
          <w:szCs w:val="32"/>
          <w14:textFill>
            <w14:solidFill>
              <w14:schemeClr w14:val="tx1"/>
            </w14:solidFill>
          </w14:textFill>
        </w:rPr>
      </w:pPr>
      <w:bookmarkStart w:id="92" w:name="_Toc31723070"/>
      <w:bookmarkStart w:id="93" w:name="_Toc71366186"/>
      <w:bookmarkStart w:id="94" w:name="_Toc35611516"/>
      <w:bookmarkStart w:id="95" w:name="_Toc44229899"/>
      <w:bookmarkStart w:id="96" w:name="_Toc35611438"/>
      <w:bookmarkStart w:id="97" w:name="_Toc31728084"/>
      <w:r>
        <w:rPr>
          <w:rFonts w:hint="eastAsia"/>
          <w:b/>
          <w:color w:val="000000" w:themeColor="text1"/>
          <w:sz w:val="32"/>
          <w:szCs w:val="32"/>
          <w14:textFill>
            <w14:solidFill>
              <w14:schemeClr w14:val="tx1"/>
            </w14:solidFill>
          </w14:textFill>
        </w:rPr>
        <w:t>一、资格证明文件格式</w:t>
      </w:r>
      <w:bookmarkEnd w:id="92"/>
      <w:bookmarkEnd w:id="93"/>
      <w:bookmarkEnd w:id="94"/>
      <w:bookmarkEnd w:id="95"/>
      <w:bookmarkEnd w:id="96"/>
      <w:bookmarkEnd w:id="97"/>
    </w:p>
    <w:p w14:paraId="1525260F">
      <w:pPr>
        <w:snapToGrid w:val="0"/>
        <w:spacing w:before="120" w:beforeLines="50" w:after="50" w:line="360" w:lineRule="auto"/>
        <w:jc w:val="left"/>
        <w:rPr>
          <w:rFonts w:ascii="宋体"/>
          <w:b/>
          <w:color w:val="000000" w:themeColor="text1"/>
          <w:sz w:val="24"/>
          <w14:textFill>
            <w14:solidFill>
              <w14:schemeClr w14:val="tx1"/>
            </w14:solidFill>
          </w14:textFill>
        </w:rPr>
      </w:pPr>
      <w:r>
        <w:rPr>
          <w:rFonts w:ascii="宋体" w:hAnsi="宋体"/>
          <w:b/>
          <w:color w:val="000000" w:themeColor="text1"/>
          <w:sz w:val="32"/>
          <w:szCs w:val="32"/>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资格证明文件封面格式：</w:t>
      </w:r>
    </w:p>
    <w:p w14:paraId="01019E2C">
      <w:pPr>
        <w:snapToGrid w:val="0"/>
        <w:spacing w:before="120" w:beforeLines="50" w:after="50"/>
        <w:jc w:val="center"/>
        <w:rPr>
          <w:rFonts w:ascii="宋体"/>
          <w:color w:val="000000" w:themeColor="text1"/>
          <w:sz w:val="44"/>
          <w:szCs w:val="44"/>
          <w14:textFill>
            <w14:solidFill>
              <w14:schemeClr w14:val="tx1"/>
            </w14:solidFill>
          </w14:textFill>
        </w:rPr>
      </w:pPr>
    </w:p>
    <w:p w14:paraId="3243D01B">
      <w:pPr>
        <w:snapToGrid w:val="0"/>
        <w:spacing w:before="120" w:beforeLines="50" w:after="50"/>
        <w:jc w:val="center"/>
        <w:rPr>
          <w:rFonts w:asci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584E590B">
      <w:pPr>
        <w:snapToGrid w:val="0"/>
        <w:spacing w:before="120" w:beforeLines="50" w:after="50"/>
        <w:rPr>
          <w:rFonts w:ascii="宋体"/>
          <w:color w:val="000000" w:themeColor="text1"/>
          <w:sz w:val="24"/>
          <w:szCs w:val="20"/>
          <w14:textFill>
            <w14:solidFill>
              <w14:schemeClr w14:val="tx1"/>
            </w14:solidFill>
          </w14:textFill>
        </w:rPr>
      </w:pPr>
    </w:p>
    <w:p w14:paraId="5723CBFD">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资格证明文件</w:t>
      </w:r>
    </w:p>
    <w:p w14:paraId="55071A3E">
      <w:pPr>
        <w:snapToGrid w:val="0"/>
        <w:spacing w:before="120" w:beforeLines="50" w:after="50"/>
        <w:rPr>
          <w:rFonts w:ascii="宋体"/>
          <w:bCs/>
          <w:color w:val="000000" w:themeColor="text1"/>
          <w:sz w:val="24"/>
          <w:szCs w:val="20"/>
          <w14:textFill>
            <w14:solidFill>
              <w14:schemeClr w14:val="tx1"/>
            </w14:solidFill>
          </w14:textFill>
        </w:rPr>
      </w:pPr>
    </w:p>
    <w:p w14:paraId="55D0848A">
      <w:pPr>
        <w:snapToGrid w:val="0"/>
        <w:spacing w:before="120" w:beforeLines="50" w:after="50"/>
        <w:rPr>
          <w:rFonts w:ascii="宋体"/>
          <w:bCs/>
          <w:color w:val="000000" w:themeColor="text1"/>
          <w:sz w:val="24"/>
          <w:szCs w:val="20"/>
          <w14:textFill>
            <w14:solidFill>
              <w14:schemeClr w14:val="tx1"/>
            </w14:solidFill>
          </w14:textFill>
        </w:rPr>
      </w:pPr>
    </w:p>
    <w:p w14:paraId="2F79687E">
      <w:pPr>
        <w:snapToGrid w:val="0"/>
        <w:spacing w:before="120" w:beforeLines="50" w:after="50"/>
        <w:rPr>
          <w:rFonts w:ascii="宋体"/>
          <w:bCs/>
          <w:color w:val="000000" w:themeColor="text1"/>
          <w:sz w:val="24"/>
          <w:szCs w:val="20"/>
          <w14:textFill>
            <w14:solidFill>
              <w14:schemeClr w14:val="tx1"/>
            </w14:solidFill>
          </w14:textFill>
        </w:rPr>
      </w:pPr>
    </w:p>
    <w:p w14:paraId="23EFDF65">
      <w:pPr>
        <w:snapToGrid w:val="0"/>
        <w:spacing w:before="120" w:beforeLines="50" w:after="50"/>
        <w:rPr>
          <w:rFonts w:ascii="宋体"/>
          <w:bCs/>
          <w:color w:val="000000" w:themeColor="text1"/>
          <w:sz w:val="24"/>
          <w:szCs w:val="20"/>
          <w14:textFill>
            <w14:solidFill>
              <w14:schemeClr w14:val="tx1"/>
            </w14:solidFill>
          </w14:textFill>
        </w:rPr>
      </w:pPr>
    </w:p>
    <w:p w14:paraId="750ACEF9">
      <w:pPr>
        <w:snapToGrid w:val="0"/>
        <w:spacing w:before="120" w:beforeLines="50" w:after="50"/>
        <w:rPr>
          <w:rFonts w:ascii="宋体"/>
          <w:bCs/>
          <w:color w:val="000000" w:themeColor="text1"/>
          <w:sz w:val="24"/>
          <w:szCs w:val="20"/>
          <w14:textFill>
            <w14:solidFill>
              <w14:schemeClr w14:val="tx1"/>
            </w14:solidFill>
          </w14:textFill>
        </w:rPr>
      </w:pPr>
    </w:p>
    <w:p w14:paraId="26B728DB">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1F4124C3">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3C5C8369">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76CF89F2">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0BA53C56">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52CF9059">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7BD0511A">
      <w:pPr>
        <w:pStyle w:val="7"/>
        <w:snapToGrid w:val="0"/>
        <w:spacing w:before="50" w:after="50"/>
        <w:ind w:firstLine="720" w:firstLineChars="225"/>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6268064F">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p>
    <w:p w14:paraId="7532FC0B">
      <w:pPr>
        <w:pStyle w:val="7"/>
        <w:snapToGrid w:val="0"/>
        <w:spacing w:before="50" w:after="50"/>
        <w:ind w:firstLine="720" w:firstLineChars="225"/>
        <w:rPr>
          <w:rFonts w:ascii="宋体" w:cs="仿宋_GB2312"/>
          <w:bCs/>
          <w:color w:val="000000" w:themeColor="text1"/>
          <w:sz w:val="32"/>
          <w:szCs w:val="32"/>
          <w14:textFill>
            <w14:solidFill>
              <w14:schemeClr w14:val="tx1"/>
            </w14:solidFill>
          </w14:textFill>
        </w:rPr>
      </w:pPr>
    </w:p>
    <w:p w14:paraId="6F212250">
      <w:pPr>
        <w:pStyle w:val="7"/>
        <w:snapToGrid w:val="0"/>
        <w:spacing w:before="50" w:after="50"/>
        <w:ind w:firstLine="720" w:firstLineChars="225"/>
        <w:rPr>
          <w:rFonts w:ascii="宋体" w:cs="仿宋_GB2312"/>
          <w:bCs/>
          <w:color w:val="000000" w:themeColor="text1"/>
          <w:sz w:val="32"/>
          <w:szCs w:val="32"/>
          <w14:textFill>
            <w14:solidFill>
              <w14:schemeClr w14:val="tx1"/>
            </w14:solidFill>
          </w14:textFill>
        </w:rPr>
      </w:pPr>
    </w:p>
    <w:p w14:paraId="0999A275">
      <w:pPr>
        <w:pStyle w:val="7"/>
        <w:snapToGrid w:val="0"/>
        <w:spacing w:before="50" w:after="50"/>
        <w:ind w:firstLine="1280" w:firstLineChars="400"/>
        <w:rPr>
          <w:rFonts w:ascii="宋体" w:cs="仿宋_GB2312"/>
          <w:bCs/>
          <w:color w:val="000000" w:themeColor="text1"/>
          <w:sz w:val="32"/>
          <w:szCs w:val="32"/>
          <w14:textFill>
            <w14:solidFill>
              <w14:schemeClr w14:val="tx1"/>
            </w14:solidFill>
          </w14:textFill>
        </w:rPr>
      </w:pPr>
    </w:p>
    <w:p w14:paraId="7D9A9956">
      <w:pPr>
        <w:snapToGrid w:val="0"/>
        <w:spacing w:before="120" w:beforeLines="50" w:after="50"/>
        <w:jc w:val="center"/>
        <w:rPr>
          <w:rFonts w:asci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18FAC38E">
      <w:pPr>
        <w:snapToGrid w:val="0"/>
        <w:spacing w:before="120" w:beforeLines="50" w:after="50" w:line="360" w:lineRule="auto"/>
        <w:ind w:left="142"/>
        <w:jc w:val="left"/>
        <w:rPr>
          <w:rFonts w:ascii="宋体"/>
          <w:b/>
          <w:bCs/>
          <w:color w:val="000000" w:themeColor="text1"/>
          <w:sz w:val="32"/>
          <w:szCs w:val="32"/>
          <w14:textFill>
            <w14:solidFill>
              <w14:schemeClr w14:val="tx1"/>
            </w14:solidFill>
          </w14:textFill>
        </w:rPr>
      </w:pPr>
      <w:r>
        <w:rPr>
          <w:rFonts w:ascii="宋体"/>
          <w:color w:val="000000" w:themeColor="text1"/>
          <w:sz w:val="24"/>
          <w14:textFill>
            <w14:solidFill>
              <w14:schemeClr w14:val="tx1"/>
            </w14:solidFill>
          </w14:textFill>
        </w:rPr>
        <w:br w:type="page"/>
      </w:r>
      <w:r>
        <w:rPr>
          <w:rFonts w:ascii="宋体" w:hAnsi="宋体"/>
          <w:b/>
          <w:bCs/>
          <w:color w:val="000000" w:themeColor="text1"/>
          <w:sz w:val="32"/>
          <w:szCs w:val="32"/>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资格证明文件目录</w:t>
      </w:r>
    </w:p>
    <w:p w14:paraId="4B54C850">
      <w:pPr>
        <w:snapToGrid w:val="0"/>
        <w:spacing w:before="120" w:beforeLines="50" w:after="50" w:line="360" w:lineRule="auto"/>
        <w:ind w:firstLine="645"/>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1DC12C63">
      <w:pPr>
        <w:snapToGrid w:val="0"/>
        <w:spacing w:before="120" w:beforeLines="50" w:after="50"/>
        <w:rPr>
          <w:rFonts w:ascii="宋体"/>
          <w:color w:val="000000" w:themeColor="text1"/>
          <w:sz w:val="24"/>
          <w:szCs w:val="20"/>
          <w14:textFill>
            <w14:solidFill>
              <w14:schemeClr w14:val="tx1"/>
            </w14:solidFill>
          </w14:textFill>
        </w:rPr>
      </w:pPr>
    </w:p>
    <w:p w14:paraId="67CB0F36">
      <w:pPr>
        <w:spacing w:line="300" w:lineRule="auto"/>
        <w:rPr>
          <w:rFonts w:ascii="宋体"/>
          <w:color w:val="000000" w:themeColor="text1"/>
          <w:szCs w:val="21"/>
          <w14:textFill>
            <w14:solidFill>
              <w14:schemeClr w14:val="tx1"/>
            </w14:solidFill>
          </w14:textFill>
        </w:rPr>
      </w:pPr>
    </w:p>
    <w:p w14:paraId="503C68A2">
      <w:pPr>
        <w:spacing w:line="300" w:lineRule="auto"/>
        <w:rPr>
          <w:rFonts w:ascii="宋体"/>
          <w:color w:val="000000" w:themeColor="text1"/>
          <w:szCs w:val="21"/>
          <w14:textFill>
            <w14:solidFill>
              <w14:schemeClr w14:val="tx1"/>
            </w14:solidFill>
          </w14:textFill>
        </w:rPr>
      </w:pPr>
    </w:p>
    <w:p w14:paraId="348129E5">
      <w:pPr>
        <w:spacing w:line="300" w:lineRule="auto"/>
        <w:rPr>
          <w:rFonts w:ascii="宋体"/>
          <w:color w:val="000000" w:themeColor="text1"/>
          <w:szCs w:val="21"/>
          <w14:textFill>
            <w14:solidFill>
              <w14:schemeClr w14:val="tx1"/>
            </w14:solidFill>
          </w14:textFill>
        </w:rPr>
      </w:pPr>
    </w:p>
    <w:p w14:paraId="40AA834A">
      <w:pPr>
        <w:spacing w:line="300" w:lineRule="auto"/>
        <w:rPr>
          <w:rFonts w:ascii="宋体"/>
          <w:color w:val="000000" w:themeColor="text1"/>
          <w:szCs w:val="21"/>
          <w14:textFill>
            <w14:solidFill>
              <w14:schemeClr w14:val="tx1"/>
            </w14:solidFill>
          </w14:textFill>
        </w:rPr>
      </w:pPr>
    </w:p>
    <w:p w14:paraId="23686375">
      <w:pPr>
        <w:spacing w:line="300" w:lineRule="auto"/>
        <w:rPr>
          <w:rFonts w:ascii="宋体"/>
          <w:color w:val="000000" w:themeColor="text1"/>
          <w:szCs w:val="21"/>
          <w14:textFill>
            <w14:solidFill>
              <w14:schemeClr w14:val="tx1"/>
            </w14:solidFill>
          </w14:textFill>
        </w:rPr>
      </w:pPr>
    </w:p>
    <w:p w14:paraId="062378D7">
      <w:pPr>
        <w:spacing w:line="300" w:lineRule="auto"/>
        <w:rPr>
          <w:rFonts w:ascii="宋体"/>
          <w:color w:val="000000" w:themeColor="text1"/>
          <w:szCs w:val="21"/>
          <w14:textFill>
            <w14:solidFill>
              <w14:schemeClr w14:val="tx1"/>
            </w14:solidFill>
          </w14:textFill>
        </w:rPr>
      </w:pPr>
    </w:p>
    <w:p w14:paraId="13D32EFB">
      <w:pPr>
        <w:spacing w:line="300" w:lineRule="auto"/>
        <w:rPr>
          <w:rFonts w:ascii="宋体"/>
          <w:color w:val="000000" w:themeColor="text1"/>
          <w:szCs w:val="21"/>
          <w14:textFill>
            <w14:solidFill>
              <w14:schemeClr w14:val="tx1"/>
            </w14:solidFill>
          </w14:textFill>
        </w:rPr>
      </w:pPr>
    </w:p>
    <w:p w14:paraId="71C1A478">
      <w:pPr>
        <w:spacing w:line="300" w:lineRule="auto"/>
        <w:rPr>
          <w:rFonts w:ascii="宋体"/>
          <w:color w:val="000000" w:themeColor="text1"/>
          <w:szCs w:val="21"/>
          <w14:textFill>
            <w14:solidFill>
              <w14:schemeClr w14:val="tx1"/>
            </w14:solidFill>
          </w14:textFill>
        </w:rPr>
      </w:pPr>
    </w:p>
    <w:p w14:paraId="2F485DFD">
      <w:pPr>
        <w:spacing w:line="300" w:lineRule="auto"/>
        <w:rPr>
          <w:rFonts w:ascii="宋体"/>
          <w:color w:val="000000" w:themeColor="text1"/>
          <w:szCs w:val="21"/>
          <w14:textFill>
            <w14:solidFill>
              <w14:schemeClr w14:val="tx1"/>
            </w14:solidFill>
          </w14:textFill>
        </w:rPr>
      </w:pPr>
    </w:p>
    <w:p w14:paraId="5DBB03F2">
      <w:pPr>
        <w:spacing w:line="300" w:lineRule="auto"/>
        <w:rPr>
          <w:rFonts w:ascii="宋体"/>
          <w:color w:val="000000" w:themeColor="text1"/>
          <w:szCs w:val="21"/>
          <w14:textFill>
            <w14:solidFill>
              <w14:schemeClr w14:val="tx1"/>
            </w14:solidFill>
          </w14:textFill>
        </w:rPr>
      </w:pPr>
    </w:p>
    <w:p w14:paraId="53224705">
      <w:pPr>
        <w:spacing w:line="300" w:lineRule="auto"/>
        <w:rPr>
          <w:rFonts w:ascii="宋体"/>
          <w:color w:val="000000" w:themeColor="text1"/>
          <w:szCs w:val="21"/>
          <w14:textFill>
            <w14:solidFill>
              <w14:schemeClr w14:val="tx1"/>
            </w14:solidFill>
          </w14:textFill>
        </w:rPr>
      </w:pPr>
    </w:p>
    <w:p w14:paraId="3917819B">
      <w:pPr>
        <w:spacing w:line="300" w:lineRule="auto"/>
        <w:rPr>
          <w:rFonts w:ascii="宋体"/>
          <w:color w:val="000000" w:themeColor="text1"/>
          <w:szCs w:val="21"/>
          <w14:textFill>
            <w14:solidFill>
              <w14:schemeClr w14:val="tx1"/>
            </w14:solidFill>
          </w14:textFill>
        </w:rPr>
      </w:pPr>
    </w:p>
    <w:p w14:paraId="7D39CA06">
      <w:pPr>
        <w:spacing w:line="300" w:lineRule="auto"/>
        <w:rPr>
          <w:rFonts w:ascii="宋体"/>
          <w:color w:val="000000" w:themeColor="text1"/>
          <w:szCs w:val="21"/>
          <w14:textFill>
            <w14:solidFill>
              <w14:schemeClr w14:val="tx1"/>
            </w14:solidFill>
          </w14:textFill>
        </w:rPr>
      </w:pPr>
    </w:p>
    <w:p w14:paraId="5B73AD38">
      <w:pPr>
        <w:spacing w:line="300" w:lineRule="auto"/>
        <w:rPr>
          <w:rFonts w:ascii="宋体"/>
          <w:color w:val="000000" w:themeColor="text1"/>
          <w:szCs w:val="21"/>
          <w14:textFill>
            <w14:solidFill>
              <w14:schemeClr w14:val="tx1"/>
            </w14:solidFill>
          </w14:textFill>
        </w:rPr>
      </w:pPr>
    </w:p>
    <w:p w14:paraId="14DCD9CB">
      <w:pPr>
        <w:spacing w:line="300" w:lineRule="auto"/>
        <w:rPr>
          <w:rFonts w:ascii="宋体"/>
          <w:color w:val="000000" w:themeColor="text1"/>
          <w:szCs w:val="21"/>
          <w14:textFill>
            <w14:solidFill>
              <w14:schemeClr w14:val="tx1"/>
            </w14:solidFill>
          </w14:textFill>
        </w:rPr>
      </w:pPr>
    </w:p>
    <w:p w14:paraId="396ACFF0">
      <w:pPr>
        <w:spacing w:line="320" w:lineRule="exact"/>
        <w:jc w:val="lef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p>
    <w:p w14:paraId="27E9DCC1">
      <w:pPr>
        <w:spacing w:line="360" w:lineRule="auto"/>
        <w:jc w:val="center"/>
        <w:rPr>
          <w:b/>
          <w:color w:val="auto"/>
          <w:kern w:val="0"/>
          <w:sz w:val="36"/>
          <w:szCs w:val="20"/>
          <w:highlight w:val="none"/>
        </w:rPr>
      </w:pPr>
      <w:r>
        <w:rPr>
          <w:rFonts w:hint="eastAsia" w:ascii="方正小标宋简体" w:hAnsi="方正小标宋简体" w:eastAsia="方正小标宋简体" w:cs="方正小标宋简体"/>
          <w:color w:val="auto"/>
          <w:sz w:val="44"/>
          <w:szCs w:val="44"/>
          <w:highlight w:val="none"/>
        </w:rPr>
        <w:t>崇左市政府采购供应商信用承诺函</w:t>
      </w:r>
    </w:p>
    <w:p w14:paraId="779FE63B">
      <w:pPr>
        <w:widowControl/>
        <w:spacing w:line="440" w:lineRule="exact"/>
        <w:jc w:val="center"/>
        <w:rPr>
          <w:rFonts w:ascii="宋体" w:hAnsi="宋体"/>
          <w:b/>
          <w:color w:val="auto"/>
          <w:sz w:val="28"/>
          <w:szCs w:val="28"/>
          <w:highlight w:val="none"/>
        </w:rPr>
      </w:pPr>
    </w:p>
    <w:p w14:paraId="581CF3F5">
      <w:pPr>
        <w:spacing w:line="360" w:lineRule="auto"/>
        <w:jc w:val="center"/>
        <w:rPr>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崇左市政府采购供应商信用承诺函（格式）</w:t>
      </w:r>
    </w:p>
    <w:p w14:paraId="6D1F408C">
      <w:pPr>
        <w:widowControl/>
        <w:spacing w:line="440" w:lineRule="exact"/>
        <w:jc w:val="left"/>
        <w:rPr>
          <w:rFonts w:hint="eastAsia" w:ascii="仿宋_GB2312" w:hAnsi="仿宋_GB2312" w:eastAsia="仿宋_GB2312" w:cs="仿宋_GB2312"/>
          <w:color w:val="auto"/>
          <w:kern w:val="0"/>
          <w:sz w:val="32"/>
          <w:szCs w:val="32"/>
          <w:highlight w:val="none"/>
          <w:lang w:bidi="ar"/>
        </w:rPr>
      </w:pPr>
    </w:p>
    <w:p w14:paraId="424B071A">
      <w:pPr>
        <w:widowControl/>
        <w:spacing w:line="440" w:lineRule="exact"/>
        <w:rPr>
          <w:rFonts w:hint="eastAsia" w:ascii="宋体" w:hAnsi="宋体" w:eastAsia="宋体" w:cs="宋体"/>
          <w:color w:val="auto"/>
          <w:sz w:val="24"/>
          <w:highlight w:val="none"/>
          <w:u w:val="single"/>
          <w:lang w:eastAsia="zh-CN"/>
        </w:rPr>
      </w:pPr>
      <w:r>
        <w:rPr>
          <w:rFonts w:hint="eastAsia" w:ascii="宋体" w:hAnsi="宋体" w:cs="宋体"/>
          <w:color w:val="auto"/>
          <w:kern w:val="0"/>
          <w:sz w:val="24"/>
          <w:highlight w:val="none"/>
          <w:lang w:bidi="ar"/>
        </w:rPr>
        <w:t>致</w:t>
      </w:r>
      <w:r>
        <w:rPr>
          <w:rFonts w:hint="eastAsia" w:ascii="宋体" w:hAnsi="宋体" w:cs="宋体"/>
          <w:color w:val="auto"/>
          <w:kern w:val="0"/>
          <w:sz w:val="24"/>
          <w:highlight w:val="none"/>
          <w:u w:val="single"/>
          <w:lang w:bidi="ar"/>
        </w:rPr>
        <w:t>（采购代理机构名称）</w:t>
      </w:r>
      <w:r>
        <w:rPr>
          <w:rFonts w:hint="eastAsia" w:ascii="宋体" w:hAnsi="宋体" w:cs="宋体"/>
          <w:color w:val="auto"/>
          <w:kern w:val="0"/>
          <w:sz w:val="24"/>
          <w:highlight w:val="none"/>
          <w:lang w:eastAsia="zh-CN" w:bidi="ar"/>
        </w:rPr>
        <w:t>：</w:t>
      </w:r>
    </w:p>
    <w:p w14:paraId="4DC8492C">
      <w:pPr>
        <w:widowControl/>
        <w:spacing w:line="44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lang w:bidi="ar"/>
        </w:rPr>
        <w:t>我方自愿参加</w:t>
      </w:r>
      <w:r>
        <w:rPr>
          <w:rFonts w:hint="eastAsia" w:ascii="宋体" w:hAnsi="宋体" w:cs="宋体"/>
          <w:color w:val="auto"/>
          <w:kern w:val="0"/>
          <w:sz w:val="24"/>
          <w:highlight w:val="none"/>
          <w:u w:val="single"/>
          <w:lang w:bidi="ar"/>
        </w:rPr>
        <w:t xml:space="preserve"> （项目名称） </w:t>
      </w:r>
      <w:r>
        <w:rPr>
          <w:rFonts w:hint="eastAsia" w:ascii="宋体" w:hAnsi="宋体" w:cs="宋体"/>
          <w:color w:val="auto"/>
          <w:kern w:val="0"/>
          <w:sz w:val="24"/>
          <w:highlight w:val="none"/>
          <w:lang w:bidi="ar"/>
        </w:rPr>
        <w:t>项目</w:t>
      </w: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w:t>
      </w:r>
      <w:r>
        <w:rPr>
          <w:rFonts w:hint="eastAsia" w:ascii="宋体" w:hAnsi="宋体" w:cs="宋体"/>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4"/>
          <w:highlight w:val="none"/>
          <w:lang w:bidi="ar"/>
        </w:rPr>
        <w:t xml:space="preserve">： </w:t>
      </w:r>
    </w:p>
    <w:p w14:paraId="34EF5FF8">
      <w:pPr>
        <w:widowControl/>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1.我方</w:t>
      </w:r>
      <w:r>
        <w:rPr>
          <w:rFonts w:hint="eastAsia" w:ascii="宋体" w:hAnsi="宋体" w:cs="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5BE6A58E">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2.我方具有符合采购文件资格要求的财务状况报告。 </w:t>
      </w:r>
    </w:p>
    <w:p w14:paraId="25A535BB">
      <w:pPr>
        <w:widowControl/>
        <w:spacing w:line="440" w:lineRule="exact"/>
        <w:ind w:firstLine="456" w:firstLineChars="200"/>
        <w:rPr>
          <w:rFonts w:hint="eastAsia" w:ascii="宋体" w:hAnsi="宋体" w:cs="宋体"/>
          <w:color w:val="auto"/>
          <w:spacing w:val="-17"/>
          <w:sz w:val="24"/>
          <w:highlight w:val="none"/>
        </w:rPr>
      </w:pPr>
      <w:r>
        <w:rPr>
          <w:rFonts w:hint="eastAsia" w:ascii="宋体" w:hAnsi="宋体" w:cs="宋体"/>
          <w:color w:val="auto"/>
          <w:spacing w:val="-6"/>
          <w:kern w:val="0"/>
          <w:sz w:val="24"/>
          <w:highlight w:val="none"/>
          <w:lang w:bidi="ar"/>
        </w:rPr>
        <w:t>3.我方具有符合采购文件资格要求的依法缴纳税收和社会保障资金的良好记录。</w:t>
      </w:r>
      <w:r>
        <w:rPr>
          <w:rFonts w:hint="eastAsia" w:ascii="宋体" w:hAnsi="宋体" w:cs="宋体"/>
          <w:color w:val="auto"/>
          <w:spacing w:val="-17"/>
          <w:kern w:val="0"/>
          <w:sz w:val="24"/>
          <w:highlight w:val="none"/>
          <w:lang w:bidi="ar"/>
        </w:rPr>
        <w:t xml:space="preserve"> </w:t>
      </w:r>
    </w:p>
    <w:p w14:paraId="7D700DF8">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4.我方具有符合采购文件资格要求履行合同所必需的设备和专业技术能力。 </w:t>
      </w:r>
    </w:p>
    <w:p w14:paraId="76EE2CD7">
      <w:pPr>
        <w:widowControl/>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5.我方参加政府采购活动前3年内在经营活动中没有重大违法记录。 </w:t>
      </w:r>
    </w:p>
    <w:p w14:paraId="346AABCD">
      <w:pPr>
        <w:widowControl/>
        <w:spacing w:line="44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我方对以上承诺内容的真实性负责。如有虚假，将依法承担相应责任。</w:t>
      </w:r>
    </w:p>
    <w:p w14:paraId="531208EB">
      <w:pPr>
        <w:widowControl/>
        <w:spacing w:line="440" w:lineRule="exact"/>
        <w:rPr>
          <w:rFonts w:hint="eastAsia" w:ascii="宋体" w:hAnsi="宋体" w:cs="宋体"/>
          <w:color w:val="auto"/>
          <w:kern w:val="0"/>
          <w:sz w:val="24"/>
          <w:highlight w:val="none"/>
          <w:lang w:bidi="ar"/>
        </w:rPr>
      </w:pPr>
    </w:p>
    <w:p w14:paraId="7F2D1404">
      <w:pPr>
        <w:widowControl/>
        <w:spacing w:line="440" w:lineRule="exact"/>
        <w:ind w:firstLine="3600" w:firstLineChars="15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供应商名称（盖章）： </w:t>
      </w:r>
    </w:p>
    <w:p w14:paraId="4010DD7E">
      <w:pPr>
        <w:tabs>
          <w:tab w:val="left" w:pos="7560"/>
        </w:tabs>
        <w:spacing w:line="440" w:lineRule="exact"/>
        <w:ind w:firstLine="3600" w:firstLineChars="15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日期：</w:t>
      </w:r>
    </w:p>
    <w:p w14:paraId="79785045">
      <w:pPr>
        <w:widowControl/>
        <w:wordWrap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注：1.</w:t>
      </w:r>
      <w:r>
        <w:rPr>
          <w:rFonts w:hint="eastAsia" w:ascii="宋体" w:hAnsi="宋体" w:cs="宋体"/>
          <w:color w:val="auto"/>
          <w:kern w:val="0"/>
          <w:sz w:val="24"/>
          <w:highlight w:val="none"/>
        </w:rPr>
        <w:t>参与政府采购活动的供应商可按第1点的内容：“</w:t>
      </w:r>
      <w:r>
        <w:rPr>
          <w:rFonts w:hint="eastAsia" w:ascii="宋体" w:hAnsi="宋体" w:cs="宋体"/>
          <w:color w:val="auto"/>
          <w:kern w:val="0"/>
          <w:sz w:val="24"/>
          <w:highlight w:val="none"/>
          <w:lang w:bidi="ar"/>
        </w:rPr>
        <w:t>我方</w:t>
      </w:r>
      <w:r>
        <w:rPr>
          <w:rFonts w:hint="eastAsia" w:ascii="宋体" w:hAnsi="宋体" w:cs="宋体"/>
          <w:color w:val="auto"/>
          <w:spacing w:val="6"/>
          <w:kern w:val="0"/>
          <w:sz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kern w:val="0"/>
          <w:sz w:val="24"/>
          <w:highlight w:val="none"/>
          <w:lang w:bidi="ar"/>
        </w:rPr>
        <w:t>我方</w:t>
      </w:r>
      <w:r>
        <w:rPr>
          <w:rFonts w:hint="eastAsia" w:ascii="宋体" w:hAnsi="宋体" w:cs="宋体"/>
          <w:color w:val="auto"/>
          <w:spacing w:val="6"/>
          <w:kern w:val="0"/>
          <w:sz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553E2E0A">
      <w:pPr>
        <w:wordWrap w:val="0"/>
        <w:spacing w:before="120" w:beforeLines="50" w:after="50" w:line="320" w:lineRule="exact"/>
        <w:ind w:right="482" w:firstLine="210" w:firstLineChars="100"/>
        <w:contextualSpacing/>
        <w:jc w:val="center"/>
        <w:rPr>
          <w:rFonts w:ascii="宋体"/>
          <w:color w:val="000000" w:themeColor="text1"/>
          <w:szCs w:val="21"/>
          <w14:textFill>
            <w14:solidFill>
              <w14:schemeClr w14:val="tx1"/>
            </w14:solidFill>
          </w14:textFill>
        </w:rPr>
      </w:pPr>
    </w:p>
    <w:p w14:paraId="10345D24">
      <w:pPr>
        <w:spacing w:line="320" w:lineRule="exac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供应商直接控股、管理关系信息表</w:t>
      </w:r>
    </w:p>
    <w:p w14:paraId="399334AF">
      <w:pPr>
        <w:snapToGrid w:val="0"/>
        <w:spacing w:before="120" w:beforeLines="50" w:after="50" w:line="360" w:lineRule="auto"/>
        <w:jc w:val="center"/>
        <w:rPr>
          <w:rFonts w:ascii="宋体"/>
          <w:b/>
          <w:color w:val="000000" w:themeColor="text1"/>
          <w:sz w:val="24"/>
          <w14:textFill>
            <w14:solidFill>
              <w14:schemeClr w14:val="tx1"/>
            </w14:solidFill>
          </w14:textFill>
        </w:rPr>
      </w:pPr>
    </w:p>
    <w:p w14:paraId="02E2063B">
      <w:pPr>
        <w:spacing w:line="360" w:lineRule="auto"/>
        <w:contextualSpacing/>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14:paraId="1B626582">
      <w:pPr>
        <w:spacing w:line="360" w:lineRule="auto"/>
        <w:contextualSpacing/>
        <w:jc w:val="center"/>
        <w:rPr>
          <w:rFonts w:ascii="宋体"/>
          <w:b/>
          <w:color w:val="000000" w:themeColor="text1"/>
          <w:sz w:val="24"/>
          <w14:textFill>
            <w14:solidFill>
              <w14:schemeClr w14:val="tx1"/>
            </w14:solidFill>
          </w14:textFill>
        </w:rPr>
      </w:pPr>
    </w:p>
    <w:tbl>
      <w:tblPr>
        <w:tblStyle w:val="44"/>
        <w:tblW w:w="9337" w:type="dxa"/>
        <w:jc w:val="center"/>
        <w:shd w:val="clear" w:color="auto" w:fill="auto"/>
        <w:tblLayout w:type="fixed"/>
        <w:tblCellMar>
          <w:top w:w="0" w:type="dxa"/>
          <w:left w:w="0" w:type="dxa"/>
          <w:bottom w:w="0" w:type="dxa"/>
          <w:right w:w="0" w:type="dxa"/>
        </w:tblCellMar>
      </w:tblPr>
      <w:tblGrid>
        <w:gridCol w:w="809"/>
        <w:gridCol w:w="2444"/>
        <w:gridCol w:w="1338"/>
        <w:gridCol w:w="3946"/>
        <w:gridCol w:w="800"/>
      </w:tblGrid>
      <w:tr w14:paraId="4A9987F4">
        <w:tblPrEx>
          <w:shd w:val="clear" w:color="auto" w:fill="auto"/>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0359A">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44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E794AE">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9326EA">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394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DD4E3">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E2B500">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3B786FF8">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3F0A3">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244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877E6A">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07EAB3">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340D58">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7468C5">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0979DEF6">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A9714E">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244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19D76">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2270BA">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CC4D15">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45A94">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6755EF2B">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60D155">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244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BC6104">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81E80B">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1A605">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B6BCB1">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0E327B60">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C169B">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44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DEC4D3">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68745A">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22EF32">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01AE32">
            <w:pPr>
              <w:widowControl/>
              <w:spacing w:line="360" w:lineRule="auto"/>
              <w:contextualSpacing/>
              <w:jc w:val="center"/>
              <w:rPr>
                <w:rFonts w:ascii="宋体" w:cs="宋体"/>
                <w:color w:val="000000" w:themeColor="text1"/>
                <w:kern w:val="0"/>
                <w:sz w:val="24"/>
                <w14:textFill>
                  <w14:solidFill>
                    <w14:schemeClr w14:val="tx1"/>
                  </w14:solidFill>
                </w14:textFill>
              </w:rPr>
            </w:pPr>
          </w:p>
        </w:tc>
      </w:tr>
    </w:tbl>
    <w:p w14:paraId="61F3E98C">
      <w:pPr>
        <w:spacing w:line="360" w:lineRule="auto"/>
        <w:contextualSpacing/>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F4BF57B">
      <w:pPr>
        <w:spacing w:line="360" w:lineRule="auto"/>
        <w:ind w:firstLine="480" w:firstLineChars="200"/>
        <w:contextualSpacing/>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72187D">
      <w:pPr>
        <w:spacing w:line="360" w:lineRule="auto"/>
        <w:ind w:firstLine="480" w:firstLineChars="200"/>
        <w:contextualSpacing/>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本表所指的控股关系仅限于直接控股关系，不包括间接的控股关系。公司实际控制人与公司之间的关系不属于本表所指的直接控股关系。</w:t>
      </w:r>
    </w:p>
    <w:p w14:paraId="4512AAD5">
      <w:pPr>
        <w:spacing w:line="360" w:lineRule="auto"/>
        <w:ind w:firstLine="480" w:firstLineChars="200"/>
        <w:contextualSpacing/>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供应商不存在直接控股股东的，</w:t>
      </w:r>
      <w:r>
        <w:rPr>
          <w:rFonts w:hint="eastAsia" w:ascii="宋体" w:hAnsi="宋体"/>
          <w:color w:val="000000" w:themeColor="text1"/>
          <w:sz w:val="24"/>
          <w14:textFill>
            <w14:solidFill>
              <w14:schemeClr w14:val="tx1"/>
            </w14:solidFill>
          </w14:textFill>
        </w:rPr>
        <w:t>则在“直接控股股东名称”填“无”</w:t>
      </w:r>
      <w:r>
        <w:rPr>
          <w:rFonts w:hint="eastAsia" w:ascii="宋体" w:hAnsi="宋体" w:cs="宋体"/>
          <w:color w:val="000000" w:themeColor="text1"/>
          <w:sz w:val="24"/>
          <w14:textFill>
            <w14:solidFill>
              <w14:schemeClr w14:val="tx1"/>
            </w14:solidFill>
          </w14:textFill>
        </w:rPr>
        <w:t>。</w:t>
      </w:r>
    </w:p>
    <w:p w14:paraId="06198707">
      <w:pPr>
        <w:spacing w:line="360" w:lineRule="auto"/>
        <w:ind w:firstLine="420" w:firstLineChars="200"/>
        <w:contextualSpacing/>
        <w:jc w:val="left"/>
        <w:rPr>
          <w:rFonts w:ascii="宋体" w:cs="宋体"/>
          <w:color w:val="000000" w:themeColor="text1"/>
          <w:szCs w:val="21"/>
          <w14:textFill>
            <w14:solidFill>
              <w14:schemeClr w14:val="tx1"/>
            </w14:solidFill>
          </w14:textFill>
        </w:rPr>
      </w:pPr>
    </w:p>
    <w:p w14:paraId="581B3080">
      <w:pPr>
        <w:spacing w:line="360" w:lineRule="auto"/>
        <w:ind w:firstLine="560" w:firstLineChars="200"/>
        <w:contextualSpacing/>
        <w:jc w:val="left"/>
        <w:rPr>
          <w:rFonts w:ascii="宋体" w:cs="宋体"/>
          <w:color w:val="000000" w:themeColor="text1"/>
          <w:sz w:val="28"/>
          <w:szCs w:val="28"/>
          <w14:textFill>
            <w14:solidFill>
              <w14:schemeClr w14:val="tx1"/>
            </w14:solidFill>
          </w14:textFill>
        </w:rPr>
      </w:pPr>
    </w:p>
    <w:p w14:paraId="51040BE7">
      <w:pPr>
        <w:spacing w:line="360" w:lineRule="auto"/>
        <w:ind w:right="480"/>
        <w:contextualSpacing/>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宋体"/>
          <w:color w:val="000000" w:themeColor="text1"/>
          <w:sz w:val="24"/>
          <w14:textFill>
            <w14:solidFill>
              <w14:schemeClr w14:val="tx1"/>
            </w14:solidFill>
          </w14:textFill>
        </w:rPr>
        <w:t>：</w:t>
      </w:r>
    </w:p>
    <w:p w14:paraId="2421A438">
      <w:pPr>
        <w:spacing w:line="360" w:lineRule="auto"/>
        <w:ind w:right="480" w:firstLine="3000" w:firstLineChars="1250"/>
        <w:contextualSpacing/>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w:t>
      </w:r>
    </w:p>
    <w:p w14:paraId="03D642E3">
      <w:pPr>
        <w:spacing w:line="360" w:lineRule="auto"/>
        <w:ind w:firstLine="480" w:firstLineChars="200"/>
        <w:contextualSpacing/>
        <w:jc w:val="right"/>
        <w:rPr>
          <w:rFonts w:ascii="宋体" w:cs="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2BDBEF13">
      <w:pPr>
        <w:snapToGrid w:val="0"/>
        <w:jc w:val="cente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0E63619E">
      <w:pPr>
        <w:spacing w:line="320" w:lineRule="exac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14:paraId="62338931">
      <w:pPr>
        <w:snapToGrid w:val="0"/>
        <w:spacing w:line="360" w:lineRule="auto"/>
        <w:jc w:val="center"/>
        <w:rPr>
          <w:rFonts w:ascii="宋体"/>
          <w:b/>
          <w:color w:val="000000" w:themeColor="text1"/>
          <w:sz w:val="24"/>
          <w14:textFill>
            <w14:solidFill>
              <w14:schemeClr w14:val="tx1"/>
            </w14:solidFill>
          </w14:textFill>
        </w:rPr>
      </w:pPr>
    </w:p>
    <w:tbl>
      <w:tblPr>
        <w:tblStyle w:val="44"/>
        <w:tblW w:w="0" w:type="auto"/>
        <w:jc w:val="center"/>
        <w:shd w:val="clear" w:color="auto" w:fill="auto"/>
        <w:tblLayout w:type="fixed"/>
        <w:tblCellMar>
          <w:top w:w="0" w:type="dxa"/>
          <w:left w:w="0" w:type="dxa"/>
          <w:bottom w:w="0" w:type="dxa"/>
          <w:right w:w="0" w:type="dxa"/>
        </w:tblCellMar>
      </w:tblPr>
      <w:tblGrid>
        <w:gridCol w:w="808"/>
        <w:gridCol w:w="3600"/>
        <w:gridCol w:w="3555"/>
        <w:gridCol w:w="1689"/>
      </w:tblGrid>
      <w:tr w14:paraId="488EABEE">
        <w:tblPrEx>
          <w:shd w:val="clear" w:color="auto" w:fill="auto"/>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45C77B">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188096">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7B2449">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51EEF5">
            <w:pPr>
              <w:widowControl/>
              <w:spacing w:line="360" w:lineRule="auto"/>
              <w:contextualSpacing/>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相互关系</w:t>
            </w:r>
          </w:p>
        </w:tc>
      </w:tr>
      <w:tr w14:paraId="561173E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79BAB1">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4CD0AB">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DD193">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AB203C">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3E98742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2E736A">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CCD5D">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D75821">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5D14EB">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3A93338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42B1B7">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118E1">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599614">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145F11">
            <w:pPr>
              <w:widowControl/>
              <w:spacing w:line="360" w:lineRule="auto"/>
              <w:contextualSpacing/>
              <w:jc w:val="center"/>
              <w:rPr>
                <w:rFonts w:ascii="宋体" w:cs="宋体"/>
                <w:color w:val="000000" w:themeColor="text1"/>
                <w:kern w:val="0"/>
                <w:sz w:val="24"/>
                <w14:textFill>
                  <w14:solidFill>
                    <w14:schemeClr w14:val="tx1"/>
                  </w14:solidFill>
                </w14:textFill>
              </w:rPr>
            </w:pPr>
          </w:p>
        </w:tc>
      </w:tr>
      <w:tr w14:paraId="780F7BD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05785A">
            <w:pPr>
              <w:widowControl/>
              <w:spacing w:line="360" w:lineRule="auto"/>
              <w:contextualSpacing/>
              <w:jc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1E06B">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FEBBD7">
            <w:pPr>
              <w:widowControl/>
              <w:spacing w:line="360" w:lineRule="auto"/>
              <w:contextualSpacing/>
              <w:jc w:val="center"/>
              <w:rPr>
                <w:rFonts w:asci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B04625">
            <w:pPr>
              <w:widowControl/>
              <w:spacing w:line="360" w:lineRule="auto"/>
              <w:contextualSpacing/>
              <w:jc w:val="center"/>
              <w:rPr>
                <w:rFonts w:ascii="宋体" w:cs="宋体"/>
                <w:color w:val="000000" w:themeColor="text1"/>
                <w:kern w:val="0"/>
                <w:sz w:val="24"/>
                <w14:textFill>
                  <w14:solidFill>
                    <w14:schemeClr w14:val="tx1"/>
                  </w14:solidFill>
                </w14:textFill>
              </w:rPr>
            </w:pPr>
          </w:p>
        </w:tc>
      </w:tr>
    </w:tbl>
    <w:p w14:paraId="695C9EC7">
      <w:pPr>
        <w:spacing w:line="360" w:lineRule="auto"/>
        <w:contextualSpacing/>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346749C3">
      <w:pPr>
        <w:spacing w:line="360" w:lineRule="auto"/>
        <w:ind w:firstLine="480" w:firstLineChars="200"/>
        <w:contextualSpacing/>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管理关系：是指不具有出资持股关系的其他单位之间存在的管理与被管理关系，如一些上下级关系的事业单位和团体组织。</w:t>
      </w:r>
    </w:p>
    <w:p w14:paraId="01DEF018">
      <w:pPr>
        <w:spacing w:line="360" w:lineRule="auto"/>
        <w:ind w:firstLine="480" w:firstLineChars="200"/>
        <w:contextualSpacing/>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6B7FC4C9">
      <w:pPr>
        <w:spacing w:line="360" w:lineRule="auto"/>
        <w:ind w:firstLine="480" w:firstLineChars="200"/>
        <w:contextualSpacing/>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供应商不存在直接管理关系的，则在“直接管理关系单位名称”填“无”。</w:t>
      </w:r>
    </w:p>
    <w:p w14:paraId="618B06C0">
      <w:pPr>
        <w:spacing w:line="360" w:lineRule="auto"/>
        <w:contextualSpacing/>
        <w:jc w:val="left"/>
        <w:rPr>
          <w:rFonts w:ascii="宋体"/>
          <w:color w:val="000000" w:themeColor="text1"/>
          <w:sz w:val="28"/>
          <w:szCs w:val="28"/>
          <w14:textFill>
            <w14:solidFill>
              <w14:schemeClr w14:val="tx1"/>
            </w14:solidFill>
          </w14:textFill>
        </w:rPr>
      </w:pPr>
    </w:p>
    <w:p w14:paraId="431F4603">
      <w:pPr>
        <w:spacing w:line="360" w:lineRule="auto"/>
        <w:contextualSpacing/>
        <w:jc w:val="left"/>
        <w:rPr>
          <w:rFonts w:ascii="宋体"/>
          <w:color w:val="000000" w:themeColor="text1"/>
          <w:sz w:val="28"/>
          <w:szCs w:val="28"/>
          <w14:textFill>
            <w14:solidFill>
              <w14:schemeClr w14:val="tx1"/>
            </w14:solidFill>
          </w14:textFill>
        </w:rPr>
      </w:pPr>
    </w:p>
    <w:p w14:paraId="373235E6">
      <w:pPr>
        <w:spacing w:line="360" w:lineRule="auto"/>
        <w:ind w:right="480"/>
        <w:contextualSpacing/>
        <w:jc w:val="right"/>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法定代表人或者委托代理人（签字或者电子签名）：</w:t>
      </w:r>
    </w:p>
    <w:p w14:paraId="48A6F880">
      <w:pPr>
        <w:spacing w:line="360" w:lineRule="auto"/>
        <w:ind w:right="480" w:firstLine="3360" w:firstLineChars="1400"/>
        <w:contextualSpacing/>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7CE5F5E6">
      <w:pPr>
        <w:spacing w:line="360" w:lineRule="auto"/>
        <w:ind w:firstLine="480" w:firstLineChars="200"/>
        <w:contextualSpacing/>
        <w:jc w:val="right"/>
        <w:rPr>
          <w:rFonts w:asci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768F1C8">
      <w:pPr>
        <w:spacing w:line="320" w:lineRule="exact"/>
        <w:jc w:val="center"/>
        <w:rPr>
          <w:rFonts w:ascii="宋体"/>
          <w:b/>
          <w:color w:val="000000" w:themeColor="text1"/>
          <w:sz w:val="32"/>
          <w:szCs w:val="32"/>
          <w14:textFill>
            <w14:solidFill>
              <w14:schemeClr w14:val="tx1"/>
            </w14:solidFill>
          </w14:textFill>
        </w:rPr>
      </w:pPr>
      <w:r>
        <w:rPr>
          <w:rFonts w:ascii="宋体"/>
          <w:color w:val="000000" w:themeColor="text1"/>
          <w:sz w:val="28"/>
          <w:szCs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竞标声明</w:t>
      </w:r>
    </w:p>
    <w:p w14:paraId="0FCC0687">
      <w:pPr>
        <w:spacing w:line="320" w:lineRule="exact"/>
        <w:jc w:val="center"/>
        <w:rPr>
          <w:rFonts w:ascii="宋体"/>
          <w:color w:val="000000" w:themeColor="text1"/>
          <w:sz w:val="24"/>
          <w:szCs w:val="20"/>
          <w14:textFill>
            <w14:solidFill>
              <w14:schemeClr w14:val="tx1"/>
            </w14:solidFill>
          </w14:textFill>
        </w:rPr>
      </w:pPr>
    </w:p>
    <w:p w14:paraId="6F2B8101">
      <w:pPr>
        <w:spacing w:line="360" w:lineRule="auto"/>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14:paraId="4F263C7F">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14:paraId="7811489B">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（项目名称）（项目编号）</w:t>
      </w:r>
      <w:r>
        <w:rPr>
          <w:rFonts w:hint="eastAsia" w:ascii="宋体" w:hAnsi="宋体" w:cs="宋体"/>
          <w:color w:val="000000" w:themeColor="text1"/>
          <w:sz w:val="24"/>
          <w14:textFill>
            <w14:solidFill>
              <w14:schemeClr w14:val="tx1"/>
            </w14:solidFill>
          </w14:textFill>
        </w:rPr>
        <w:t>项目的竞标，为便于贵方公正、择优地确定成交供应商及其服务，我方就本次竞标有关事项郑重声明如下：</w:t>
      </w:r>
    </w:p>
    <w:p w14:paraId="355D57B8">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我方向贵方提交的所有响应文件、资料都是准确的和真实的。</w:t>
      </w:r>
    </w:p>
    <w:p w14:paraId="2925532F">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14:paraId="351C3B79">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在此，我方宣布同意如下：</w:t>
      </w:r>
    </w:p>
    <w:p w14:paraId="557192D7">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）将按磋商文件的约定履行合同责任和义务；</w:t>
      </w:r>
    </w:p>
    <w:p w14:paraId="31158236">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）已详细审查全部磋商文件，包括澄清或者更正公告（如有）；</w:t>
      </w:r>
    </w:p>
    <w:p w14:paraId="2B4EC6F6">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）同意提供按照贵方可能要求的与磋商有关的一切数据或者资料；</w:t>
      </w:r>
    </w:p>
    <w:p w14:paraId="31A7C318">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）响应磋商文件规定的竞标有效期。</w:t>
      </w:r>
    </w:p>
    <w:p w14:paraId="10D04DB4">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我方承诺符合《中华人民共和国政府采购法》第二十二条规定：</w:t>
      </w:r>
    </w:p>
    <w:p w14:paraId="42533474">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）具有独立承担民事责任的能力；</w:t>
      </w:r>
    </w:p>
    <w:p w14:paraId="4317A741">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）具有良好的商业信誉和健全的财务会计制度；</w:t>
      </w:r>
    </w:p>
    <w:p w14:paraId="7CF10A08">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）具有履行合同所必需的设备和专业技术能力；</w:t>
      </w:r>
    </w:p>
    <w:p w14:paraId="614BC2A1">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）有依法缴纳税收和社会保障资金的良好记录；</w:t>
      </w:r>
    </w:p>
    <w:p w14:paraId="657799FD">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）参加政府采购活动前三年内，在经营活动中没有重大违法记录；</w:t>
      </w:r>
    </w:p>
    <w:p w14:paraId="66707734">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）法律、行政法规规定的其他条件。</w:t>
      </w:r>
    </w:p>
    <w:p w14:paraId="1BDE2255">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1CC885B">
      <w:pPr>
        <w:spacing w:line="360" w:lineRule="auto"/>
        <w:ind w:firstLine="480" w:firstLineChars="200"/>
        <w:contextualSpacing/>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1C5F1B25">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191C57B7">
      <w:pPr>
        <w:spacing w:line="360" w:lineRule="auto"/>
        <w:ind w:firstLine="480" w:firstLineChars="200"/>
        <w:contextualSpacing/>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p>
    <w:p w14:paraId="6CB1CCAB">
      <w:pPr>
        <w:pStyle w:val="24"/>
        <w:spacing w:line="360" w:lineRule="auto"/>
        <w:ind w:firstLine="480" w:firstLineChars="200"/>
        <w:contextualSpacing/>
        <w:rPr>
          <w:rFonts w:hAnsi="宋体" w:cs="宋体"/>
          <w:color w:val="000000" w:themeColor="text1"/>
          <w:sz w:val="24"/>
          <w:szCs w:val="24"/>
          <w:u w:val="single"/>
          <w14:textFill>
            <w14:solidFill>
              <w14:schemeClr w14:val="tx1"/>
            </w14:solidFill>
          </w14:textFill>
        </w:rPr>
      </w:pPr>
      <w:r>
        <w:rPr>
          <w:rFonts w:hAnsi="宋体" w:cs="宋体"/>
          <w:color w:val="000000" w:themeColor="text1"/>
          <w:sz w:val="24"/>
          <w:szCs w:val="24"/>
          <w14:textFill>
            <w14:solidFill>
              <w14:schemeClr w14:val="tx1"/>
            </w14:solidFill>
          </w14:textFill>
        </w:rPr>
        <w:t>7.</w:t>
      </w:r>
      <w:r>
        <w:rPr>
          <w:rFonts w:hint="eastAsia" w:hAnsi="宋体" w:cs="宋体"/>
          <w:color w:val="000000" w:themeColor="text1"/>
          <w:sz w:val="24"/>
          <w:szCs w:val="24"/>
          <w14:textFill>
            <w14:solidFill>
              <w14:schemeClr w14:val="tx1"/>
            </w14:solidFill>
          </w14:textFill>
        </w:rPr>
        <w:t>与本磋商有关的一切正式往来信函请寄：邮政编号：</w:t>
      </w:r>
    </w:p>
    <w:p w14:paraId="3EFB83BA">
      <w:pPr>
        <w:pStyle w:val="24"/>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传真：电子邮箱：</w:t>
      </w:r>
    </w:p>
    <w:p w14:paraId="601A76F1">
      <w:pPr>
        <w:pStyle w:val="20"/>
        <w:tabs>
          <w:tab w:val="left" w:pos="939"/>
        </w:tabs>
        <w:spacing w:line="360" w:lineRule="auto"/>
        <w:ind w:left="141" w:leftChars="67" w:firstLine="360" w:firstLineChars="15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开户银行：帐号：</w:t>
      </w:r>
    </w:p>
    <w:p w14:paraId="4802C82D">
      <w:pPr>
        <w:pStyle w:val="20"/>
        <w:tabs>
          <w:tab w:val="left" w:pos="939"/>
        </w:tabs>
        <w:spacing w:line="360" w:lineRule="auto"/>
        <w:ind w:left="0" w:leftChars="0"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以上事项如有虚假或者隐瞒，我方愿意承担一切后果，并不再寻求任何旨在减轻或者免除法律责任的辩解。</w:t>
      </w:r>
    </w:p>
    <w:p w14:paraId="7BD06C0F">
      <w:pPr>
        <w:pStyle w:val="20"/>
        <w:tabs>
          <w:tab w:val="left" w:pos="939"/>
        </w:tabs>
        <w:spacing w:line="360" w:lineRule="auto"/>
        <w:ind w:left="141" w:leftChars="67" w:firstLine="360" w:firstLineChars="15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4EF89DB6">
      <w:pPr>
        <w:spacing w:line="360" w:lineRule="auto"/>
        <w:ind w:firstLine="482" w:firstLineChars="200"/>
        <w:contextualSpacing/>
        <w:jc w:val="left"/>
        <w:rPr>
          <w:rFonts w:asci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b/>
          <w:color w:val="000000" w:themeColor="text1"/>
          <w:sz w:val="24"/>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03671CA7">
      <w:pPr>
        <w:spacing w:line="360" w:lineRule="auto"/>
        <w:contextualSpacing/>
        <w:jc w:val="left"/>
        <w:rPr>
          <w:rFonts w:ascii="宋体" w:cs="宋体"/>
          <w:color w:val="000000" w:themeColor="text1"/>
          <w:szCs w:val="21"/>
          <w14:textFill>
            <w14:solidFill>
              <w14:schemeClr w14:val="tx1"/>
            </w14:solidFill>
          </w14:textFill>
        </w:rPr>
      </w:pPr>
    </w:p>
    <w:p w14:paraId="3F554B6E">
      <w:pPr>
        <w:pStyle w:val="20"/>
        <w:tabs>
          <w:tab w:val="left" w:pos="939"/>
        </w:tabs>
        <w:spacing w:line="360" w:lineRule="auto"/>
        <w:ind w:left="0" w:leftChars="0"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法定代表人（签字或者盖章或者电子签名）：</w:t>
      </w:r>
    </w:p>
    <w:p w14:paraId="43F43E3A">
      <w:pPr>
        <w:pStyle w:val="20"/>
        <w:tabs>
          <w:tab w:val="left" w:pos="939"/>
        </w:tabs>
        <w:spacing w:line="360" w:lineRule="auto"/>
        <w:ind w:left="0" w:leftChars="0"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供应商（电子签章）：</w:t>
      </w:r>
    </w:p>
    <w:p w14:paraId="549D804C">
      <w:pPr>
        <w:pStyle w:val="20"/>
        <w:tabs>
          <w:tab w:val="left" w:pos="939"/>
        </w:tabs>
        <w:spacing w:line="360" w:lineRule="auto"/>
        <w:ind w:left="0" w:leftChars="0" w:firstLine="480" w:firstLineChars="200"/>
        <w:jc w:val="righ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2F065A0">
      <w:pPr>
        <w:spacing w:line="360" w:lineRule="auto"/>
        <w:ind w:firstLine="240" w:firstLineChars="100"/>
        <w:contextualSpacing/>
        <w:jc w:val="center"/>
        <w:rPr>
          <w:rFonts w:ascii="宋体"/>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报价文件格式</w:t>
      </w:r>
    </w:p>
    <w:p w14:paraId="0C39D340">
      <w:pPr>
        <w:snapToGrid w:val="0"/>
        <w:spacing w:before="120" w:beforeLines="50" w:after="50" w:line="360" w:lineRule="auto"/>
        <w:jc w:val="left"/>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报价文件封面格式</w:t>
      </w:r>
    </w:p>
    <w:p w14:paraId="1715B649">
      <w:pPr>
        <w:snapToGrid w:val="0"/>
        <w:spacing w:before="120" w:beforeLines="50" w:after="50"/>
        <w:rPr>
          <w:rFonts w:ascii="宋体"/>
          <w:bCs/>
          <w:color w:val="000000" w:themeColor="text1"/>
          <w:sz w:val="32"/>
          <w:szCs w:val="20"/>
          <w14:textFill>
            <w14:solidFill>
              <w14:schemeClr w14:val="tx1"/>
            </w14:solidFill>
          </w14:textFill>
        </w:rPr>
      </w:pPr>
    </w:p>
    <w:p w14:paraId="2FC54B3E">
      <w:pPr>
        <w:snapToGrid w:val="0"/>
        <w:spacing w:before="120" w:beforeLines="50" w:after="50"/>
        <w:jc w:val="center"/>
        <w:rPr>
          <w:rFonts w:asci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135DA50A">
      <w:pPr>
        <w:snapToGrid w:val="0"/>
        <w:spacing w:before="120" w:beforeLines="50" w:after="50"/>
        <w:rPr>
          <w:rFonts w:ascii="宋体"/>
          <w:color w:val="000000" w:themeColor="text1"/>
          <w:sz w:val="24"/>
          <w:szCs w:val="20"/>
          <w14:textFill>
            <w14:solidFill>
              <w14:schemeClr w14:val="tx1"/>
            </w14:solidFill>
          </w14:textFill>
        </w:rPr>
      </w:pPr>
    </w:p>
    <w:p w14:paraId="7C760A9D">
      <w:pPr>
        <w:snapToGrid w:val="0"/>
        <w:spacing w:before="120" w:beforeLines="50" w:after="50"/>
        <w:rPr>
          <w:rFonts w:ascii="宋体"/>
          <w:color w:val="000000" w:themeColor="text1"/>
          <w:sz w:val="24"/>
          <w:szCs w:val="20"/>
          <w14:textFill>
            <w14:solidFill>
              <w14:schemeClr w14:val="tx1"/>
            </w14:solidFill>
          </w14:textFill>
        </w:rPr>
      </w:pPr>
    </w:p>
    <w:p w14:paraId="781BF93A">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报价文件</w:t>
      </w:r>
    </w:p>
    <w:p w14:paraId="185D0855">
      <w:pPr>
        <w:snapToGrid w:val="0"/>
        <w:spacing w:before="120" w:beforeLines="50" w:after="50"/>
        <w:rPr>
          <w:rFonts w:ascii="宋体"/>
          <w:bCs/>
          <w:color w:val="000000" w:themeColor="text1"/>
          <w:sz w:val="24"/>
          <w:szCs w:val="20"/>
          <w14:textFill>
            <w14:solidFill>
              <w14:schemeClr w14:val="tx1"/>
            </w14:solidFill>
          </w14:textFill>
        </w:rPr>
      </w:pPr>
    </w:p>
    <w:p w14:paraId="7FD33960">
      <w:pPr>
        <w:snapToGrid w:val="0"/>
        <w:spacing w:before="120" w:beforeLines="50" w:after="50"/>
        <w:rPr>
          <w:rFonts w:ascii="宋体"/>
          <w:bCs/>
          <w:color w:val="000000" w:themeColor="text1"/>
          <w:sz w:val="24"/>
          <w:szCs w:val="20"/>
          <w14:textFill>
            <w14:solidFill>
              <w14:schemeClr w14:val="tx1"/>
            </w14:solidFill>
          </w14:textFill>
        </w:rPr>
      </w:pPr>
    </w:p>
    <w:p w14:paraId="13001855">
      <w:pPr>
        <w:snapToGrid w:val="0"/>
        <w:spacing w:before="120" w:beforeLines="50" w:after="50"/>
        <w:rPr>
          <w:rFonts w:ascii="宋体"/>
          <w:bCs/>
          <w:color w:val="000000" w:themeColor="text1"/>
          <w:sz w:val="24"/>
          <w:szCs w:val="20"/>
          <w14:textFill>
            <w14:solidFill>
              <w14:schemeClr w14:val="tx1"/>
            </w14:solidFill>
          </w14:textFill>
        </w:rPr>
      </w:pPr>
    </w:p>
    <w:p w14:paraId="6F459EC4">
      <w:pPr>
        <w:snapToGrid w:val="0"/>
        <w:spacing w:before="120" w:beforeLines="50" w:after="50"/>
        <w:rPr>
          <w:rFonts w:ascii="宋体"/>
          <w:bCs/>
          <w:color w:val="000000" w:themeColor="text1"/>
          <w:sz w:val="24"/>
          <w:szCs w:val="20"/>
          <w14:textFill>
            <w14:solidFill>
              <w14:schemeClr w14:val="tx1"/>
            </w14:solidFill>
          </w14:textFill>
        </w:rPr>
      </w:pPr>
    </w:p>
    <w:p w14:paraId="172C47D3">
      <w:pPr>
        <w:snapToGrid w:val="0"/>
        <w:spacing w:before="120" w:beforeLines="50" w:after="50"/>
        <w:rPr>
          <w:rFonts w:ascii="宋体"/>
          <w:bCs/>
          <w:color w:val="000000" w:themeColor="text1"/>
          <w:sz w:val="24"/>
          <w:szCs w:val="20"/>
          <w14:textFill>
            <w14:solidFill>
              <w14:schemeClr w14:val="tx1"/>
            </w14:solidFill>
          </w14:textFill>
        </w:rPr>
      </w:pPr>
    </w:p>
    <w:p w14:paraId="3BA4F0F2">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0DC9CECE">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589724E2">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65EA07A0">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745D0885">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2AF63B65">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48087433">
      <w:pPr>
        <w:pStyle w:val="7"/>
        <w:snapToGrid w:val="0"/>
        <w:spacing w:before="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1AF01DF9">
      <w:pPr>
        <w:pStyle w:val="7"/>
        <w:snapToGrid w:val="0"/>
        <w:spacing w:before="50" w:after="50"/>
        <w:ind w:firstLine="640" w:firstLineChars="200"/>
        <w:rPr>
          <w:rFonts w:ascii="宋体" w:cs="仿宋_GB2312"/>
          <w:bCs/>
          <w:color w:val="000000" w:themeColor="text1"/>
          <w:sz w:val="32"/>
          <w:szCs w:val="32"/>
          <w14:textFill>
            <w14:solidFill>
              <w14:schemeClr w14:val="tx1"/>
            </w14:solidFill>
          </w14:textFill>
        </w:rPr>
      </w:pPr>
    </w:p>
    <w:p w14:paraId="6839BB2F">
      <w:pPr>
        <w:pStyle w:val="7"/>
        <w:snapToGrid w:val="0"/>
        <w:spacing w:before="50" w:after="50"/>
        <w:ind w:firstLine="720" w:firstLineChars="225"/>
        <w:rPr>
          <w:rFonts w:ascii="宋体" w:cs="仿宋_GB2312"/>
          <w:bCs/>
          <w:color w:val="000000" w:themeColor="text1"/>
          <w:sz w:val="32"/>
          <w:szCs w:val="32"/>
          <w14:textFill>
            <w14:solidFill>
              <w14:schemeClr w14:val="tx1"/>
            </w14:solidFill>
          </w14:textFill>
        </w:rPr>
      </w:pPr>
    </w:p>
    <w:p w14:paraId="6C1F419F">
      <w:pPr>
        <w:pStyle w:val="7"/>
        <w:snapToGrid w:val="0"/>
        <w:spacing w:before="50" w:after="50"/>
        <w:ind w:firstLine="0"/>
        <w:rPr>
          <w:rFonts w:ascii="宋体" w:cs="仿宋_GB2312"/>
          <w:bCs/>
          <w:color w:val="000000" w:themeColor="text1"/>
          <w:sz w:val="32"/>
          <w:szCs w:val="32"/>
          <w14:textFill>
            <w14:solidFill>
              <w14:schemeClr w14:val="tx1"/>
            </w14:solidFill>
          </w14:textFill>
        </w:rPr>
      </w:pPr>
    </w:p>
    <w:p w14:paraId="53EF1D7A">
      <w:pPr>
        <w:pStyle w:val="7"/>
        <w:snapToGrid w:val="0"/>
        <w:spacing w:before="50" w:after="50"/>
        <w:ind w:firstLine="1280" w:firstLineChars="400"/>
        <w:rPr>
          <w:rFonts w:ascii="宋体" w:cs="仿宋_GB2312"/>
          <w:bCs/>
          <w:color w:val="000000" w:themeColor="text1"/>
          <w:sz w:val="32"/>
          <w:szCs w:val="32"/>
          <w14:textFill>
            <w14:solidFill>
              <w14:schemeClr w14:val="tx1"/>
            </w14:solidFill>
          </w14:textFill>
        </w:rPr>
      </w:pPr>
    </w:p>
    <w:p w14:paraId="46FAABCE">
      <w:pPr>
        <w:snapToGrid w:val="0"/>
        <w:spacing w:before="120" w:beforeLines="50" w:after="50"/>
        <w:jc w:val="center"/>
        <w:rPr>
          <w:rFonts w:asci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5C8CBF1F">
      <w:pPr>
        <w:snapToGrid w:val="0"/>
        <w:spacing w:before="120" w:beforeLines="50" w:after="50" w:line="360" w:lineRule="auto"/>
        <w:ind w:left="142"/>
        <w:jc w:val="left"/>
        <w:rPr>
          <w:rFonts w:ascii="宋体"/>
          <w:b/>
          <w:bCs/>
          <w:color w:val="000000" w:themeColor="text1"/>
          <w:sz w:val="24"/>
          <w14:textFill>
            <w14:solidFill>
              <w14:schemeClr w14:val="tx1"/>
            </w14:solidFill>
          </w14:textFill>
        </w:rPr>
      </w:pPr>
      <w:r>
        <w:rPr>
          <w:rFonts w:ascii="宋体"/>
          <w:color w:val="000000" w:themeColor="text1"/>
          <w:szCs w:val="21"/>
          <w14:textFill>
            <w14:solidFill>
              <w14:schemeClr w14:val="tx1"/>
            </w14:solidFill>
          </w14:textFill>
        </w:rPr>
        <w:br w:type="page"/>
      </w:r>
      <w:r>
        <w:rPr>
          <w:rFonts w:ascii="宋体" w:hAnsi="宋体"/>
          <w:b/>
          <w:bCs/>
          <w:color w:val="000000" w:themeColor="text1"/>
          <w:sz w:val="32"/>
          <w:szCs w:val="32"/>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报价文件目录</w:t>
      </w:r>
    </w:p>
    <w:p w14:paraId="32B582B2">
      <w:pPr>
        <w:spacing w:line="520" w:lineRule="exact"/>
        <w:jc w:val="both"/>
        <w:rPr>
          <w:rFonts w:ascii="宋体" w:cs="方正小标宋简体"/>
          <w:b/>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r>
        <w:rPr>
          <w:rFonts w:ascii="宋体"/>
          <w:b/>
          <w:bCs/>
          <w:color w:val="000000" w:themeColor="text1"/>
          <w:sz w:val="32"/>
          <w:szCs w:val="32"/>
          <w14:textFill>
            <w14:solidFill>
              <w14:schemeClr w14:val="tx1"/>
            </w14:solidFill>
          </w14:textFill>
        </w:rPr>
        <w:br w:type="page"/>
      </w:r>
      <w:r>
        <w:rPr>
          <w:rFonts w:hint="eastAsia" w:ascii="宋体" w:hAnsi="宋体" w:cs="方正小标宋简体"/>
          <w:b/>
          <w:bCs/>
          <w:color w:val="000000" w:themeColor="text1"/>
          <w:sz w:val="32"/>
          <w:szCs w:val="32"/>
          <w14:textFill>
            <w14:solidFill>
              <w14:schemeClr w14:val="tx1"/>
            </w14:solidFill>
          </w14:textFill>
        </w:rPr>
        <w:t>竞标函及竞标函附录</w:t>
      </w:r>
    </w:p>
    <w:p w14:paraId="77E60793">
      <w:pPr>
        <w:spacing w:line="520" w:lineRule="exact"/>
        <w:jc w:val="center"/>
        <w:rPr>
          <w:rFonts w:ascii="宋体" w:cs="方正小标宋简体"/>
          <w:b/>
          <w:bCs/>
          <w:color w:val="000000" w:themeColor="text1"/>
          <w:sz w:val="32"/>
          <w:szCs w:val="32"/>
          <w14:textFill>
            <w14:solidFill>
              <w14:schemeClr w14:val="tx1"/>
            </w14:solidFill>
          </w14:textFill>
        </w:rPr>
      </w:pPr>
    </w:p>
    <w:p w14:paraId="1755E4D5">
      <w:pPr>
        <w:spacing w:line="520" w:lineRule="exact"/>
        <w:jc w:val="center"/>
        <w:rPr>
          <w:rFonts w:asci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（一）竞标函</w:t>
      </w:r>
    </w:p>
    <w:p w14:paraId="1BC68524">
      <w:pPr>
        <w:spacing w:line="520" w:lineRule="exact"/>
        <w:jc w:val="center"/>
        <w:rPr>
          <w:rFonts w:ascii="宋体" w:cs="方正小标宋简体"/>
          <w:b/>
          <w:bCs/>
          <w:color w:val="000000" w:themeColor="text1"/>
          <w:sz w:val="32"/>
          <w:szCs w:val="32"/>
          <w14:textFill>
            <w14:solidFill>
              <w14:schemeClr w14:val="tx1"/>
            </w14:solidFill>
          </w14:textFill>
        </w:rPr>
      </w:pPr>
    </w:p>
    <w:p w14:paraId="69D74D0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szCs w:val="21"/>
          <w:lang w:val="zh-CN"/>
          <w14:textFill>
            <w14:solidFill>
              <w14:schemeClr w14:val="tx1"/>
            </w14:solidFill>
          </w14:textFill>
        </w:rPr>
        <w:t>采购人名称</w:t>
      </w:r>
      <w:r>
        <w:rPr>
          <w:rFonts w:hint="eastAsia"/>
          <w:color w:val="000000" w:themeColor="text1"/>
          <w:szCs w:val="21"/>
          <w14:textFill>
            <w14:solidFill>
              <w14:schemeClr w14:val="tx1"/>
            </w14:solidFill>
          </w14:textFill>
        </w:rPr>
        <w:t>）：</w:t>
      </w:r>
    </w:p>
    <w:p w14:paraId="6BBF670A">
      <w:pPr>
        <w:pStyle w:val="112"/>
        <w:numPr>
          <w:ilvl w:val="0"/>
          <w:numId w:val="2"/>
        </w:numPr>
        <w:tabs>
          <w:tab w:val="left" w:pos="762"/>
          <w:tab w:val="left" w:pos="2074"/>
          <w:tab w:val="left" w:pos="3430"/>
          <w:tab w:val="left" w:pos="4687"/>
          <w:tab w:val="left" w:pos="7898"/>
        </w:tabs>
        <w:ind w:firstLine="440"/>
        <w:rPr>
          <w:rFonts w:ascii="Times New Roman"/>
          <w:color w:val="000000" w:themeColor="text1"/>
          <w:szCs w:val="21"/>
          <w14:textFill>
            <w14:solidFill>
              <w14:schemeClr w14:val="tx1"/>
            </w14:solidFill>
          </w14:textFill>
        </w:rPr>
      </w:pPr>
      <w:bookmarkStart w:id="98" w:name="bookmark2065"/>
      <w:bookmarkEnd w:id="98"/>
      <w:r>
        <w:rPr>
          <w:rFonts w:hint="eastAsia" w:ascii="Times New Roman"/>
          <w:color w:val="000000" w:themeColor="text1"/>
          <w:szCs w:val="21"/>
          <w14:textFill>
            <w14:solidFill>
              <w14:schemeClr w14:val="tx1"/>
            </w14:solidFill>
          </w14:textFill>
        </w:rPr>
        <w:t>我方已仔细研究了</w:t>
      </w:r>
      <w:r>
        <w:rPr>
          <w:rFonts w:hint="eastAsia" w:ascii="Times New Roman"/>
          <w:color w:val="000000" w:themeColor="text1"/>
          <w:szCs w:val="21"/>
          <w:u w:val="single"/>
          <w14:textFill>
            <w14:solidFill>
              <w14:schemeClr w14:val="tx1"/>
            </w14:solidFill>
          </w14:textFill>
        </w:rPr>
        <w:t>（项目名称、项目编号）</w:t>
      </w:r>
      <w:r>
        <w:rPr>
          <w:rFonts w:hint="eastAsia" w:ascii="Times New Roman"/>
          <w:color w:val="000000" w:themeColor="text1"/>
          <w:szCs w:val="21"/>
          <w14:textFill>
            <w14:solidFill>
              <w14:schemeClr w14:val="tx1"/>
            </w14:solidFill>
          </w14:textFill>
        </w:rPr>
        <w:t>磋商文件的全部内容，愿意以人民币（大写）元（</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）的竞标总报价，工期日历天，按合同约定实施和完成承包工程，修补工程中的任何缺陷，工程质量达到</w:t>
      </w:r>
      <w:r>
        <w:rPr>
          <w:rFonts w:hint="eastAsia" w:ascii="Times New Roman"/>
          <w:color w:val="000000" w:themeColor="text1"/>
          <w:szCs w:val="21"/>
          <w:lang w:val="en-US" w:eastAsia="zh-CN"/>
          <w14:textFill>
            <w14:solidFill>
              <w14:schemeClr w14:val="tx1"/>
            </w14:solidFill>
          </w14:textFill>
        </w:rPr>
        <w:t>合格标准</w:t>
      </w:r>
      <w:r>
        <w:rPr>
          <w:rFonts w:hint="eastAsia" w:ascii="Times New Roman"/>
          <w:color w:val="000000" w:themeColor="text1"/>
          <w:szCs w:val="21"/>
          <w:lang w:val="en-US"/>
          <w14:textFill>
            <w14:solidFill>
              <w14:schemeClr w14:val="tx1"/>
            </w14:solidFill>
          </w14:textFill>
        </w:rPr>
        <w:t>。</w:t>
      </w:r>
    </w:p>
    <w:p w14:paraId="6930682F">
      <w:pPr>
        <w:pStyle w:val="112"/>
        <w:numPr>
          <w:ilvl w:val="0"/>
          <w:numId w:val="2"/>
        </w:numPr>
        <w:tabs>
          <w:tab w:val="left" w:pos="762"/>
        </w:tabs>
        <w:ind w:firstLine="420"/>
        <w:rPr>
          <w:rFonts w:ascii="Times New Roman"/>
          <w:color w:val="000000" w:themeColor="text1"/>
          <w:szCs w:val="21"/>
          <w14:textFill>
            <w14:solidFill>
              <w14:schemeClr w14:val="tx1"/>
            </w14:solidFill>
          </w14:textFill>
        </w:rPr>
      </w:pPr>
      <w:bookmarkStart w:id="99" w:name="bookmark2066"/>
      <w:bookmarkEnd w:id="99"/>
      <w:bookmarkStart w:id="100" w:name="bookmark2068"/>
      <w:bookmarkEnd w:id="100"/>
      <w:bookmarkStart w:id="101" w:name="bookmark2067"/>
      <w:bookmarkEnd w:id="101"/>
      <w:r>
        <w:rPr>
          <w:rFonts w:hint="eastAsia"/>
          <w:color w:val="000000" w:themeColor="text1"/>
          <w14:textFill>
            <w14:solidFill>
              <w14:schemeClr w14:val="tx1"/>
            </w14:solidFill>
          </w14:textFill>
        </w:rPr>
        <w:t>我方承认竞标函附录是我方竞标函的组成部分。</w:t>
      </w:r>
    </w:p>
    <w:p w14:paraId="06334110">
      <w:pPr>
        <w:pStyle w:val="112"/>
        <w:numPr>
          <w:ilvl w:val="0"/>
          <w:numId w:val="2"/>
        </w:numPr>
        <w:tabs>
          <w:tab w:val="left" w:pos="762"/>
        </w:tabs>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如我方成交：</w:t>
      </w:r>
    </w:p>
    <w:p w14:paraId="7F4E9BD4">
      <w:pPr>
        <w:pStyle w:val="112"/>
        <w:tabs>
          <w:tab w:val="left" w:pos="903"/>
        </w:tabs>
        <w:ind w:firstLine="420"/>
        <w:rPr>
          <w:rFonts w:ascii="Times New Roman"/>
          <w:color w:val="000000" w:themeColor="text1"/>
          <w:szCs w:val="21"/>
          <w14:textFill>
            <w14:solidFill>
              <w14:schemeClr w14:val="tx1"/>
            </w14:solidFill>
          </w14:textFill>
        </w:rPr>
      </w:pPr>
      <w:bookmarkStart w:id="102" w:name="bookmark2069"/>
      <w:r>
        <w:rPr>
          <w:rFonts w:hint="eastAsia" w:ascii="Times New Roman"/>
          <w:color w:val="000000" w:themeColor="text1"/>
          <w:szCs w:val="21"/>
          <w14:textFill>
            <w14:solidFill>
              <w14:schemeClr w14:val="tx1"/>
            </w14:solidFill>
          </w14:textFill>
        </w:rPr>
        <w:t>（</w:t>
      </w:r>
      <w:bookmarkEnd w:id="102"/>
      <w:r>
        <w:rPr>
          <w:rFonts w:ascii="Times New Roman"/>
          <w:color w:val="000000" w:themeColor="text1"/>
          <w:szCs w:val="21"/>
          <w14:textFill>
            <w14:solidFill>
              <w14:schemeClr w14:val="tx1"/>
            </w14:solidFill>
          </w14:textFill>
        </w:rPr>
        <w:t>1</w:t>
      </w:r>
      <w:r>
        <w:rPr>
          <w:rFonts w:hint="eastAsia" w:ascii="Times New Roman"/>
          <w:color w:val="000000" w:themeColor="text1"/>
          <w:szCs w:val="21"/>
          <w14:textFill>
            <w14:solidFill>
              <w14:schemeClr w14:val="tx1"/>
            </w14:solidFill>
          </w14:textFill>
        </w:rPr>
        <w:t>）我方承诺在收到成交通知书后，在成交通知书规定的期限内与你方签订合同。</w:t>
      </w:r>
    </w:p>
    <w:p w14:paraId="5D077C68">
      <w:pPr>
        <w:pStyle w:val="112"/>
        <w:tabs>
          <w:tab w:val="left" w:pos="903"/>
        </w:tabs>
        <w:ind w:firstLine="420"/>
        <w:rPr>
          <w:rFonts w:ascii="Times New Roman"/>
          <w:color w:val="000000" w:themeColor="text1"/>
          <w:szCs w:val="21"/>
          <w14:textFill>
            <w14:solidFill>
              <w14:schemeClr w14:val="tx1"/>
            </w14:solidFill>
          </w14:textFill>
        </w:rPr>
      </w:pPr>
      <w:bookmarkStart w:id="103" w:name="bookmark2070"/>
      <w:r>
        <w:rPr>
          <w:rFonts w:hint="eastAsia" w:ascii="Times New Roman"/>
          <w:color w:val="000000" w:themeColor="text1"/>
          <w:szCs w:val="21"/>
          <w14:textFill>
            <w14:solidFill>
              <w14:schemeClr w14:val="tx1"/>
            </w14:solidFill>
          </w14:textFill>
        </w:rPr>
        <w:t>（</w:t>
      </w:r>
      <w:bookmarkEnd w:id="103"/>
      <w:r>
        <w:rPr>
          <w:rFonts w:ascii="Times New Roman"/>
          <w:color w:val="000000" w:themeColor="text1"/>
          <w:szCs w:val="21"/>
          <w14:textFill>
            <w14:solidFill>
              <w14:schemeClr w14:val="tx1"/>
            </w14:solidFill>
          </w14:textFill>
        </w:rPr>
        <w:t>2</w:t>
      </w:r>
      <w:r>
        <w:rPr>
          <w:rFonts w:hint="eastAsia" w:ascii="Times New Roman"/>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在签订合同时不向你方提出附加条件</w:t>
      </w:r>
      <w:r>
        <w:rPr>
          <w:rFonts w:hint="eastAsia" w:ascii="Times New Roman"/>
          <w:color w:val="000000" w:themeColor="text1"/>
          <w:szCs w:val="21"/>
          <w14:textFill>
            <w14:solidFill>
              <w14:schemeClr w14:val="tx1"/>
            </w14:solidFill>
          </w14:textFill>
        </w:rPr>
        <w:t>。</w:t>
      </w:r>
    </w:p>
    <w:p w14:paraId="15B18B5C">
      <w:pPr>
        <w:pStyle w:val="112"/>
        <w:tabs>
          <w:tab w:val="left" w:pos="903"/>
        </w:tabs>
        <w:ind w:firstLine="420"/>
        <w:rPr>
          <w:rFonts w:ascii="Times New Roman"/>
          <w:color w:val="000000" w:themeColor="text1"/>
          <w:szCs w:val="21"/>
          <w14:textFill>
            <w14:solidFill>
              <w14:schemeClr w14:val="tx1"/>
            </w14:solidFill>
          </w14:textFill>
        </w:rPr>
      </w:pPr>
      <w:bookmarkStart w:id="104" w:name="bookmark2071"/>
      <w:r>
        <w:rPr>
          <w:rFonts w:hint="eastAsia" w:ascii="Times New Roman"/>
          <w:color w:val="000000" w:themeColor="text1"/>
          <w:szCs w:val="21"/>
          <w14:textFill>
            <w14:solidFill>
              <w14:schemeClr w14:val="tx1"/>
            </w14:solidFill>
          </w14:textFill>
        </w:rPr>
        <w:t>（</w:t>
      </w:r>
      <w:bookmarkEnd w:id="104"/>
      <w:r>
        <w:rPr>
          <w:rFonts w:ascii="Times New Roman"/>
          <w:color w:val="000000" w:themeColor="text1"/>
          <w:szCs w:val="21"/>
          <w14:textFill>
            <w14:solidFill>
              <w14:schemeClr w14:val="tx1"/>
            </w14:solidFill>
          </w14:textFill>
        </w:rPr>
        <w:t>3</w:t>
      </w:r>
      <w:r>
        <w:rPr>
          <w:rFonts w:hint="eastAsia" w:ascii="Times New Roman"/>
          <w:color w:val="000000" w:themeColor="text1"/>
          <w:szCs w:val="21"/>
          <w14:textFill>
            <w14:solidFill>
              <w14:schemeClr w14:val="tx1"/>
            </w14:solidFill>
          </w14:textFill>
        </w:rPr>
        <w:t>）我方承诺按照磋商文件规定向你方递交履约担保。</w:t>
      </w:r>
    </w:p>
    <w:p w14:paraId="43B01BC9">
      <w:pPr>
        <w:pStyle w:val="112"/>
        <w:tabs>
          <w:tab w:val="left" w:pos="903"/>
        </w:tabs>
        <w:ind w:firstLine="420"/>
        <w:rPr>
          <w:rFonts w:ascii="Times New Roman"/>
          <w:color w:val="000000" w:themeColor="text1"/>
          <w:szCs w:val="21"/>
          <w14:textFill>
            <w14:solidFill>
              <w14:schemeClr w14:val="tx1"/>
            </w14:solidFill>
          </w14:textFill>
        </w:rPr>
      </w:pPr>
      <w:bookmarkStart w:id="105" w:name="bookmark2072"/>
      <w:r>
        <w:rPr>
          <w:rFonts w:hint="eastAsia" w:ascii="Times New Roman"/>
          <w:color w:val="000000" w:themeColor="text1"/>
          <w:szCs w:val="21"/>
          <w14:textFill>
            <w14:solidFill>
              <w14:schemeClr w14:val="tx1"/>
            </w14:solidFill>
          </w14:textFill>
        </w:rPr>
        <w:t>（</w:t>
      </w:r>
      <w:bookmarkEnd w:id="105"/>
      <w:r>
        <w:rPr>
          <w:rFonts w:ascii="Times New Roman"/>
          <w:color w:val="000000" w:themeColor="text1"/>
          <w:szCs w:val="21"/>
          <w14:textFill>
            <w14:solidFill>
              <w14:schemeClr w14:val="tx1"/>
            </w14:solidFill>
          </w14:textFill>
        </w:rPr>
        <w:t>4</w:t>
      </w:r>
      <w:r>
        <w:rPr>
          <w:rFonts w:hint="eastAsia" w:ascii="Times New Roman"/>
          <w:color w:val="000000" w:themeColor="text1"/>
          <w:szCs w:val="21"/>
          <w14:textFill>
            <w14:solidFill>
              <w14:schemeClr w14:val="tx1"/>
            </w14:solidFill>
          </w14:textFill>
        </w:rPr>
        <w:t>）我方承诺在合同约定的期限内完成并移交全部合同工程。</w:t>
      </w:r>
    </w:p>
    <w:p w14:paraId="4F890606">
      <w:pPr>
        <w:pStyle w:val="112"/>
        <w:numPr>
          <w:ilvl w:val="0"/>
          <w:numId w:val="2"/>
        </w:numPr>
        <w:tabs>
          <w:tab w:val="left" w:pos="762"/>
        </w:tabs>
        <w:ind w:firstLine="440"/>
        <w:rPr>
          <w:rFonts w:ascii="Times New Roman"/>
          <w:color w:val="000000" w:themeColor="text1"/>
          <w:szCs w:val="21"/>
          <w14:textFill>
            <w14:solidFill>
              <w14:schemeClr w14:val="tx1"/>
            </w14:solidFill>
          </w14:textFill>
        </w:rPr>
      </w:pPr>
      <w:bookmarkStart w:id="106" w:name="bookmark2073"/>
      <w:bookmarkEnd w:id="106"/>
      <w:r>
        <w:rPr>
          <w:rFonts w:hint="eastAsia"/>
          <w:color w:val="000000" w:themeColor="text1"/>
          <w14:textFill>
            <w14:solidFill>
              <w14:schemeClr w14:val="tx1"/>
            </w14:solidFill>
          </w14:textFill>
        </w:rPr>
        <w:t>在合同协议书正式签署生效之前，本</w:t>
      </w:r>
      <w:r>
        <w:rPr>
          <w:rFonts w:hint="eastAsia" w:ascii="Times New Roman"/>
          <w:color w:val="000000" w:themeColor="text1"/>
          <w:szCs w:val="21"/>
          <w14:textFill>
            <w14:solidFill>
              <w14:schemeClr w14:val="tx1"/>
            </w14:solidFill>
          </w14:textFill>
        </w:rPr>
        <w:t>竞标</w:t>
      </w:r>
      <w:r>
        <w:rPr>
          <w:rFonts w:hint="eastAsia"/>
          <w:color w:val="000000" w:themeColor="text1"/>
          <w14:textFill>
            <w14:solidFill>
              <w14:schemeClr w14:val="tx1"/>
            </w14:solidFill>
          </w14:textFill>
        </w:rPr>
        <w:t>函连同你方的成交通知书将构成我们双方之间共同遵守的文件，对双方具有约束力</w:t>
      </w:r>
      <w:r>
        <w:rPr>
          <w:rFonts w:hint="eastAsia" w:ascii="Times New Roman"/>
          <w:color w:val="000000" w:themeColor="text1"/>
          <w:szCs w:val="21"/>
          <w14:textFill>
            <w14:solidFill>
              <w14:schemeClr w14:val="tx1"/>
            </w14:solidFill>
          </w14:textFill>
        </w:rPr>
        <w:t>。</w:t>
      </w:r>
    </w:p>
    <w:p w14:paraId="08375611">
      <w:pPr>
        <w:spacing w:line="360" w:lineRule="auto"/>
        <w:ind w:firstLine="420" w:firstLineChars="200"/>
        <w:rPr>
          <w:color w:val="000000" w:themeColor="text1"/>
          <w:szCs w:val="21"/>
          <w14:textFill>
            <w14:solidFill>
              <w14:schemeClr w14:val="tx1"/>
            </w14:solidFill>
          </w14:textFill>
        </w:rPr>
      </w:pPr>
      <w:bookmarkStart w:id="107" w:name="bookmark2074"/>
      <w:bookmarkEnd w:id="107"/>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（其他补充说明）。</w:t>
      </w:r>
    </w:p>
    <w:p w14:paraId="07A16DB1">
      <w:pPr>
        <w:spacing w:line="360" w:lineRule="auto"/>
        <w:jc w:val="right"/>
        <w:rPr>
          <w:rFonts w:ascii="宋体" w:cs="方正小标宋简体"/>
          <w:b/>
          <w:bCs/>
          <w:color w:val="000000" w:themeColor="text1"/>
          <w:sz w:val="32"/>
          <w:szCs w:val="32"/>
          <w14:textFill>
            <w14:solidFill>
              <w14:schemeClr w14:val="tx1"/>
            </w14:solidFill>
          </w14:textFill>
        </w:rPr>
      </w:pPr>
    </w:p>
    <w:p w14:paraId="23AD9D4E">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contextualSpacing/>
        <w:jc w:val="right"/>
        <w:textAlignment w:val="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6FB8DFF5">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contextualSpacing/>
        <w:jc w:val="right"/>
        <w:textAlignment w:val="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2BDDEA3E">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right"/>
        <w:textAlignment w:val="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年</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月</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日</w:t>
      </w:r>
    </w:p>
    <w:p w14:paraId="5D8B9B23">
      <w:pPr>
        <w:spacing w:line="360" w:lineRule="auto"/>
        <w:jc w:val="center"/>
        <w:rPr>
          <w:rFonts w:ascii="宋体" w:cs="方正小标宋简体"/>
          <w:b/>
          <w:bCs/>
          <w:color w:val="000000" w:themeColor="text1"/>
          <w:sz w:val="32"/>
          <w:szCs w:val="32"/>
          <w14:textFill>
            <w14:solidFill>
              <w14:schemeClr w14:val="tx1"/>
            </w14:solidFill>
          </w14:textFill>
        </w:rPr>
      </w:pPr>
      <w:r>
        <w:rPr>
          <w:rFonts w:ascii="宋体" w:cs="方正小标宋简体"/>
          <w:b/>
          <w:bCs/>
          <w:color w:val="000000" w:themeColor="text1"/>
          <w:sz w:val="32"/>
          <w:szCs w:val="32"/>
          <w14:textFill>
            <w14:solidFill>
              <w14:schemeClr w14:val="tx1"/>
            </w14:solidFill>
          </w14:textFill>
        </w:rPr>
        <w:br w:type="page"/>
      </w:r>
      <w:r>
        <w:rPr>
          <w:rFonts w:hint="eastAsia" w:ascii="宋体" w:hAnsi="宋体" w:cs="方正小标宋简体"/>
          <w:b/>
          <w:bCs/>
          <w:color w:val="000000" w:themeColor="text1"/>
          <w:sz w:val="32"/>
          <w:szCs w:val="32"/>
          <w14:textFill>
            <w14:solidFill>
              <w14:schemeClr w14:val="tx1"/>
            </w14:solidFill>
          </w14:textFill>
        </w:rPr>
        <w:t>（二）竞标函附录</w:t>
      </w:r>
    </w:p>
    <w:p w14:paraId="48189715">
      <w:pPr>
        <w:spacing w:line="360" w:lineRule="auto"/>
        <w:jc w:val="center"/>
        <w:rPr>
          <w:rFonts w:ascii="宋体"/>
          <w:b/>
          <w:bCs/>
          <w:color w:val="000000" w:themeColor="text1"/>
          <w:sz w:val="32"/>
          <w:szCs w:val="32"/>
          <w14:textFill>
            <w14:solidFill>
              <w14:schemeClr w14:val="tx1"/>
            </w14:solidFill>
          </w14:textFill>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75B9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D870AA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1985" w:type="dxa"/>
            <w:vAlign w:val="center"/>
          </w:tcPr>
          <w:p w14:paraId="40BE19C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条款内容</w:t>
            </w:r>
          </w:p>
        </w:tc>
        <w:tc>
          <w:tcPr>
            <w:tcW w:w="2126" w:type="dxa"/>
            <w:vAlign w:val="center"/>
          </w:tcPr>
          <w:p w14:paraId="3328624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合同条款号</w:t>
            </w:r>
          </w:p>
        </w:tc>
        <w:tc>
          <w:tcPr>
            <w:tcW w:w="1984" w:type="dxa"/>
            <w:vAlign w:val="center"/>
          </w:tcPr>
          <w:p w14:paraId="4517E9F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约定内容</w:t>
            </w:r>
          </w:p>
        </w:tc>
        <w:tc>
          <w:tcPr>
            <w:tcW w:w="1843" w:type="dxa"/>
            <w:vAlign w:val="center"/>
          </w:tcPr>
          <w:p w14:paraId="4EC1DC6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供应商响应情况</w:t>
            </w:r>
          </w:p>
        </w:tc>
      </w:tr>
      <w:tr w14:paraId="4732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816E589">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985" w:type="dxa"/>
            <w:vAlign w:val="center"/>
          </w:tcPr>
          <w:p w14:paraId="7D5FDC88">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w:t>
            </w:r>
          </w:p>
        </w:tc>
        <w:tc>
          <w:tcPr>
            <w:tcW w:w="2126" w:type="dxa"/>
            <w:tcMar>
              <w:left w:w="170" w:type="dxa"/>
            </w:tcMar>
            <w:vAlign w:val="center"/>
          </w:tcPr>
          <w:p w14:paraId="722E445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168C119D">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1843" w:type="dxa"/>
            <w:vAlign w:val="center"/>
          </w:tcPr>
          <w:p w14:paraId="15D581B2">
            <w:pPr>
              <w:jc w:val="center"/>
              <w:rPr>
                <w:color w:val="000000" w:themeColor="text1"/>
                <w14:textFill>
                  <w14:solidFill>
                    <w14:schemeClr w14:val="tx1"/>
                  </w14:solidFill>
                </w14:textFill>
              </w:rPr>
            </w:pPr>
          </w:p>
        </w:tc>
      </w:tr>
      <w:tr w14:paraId="745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DD0A740">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985" w:type="dxa"/>
            <w:vAlign w:val="center"/>
          </w:tcPr>
          <w:p w14:paraId="32FC4BD4">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竞标有效期</w:t>
            </w:r>
          </w:p>
        </w:tc>
        <w:tc>
          <w:tcPr>
            <w:tcW w:w="2126" w:type="dxa"/>
            <w:tcMar>
              <w:left w:w="170" w:type="dxa"/>
            </w:tcMar>
            <w:vAlign w:val="center"/>
          </w:tcPr>
          <w:p w14:paraId="40919527">
            <w:pPr>
              <w:rPr>
                <w:color w:val="000000" w:themeColor="text1"/>
                <w14:textFill>
                  <w14:solidFill>
                    <w14:schemeClr w14:val="tx1"/>
                  </w14:solidFill>
                </w14:textFill>
              </w:rPr>
            </w:pPr>
          </w:p>
        </w:tc>
        <w:tc>
          <w:tcPr>
            <w:tcW w:w="1984" w:type="dxa"/>
            <w:vAlign w:val="center"/>
          </w:tcPr>
          <w:p w14:paraId="715F800D">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日历天</w:t>
            </w:r>
          </w:p>
        </w:tc>
        <w:tc>
          <w:tcPr>
            <w:tcW w:w="1843" w:type="dxa"/>
            <w:vAlign w:val="center"/>
          </w:tcPr>
          <w:p w14:paraId="0490E442">
            <w:pPr>
              <w:jc w:val="center"/>
              <w:rPr>
                <w:color w:val="000000" w:themeColor="text1"/>
                <w14:textFill>
                  <w14:solidFill>
                    <w14:schemeClr w14:val="tx1"/>
                  </w14:solidFill>
                </w14:textFill>
              </w:rPr>
            </w:pPr>
          </w:p>
        </w:tc>
      </w:tr>
      <w:tr w14:paraId="0E22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E2F58C">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985" w:type="dxa"/>
            <w:vAlign w:val="center"/>
          </w:tcPr>
          <w:p w14:paraId="19D94753">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工期</w:t>
            </w:r>
          </w:p>
        </w:tc>
        <w:tc>
          <w:tcPr>
            <w:tcW w:w="2126" w:type="dxa"/>
            <w:tcMar>
              <w:left w:w="170" w:type="dxa"/>
            </w:tcMar>
            <w:vAlign w:val="center"/>
          </w:tcPr>
          <w:p w14:paraId="12C2456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14397E2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日历天</w:t>
            </w:r>
          </w:p>
        </w:tc>
        <w:tc>
          <w:tcPr>
            <w:tcW w:w="1843" w:type="dxa"/>
            <w:vAlign w:val="center"/>
          </w:tcPr>
          <w:p w14:paraId="7BA2AD82">
            <w:pPr>
              <w:jc w:val="center"/>
              <w:rPr>
                <w:color w:val="000000" w:themeColor="text1"/>
                <w14:textFill>
                  <w14:solidFill>
                    <w14:schemeClr w14:val="tx1"/>
                  </w14:solidFill>
                </w14:textFill>
              </w:rPr>
            </w:pPr>
          </w:p>
        </w:tc>
      </w:tr>
      <w:tr w14:paraId="6633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F3A9E74">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985" w:type="dxa"/>
            <w:vAlign w:val="center"/>
          </w:tcPr>
          <w:p w14:paraId="0DC00AE9">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缺陷责任期</w:t>
            </w:r>
          </w:p>
        </w:tc>
        <w:tc>
          <w:tcPr>
            <w:tcW w:w="2126" w:type="dxa"/>
            <w:tcMar>
              <w:left w:w="170" w:type="dxa"/>
            </w:tcMar>
            <w:vAlign w:val="center"/>
          </w:tcPr>
          <w:p w14:paraId="337B3DC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022CC22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个月</w:t>
            </w:r>
          </w:p>
        </w:tc>
        <w:tc>
          <w:tcPr>
            <w:tcW w:w="1843" w:type="dxa"/>
            <w:vAlign w:val="center"/>
          </w:tcPr>
          <w:p w14:paraId="0452D6B6">
            <w:pPr>
              <w:jc w:val="center"/>
              <w:rPr>
                <w:color w:val="000000" w:themeColor="text1"/>
                <w14:textFill>
                  <w14:solidFill>
                    <w14:schemeClr w14:val="tx1"/>
                  </w14:solidFill>
                </w14:textFill>
              </w:rPr>
            </w:pPr>
          </w:p>
        </w:tc>
      </w:tr>
      <w:tr w14:paraId="6C48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B12223D">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985" w:type="dxa"/>
            <w:vAlign w:val="center"/>
          </w:tcPr>
          <w:p w14:paraId="7A27EFA2">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承包人履约担保金额</w:t>
            </w:r>
          </w:p>
        </w:tc>
        <w:tc>
          <w:tcPr>
            <w:tcW w:w="2126" w:type="dxa"/>
            <w:tcMar>
              <w:left w:w="170" w:type="dxa"/>
            </w:tcMar>
            <w:vAlign w:val="center"/>
          </w:tcPr>
          <w:p w14:paraId="3526440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11F02AF5">
            <w:pPr>
              <w:jc w:val="center"/>
              <w:rPr>
                <w:color w:val="000000" w:themeColor="text1"/>
                <w14:textFill>
                  <w14:solidFill>
                    <w14:schemeClr w14:val="tx1"/>
                  </w14:solidFill>
                </w14:textFill>
              </w:rPr>
            </w:pPr>
            <w:r>
              <w:rPr>
                <w:rFonts w:hint="eastAsia" w:hAnsi="宋体" w:cs="宋体"/>
                <w:color w:val="000000" w:themeColor="text1"/>
                <w:u w:val="single"/>
                <w14:textFill>
                  <w14:solidFill>
                    <w14:schemeClr w14:val="tx1"/>
                  </w14:solidFill>
                </w14:textFill>
              </w:rPr>
              <w:t>合同价款的</w:t>
            </w:r>
            <w:r>
              <w:rPr>
                <w:color w:val="000000" w:themeColor="text1"/>
                <w:u w:val="single"/>
                <w14:textFill>
                  <w14:solidFill>
                    <w14:schemeClr w14:val="tx1"/>
                  </w14:solidFill>
                </w14:textFill>
              </w:rPr>
              <w:t xml:space="preserve">   %</w:t>
            </w:r>
          </w:p>
        </w:tc>
        <w:tc>
          <w:tcPr>
            <w:tcW w:w="1843" w:type="dxa"/>
            <w:vAlign w:val="center"/>
          </w:tcPr>
          <w:p w14:paraId="2840AC88">
            <w:pPr>
              <w:jc w:val="center"/>
              <w:rPr>
                <w:color w:val="000000" w:themeColor="text1"/>
                <w14:textFill>
                  <w14:solidFill>
                    <w14:schemeClr w14:val="tx1"/>
                  </w14:solidFill>
                </w14:textFill>
              </w:rPr>
            </w:pPr>
          </w:p>
        </w:tc>
      </w:tr>
      <w:tr w14:paraId="33B7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CE5EFA">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985" w:type="dxa"/>
            <w:vAlign w:val="center"/>
          </w:tcPr>
          <w:p w14:paraId="26FE65EA">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分包</w:t>
            </w:r>
          </w:p>
        </w:tc>
        <w:tc>
          <w:tcPr>
            <w:tcW w:w="2126" w:type="dxa"/>
            <w:tcMar>
              <w:left w:w="170" w:type="dxa"/>
            </w:tcMar>
            <w:vAlign w:val="center"/>
          </w:tcPr>
          <w:p w14:paraId="4FD9F20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60CEFC7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见分包项目情况表</w:t>
            </w:r>
          </w:p>
        </w:tc>
        <w:tc>
          <w:tcPr>
            <w:tcW w:w="1843" w:type="dxa"/>
            <w:vAlign w:val="center"/>
          </w:tcPr>
          <w:p w14:paraId="2619D147">
            <w:pPr>
              <w:jc w:val="center"/>
              <w:rPr>
                <w:color w:val="000000" w:themeColor="text1"/>
                <w14:textFill>
                  <w14:solidFill>
                    <w14:schemeClr w14:val="tx1"/>
                  </w14:solidFill>
                </w14:textFill>
              </w:rPr>
            </w:pPr>
          </w:p>
        </w:tc>
      </w:tr>
      <w:tr w14:paraId="7340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A0C514E">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1985" w:type="dxa"/>
            <w:vAlign w:val="center"/>
          </w:tcPr>
          <w:p w14:paraId="22DBFE23">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逾期竣工违约金</w:t>
            </w:r>
          </w:p>
        </w:tc>
        <w:tc>
          <w:tcPr>
            <w:tcW w:w="2126" w:type="dxa"/>
            <w:tcMar>
              <w:left w:w="170" w:type="dxa"/>
            </w:tcMar>
            <w:vAlign w:val="center"/>
          </w:tcPr>
          <w:p w14:paraId="1F327B0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40A211A7">
            <w:pPr>
              <w:rPr>
                <w:color w:val="000000" w:themeColor="text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每天赔偿金额为合同价款的万分之四</w:t>
            </w:r>
          </w:p>
        </w:tc>
        <w:tc>
          <w:tcPr>
            <w:tcW w:w="1843" w:type="dxa"/>
            <w:vAlign w:val="center"/>
          </w:tcPr>
          <w:p w14:paraId="25C64D6A">
            <w:pPr>
              <w:jc w:val="center"/>
              <w:rPr>
                <w:color w:val="000000" w:themeColor="text1"/>
                <w14:textFill>
                  <w14:solidFill>
                    <w14:schemeClr w14:val="tx1"/>
                  </w14:solidFill>
                </w14:textFill>
              </w:rPr>
            </w:pPr>
          </w:p>
        </w:tc>
      </w:tr>
      <w:tr w14:paraId="18B0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F6462D2">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1985" w:type="dxa"/>
            <w:vAlign w:val="center"/>
          </w:tcPr>
          <w:p w14:paraId="5886534D">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逾期竣工违约金最高限额</w:t>
            </w:r>
          </w:p>
        </w:tc>
        <w:tc>
          <w:tcPr>
            <w:tcW w:w="2126" w:type="dxa"/>
            <w:tcMar>
              <w:left w:w="170" w:type="dxa"/>
            </w:tcMar>
            <w:vAlign w:val="center"/>
          </w:tcPr>
          <w:p w14:paraId="4D5B51F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1452DA9B">
            <w:pPr>
              <w:jc w:val="center"/>
              <w:rPr>
                <w:color w:val="000000" w:themeColor="text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签约合同价扣除发包人材料价款、暂估专业工程、暂列金额后的</w:t>
            </w:r>
            <w:r>
              <w:rPr>
                <w:rFonts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u w:val="single"/>
                <w14:textFill>
                  <w14:solidFill>
                    <w14:schemeClr w14:val="tx1"/>
                  </w14:solidFill>
                </w14:textFill>
              </w:rPr>
              <w:t>。</w:t>
            </w:r>
          </w:p>
        </w:tc>
        <w:tc>
          <w:tcPr>
            <w:tcW w:w="1843" w:type="dxa"/>
            <w:vAlign w:val="center"/>
          </w:tcPr>
          <w:p w14:paraId="6FC403E3">
            <w:pPr>
              <w:jc w:val="center"/>
              <w:rPr>
                <w:color w:val="000000" w:themeColor="text1"/>
                <w14:textFill>
                  <w14:solidFill>
                    <w14:schemeClr w14:val="tx1"/>
                  </w14:solidFill>
                </w14:textFill>
              </w:rPr>
            </w:pPr>
          </w:p>
        </w:tc>
      </w:tr>
      <w:tr w14:paraId="5613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8EE9737">
            <w:pPr>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1985" w:type="dxa"/>
            <w:vAlign w:val="center"/>
          </w:tcPr>
          <w:p w14:paraId="636831AA">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质量标准</w:t>
            </w:r>
          </w:p>
        </w:tc>
        <w:tc>
          <w:tcPr>
            <w:tcW w:w="2126" w:type="dxa"/>
            <w:tcMar>
              <w:left w:w="170" w:type="dxa"/>
            </w:tcMar>
            <w:vAlign w:val="center"/>
          </w:tcPr>
          <w:p w14:paraId="218D56C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3D225E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合格</w:t>
            </w:r>
          </w:p>
        </w:tc>
        <w:tc>
          <w:tcPr>
            <w:tcW w:w="1843" w:type="dxa"/>
            <w:vAlign w:val="center"/>
          </w:tcPr>
          <w:p w14:paraId="2C5E2500">
            <w:pPr>
              <w:jc w:val="center"/>
              <w:rPr>
                <w:color w:val="000000" w:themeColor="text1"/>
                <w14:textFill>
                  <w14:solidFill>
                    <w14:schemeClr w14:val="tx1"/>
                  </w14:solidFill>
                </w14:textFill>
              </w:rPr>
            </w:pPr>
          </w:p>
        </w:tc>
      </w:tr>
      <w:tr w14:paraId="388D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EADC40">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985" w:type="dxa"/>
            <w:vAlign w:val="center"/>
          </w:tcPr>
          <w:p w14:paraId="1F056D9A">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预付款额度</w:t>
            </w:r>
          </w:p>
        </w:tc>
        <w:tc>
          <w:tcPr>
            <w:tcW w:w="2126" w:type="dxa"/>
            <w:tcMar>
              <w:left w:w="170" w:type="dxa"/>
            </w:tcMar>
            <w:vAlign w:val="center"/>
          </w:tcPr>
          <w:p w14:paraId="30F77E6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0578712D">
            <w:pPr>
              <w:jc w:val="center"/>
              <w:rPr>
                <w:color w:val="000000" w:themeColor="text1"/>
                <w14:textFill>
                  <w14:solidFill>
                    <w14:schemeClr w14:val="tx1"/>
                  </w14:solidFill>
                </w14:textFill>
              </w:rPr>
            </w:pPr>
            <w:r>
              <w:rPr>
                <w:rFonts w:hint="eastAsia"/>
                <w:color w:val="000000" w:themeColor="text1"/>
                <w:szCs w:val="21"/>
                <w:u w:val="single"/>
                <w14:textFill>
                  <w14:solidFill>
                    <w14:schemeClr w14:val="tx1"/>
                  </w14:solidFill>
                </w14:textFill>
              </w:rPr>
              <w:t>合同价款扣除暂列金额后的</w:t>
            </w:r>
            <w:r>
              <w:rPr>
                <w:color w:val="000000" w:themeColor="text1"/>
                <w:szCs w:val="21"/>
                <w:u w:val="single"/>
                <w14:textFill>
                  <w14:solidFill>
                    <w14:schemeClr w14:val="tx1"/>
                  </w14:solidFill>
                </w14:textFill>
              </w:rPr>
              <w:t xml:space="preserve">   %</w:t>
            </w:r>
          </w:p>
        </w:tc>
        <w:tc>
          <w:tcPr>
            <w:tcW w:w="1843" w:type="dxa"/>
            <w:vAlign w:val="center"/>
          </w:tcPr>
          <w:p w14:paraId="39ACBB4B">
            <w:pPr>
              <w:jc w:val="center"/>
              <w:rPr>
                <w:color w:val="000000" w:themeColor="text1"/>
                <w14:textFill>
                  <w14:solidFill>
                    <w14:schemeClr w14:val="tx1"/>
                  </w14:solidFill>
                </w14:textFill>
              </w:rPr>
            </w:pPr>
          </w:p>
        </w:tc>
      </w:tr>
      <w:tr w14:paraId="6E36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6B8875">
            <w:pPr>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985" w:type="dxa"/>
            <w:vAlign w:val="center"/>
          </w:tcPr>
          <w:p w14:paraId="29326386">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预付款保函金额</w:t>
            </w:r>
          </w:p>
        </w:tc>
        <w:tc>
          <w:tcPr>
            <w:tcW w:w="2126" w:type="dxa"/>
            <w:tcMar>
              <w:left w:w="170" w:type="dxa"/>
            </w:tcMar>
            <w:vAlign w:val="center"/>
          </w:tcPr>
          <w:p w14:paraId="2DB1F81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315DF4B7">
            <w:pPr>
              <w:jc w:val="center"/>
              <w:rPr>
                <w:color w:val="000000" w:themeColor="text1"/>
                <w14:textFill>
                  <w14:solidFill>
                    <w14:schemeClr w14:val="tx1"/>
                  </w14:solidFill>
                </w14:textFill>
              </w:rPr>
            </w:pPr>
            <w:r>
              <w:rPr>
                <w:rFonts w:hint="eastAsia"/>
                <w:color w:val="000000" w:themeColor="text1"/>
                <w:szCs w:val="21"/>
                <w:u w:val="single"/>
                <w14:textFill>
                  <w14:solidFill>
                    <w14:schemeClr w14:val="tx1"/>
                  </w14:solidFill>
                </w14:textFill>
              </w:rPr>
              <w:t>合同价款扣除暂列金额后的</w:t>
            </w:r>
            <w:r>
              <w:rPr>
                <w:color w:val="000000" w:themeColor="text1"/>
                <w:szCs w:val="21"/>
                <w:u w:val="single"/>
                <w14:textFill>
                  <w14:solidFill>
                    <w14:schemeClr w14:val="tx1"/>
                  </w14:solidFill>
                </w14:textFill>
              </w:rPr>
              <w:t xml:space="preserve">   %</w:t>
            </w:r>
          </w:p>
        </w:tc>
        <w:tc>
          <w:tcPr>
            <w:tcW w:w="1843" w:type="dxa"/>
            <w:vAlign w:val="center"/>
          </w:tcPr>
          <w:p w14:paraId="641237BB">
            <w:pPr>
              <w:jc w:val="center"/>
              <w:rPr>
                <w:color w:val="000000" w:themeColor="text1"/>
                <w14:textFill>
                  <w14:solidFill>
                    <w14:schemeClr w14:val="tx1"/>
                  </w14:solidFill>
                </w14:textFill>
              </w:rPr>
            </w:pPr>
          </w:p>
        </w:tc>
      </w:tr>
      <w:tr w14:paraId="2293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8A7E64F">
            <w:pPr>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985" w:type="dxa"/>
            <w:vAlign w:val="center"/>
          </w:tcPr>
          <w:p w14:paraId="124BC232">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质量保证金额度</w:t>
            </w:r>
          </w:p>
        </w:tc>
        <w:tc>
          <w:tcPr>
            <w:tcW w:w="2126" w:type="dxa"/>
            <w:tcMar>
              <w:left w:w="170" w:type="dxa"/>
            </w:tcMar>
            <w:vAlign w:val="center"/>
          </w:tcPr>
          <w:p w14:paraId="0FD737F2">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专用条款</w:t>
            </w:r>
          </w:p>
        </w:tc>
        <w:tc>
          <w:tcPr>
            <w:tcW w:w="1984" w:type="dxa"/>
            <w:vAlign w:val="center"/>
          </w:tcPr>
          <w:p w14:paraId="3B6555F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结算价的</w:t>
            </w:r>
            <w:r>
              <w:rPr>
                <w:color w:val="000000" w:themeColor="text1"/>
                <w14:textFill>
                  <w14:solidFill>
                    <w14:schemeClr w14:val="tx1"/>
                  </w14:solidFill>
                </w14:textFill>
              </w:rPr>
              <w:t xml:space="preserve">% </w:t>
            </w:r>
          </w:p>
        </w:tc>
        <w:tc>
          <w:tcPr>
            <w:tcW w:w="1843" w:type="dxa"/>
            <w:vAlign w:val="center"/>
          </w:tcPr>
          <w:p w14:paraId="56087E09">
            <w:pPr>
              <w:jc w:val="center"/>
              <w:rPr>
                <w:color w:val="000000" w:themeColor="text1"/>
                <w14:textFill>
                  <w14:solidFill>
                    <w14:schemeClr w14:val="tx1"/>
                  </w14:solidFill>
                </w14:textFill>
              </w:rPr>
            </w:pPr>
          </w:p>
        </w:tc>
      </w:tr>
      <w:tr w14:paraId="00E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8214B27">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985" w:type="dxa"/>
            <w:vAlign w:val="center"/>
          </w:tcPr>
          <w:p w14:paraId="1DA36A72">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126" w:type="dxa"/>
            <w:tcMar>
              <w:left w:w="170" w:type="dxa"/>
            </w:tcMar>
            <w:vAlign w:val="center"/>
          </w:tcPr>
          <w:p w14:paraId="67981DB2">
            <w:pPr>
              <w:rPr>
                <w:color w:val="000000" w:themeColor="text1"/>
                <w14:textFill>
                  <w14:solidFill>
                    <w14:schemeClr w14:val="tx1"/>
                  </w14:solidFill>
                </w14:textFill>
              </w:rPr>
            </w:pPr>
          </w:p>
        </w:tc>
        <w:tc>
          <w:tcPr>
            <w:tcW w:w="1984" w:type="dxa"/>
            <w:vAlign w:val="center"/>
          </w:tcPr>
          <w:p w14:paraId="0C257823">
            <w:pPr>
              <w:jc w:val="center"/>
              <w:rPr>
                <w:color w:val="000000" w:themeColor="text1"/>
                <w14:textFill>
                  <w14:solidFill>
                    <w14:schemeClr w14:val="tx1"/>
                  </w14:solidFill>
                </w14:textFill>
              </w:rPr>
            </w:pPr>
          </w:p>
        </w:tc>
        <w:tc>
          <w:tcPr>
            <w:tcW w:w="1843" w:type="dxa"/>
            <w:vAlign w:val="center"/>
          </w:tcPr>
          <w:p w14:paraId="624DBA51">
            <w:pPr>
              <w:jc w:val="center"/>
              <w:rPr>
                <w:color w:val="000000" w:themeColor="text1"/>
                <w14:textFill>
                  <w14:solidFill>
                    <w14:schemeClr w14:val="tx1"/>
                  </w14:solidFill>
                </w14:textFill>
              </w:rPr>
            </w:pPr>
          </w:p>
        </w:tc>
      </w:tr>
      <w:tr w14:paraId="17B8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5584530D">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说明：供应商在响应磋商文件中规定的实质性要求和条件的基础上，可做出其他有利于采购人的承诺。此类承诺可在本表中予以补充填写。</w:t>
            </w:r>
          </w:p>
        </w:tc>
      </w:tr>
    </w:tbl>
    <w:p w14:paraId="45B89530">
      <w:pPr>
        <w:spacing w:line="360" w:lineRule="auto"/>
        <w:ind w:right="-817" w:rightChars="-389" w:firstLine="2640" w:firstLineChars="1100"/>
        <w:contextualSpacing/>
        <w:rPr>
          <w:rFonts w:ascii="宋体" w:cs="仿宋_GB2312"/>
          <w:color w:val="000000" w:themeColor="text1"/>
          <w:sz w:val="24"/>
          <w14:textFill>
            <w14:solidFill>
              <w14:schemeClr w14:val="tx1"/>
            </w14:solidFill>
          </w14:textFill>
        </w:rPr>
      </w:pPr>
    </w:p>
    <w:p w14:paraId="2A8DD7E4">
      <w:pPr>
        <w:spacing w:line="360" w:lineRule="auto"/>
        <w:ind w:right="-817" w:rightChars="-389" w:firstLine="2640" w:firstLineChars="11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2BB402C4">
      <w:pPr>
        <w:spacing w:line="360" w:lineRule="auto"/>
        <w:ind w:right="-817" w:rightChars="-389" w:firstLine="2640" w:firstLineChars="11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473520EF">
      <w:pPr>
        <w:spacing w:line="360" w:lineRule="auto"/>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6EE943F6">
      <w:pPr>
        <w:spacing w:line="360" w:lineRule="auto"/>
        <w:jc w:val="center"/>
        <w:outlineLvl w:val="9"/>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ascii="宋体" w:cs="仿宋_GB2312"/>
          <w:color w:val="000000" w:themeColor="text1"/>
          <w:sz w:val="24"/>
          <w14:textFill>
            <w14:solidFill>
              <w14:schemeClr w14:val="tx1"/>
            </w14:solidFill>
          </w14:textFill>
        </w:rPr>
        <w:br w:type="page"/>
      </w:r>
      <w:r>
        <w:rPr>
          <w:rFonts w:hint="eastAsia" w:ascii="宋体" w:hAnsi="宋体" w:cs="方正小标宋简体"/>
          <w:b/>
          <w:bCs/>
          <w:color w:val="000000" w:themeColor="text1"/>
          <w:sz w:val="32"/>
          <w:szCs w:val="32"/>
          <w14:textFill>
            <w14:solidFill>
              <w14:schemeClr w14:val="tx1"/>
            </w14:solidFill>
          </w14:textFill>
        </w:rPr>
        <w:t>竞标报价表</w:t>
      </w:r>
    </w:p>
    <w:p w14:paraId="58110A5A">
      <w:pPr>
        <w:spacing w:line="44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p>
    <w:p w14:paraId="1D0C3917">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项目名称：项目编号：</w:t>
      </w:r>
    </w:p>
    <w:p w14:paraId="15AE0E22">
      <w:pPr>
        <w:spacing w:line="360" w:lineRule="auto"/>
        <w:contextualSpacing/>
        <w:rPr>
          <w:rFonts w:asci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分标（如有）：</w:t>
      </w:r>
    </w:p>
    <w:p w14:paraId="7165C1C3">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2C89F549">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单位：元</w:t>
      </w:r>
    </w:p>
    <w:tbl>
      <w:tblPr>
        <w:tblStyle w:val="4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FB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08696618">
            <w:pPr>
              <w:spacing w:line="360" w:lineRule="auto"/>
              <w:contextualSpacing/>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序号</w:t>
            </w:r>
          </w:p>
        </w:tc>
        <w:tc>
          <w:tcPr>
            <w:tcW w:w="2712" w:type="dxa"/>
            <w:vAlign w:val="center"/>
          </w:tcPr>
          <w:p w14:paraId="6BCBB05E">
            <w:pPr>
              <w:spacing w:line="360" w:lineRule="auto"/>
              <w:contextualSpacing/>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标的名称</w:t>
            </w:r>
          </w:p>
        </w:tc>
        <w:tc>
          <w:tcPr>
            <w:tcW w:w="1505" w:type="dxa"/>
            <w:vAlign w:val="center"/>
          </w:tcPr>
          <w:p w14:paraId="36E8F7D9">
            <w:pPr>
              <w:spacing w:line="360" w:lineRule="auto"/>
              <w:contextualSpacing/>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数量及单位</w:t>
            </w:r>
          </w:p>
        </w:tc>
        <w:tc>
          <w:tcPr>
            <w:tcW w:w="3107" w:type="dxa"/>
            <w:vAlign w:val="center"/>
          </w:tcPr>
          <w:p w14:paraId="2A56ECD3">
            <w:pPr>
              <w:spacing w:line="360" w:lineRule="auto"/>
              <w:contextualSpacing/>
              <w:jc w:val="center"/>
              <w:rPr>
                <w:rFonts w:hint="eastAsia" w:asci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总价</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元</w:t>
            </w:r>
            <w:r>
              <w:rPr>
                <w:rFonts w:hint="eastAsia" w:ascii="宋体" w:hAnsi="宋体" w:cs="仿宋_GB2312"/>
                <w:color w:val="000000" w:themeColor="text1"/>
                <w:sz w:val="24"/>
                <w:lang w:eastAsia="zh-CN"/>
                <w14:textFill>
                  <w14:solidFill>
                    <w14:schemeClr w14:val="tx1"/>
                  </w14:solidFill>
                </w14:textFill>
              </w:rPr>
              <w:t>）</w:t>
            </w:r>
          </w:p>
        </w:tc>
        <w:tc>
          <w:tcPr>
            <w:tcW w:w="1184" w:type="dxa"/>
            <w:vAlign w:val="center"/>
          </w:tcPr>
          <w:p w14:paraId="731ABAE0">
            <w:pPr>
              <w:spacing w:line="360" w:lineRule="auto"/>
              <w:contextualSpacing/>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备注</w:t>
            </w:r>
          </w:p>
        </w:tc>
      </w:tr>
      <w:tr w14:paraId="2E05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3DB4B9AB">
            <w:pPr>
              <w:spacing w:line="360" w:lineRule="auto"/>
              <w:contextualSpacing/>
              <w:jc w:val="center"/>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p>
        </w:tc>
        <w:tc>
          <w:tcPr>
            <w:tcW w:w="2712" w:type="dxa"/>
            <w:vAlign w:val="center"/>
          </w:tcPr>
          <w:p w14:paraId="5629EB9A">
            <w:pPr>
              <w:spacing w:line="360" w:lineRule="auto"/>
              <w:contextualSpacing/>
              <w:jc w:val="center"/>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龙州县响水镇红阳村渡口维修项目</w:t>
            </w:r>
          </w:p>
        </w:tc>
        <w:tc>
          <w:tcPr>
            <w:tcW w:w="1505" w:type="dxa"/>
            <w:vAlign w:val="center"/>
          </w:tcPr>
          <w:p w14:paraId="774D9CC4">
            <w:pPr>
              <w:spacing w:line="360" w:lineRule="auto"/>
              <w:contextualSpacing/>
              <w:jc w:val="center"/>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项</w:t>
            </w:r>
          </w:p>
        </w:tc>
        <w:tc>
          <w:tcPr>
            <w:tcW w:w="3107" w:type="dxa"/>
          </w:tcPr>
          <w:p w14:paraId="1604B265">
            <w:pPr>
              <w:spacing w:line="360" w:lineRule="auto"/>
              <w:contextualSpacing/>
              <w:rPr>
                <w:rFonts w:ascii="宋体" w:cs="仿宋_GB2312"/>
                <w:color w:val="000000" w:themeColor="text1"/>
                <w:sz w:val="24"/>
                <w14:textFill>
                  <w14:solidFill>
                    <w14:schemeClr w14:val="tx1"/>
                  </w14:solidFill>
                </w14:textFill>
              </w:rPr>
            </w:pPr>
          </w:p>
        </w:tc>
        <w:tc>
          <w:tcPr>
            <w:tcW w:w="1184" w:type="dxa"/>
            <w:vAlign w:val="center"/>
          </w:tcPr>
          <w:p w14:paraId="4352C217">
            <w:pPr>
              <w:spacing w:line="360" w:lineRule="auto"/>
              <w:contextualSpacing/>
              <w:rPr>
                <w:rFonts w:ascii="宋体" w:cs="仿宋_GB2312"/>
                <w:color w:val="000000" w:themeColor="text1"/>
                <w:sz w:val="24"/>
                <w14:textFill>
                  <w14:solidFill>
                    <w14:schemeClr w14:val="tx1"/>
                  </w14:solidFill>
                </w14:textFill>
              </w:rPr>
            </w:pPr>
          </w:p>
        </w:tc>
      </w:tr>
    </w:tbl>
    <w:p w14:paraId="24D47572">
      <w:pPr>
        <w:spacing w:line="360" w:lineRule="auto"/>
        <w:contextualSpacing/>
        <w:jc w:val="left"/>
        <w:rPr>
          <w:rFonts w:ascii="宋体" w:cs="仿宋_GB2312"/>
          <w:color w:val="000000" w:themeColor="text1"/>
          <w:sz w:val="24"/>
          <w14:textFill>
            <w14:solidFill>
              <w14:schemeClr w14:val="tx1"/>
            </w14:solidFill>
          </w14:textFill>
        </w:rPr>
      </w:pPr>
    </w:p>
    <w:p w14:paraId="447AE17B">
      <w:pPr>
        <w:spacing w:line="360" w:lineRule="auto"/>
        <w:contextualSpacing/>
        <w:jc w:val="left"/>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w:t>
      </w:r>
      <w:r>
        <w:rPr>
          <w:rFonts w:ascii="宋体" w:hAnsi="宋体" w:cs="仿宋_GB2312"/>
          <w:color w:val="000000" w:themeColor="text1"/>
          <w:sz w:val="24"/>
          <w14:textFill>
            <w14:solidFill>
              <w14:schemeClr w14:val="tx1"/>
            </w14:solidFill>
          </w14:textFill>
        </w:rPr>
        <w:t xml:space="preserve">: </w:t>
      </w:r>
    </w:p>
    <w:p w14:paraId="189644F6">
      <w:pPr>
        <w:spacing w:line="360" w:lineRule="auto"/>
        <w:ind w:firstLine="480" w:firstLineChars="200"/>
        <w:contextualSpacing/>
        <w:jc w:val="left"/>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 xml:space="preserve">1. </w:t>
      </w:r>
      <w:r>
        <w:rPr>
          <w:rFonts w:hint="eastAsia" w:ascii="宋体" w:hAnsi="宋体" w:cs="仿宋_GB2312"/>
          <w:color w:val="000000" w:themeColor="text1"/>
          <w:sz w:val="24"/>
          <w14:textFill>
            <w14:solidFill>
              <w14:schemeClr w14:val="tx1"/>
            </w14:solidFill>
          </w14:textFill>
        </w:rPr>
        <w:t>供应商的报价表必须加盖供应商电子签章并由法定代表人或者委托代理人签字或者电子签名，</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14:paraId="3F413909">
      <w:pPr>
        <w:spacing w:line="360" w:lineRule="auto"/>
        <w:ind w:firstLine="480" w:firstLineChars="200"/>
        <w:contextualSpacing/>
        <w:jc w:val="left"/>
        <w:rPr>
          <w:rFonts w:ascii="宋体" w:cs="仿宋_GB2312"/>
          <w:b/>
          <w:color w:val="000000" w:themeColor="text1"/>
          <w:sz w:val="24"/>
          <w14:textFill>
            <w14:solidFill>
              <w14:schemeClr w14:val="tx1"/>
            </w14:solidFill>
          </w14:textFill>
        </w:rPr>
      </w:pPr>
      <w:r>
        <w:rPr>
          <w:rFonts w:ascii="宋体" w:hAnsi="宋体" w:cs="仿宋_GB2312"/>
          <w:bCs/>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6FCB4DFD">
      <w:pPr>
        <w:spacing w:line="360" w:lineRule="auto"/>
        <w:ind w:firstLine="480" w:firstLineChars="200"/>
        <w:contextualSpacing/>
        <w:jc w:val="left"/>
        <w:rPr>
          <w:rFonts w:ascii="宋体" w:cs="仿宋_GB2312"/>
          <w:b/>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asci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14:textFill>
            <w14:solidFill>
              <w14:schemeClr w14:val="tx1"/>
            </w14:solidFill>
          </w14:textFill>
        </w:rPr>
        <w:t>否则其响应文件按无效处理。</w:t>
      </w:r>
    </w:p>
    <w:p w14:paraId="09E63C38">
      <w:pPr>
        <w:spacing w:line="360" w:lineRule="auto"/>
        <w:ind w:firstLine="480" w:firstLineChars="200"/>
        <w:contextualSpacing/>
        <w:jc w:val="left"/>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 xml:space="preserve">4. </w:t>
      </w:r>
      <w:r>
        <w:rPr>
          <w:rFonts w:hint="eastAsia" w:ascii="宋体" w:hAnsi="宋体" w:cs="仿宋_GB2312"/>
          <w:color w:val="000000" w:themeColor="text1"/>
          <w:sz w:val="24"/>
          <w14:textFill>
            <w14:solidFill>
              <w14:schemeClr w14:val="tx1"/>
            </w14:solidFill>
          </w14:textFill>
        </w:rPr>
        <w:t>如为联合体竞标，</w:t>
      </w:r>
      <w:r>
        <w:rPr>
          <w:rFonts w:hint="eastAsia" w:ascii="宋体" w:hAnsi="宋体"/>
          <w:color w:val="000000" w:themeColor="text1"/>
          <w:spacing w:val="-6"/>
          <w:sz w:val="24"/>
          <w14:textFill>
            <w14:solidFill>
              <w14:schemeClr w14:val="tx1"/>
            </w14:solidFill>
          </w14:textFill>
        </w:rPr>
        <w:t>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71E2CF9B">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ascii="宋体" w:cs="仿宋_GB2312"/>
          <w:color w:val="000000" w:themeColor="text1"/>
          <w:sz w:val="24"/>
          <w14:textFill>
            <w14:solidFill>
              <w14:schemeClr w14:val="tx1"/>
            </w14:solidFill>
          </w14:textFill>
        </w:rPr>
        <w:t>.</w:t>
      </w:r>
      <w:r>
        <w:rPr>
          <w:rFonts w:hint="eastAsia" w:ascii="宋体" w:hAnsi="宋体" w:cs="仿宋_GB2312"/>
          <w:color w:val="000000" w:themeColor="text1"/>
          <w:spacing w:val="-6"/>
          <w:sz w:val="24"/>
          <w14:textFill>
            <w14:solidFill>
              <w14:schemeClr w14:val="tx1"/>
            </w14:solidFill>
          </w14:textFill>
        </w:rPr>
        <w:t>如有多分标，分别列明各分标的报价表，</w:t>
      </w:r>
      <w:r>
        <w:rPr>
          <w:rFonts w:hint="eastAsia" w:ascii="宋体" w:hAnsi="宋体" w:cs="仿宋_GB2312"/>
          <w:b/>
          <w:color w:val="000000" w:themeColor="text1"/>
          <w:spacing w:val="-6"/>
          <w:sz w:val="24"/>
          <w14:textFill>
            <w14:solidFill>
              <w14:schemeClr w14:val="tx1"/>
            </w14:solidFill>
          </w14:textFill>
        </w:rPr>
        <w:t>否则其响应文件按无效处理。</w:t>
      </w:r>
    </w:p>
    <w:p w14:paraId="329B6DAE">
      <w:pPr>
        <w:spacing w:line="360" w:lineRule="auto"/>
        <w:ind w:right="-817" w:rightChars="-389"/>
        <w:contextualSpacing/>
        <w:rPr>
          <w:rFonts w:ascii="宋体" w:cs="仿宋_GB2312"/>
          <w:color w:val="000000" w:themeColor="text1"/>
          <w:sz w:val="24"/>
          <w14:textFill>
            <w14:solidFill>
              <w14:schemeClr w14:val="tx1"/>
            </w14:solidFill>
          </w14:textFill>
        </w:rPr>
      </w:pPr>
    </w:p>
    <w:p w14:paraId="3B34908B">
      <w:pPr>
        <w:spacing w:line="360" w:lineRule="auto"/>
        <w:ind w:right="-817" w:rightChars="-389" w:firstLine="2640" w:firstLineChars="11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36905270">
      <w:pPr>
        <w:spacing w:line="360" w:lineRule="auto"/>
        <w:ind w:right="-817" w:rightChars="-389" w:firstLine="2640" w:firstLineChars="11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7309CA54">
      <w:pPr>
        <w:spacing w:line="360" w:lineRule="auto"/>
        <w:ind w:right="-817" w:rightChars="-389" w:firstLine="4080" w:firstLineChars="17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6E887228">
      <w:pPr>
        <w:spacing w:line="360" w:lineRule="auto"/>
        <w:contextualSpacing/>
        <w:jc w:val="center"/>
        <w:rPr>
          <w:rFonts w:ascii="宋体" w:cs="仿宋_GB2312"/>
          <w:b/>
          <w:color w:val="0000FF"/>
          <w:sz w:val="32"/>
          <w:szCs w:val="32"/>
        </w:rPr>
      </w:pPr>
      <w:r>
        <w:rPr>
          <w:rFonts w:ascii="宋体" w:cs="仿宋_GB2312"/>
          <w:color w:val="000000" w:themeColor="text1"/>
          <w:sz w:val="24"/>
          <w14:textFill>
            <w14:solidFill>
              <w14:schemeClr w14:val="tx1"/>
            </w14:solidFill>
          </w14:textFill>
        </w:rPr>
        <w:br w:type="page"/>
      </w:r>
      <w:r>
        <w:rPr>
          <w:rFonts w:hint="eastAsia" w:ascii="宋体" w:hAnsi="宋体" w:cs="宋体"/>
          <w:b/>
          <w:color w:val="auto"/>
          <w:sz w:val="32"/>
          <w:szCs w:val="32"/>
        </w:rPr>
        <w:t>已标价工程量清单</w:t>
      </w:r>
    </w:p>
    <w:p w14:paraId="3C463F1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s="宋体"/>
          <w:color w:val="000000" w:themeColor="text1"/>
          <w14:textFill>
            <w14:solidFill>
              <w14:schemeClr w14:val="tx1"/>
            </w14:solidFill>
          </w14:textFill>
        </w:rPr>
        <w:t>已标价工程量清单应按第五章</w:t>
      </w:r>
      <w:r>
        <w:rPr>
          <w:rFonts w:hint="eastAsia"/>
          <w:color w:val="000000" w:themeColor="text1"/>
          <w14:textFill>
            <w14:solidFill>
              <w14:schemeClr w14:val="tx1"/>
            </w14:solidFill>
          </w14:textFill>
        </w:rPr>
        <w:t>“工程量清单及图纸”</w:t>
      </w:r>
      <w:r>
        <w:rPr>
          <w:rFonts w:hint="eastAsia" w:cs="宋体"/>
          <w:color w:val="000000" w:themeColor="text1"/>
          <w14:textFill>
            <w14:solidFill>
              <w14:schemeClr w14:val="tx1"/>
            </w14:solidFill>
          </w14:textFill>
        </w:rPr>
        <w:t>中的相关表格及竞标报价说明填写。构成合同文件的已标价工程量清单包括第五章</w:t>
      </w:r>
      <w:r>
        <w:rPr>
          <w:rFonts w:hint="eastAsia"/>
          <w:color w:val="000000" w:themeColor="text1"/>
          <w14:textFill>
            <w14:solidFill>
              <w14:schemeClr w14:val="tx1"/>
            </w14:solidFill>
          </w14:textFill>
        </w:rPr>
        <w:t>“工程量清单及图纸”</w:t>
      </w:r>
      <w:r>
        <w:rPr>
          <w:rFonts w:hint="eastAsia" w:cs="宋体"/>
          <w:color w:val="000000" w:themeColor="text1"/>
          <w14:textFill>
            <w14:solidFill>
              <w14:schemeClr w14:val="tx1"/>
            </w14:solidFill>
          </w14:textFill>
        </w:rPr>
        <w:t>有关工程量清单、竞标报价以及其他说明的内容。</w:t>
      </w:r>
    </w:p>
    <w:p w14:paraId="6838F5FC">
      <w:pPr>
        <w:spacing w:line="360" w:lineRule="auto"/>
        <w:ind w:right="420"/>
        <w:contextualSpacing/>
        <w:jc w:val="center"/>
        <w:rPr>
          <w:rFonts w:ascii="宋体"/>
          <w:b/>
          <w:bCs/>
          <w:color w:val="000000" w:themeColor="text1"/>
          <w:sz w:val="32"/>
          <w:szCs w:val="32"/>
          <w14:textFill>
            <w14:solidFill>
              <w14:schemeClr w14:val="tx1"/>
            </w14:solidFill>
          </w14:textFill>
        </w:rPr>
      </w:pPr>
      <w:r>
        <w:rPr>
          <w:rFonts w:ascii="宋体"/>
          <w:b/>
          <w:bCs/>
          <w:color w:val="000000" w:themeColor="text1"/>
          <w:sz w:val="32"/>
          <w:szCs w:val="32"/>
          <w14:textFill>
            <w14:solidFill>
              <w14:schemeClr w14:val="tx1"/>
            </w14:solidFill>
          </w14:textFill>
        </w:rPr>
        <w:br w:type="page"/>
      </w:r>
    </w:p>
    <w:p w14:paraId="4A5D819B">
      <w:pPr>
        <w:spacing w:line="360" w:lineRule="auto"/>
        <w:ind w:firstLine="643" w:firstLineChars="200"/>
        <w:contextualSpacing/>
        <w:jc w:val="center"/>
        <w:rPr>
          <w:rFonts w:asci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商务技术文件格式</w:t>
      </w:r>
    </w:p>
    <w:p w14:paraId="547DC4A8">
      <w:pPr>
        <w:snapToGrid w:val="0"/>
        <w:spacing w:before="120" w:beforeLines="50" w:after="50" w:line="360" w:lineRule="auto"/>
        <w:jc w:val="left"/>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商务技术文件封面格式</w:t>
      </w:r>
    </w:p>
    <w:p w14:paraId="6D466A9A">
      <w:pPr>
        <w:snapToGrid w:val="0"/>
        <w:spacing w:before="120" w:beforeLines="50" w:after="50"/>
        <w:rPr>
          <w:rFonts w:ascii="宋体"/>
          <w:bCs/>
          <w:color w:val="000000" w:themeColor="text1"/>
          <w:sz w:val="32"/>
          <w:szCs w:val="20"/>
          <w14:textFill>
            <w14:solidFill>
              <w14:schemeClr w14:val="tx1"/>
            </w14:solidFill>
          </w14:textFill>
        </w:rPr>
      </w:pPr>
    </w:p>
    <w:p w14:paraId="38038148">
      <w:pPr>
        <w:snapToGrid w:val="0"/>
        <w:spacing w:before="120" w:beforeLines="50" w:after="50"/>
        <w:jc w:val="center"/>
        <w:rPr>
          <w:rFonts w:asci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13C7FD0F">
      <w:pPr>
        <w:snapToGrid w:val="0"/>
        <w:spacing w:before="120" w:beforeLines="50" w:after="50"/>
        <w:rPr>
          <w:rFonts w:ascii="宋体"/>
          <w:color w:val="000000" w:themeColor="text1"/>
          <w:sz w:val="24"/>
          <w:szCs w:val="20"/>
          <w14:textFill>
            <w14:solidFill>
              <w14:schemeClr w14:val="tx1"/>
            </w14:solidFill>
          </w14:textFill>
        </w:rPr>
      </w:pPr>
    </w:p>
    <w:p w14:paraId="56460E15">
      <w:pPr>
        <w:snapToGrid w:val="0"/>
        <w:spacing w:before="120" w:beforeLines="50" w:after="50"/>
        <w:rPr>
          <w:rFonts w:ascii="宋体"/>
          <w:color w:val="000000" w:themeColor="text1"/>
          <w:sz w:val="24"/>
          <w:szCs w:val="20"/>
          <w14:textFill>
            <w14:solidFill>
              <w14:schemeClr w14:val="tx1"/>
            </w14:solidFill>
          </w14:textFill>
        </w:rPr>
      </w:pPr>
    </w:p>
    <w:p w14:paraId="1AEFEFF4">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商务技术文件</w:t>
      </w:r>
    </w:p>
    <w:p w14:paraId="4985E2E0">
      <w:pPr>
        <w:snapToGrid w:val="0"/>
        <w:spacing w:before="120" w:beforeLines="50" w:after="50"/>
        <w:rPr>
          <w:rFonts w:ascii="宋体"/>
          <w:bCs/>
          <w:color w:val="000000" w:themeColor="text1"/>
          <w:sz w:val="24"/>
          <w:szCs w:val="20"/>
          <w14:textFill>
            <w14:solidFill>
              <w14:schemeClr w14:val="tx1"/>
            </w14:solidFill>
          </w14:textFill>
        </w:rPr>
      </w:pPr>
    </w:p>
    <w:p w14:paraId="6B4755CD">
      <w:pPr>
        <w:snapToGrid w:val="0"/>
        <w:spacing w:before="120" w:beforeLines="50" w:after="50"/>
        <w:rPr>
          <w:rFonts w:ascii="宋体"/>
          <w:bCs/>
          <w:color w:val="000000" w:themeColor="text1"/>
          <w:sz w:val="24"/>
          <w:szCs w:val="20"/>
          <w14:textFill>
            <w14:solidFill>
              <w14:schemeClr w14:val="tx1"/>
            </w14:solidFill>
          </w14:textFill>
        </w:rPr>
      </w:pPr>
    </w:p>
    <w:p w14:paraId="263929D9">
      <w:pPr>
        <w:snapToGrid w:val="0"/>
        <w:spacing w:before="120" w:beforeLines="50" w:after="50"/>
        <w:rPr>
          <w:rFonts w:ascii="宋体"/>
          <w:bCs/>
          <w:color w:val="000000" w:themeColor="text1"/>
          <w:sz w:val="24"/>
          <w:szCs w:val="20"/>
          <w14:textFill>
            <w14:solidFill>
              <w14:schemeClr w14:val="tx1"/>
            </w14:solidFill>
          </w14:textFill>
        </w:rPr>
      </w:pPr>
    </w:p>
    <w:p w14:paraId="7377381B">
      <w:pPr>
        <w:snapToGrid w:val="0"/>
        <w:spacing w:before="120" w:beforeLines="50" w:after="50"/>
        <w:rPr>
          <w:rFonts w:ascii="宋体"/>
          <w:bCs/>
          <w:color w:val="000000" w:themeColor="text1"/>
          <w:sz w:val="24"/>
          <w:szCs w:val="20"/>
          <w14:textFill>
            <w14:solidFill>
              <w14:schemeClr w14:val="tx1"/>
            </w14:solidFill>
          </w14:textFill>
        </w:rPr>
      </w:pPr>
    </w:p>
    <w:p w14:paraId="0BD93AFF">
      <w:pPr>
        <w:snapToGrid w:val="0"/>
        <w:spacing w:before="120" w:beforeLines="50" w:after="50"/>
        <w:rPr>
          <w:rFonts w:ascii="宋体"/>
          <w:bCs/>
          <w:color w:val="000000" w:themeColor="text1"/>
          <w:sz w:val="24"/>
          <w:szCs w:val="20"/>
          <w14:textFill>
            <w14:solidFill>
              <w14:schemeClr w14:val="tx1"/>
            </w14:solidFill>
          </w14:textFill>
        </w:rPr>
      </w:pPr>
    </w:p>
    <w:p w14:paraId="629AD2F4">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65F9F1C4">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1B27B8F5">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25AC761A">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18A03201">
      <w:pPr>
        <w:snapToGrid w:val="0"/>
        <w:spacing w:before="120" w:beforeLines="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447C0D6B">
      <w:pPr>
        <w:snapToGrid w:val="0"/>
        <w:spacing w:before="120" w:beforeLines="50" w:after="50"/>
        <w:ind w:firstLine="720" w:firstLineChars="225"/>
        <w:rPr>
          <w:rFonts w:ascii="宋体" w:cs="仿宋_GB2312"/>
          <w:bCs/>
          <w:color w:val="000000" w:themeColor="text1"/>
          <w:sz w:val="32"/>
          <w:szCs w:val="32"/>
          <w14:textFill>
            <w14:solidFill>
              <w14:schemeClr w14:val="tx1"/>
            </w14:solidFill>
          </w14:textFill>
        </w:rPr>
      </w:pPr>
    </w:p>
    <w:p w14:paraId="3246F914">
      <w:pPr>
        <w:pStyle w:val="7"/>
        <w:snapToGrid w:val="0"/>
        <w:spacing w:before="50" w:after="50"/>
        <w:ind w:firstLine="640" w:firstLineChars="200"/>
        <w:rPr>
          <w:rFonts w:asci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38CADA5A">
      <w:pPr>
        <w:pStyle w:val="7"/>
        <w:snapToGrid w:val="0"/>
        <w:spacing w:before="50" w:after="50"/>
        <w:ind w:firstLine="640" w:firstLineChars="200"/>
        <w:rPr>
          <w:rFonts w:ascii="宋体" w:cs="仿宋_GB2312"/>
          <w:bCs/>
          <w:color w:val="000000" w:themeColor="text1"/>
          <w:sz w:val="32"/>
          <w:szCs w:val="32"/>
          <w14:textFill>
            <w14:solidFill>
              <w14:schemeClr w14:val="tx1"/>
            </w14:solidFill>
          </w14:textFill>
        </w:rPr>
      </w:pPr>
    </w:p>
    <w:p w14:paraId="54BB4362">
      <w:pPr>
        <w:pStyle w:val="7"/>
        <w:snapToGrid w:val="0"/>
        <w:spacing w:before="50" w:after="50"/>
        <w:ind w:firstLine="720" w:firstLineChars="225"/>
        <w:rPr>
          <w:rFonts w:ascii="宋体" w:cs="仿宋_GB2312"/>
          <w:bCs/>
          <w:color w:val="000000" w:themeColor="text1"/>
          <w:sz w:val="32"/>
          <w:szCs w:val="32"/>
          <w14:textFill>
            <w14:solidFill>
              <w14:schemeClr w14:val="tx1"/>
            </w14:solidFill>
          </w14:textFill>
        </w:rPr>
      </w:pPr>
    </w:p>
    <w:p w14:paraId="105D9B63">
      <w:pPr>
        <w:pStyle w:val="7"/>
        <w:snapToGrid w:val="0"/>
        <w:spacing w:before="50" w:after="50"/>
        <w:ind w:firstLine="0"/>
        <w:rPr>
          <w:rFonts w:ascii="宋体" w:cs="仿宋_GB2312"/>
          <w:bCs/>
          <w:color w:val="000000" w:themeColor="text1"/>
          <w:sz w:val="32"/>
          <w:szCs w:val="32"/>
          <w14:textFill>
            <w14:solidFill>
              <w14:schemeClr w14:val="tx1"/>
            </w14:solidFill>
          </w14:textFill>
        </w:rPr>
      </w:pPr>
    </w:p>
    <w:p w14:paraId="16EE5517">
      <w:pPr>
        <w:pStyle w:val="7"/>
        <w:snapToGrid w:val="0"/>
        <w:spacing w:before="50" w:after="50"/>
        <w:ind w:firstLine="1280" w:firstLineChars="400"/>
        <w:rPr>
          <w:rFonts w:ascii="宋体" w:cs="仿宋_GB2312"/>
          <w:bCs/>
          <w:color w:val="000000" w:themeColor="text1"/>
          <w:sz w:val="32"/>
          <w:szCs w:val="32"/>
          <w14:textFill>
            <w14:solidFill>
              <w14:schemeClr w14:val="tx1"/>
            </w14:solidFill>
          </w14:textFill>
        </w:rPr>
      </w:pPr>
    </w:p>
    <w:p w14:paraId="5510B691">
      <w:pPr>
        <w:snapToGrid w:val="0"/>
        <w:spacing w:before="120" w:beforeLines="50" w:after="50"/>
        <w:jc w:val="center"/>
        <w:rPr>
          <w:rFonts w:asci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14B13ECF">
      <w:pPr>
        <w:snapToGrid w:val="0"/>
        <w:spacing w:before="120" w:beforeLines="50" w:after="50" w:line="360" w:lineRule="auto"/>
        <w:ind w:right="480" w:firstLine="240" w:firstLineChars="100"/>
        <w:jc w:val="left"/>
        <w:rPr>
          <w:rFonts w:ascii="宋体"/>
          <w:b/>
          <w:bCs/>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r>
        <w:rPr>
          <w:rFonts w:ascii="宋体" w:hAnsi="宋体"/>
          <w:b/>
          <w:bCs/>
          <w:color w:val="000000" w:themeColor="text1"/>
          <w:sz w:val="32"/>
          <w:szCs w:val="32"/>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商务技术文件目录</w:t>
      </w:r>
    </w:p>
    <w:p w14:paraId="15177012">
      <w:pPr>
        <w:snapToGrid w:val="0"/>
        <w:spacing w:before="120" w:beforeLines="50" w:after="50" w:line="360" w:lineRule="auto"/>
        <w:ind w:firstLine="640" w:firstLineChars="200"/>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3E685B29">
      <w:pPr>
        <w:spacing w:line="400" w:lineRule="exact"/>
        <w:rPr>
          <w:rFonts w:ascii="仿宋_GB2312" w:hAnsi="仿宋_GB2312" w:eastAsia="仿宋_GB2312" w:cs="仿宋_GB2312"/>
          <w:color w:val="000000" w:themeColor="text1"/>
          <w:sz w:val="32"/>
          <w:szCs w:val="32"/>
          <w14:textFill>
            <w14:solidFill>
              <w14:schemeClr w14:val="tx1"/>
            </w14:solidFill>
          </w14:textFill>
        </w:rPr>
      </w:pPr>
    </w:p>
    <w:p w14:paraId="792C7140">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无串通竞标行为的承诺函</w:t>
      </w:r>
    </w:p>
    <w:p w14:paraId="7EA0CC86">
      <w:pPr>
        <w:spacing w:line="360" w:lineRule="auto"/>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p>
    <w:p w14:paraId="46F07D3A">
      <w:pPr>
        <w:spacing w:line="360" w:lineRule="auto"/>
        <w:ind w:firstLine="482" w:firstLineChars="200"/>
        <w:contextualSpacing/>
        <w:rPr>
          <w:rFonts w:asci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14:paraId="0BB39589">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不同供应商的响应文件由同一单位或者个人编制；</w:t>
      </w:r>
    </w:p>
    <w:p w14:paraId="6A91B552">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不同供应商委托同一单位或者个人办理竞标事宜；</w:t>
      </w:r>
    </w:p>
    <w:p w14:paraId="2DC84A9D">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不同供应商的响应文件载明的项目管理员为同一个人；</w:t>
      </w:r>
    </w:p>
    <w:p w14:paraId="337FCA25">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14:paraId="27BA729F">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不同供应商的响应文件相互混装；</w:t>
      </w:r>
    </w:p>
    <w:p w14:paraId="20420476">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不同供应商的磋商保证金从同一单位或者个人账户转出。</w:t>
      </w:r>
    </w:p>
    <w:p w14:paraId="341CFF49">
      <w:pPr>
        <w:spacing w:line="360" w:lineRule="auto"/>
        <w:ind w:firstLine="482" w:firstLineChars="200"/>
        <w:contextualSpacing/>
        <w:rPr>
          <w:rFonts w:asci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14:paraId="4B381A9B">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供应商直接或者间接从采购人或者采购代理机构处获得其他供应商的相关信息并修改其响应文件；</w:t>
      </w:r>
    </w:p>
    <w:p w14:paraId="22E2BEA2">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供应商按照采购人或者采购代理机构的授意撤换、修改响应文件；</w:t>
      </w:r>
    </w:p>
    <w:p w14:paraId="68FEB8DC">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14:paraId="1D498145">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属于同一集团、协会、商会等组织成员的供应商按照该组织要求协同参加政府采购活动；</w:t>
      </w:r>
    </w:p>
    <w:p w14:paraId="6AEB237F">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供应商之间事先约定一致抬高或者压低竞标报价，或者在竞争性磋商项目中事先约定轮流以高价位或者低价位成交，或者事先约定由某一特定供应商成交，然后再参加竞标；</w:t>
      </w:r>
    </w:p>
    <w:p w14:paraId="20E582D1">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供应商之间商定部分供应商放弃参加政府采购活动或者放弃成交；</w:t>
      </w:r>
    </w:p>
    <w:p w14:paraId="20473FA8">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7.</w:t>
      </w:r>
      <w:r>
        <w:rPr>
          <w:rFonts w:hint="eastAsia" w:ascii="宋体" w:hAnsi="宋体" w:cs="仿宋_GB2312"/>
          <w:color w:val="000000" w:themeColor="text1"/>
          <w:sz w:val="24"/>
          <w14:textFill>
            <w14:solidFill>
              <w14:schemeClr w14:val="tx1"/>
            </w14:solidFill>
          </w14:textFill>
        </w:rPr>
        <w:t>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14:paraId="1F62327A">
      <w:pPr>
        <w:spacing w:line="360" w:lineRule="auto"/>
        <w:ind w:firstLine="480" w:firstLineChars="200"/>
        <w:contextualSpacing/>
        <w:rPr>
          <w:rFonts w:ascii="宋体" w:cs="仿宋_GB2312"/>
          <w:color w:val="000000" w:themeColor="text1"/>
          <w:sz w:val="24"/>
          <w14:textFill>
            <w14:solidFill>
              <w14:schemeClr w14:val="tx1"/>
            </w14:solidFill>
          </w14:textFill>
        </w:rPr>
      </w:pPr>
    </w:p>
    <w:p w14:paraId="12711517">
      <w:pPr>
        <w:spacing w:line="360" w:lineRule="auto"/>
        <w:ind w:firstLine="482" w:firstLineChars="200"/>
        <w:contextualSpacing/>
        <w:rPr>
          <w:rFonts w:asci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0E5C3362">
      <w:pPr>
        <w:spacing w:line="360" w:lineRule="auto"/>
        <w:contextualSpacing/>
        <w:rPr>
          <w:rFonts w:ascii="宋体" w:cs="仿宋_GB2312"/>
          <w:color w:val="000000" w:themeColor="text1"/>
          <w:sz w:val="24"/>
          <w14:textFill>
            <w14:solidFill>
              <w14:schemeClr w14:val="tx1"/>
            </w14:solidFill>
          </w14:textFill>
        </w:rPr>
      </w:pPr>
    </w:p>
    <w:p w14:paraId="5884B278">
      <w:pPr>
        <w:spacing w:line="360" w:lineRule="auto"/>
        <w:ind w:firstLine="3600" w:firstLineChars="15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5057BD56">
      <w:pPr>
        <w:spacing w:line="360" w:lineRule="auto"/>
        <w:ind w:firstLine="480" w:firstLineChars="200"/>
        <w:contextualSpacing/>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25DE41B6">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14:paraId="4031C23C">
      <w:pPr>
        <w:spacing w:line="360" w:lineRule="auto"/>
        <w:ind w:left="540"/>
        <w:contextualSpacing/>
        <w:rPr>
          <w:rFonts w:ascii="仿宋_GB2312" w:hAnsi="仿宋_GB2312" w:eastAsia="仿宋_GB2312" w:cs="仿宋_GB2312"/>
          <w:color w:val="000000" w:themeColor="text1"/>
          <w:sz w:val="32"/>
          <w:szCs w:val="32"/>
          <w14:textFill>
            <w14:solidFill>
              <w14:schemeClr w14:val="tx1"/>
            </w14:solidFill>
          </w14:textFill>
        </w:rPr>
      </w:pPr>
    </w:p>
    <w:p w14:paraId="5702A470">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3B5935FC">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地址：</w:t>
      </w:r>
    </w:p>
    <w:p w14:paraId="4B5B4FA1">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姓名：性别：</w:t>
      </w:r>
    </w:p>
    <w:p w14:paraId="2B730079">
      <w:pPr>
        <w:spacing w:line="360" w:lineRule="auto"/>
        <w:ind w:left="540"/>
        <w:contextualSpacing/>
        <w:rPr>
          <w:rFonts w:asci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年龄：职务：</w:t>
      </w:r>
    </w:p>
    <w:p w14:paraId="49043C9D">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14:paraId="3787EF53">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14:paraId="38A53DEE">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14:paraId="498AB52E">
      <w:pPr>
        <w:spacing w:line="360" w:lineRule="auto"/>
        <w:ind w:left="540"/>
        <w:contextualSpacing/>
        <w:rPr>
          <w:rFonts w:ascii="宋体" w:cs="仿宋_GB2312"/>
          <w:color w:val="000000" w:themeColor="text1"/>
          <w:sz w:val="24"/>
          <w14:textFill>
            <w14:solidFill>
              <w14:schemeClr w14:val="tx1"/>
            </w14:solidFill>
          </w14:textFill>
        </w:rPr>
      </w:pPr>
    </w:p>
    <w:p w14:paraId="383C647E">
      <w:pPr>
        <w:spacing w:line="360" w:lineRule="auto"/>
        <w:ind w:left="540"/>
        <w:contextualSpacing/>
        <w:rPr>
          <w:rFonts w:ascii="宋体" w:cs="仿宋_GB2312"/>
          <w:color w:val="000000" w:themeColor="text1"/>
          <w:sz w:val="24"/>
          <w14:textFill>
            <w14:solidFill>
              <w14:schemeClr w14:val="tx1"/>
            </w14:solidFill>
          </w14:textFill>
        </w:rPr>
      </w:pPr>
    </w:p>
    <w:p w14:paraId="748BEC2C">
      <w:pPr>
        <w:spacing w:line="360" w:lineRule="auto"/>
        <w:ind w:left="540"/>
        <w:contextualSpacing/>
        <w:rPr>
          <w:rFonts w:ascii="宋体" w:cs="仿宋_GB2312"/>
          <w:color w:val="000000" w:themeColor="text1"/>
          <w:sz w:val="24"/>
          <w14:textFill>
            <w14:solidFill>
              <w14:schemeClr w14:val="tx1"/>
            </w14:solidFill>
          </w14:textFill>
        </w:rPr>
      </w:pPr>
    </w:p>
    <w:p w14:paraId="3E126610">
      <w:pPr>
        <w:spacing w:line="360" w:lineRule="auto"/>
        <w:ind w:left="54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14:paraId="3AA65C8F">
      <w:pPr>
        <w:spacing w:line="360" w:lineRule="auto"/>
        <w:ind w:left="540"/>
        <w:contextualSpacing/>
        <w:rPr>
          <w:rFonts w:ascii="宋体" w:cs="仿宋_GB2312"/>
          <w:color w:val="000000" w:themeColor="text1"/>
          <w:sz w:val="24"/>
          <w14:textFill>
            <w14:solidFill>
              <w14:schemeClr w14:val="tx1"/>
            </w14:solidFill>
          </w14:textFill>
        </w:rPr>
      </w:pPr>
    </w:p>
    <w:p w14:paraId="0F4F88AF">
      <w:pPr>
        <w:spacing w:line="360" w:lineRule="auto"/>
        <w:ind w:left="540" w:firstLine="3000" w:firstLineChars="1250"/>
        <w:contextualSpacing/>
        <w:jc w:val="left"/>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64B7EA95">
      <w:pPr>
        <w:spacing w:line="360" w:lineRule="auto"/>
        <w:ind w:firstLine="4080" w:firstLineChars="17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4C237E5F">
      <w:pPr>
        <w:spacing w:line="360" w:lineRule="auto"/>
        <w:contextualSpacing/>
        <w:jc w:val="center"/>
        <w:rPr>
          <w:rFonts w:ascii="宋体" w:cs="仿宋_GB2312"/>
          <w:b/>
          <w:color w:val="000000" w:themeColor="text1"/>
          <w:sz w:val="24"/>
          <w14:textFill>
            <w14:solidFill>
              <w14:schemeClr w14:val="tx1"/>
            </w14:solidFill>
          </w14:textFill>
        </w:rPr>
      </w:pPr>
    </w:p>
    <w:p w14:paraId="6046D1C0">
      <w:pPr>
        <w:spacing w:line="360" w:lineRule="auto"/>
        <w:contextualSpacing/>
        <w:jc w:val="left"/>
        <w:rPr>
          <w:rFonts w:ascii="宋体" w:cs="仿宋_GB2312"/>
          <w:color w:val="000000" w:themeColor="text1"/>
          <w:sz w:val="24"/>
          <w14:textFill>
            <w14:solidFill>
              <w14:schemeClr w14:val="tx1"/>
            </w14:solidFill>
          </w14:textFill>
        </w:rPr>
      </w:pPr>
    </w:p>
    <w:p w14:paraId="4D991252">
      <w:pPr>
        <w:spacing w:line="360" w:lineRule="auto"/>
        <w:contextualSpacing/>
        <w:jc w:val="left"/>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注：联合体竞标的只需牵头人出具。</w:t>
      </w:r>
    </w:p>
    <w:p w14:paraId="43FFBD68">
      <w:pPr>
        <w:adjustRightInd w:val="0"/>
        <w:snapToGrid w:val="0"/>
        <w:spacing w:line="300" w:lineRule="auto"/>
        <w:jc w:val="left"/>
        <w:rPr>
          <w:rFonts w:ascii="宋体"/>
          <w:b/>
          <w:color w:val="000000" w:themeColor="text1"/>
          <w:szCs w:val="21"/>
          <w14:textFill>
            <w14:solidFill>
              <w14:schemeClr w14:val="tx1"/>
            </w14:solidFill>
          </w14:textFill>
        </w:rPr>
      </w:pPr>
    </w:p>
    <w:p w14:paraId="5307DDD1">
      <w:pPr>
        <w:spacing w:line="5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br w:type="page"/>
      </w:r>
    </w:p>
    <w:p w14:paraId="0024C579">
      <w:pPr>
        <w:spacing w:line="52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bookmarkStart w:id="108" w:name="_Hlk6585364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4EE1B9B6">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（如有委托时）</w:t>
      </w:r>
    </w:p>
    <w:p w14:paraId="6A84168C">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14:paraId="3FC70C03">
      <w:pPr>
        <w:spacing w:line="360" w:lineRule="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（采购人名称）</w:t>
      </w:r>
      <w:r>
        <w:rPr>
          <w:rFonts w:hint="eastAsia" w:ascii="宋体" w:hAnsi="宋体" w:cs="仿宋_GB2312"/>
          <w:color w:val="000000" w:themeColor="text1"/>
          <w:sz w:val="24"/>
          <w14:textFill>
            <w14:solidFill>
              <w14:schemeClr w14:val="tx1"/>
            </w14:solidFill>
          </w14:textFill>
        </w:rPr>
        <w:t>：</w:t>
      </w:r>
    </w:p>
    <w:p w14:paraId="139070BC">
      <w:pPr>
        <w:spacing w:line="360" w:lineRule="auto"/>
        <w:ind w:firstLine="480" w:firstLineChars="200"/>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（姓名）</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t>□法定代表人</w:t>
      </w:r>
      <w:r>
        <w:rPr>
          <w:rFonts w:ascii="宋体" w:hAnsi="宋体" w:cs="仿宋_GB2312"/>
          <w:color w:val="000000" w:themeColor="text1"/>
          <w:sz w:val="24"/>
          <w:u w:val="single"/>
          <w14:textFill>
            <w14:solidFill>
              <w14:schemeClr w14:val="tx1"/>
            </w14:solidFill>
          </w14:textFill>
        </w:rPr>
        <w:t>/</w:t>
      </w:r>
      <w:r>
        <w:rPr>
          <w:rFonts w:hint="eastAsia" w:ascii="宋体" w:hAnsi="宋体" w:cs="仿宋_GB2312"/>
          <w:color w:val="000000" w:themeColor="text1"/>
          <w:sz w:val="24"/>
          <w:u w:val="single"/>
          <w14:textFill>
            <w14:solidFill>
              <w14:schemeClr w14:val="tx1"/>
            </w14:solidFill>
          </w14:textFill>
        </w:rPr>
        <w:t>□负责人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（姓名）</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574C33C8">
      <w:pPr>
        <w:spacing w:line="360" w:lineRule="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p>
    <w:p w14:paraId="63A0637A">
      <w:pPr>
        <w:spacing w:line="360" w:lineRule="auto"/>
        <w:ind w:firstLine="480" w:firstLineChars="200"/>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7CE03F2">
      <w:pPr>
        <w:spacing w:line="360" w:lineRule="auto"/>
        <w:ind w:firstLine="480" w:firstLineChars="200"/>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6A49B5AF">
      <w:pPr>
        <w:spacing w:line="360" w:lineRule="auto"/>
        <w:ind w:firstLine="480" w:firstLineChars="200"/>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5687F300">
      <w:pPr>
        <w:spacing w:line="360" w:lineRule="auto"/>
        <w:rPr>
          <w:rFonts w:ascii="宋体" w:cs="仿宋_GB2312"/>
          <w:color w:val="000000" w:themeColor="text1"/>
          <w:sz w:val="24"/>
          <w14:textFill>
            <w14:solidFill>
              <w14:schemeClr w14:val="tx1"/>
            </w14:solidFill>
          </w14:textFill>
        </w:rPr>
      </w:pPr>
    </w:p>
    <w:p w14:paraId="1D6B94A9">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）：法定代表人（签字或者盖章或者电子签名）：</w:t>
      </w:r>
    </w:p>
    <w:p w14:paraId="51C2AE25">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委托代理人身份证号码：</w:t>
      </w:r>
    </w:p>
    <w:p w14:paraId="091E9F18">
      <w:pPr>
        <w:spacing w:line="360" w:lineRule="auto"/>
        <w:contextualSpacing/>
        <w:rPr>
          <w:rFonts w:ascii="宋体" w:cs="仿宋_GB2312"/>
          <w:color w:val="000000" w:themeColor="text1"/>
          <w:sz w:val="24"/>
          <w14:textFill>
            <w14:solidFill>
              <w14:schemeClr w14:val="tx1"/>
            </w14:solidFill>
          </w14:textFill>
        </w:rPr>
      </w:pPr>
    </w:p>
    <w:p w14:paraId="671311EC">
      <w:pPr>
        <w:spacing w:line="360" w:lineRule="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493C6C89">
      <w:pPr>
        <w:spacing w:line="360" w:lineRule="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140AC60D">
      <w:pPr>
        <w:spacing w:line="360" w:lineRule="auto"/>
        <w:rPr>
          <w:rFonts w:ascii="宋体" w:cs="仿宋_GB2312"/>
          <w:color w:val="000000" w:themeColor="text1"/>
          <w:sz w:val="24"/>
          <w14:textFill>
            <w14:solidFill>
              <w14:schemeClr w14:val="tx1"/>
            </w14:solidFill>
          </w14:textFill>
        </w:rPr>
      </w:pPr>
    </w:p>
    <w:p w14:paraId="0A82558E">
      <w:pPr>
        <w:spacing w:line="360" w:lineRule="auto"/>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7EB2149C">
      <w:pPr>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p>
    <w:p w14:paraId="6E68FFB8">
      <w:pPr>
        <w:spacing w:line="5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bookmarkEnd w:id="108"/>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施工组织设计</w:t>
      </w:r>
    </w:p>
    <w:p w14:paraId="35FA6260">
      <w:pPr>
        <w:spacing w:line="360" w:lineRule="auto"/>
        <w:ind w:firstLine="420" w:firstLineChars="200"/>
        <w:rPr>
          <w:rFonts w:cs="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施工组织设计</w:t>
      </w:r>
      <w:r>
        <w:rPr>
          <w:rFonts w:hint="eastAsia" w:ascii="宋体" w:hAnsi="宋体"/>
          <w:color w:val="000000" w:themeColor="text1"/>
          <w14:textFill>
            <w14:solidFill>
              <w14:schemeClr w14:val="tx1"/>
            </w14:solidFill>
          </w14:textFill>
        </w:rPr>
        <w:t>应</w:t>
      </w:r>
      <w:r>
        <w:rPr>
          <w:rFonts w:hint="eastAsia"/>
          <w:color w:val="000000" w:themeColor="text1"/>
          <w14:textFill>
            <w14:solidFill>
              <w14:schemeClr w14:val="tx1"/>
            </w14:solidFill>
          </w14:textFill>
        </w:rPr>
        <w:t>以下内容顺序编制，可</w:t>
      </w:r>
      <w:r>
        <w:rPr>
          <w:rFonts w:hint="eastAsia" w:ascii="宋体" w:hAnsi="宋体"/>
          <w:color w:val="000000" w:themeColor="text1"/>
          <w14:textFill>
            <w14:solidFill>
              <w14:schemeClr w14:val="tx1"/>
            </w14:solidFill>
          </w14:textFill>
        </w:rPr>
        <w:t>采用文字并结合图表形式说明施工方法，</w:t>
      </w:r>
      <w:r>
        <w:rPr>
          <w:rFonts w:hint="eastAsia"/>
          <w:color w:val="000000" w:themeColor="text1"/>
          <w14:textFill>
            <w14:solidFill>
              <w14:schemeClr w14:val="tx1"/>
            </w14:solidFill>
          </w14:textFill>
        </w:rPr>
        <w:t>施工组织设计具体内容</w:t>
      </w:r>
      <w:r>
        <w:rPr>
          <w:rFonts w:hint="eastAsia" w:cs="宋体"/>
          <w:color w:val="000000" w:themeColor="text1"/>
          <w14:textFill>
            <w14:solidFill>
              <w14:schemeClr w14:val="tx1"/>
            </w14:solidFill>
          </w14:textFill>
        </w:rPr>
        <w:t>如下：</w:t>
      </w:r>
    </w:p>
    <w:p w14:paraId="2554485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）概述</w:t>
      </w:r>
    </w:p>
    <w:p w14:paraId="09FD9B2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）主要施工方法；</w:t>
      </w:r>
    </w:p>
    <w:p w14:paraId="1DE676C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）拟投入的主要物资计划</w:t>
      </w:r>
    </w:p>
    <w:p w14:paraId="6201819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）劳动力安排计划；</w:t>
      </w:r>
    </w:p>
    <w:p w14:paraId="4ABEC46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）确保工程质量的技术组织措施；</w:t>
      </w:r>
    </w:p>
    <w:p w14:paraId="0FBF1AB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）确保安全生产的技术组织措施；</w:t>
      </w:r>
    </w:p>
    <w:p w14:paraId="75EA240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）确保工期的技术组织措施；</w:t>
      </w:r>
    </w:p>
    <w:p w14:paraId="2C9F151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）确保文明施工的技术组织措施；</w:t>
      </w:r>
    </w:p>
    <w:p w14:paraId="5DD0C59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）工程施工的重点和难点及保证措施；</w:t>
      </w:r>
    </w:p>
    <w:p w14:paraId="7AE37A8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）施工总平面布置图；</w:t>
      </w:r>
    </w:p>
    <w:p w14:paraId="4BEA9B8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）其他（如有）（与第四章“评审程序、评审方法和评审标准”中的评审标准一致）</w:t>
      </w:r>
    </w:p>
    <w:p w14:paraId="63116DC6">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技术标施工组织设计除采用文字表述外可附下列图表，图表及格式要求附后。</w:t>
      </w:r>
    </w:p>
    <w:p w14:paraId="1DB75DB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附表一劳动力计划表</w:t>
      </w:r>
    </w:p>
    <w:p w14:paraId="4B7DB1A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附表二计划开、竣工日期和施工进度计划（网络图或横道图）</w:t>
      </w:r>
    </w:p>
    <w:p w14:paraId="41D0E61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附表三施工总平面图</w:t>
      </w:r>
    </w:p>
    <w:p w14:paraId="1D783AC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附表四临时用地表</w:t>
      </w:r>
    </w:p>
    <w:p w14:paraId="6D06E733">
      <w:pPr>
        <w:spacing w:line="360" w:lineRule="auto"/>
        <w:ind w:firstLine="420" w:firstLineChars="200"/>
        <w:rPr>
          <w:color w:val="000000" w:themeColor="text1"/>
          <w14:textFill>
            <w14:solidFill>
              <w14:schemeClr w14:val="tx1"/>
            </w14:solidFill>
          </w14:textFill>
        </w:rPr>
      </w:pPr>
    </w:p>
    <w:p w14:paraId="73A6D6F5">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附表一：劳动力计划表</w:t>
      </w:r>
    </w:p>
    <w:p w14:paraId="4229039C">
      <w:pPr>
        <w:ind w:firstLine="7245" w:firstLineChars="345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930"/>
        <w:gridCol w:w="1216"/>
        <w:gridCol w:w="1216"/>
        <w:gridCol w:w="1217"/>
        <w:gridCol w:w="1216"/>
        <w:gridCol w:w="1221"/>
      </w:tblGrid>
      <w:tr w14:paraId="0ECD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FB93FE0">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工种</w:t>
            </w:r>
          </w:p>
        </w:tc>
        <w:tc>
          <w:tcPr>
            <w:tcW w:w="7016" w:type="dxa"/>
            <w:gridSpan w:val="6"/>
            <w:vAlign w:val="center"/>
          </w:tcPr>
          <w:p w14:paraId="22B21082">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按工程施工阶段投入劳动力情况</w:t>
            </w:r>
          </w:p>
        </w:tc>
      </w:tr>
      <w:tr w14:paraId="6DAB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117CD9E1">
            <w:pPr>
              <w:spacing w:line="360" w:lineRule="auto"/>
              <w:jc w:val="center"/>
              <w:rPr>
                <w:color w:val="000000" w:themeColor="text1"/>
                <w14:textFill>
                  <w14:solidFill>
                    <w14:schemeClr w14:val="tx1"/>
                  </w14:solidFill>
                </w14:textFill>
              </w:rPr>
            </w:pPr>
          </w:p>
        </w:tc>
        <w:tc>
          <w:tcPr>
            <w:tcW w:w="930" w:type="dxa"/>
            <w:vAlign w:val="center"/>
          </w:tcPr>
          <w:p w14:paraId="4D0CA141">
            <w:pPr>
              <w:spacing w:line="360" w:lineRule="auto"/>
              <w:jc w:val="center"/>
              <w:rPr>
                <w:color w:val="000000" w:themeColor="text1"/>
                <w14:textFill>
                  <w14:solidFill>
                    <w14:schemeClr w14:val="tx1"/>
                  </w14:solidFill>
                </w14:textFill>
              </w:rPr>
            </w:pPr>
          </w:p>
        </w:tc>
        <w:tc>
          <w:tcPr>
            <w:tcW w:w="1216" w:type="dxa"/>
            <w:vAlign w:val="center"/>
          </w:tcPr>
          <w:p w14:paraId="4BE15B1F">
            <w:pPr>
              <w:spacing w:line="360" w:lineRule="auto"/>
              <w:jc w:val="center"/>
              <w:rPr>
                <w:color w:val="000000" w:themeColor="text1"/>
                <w14:textFill>
                  <w14:solidFill>
                    <w14:schemeClr w14:val="tx1"/>
                  </w14:solidFill>
                </w14:textFill>
              </w:rPr>
            </w:pPr>
          </w:p>
        </w:tc>
        <w:tc>
          <w:tcPr>
            <w:tcW w:w="1216" w:type="dxa"/>
            <w:vAlign w:val="center"/>
          </w:tcPr>
          <w:p w14:paraId="6DF6945B">
            <w:pPr>
              <w:spacing w:line="360" w:lineRule="auto"/>
              <w:jc w:val="center"/>
              <w:rPr>
                <w:color w:val="000000" w:themeColor="text1"/>
                <w14:textFill>
                  <w14:solidFill>
                    <w14:schemeClr w14:val="tx1"/>
                  </w14:solidFill>
                </w14:textFill>
              </w:rPr>
            </w:pPr>
          </w:p>
        </w:tc>
        <w:tc>
          <w:tcPr>
            <w:tcW w:w="1217" w:type="dxa"/>
            <w:vAlign w:val="center"/>
          </w:tcPr>
          <w:p w14:paraId="76EF0611">
            <w:pPr>
              <w:spacing w:line="360" w:lineRule="auto"/>
              <w:jc w:val="center"/>
              <w:rPr>
                <w:color w:val="000000" w:themeColor="text1"/>
                <w14:textFill>
                  <w14:solidFill>
                    <w14:schemeClr w14:val="tx1"/>
                  </w14:solidFill>
                </w14:textFill>
              </w:rPr>
            </w:pPr>
          </w:p>
        </w:tc>
        <w:tc>
          <w:tcPr>
            <w:tcW w:w="1216" w:type="dxa"/>
            <w:vAlign w:val="center"/>
          </w:tcPr>
          <w:p w14:paraId="076341EF">
            <w:pPr>
              <w:spacing w:line="360" w:lineRule="auto"/>
              <w:jc w:val="center"/>
              <w:rPr>
                <w:color w:val="000000" w:themeColor="text1"/>
                <w14:textFill>
                  <w14:solidFill>
                    <w14:schemeClr w14:val="tx1"/>
                  </w14:solidFill>
                </w14:textFill>
              </w:rPr>
            </w:pPr>
          </w:p>
        </w:tc>
        <w:tc>
          <w:tcPr>
            <w:tcW w:w="1221" w:type="dxa"/>
            <w:vAlign w:val="center"/>
          </w:tcPr>
          <w:p w14:paraId="49F6F33F">
            <w:pPr>
              <w:spacing w:line="360" w:lineRule="auto"/>
              <w:jc w:val="center"/>
              <w:rPr>
                <w:color w:val="000000" w:themeColor="text1"/>
                <w14:textFill>
                  <w14:solidFill>
                    <w14:schemeClr w14:val="tx1"/>
                  </w14:solidFill>
                </w14:textFill>
              </w:rPr>
            </w:pPr>
          </w:p>
        </w:tc>
      </w:tr>
      <w:tr w14:paraId="425F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6CB08BD">
            <w:pPr>
              <w:spacing w:line="360" w:lineRule="auto"/>
              <w:jc w:val="center"/>
              <w:rPr>
                <w:color w:val="000000" w:themeColor="text1"/>
                <w14:textFill>
                  <w14:solidFill>
                    <w14:schemeClr w14:val="tx1"/>
                  </w14:solidFill>
                </w14:textFill>
              </w:rPr>
            </w:pPr>
          </w:p>
        </w:tc>
        <w:tc>
          <w:tcPr>
            <w:tcW w:w="930" w:type="dxa"/>
            <w:vAlign w:val="center"/>
          </w:tcPr>
          <w:p w14:paraId="650D8F59">
            <w:pPr>
              <w:spacing w:line="360" w:lineRule="auto"/>
              <w:jc w:val="center"/>
              <w:rPr>
                <w:color w:val="000000" w:themeColor="text1"/>
                <w14:textFill>
                  <w14:solidFill>
                    <w14:schemeClr w14:val="tx1"/>
                  </w14:solidFill>
                </w14:textFill>
              </w:rPr>
            </w:pPr>
          </w:p>
        </w:tc>
        <w:tc>
          <w:tcPr>
            <w:tcW w:w="1216" w:type="dxa"/>
            <w:vAlign w:val="center"/>
          </w:tcPr>
          <w:p w14:paraId="261CC4DC">
            <w:pPr>
              <w:spacing w:line="360" w:lineRule="auto"/>
              <w:jc w:val="center"/>
              <w:rPr>
                <w:color w:val="000000" w:themeColor="text1"/>
                <w14:textFill>
                  <w14:solidFill>
                    <w14:schemeClr w14:val="tx1"/>
                  </w14:solidFill>
                </w14:textFill>
              </w:rPr>
            </w:pPr>
          </w:p>
        </w:tc>
        <w:tc>
          <w:tcPr>
            <w:tcW w:w="1216" w:type="dxa"/>
            <w:vAlign w:val="center"/>
          </w:tcPr>
          <w:p w14:paraId="45578830">
            <w:pPr>
              <w:spacing w:line="360" w:lineRule="auto"/>
              <w:jc w:val="center"/>
              <w:rPr>
                <w:color w:val="000000" w:themeColor="text1"/>
                <w14:textFill>
                  <w14:solidFill>
                    <w14:schemeClr w14:val="tx1"/>
                  </w14:solidFill>
                </w14:textFill>
              </w:rPr>
            </w:pPr>
          </w:p>
        </w:tc>
        <w:tc>
          <w:tcPr>
            <w:tcW w:w="1217" w:type="dxa"/>
            <w:vAlign w:val="center"/>
          </w:tcPr>
          <w:p w14:paraId="79ADCC3D">
            <w:pPr>
              <w:spacing w:line="360" w:lineRule="auto"/>
              <w:jc w:val="center"/>
              <w:rPr>
                <w:color w:val="000000" w:themeColor="text1"/>
                <w14:textFill>
                  <w14:solidFill>
                    <w14:schemeClr w14:val="tx1"/>
                  </w14:solidFill>
                </w14:textFill>
              </w:rPr>
            </w:pPr>
          </w:p>
        </w:tc>
        <w:tc>
          <w:tcPr>
            <w:tcW w:w="1216" w:type="dxa"/>
            <w:vAlign w:val="center"/>
          </w:tcPr>
          <w:p w14:paraId="2FEB2239">
            <w:pPr>
              <w:spacing w:line="360" w:lineRule="auto"/>
              <w:jc w:val="center"/>
              <w:rPr>
                <w:color w:val="000000" w:themeColor="text1"/>
                <w14:textFill>
                  <w14:solidFill>
                    <w14:schemeClr w14:val="tx1"/>
                  </w14:solidFill>
                </w14:textFill>
              </w:rPr>
            </w:pPr>
          </w:p>
        </w:tc>
        <w:tc>
          <w:tcPr>
            <w:tcW w:w="1221" w:type="dxa"/>
            <w:vAlign w:val="center"/>
          </w:tcPr>
          <w:p w14:paraId="57FB8178">
            <w:pPr>
              <w:spacing w:line="360" w:lineRule="auto"/>
              <w:jc w:val="center"/>
              <w:rPr>
                <w:color w:val="000000" w:themeColor="text1"/>
                <w14:textFill>
                  <w14:solidFill>
                    <w14:schemeClr w14:val="tx1"/>
                  </w14:solidFill>
                </w14:textFill>
              </w:rPr>
            </w:pPr>
          </w:p>
        </w:tc>
      </w:tr>
      <w:tr w14:paraId="67CB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60C2DE9A">
            <w:pPr>
              <w:spacing w:line="360" w:lineRule="auto"/>
              <w:jc w:val="center"/>
              <w:rPr>
                <w:color w:val="000000" w:themeColor="text1"/>
                <w14:textFill>
                  <w14:solidFill>
                    <w14:schemeClr w14:val="tx1"/>
                  </w14:solidFill>
                </w14:textFill>
              </w:rPr>
            </w:pPr>
          </w:p>
        </w:tc>
        <w:tc>
          <w:tcPr>
            <w:tcW w:w="930" w:type="dxa"/>
            <w:vAlign w:val="center"/>
          </w:tcPr>
          <w:p w14:paraId="17075BB3">
            <w:pPr>
              <w:spacing w:line="360" w:lineRule="auto"/>
              <w:jc w:val="center"/>
              <w:rPr>
                <w:color w:val="000000" w:themeColor="text1"/>
                <w14:textFill>
                  <w14:solidFill>
                    <w14:schemeClr w14:val="tx1"/>
                  </w14:solidFill>
                </w14:textFill>
              </w:rPr>
            </w:pPr>
          </w:p>
        </w:tc>
        <w:tc>
          <w:tcPr>
            <w:tcW w:w="1216" w:type="dxa"/>
            <w:vAlign w:val="center"/>
          </w:tcPr>
          <w:p w14:paraId="5EBE71AB">
            <w:pPr>
              <w:spacing w:line="360" w:lineRule="auto"/>
              <w:jc w:val="center"/>
              <w:rPr>
                <w:color w:val="000000" w:themeColor="text1"/>
                <w14:textFill>
                  <w14:solidFill>
                    <w14:schemeClr w14:val="tx1"/>
                  </w14:solidFill>
                </w14:textFill>
              </w:rPr>
            </w:pPr>
          </w:p>
        </w:tc>
        <w:tc>
          <w:tcPr>
            <w:tcW w:w="1216" w:type="dxa"/>
            <w:vAlign w:val="center"/>
          </w:tcPr>
          <w:p w14:paraId="7F1FF7C0">
            <w:pPr>
              <w:spacing w:line="360" w:lineRule="auto"/>
              <w:jc w:val="center"/>
              <w:rPr>
                <w:color w:val="000000" w:themeColor="text1"/>
                <w14:textFill>
                  <w14:solidFill>
                    <w14:schemeClr w14:val="tx1"/>
                  </w14:solidFill>
                </w14:textFill>
              </w:rPr>
            </w:pPr>
          </w:p>
        </w:tc>
        <w:tc>
          <w:tcPr>
            <w:tcW w:w="1217" w:type="dxa"/>
            <w:vAlign w:val="center"/>
          </w:tcPr>
          <w:p w14:paraId="0920E1E3">
            <w:pPr>
              <w:spacing w:line="360" w:lineRule="auto"/>
              <w:jc w:val="center"/>
              <w:rPr>
                <w:color w:val="000000" w:themeColor="text1"/>
                <w14:textFill>
                  <w14:solidFill>
                    <w14:schemeClr w14:val="tx1"/>
                  </w14:solidFill>
                </w14:textFill>
              </w:rPr>
            </w:pPr>
          </w:p>
        </w:tc>
        <w:tc>
          <w:tcPr>
            <w:tcW w:w="1216" w:type="dxa"/>
            <w:vAlign w:val="center"/>
          </w:tcPr>
          <w:p w14:paraId="370AB60E">
            <w:pPr>
              <w:spacing w:line="360" w:lineRule="auto"/>
              <w:jc w:val="center"/>
              <w:rPr>
                <w:color w:val="000000" w:themeColor="text1"/>
                <w14:textFill>
                  <w14:solidFill>
                    <w14:schemeClr w14:val="tx1"/>
                  </w14:solidFill>
                </w14:textFill>
              </w:rPr>
            </w:pPr>
          </w:p>
        </w:tc>
        <w:tc>
          <w:tcPr>
            <w:tcW w:w="1221" w:type="dxa"/>
            <w:vAlign w:val="center"/>
          </w:tcPr>
          <w:p w14:paraId="2F8AB328">
            <w:pPr>
              <w:spacing w:line="360" w:lineRule="auto"/>
              <w:jc w:val="center"/>
              <w:rPr>
                <w:color w:val="000000" w:themeColor="text1"/>
                <w14:textFill>
                  <w14:solidFill>
                    <w14:schemeClr w14:val="tx1"/>
                  </w14:solidFill>
                </w14:textFill>
              </w:rPr>
            </w:pPr>
          </w:p>
        </w:tc>
      </w:tr>
      <w:tr w14:paraId="56C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C461FB4">
            <w:pPr>
              <w:spacing w:line="360" w:lineRule="auto"/>
              <w:jc w:val="center"/>
              <w:rPr>
                <w:color w:val="000000" w:themeColor="text1"/>
                <w14:textFill>
                  <w14:solidFill>
                    <w14:schemeClr w14:val="tx1"/>
                  </w14:solidFill>
                </w14:textFill>
              </w:rPr>
            </w:pPr>
          </w:p>
        </w:tc>
        <w:tc>
          <w:tcPr>
            <w:tcW w:w="930" w:type="dxa"/>
            <w:vAlign w:val="center"/>
          </w:tcPr>
          <w:p w14:paraId="53BA8B3E">
            <w:pPr>
              <w:spacing w:line="360" w:lineRule="auto"/>
              <w:jc w:val="center"/>
              <w:rPr>
                <w:color w:val="000000" w:themeColor="text1"/>
                <w14:textFill>
                  <w14:solidFill>
                    <w14:schemeClr w14:val="tx1"/>
                  </w14:solidFill>
                </w14:textFill>
              </w:rPr>
            </w:pPr>
          </w:p>
        </w:tc>
        <w:tc>
          <w:tcPr>
            <w:tcW w:w="1216" w:type="dxa"/>
            <w:vAlign w:val="center"/>
          </w:tcPr>
          <w:p w14:paraId="3929E056">
            <w:pPr>
              <w:spacing w:line="360" w:lineRule="auto"/>
              <w:jc w:val="center"/>
              <w:rPr>
                <w:color w:val="000000" w:themeColor="text1"/>
                <w14:textFill>
                  <w14:solidFill>
                    <w14:schemeClr w14:val="tx1"/>
                  </w14:solidFill>
                </w14:textFill>
              </w:rPr>
            </w:pPr>
          </w:p>
        </w:tc>
        <w:tc>
          <w:tcPr>
            <w:tcW w:w="1216" w:type="dxa"/>
            <w:vAlign w:val="center"/>
          </w:tcPr>
          <w:p w14:paraId="1D44A62B">
            <w:pPr>
              <w:spacing w:line="360" w:lineRule="auto"/>
              <w:jc w:val="center"/>
              <w:rPr>
                <w:color w:val="000000" w:themeColor="text1"/>
                <w14:textFill>
                  <w14:solidFill>
                    <w14:schemeClr w14:val="tx1"/>
                  </w14:solidFill>
                </w14:textFill>
              </w:rPr>
            </w:pPr>
          </w:p>
        </w:tc>
        <w:tc>
          <w:tcPr>
            <w:tcW w:w="1217" w:type="dxa"/>
            <w:vAlign w:val="center"/>
          </w:tcPr>
          <w:p w14:paraId="35D547B8">
            <w:pPr>
              <w:spacing w:line="360" w:lineRule="auto"/>
              <w:jc w:val="center"/>
              <w:rPr>
                <w:color w:val="000000" w:themeColor="text1"/>
                <w14:textFill>
                  <w14:solidFill>
                    <w14:schemeClr w14:val="tx1"/>
                  </w14:solidFill>
                </w14:textFill>
              </w:rPr>
            </w:pPr>
          </w:p>
        </w:tc>
        <w:tc>
          <w:tcPr>
            <w:tcW w:w="1216" w:type="dxa"/>
            <w:vAlign w:val="center"/>
          </w:tcPr>
          <w:p w14:paraId="4EF66F68">
            <w:pPr>
              <w:spacing w:line="360" w:lineRule="auto"/>
              <w:jc w:val="center"/>
              <w:rPr>
                <w:color w:val="000000" w:themeColor="text1"/>
                <w14:textFill>
                  <w14:solidFill>
                    <w14:schemeClr w14:val="tx1"/>
                  </w14:solidFill>
                </w14:textFill>
              </w:rPr>
            </w:pPr>
          </w:p>
        </w:tc>
        <w:tc>
          <w:tcPr>
            <w:tcW w:w="1221" w:type="dxa"/>
            <w:vAlign w:val="center"/>
          </w:tcPr>
          <w:p w14:paraId="0DAF64C7">
            <w:pPr>
              <w:spacing w:line="360" w:lineRule="auto"/>
              <w:jc w:val="center"/>
              <w:rPr>
                <w:color w:val="000000" w:themeColor="text1"/>
                <w14:textFill>
                  <w14:solidFill>
                    <w14:schemeClr w14:val="tx1"/>
                  </w14:solidFill>
                </w14:textFill>
              </w:rPr>
            </w:pPr>
          </w:p>
        </w:tc>
      </w:tr>
      <w:tr w14:paraId="649D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443EEEF">
            <w:pPr>
              <w:spacing w:line="360" w:lineRule="auto"/>
              <w:jc w:val="center"/>
              <w:rPr>
                <w:color w:val="000000" w:themeColor="text1"/>
                <w14:textFill>
                  <w14:solidFill>
                    <w14:schemeClr w14:val="tx1"/>
                  </w14:solidFill>
                </w14:textFill>
              </w:rPr>
            </w:pPr>
          </w:p>
        </w:tc>
        <w:tc>
          <w:tcPr>
            <w:tcW w:w="930" w:type="dxa"/>
            <w:vAlign w:val="center"/>
          </w:tcPr>
          <w:p w14:paraId="35C7F1C5">
            <w:pPr>
              <w:spacing w:line="360" w:lineRule="auto"/>
              <w:jc w:val="center"/>
              <w:rPr>
                <w:color w:val="000000" w:themeColor="text1"/>
                <w14:textFill>
                  <w14:solidFill>
                    <w14:schemeClr w14:val="tx1"/>
                  </w14:solidFill>
                </w14:textFill>
              </w:rPr>
            </w:pPr>
          </w:p>
        </w:tc>
        <w:tc>
          <w:tcPr>
            <w:tcW w:w="1216" w:type="dxa"/>
            <w:vAlign w:val="center"/>
          </w:tcPr>
          <w:p w14:paraId="67723652">
            <w:pPr>
              <w:spacing w:line="360" w:lineRule="auto"/>
              <w:jc w:val="center"/>
              <w:rPr>
                <w:color w:val="000000" w:themeColor="text1"/>
                <w14:textFill>
                  <w14:solidFill>
                    <w14:schemeClr w14:val="tx1"/>
                  </w14:solidFill>
                </w14:textFill>
              </w:rPr>
            </w:pPr>
          </w:p>
        </w:tc>
        <w:tc>
          <w:tcPr>
            <w:tcW w:w="1216" w:type="dxa"/>
            <w:vAlign w:val="center"/>
          </w:tcPr>
          <w:p w14:paraId="1AACA347">
            <w:pPr>
              <w:spacing w:line="360" w:lineRule="auto"/>
              <w:jc w:val="center"/>
              <w:rPr>
                <w:color w:val="000000" w:themeColor="text1"/>
                <w14:textFill>
                  <w14:solidFill>
                    <w14:schemeClr w14:val="tx1"/>
                  </w14:solidFill>
                </w14:textFill>
              </w:rPr>
            </w:pPr>
          </w:p>
        </w:tc>
        <w:tc>
          <w:tcPr>
            <w:tcW w:w="1217" w:type="dxa"/>
            <w:vAlign w:val="center"/>
          </w:tcPr>
          <w:p w14:paraId="6A2B6B32">
            <w:pPr>
              <w:spacing w:line="360" w:lineRule="auto"/>
              <w:jc w:val="center"/>
              <w:rPr>
                <w:color w:val="000000" w:themeColor="text1"/>
                <w14:textFill>
                  <w14:solidFill>
                    <w14:schemeClr w14:val="tx1"/>
                  </w14:solidFill>
                </w14:textFill>
              </w:rPr>
            </w:pPr>
          </w:p>
        </w:tc>
        <w:tc>
          <w:tcPr>
            <w:tcW w:w="1216" w:type="dxa"/>
            <w:vAlign w:val="center"/>
          </w:tcPr>
          <w:p w14:paraId="7581FE8A">
            <w:pPr>
              <w:spacing w:line="360" w:lineRule="auto"/>
              <w:jc w:val="center"/>
              <w:rPr>
                <w:color w:val="000000" w:themeColor="text1"/>
                <w14:textFill>
                  <w14:solidFill>
                    <w14:schemeClr w14:val="tx1"/>
                  </w14:solidFill>
                </w14:textFill>
              </w:rPr>
            </w:pPr>
          </w:p>
        </w:tc>
        <w:tc>
          <w:tcPr>
            <w:tcW w:w="1221" w:type="dxa"/>
            <w:vAlign w:val="center"/>
          </w:tcPr>
          <w:p w14:paraId="2545A1B0">
            <w:pPr>
              <w:spacing w:line="360" w:lineRule="auto"/>
              <w:jc w:val="center"/>
              <w:rPr>
                <w:color w:val="000000" w:themeColor="text1"/>
                <w14:textFill>
                  <w14:solidFill>
                    <w14:schemeClr w14:val="tx1"/>
                  </w14:solidFill>
                </w14:textFill>
              </w:rPr>
            </w:pPr>
          </w:p>
        </w:tc>
      </w:tr>
      <w:tr w14:paraId="3735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5AF159FD">
            <w:pPr>
              <w:spacing w:line="360" w:lineRule="auto"/>
              <w:jc w:val="center"/>
              <w:rPr>
                <w:color w:val="000000" w:themeColor="text1"/>
                <w14:textFill>
                  <w14:solidFill>
                    <w14:schemeClr w14:val="tx1"/>
                  </w14:solidFill>
                </w14:textFill>
              </w:rPr>
            </w:pPr>
          </w:p>
        </w:tc>
        <w:tc>
          <w:tcPr>
            <w:tcW w:w="930" w:type="dxa"/>
            <w:vAlign w:val="center"/>
          </w:tcPr>
          <w:p w14:paraId="23180B0E">
            <w:pPr>
              <w:spacing w:line="360" w:lineRule="auto"/>
              <w:jc w:val="center"/>
              <w:rPr>
                <w:color w:val="000000" w:themeColor="text1"/>
                <w14:textFill>
                  <w14:solidFill>
                    <w14:schemeClr w14:val="tx1"/>
                  </w14:solidFill>
                </w14:textFill>
              </w:rPr>
            </w:pPr>
          </w:p>
        </w:tc>
        <w:tc>
          <w:tcPr>
            <w:tcW w:w="1216" w:type="dxa"/>
            <w:vAlign w:val="center"/>
          </w:tcPr>
          <w:p w14:paraId="3D35392D">
            <w:pPr>
              <w:spacing w:line="360" w:lineRule="auto"/>
              <w:jc w:val="center"/>
              <w:rPr>
                <w:color w:val="000000" w:themeColor="text1"/>
                <w14:textFill>
                  <w14:solidFill>
                    <w14:schemeClr w14:val="tx1"/>
                  </w14:solidFill>
                </w14:textFill>
              </w:rPr>
            </w:pPr>
          </w:p>
        </w:tc>
        <w:tc>
          <w:tcPr>
            <w:tcW w:w="1216" w:type="dxa"/>
            <w:vAlign w:val="center"/>
          </w:tcPr>
          <w:p w14:paraId="6FB27F05">
            <w:pPr>
              <w:spacing w:line="360" w:lineRule="auto"/>
              <w:jc w:val="center"/>
              <w:rPr>
                <w:color w:val="000000" w:themeColor="text1"/>
                <w14:textFill>
                  <w14:solidFill>
                    <w14:schemeClr w14:val="tx1"/>
                  </w14:solidFill>
                </w14:textFill>
              </w:rPr>
            </w:pPr>
          </w:p>
        </w:tc>
        <w:tc>
          <w:tcPr>
            <w:tcW w:w="1217" w:type="dxa"/>
            <w:vAlign w:val="center"/>
          </w:tcPr>
          <w:p w14:paraId="0AD4AAED">
            <w:pPr>
              <w:spacing w:line="360" w:lineRule="auto"/>
              <w:jc w:val="center"/>
              <w:rPr>
                <w:color w:val="000000" w:themeColor="text1"/>
                <w14:textFill>
                  <w14:solidFill>
                    <w14:schemeClr w14:val="tx1"/>
                  </w14:solidFill>
                </w14:textFill>
              </w:rPr>
            </w:pPr>
          </w:p>
        </w:tc>
        <w:tc>
          <w:tcPr>
            <w:tcW w:w="1216" w:type="dxa"/>
            <w:vAlign w:val="center"/>
          </w:tcPr>
          <w:p w14:paraId="1F2370E4">
            <w:pPr>
              <w:spacing w:line="360" w:lineRule="auto"/>
              <w:jc w:val="center"/>
              <w:rPr>
                <w:color w:val="000000" w:themeColor="text1"/>
                <w14:textFill>
                  <w14:solidFill>
                    <w14:schemeClr w14:val="tx1"/>
                  </w14:solidFill>
                </w14:textFill>
              </w:rPr>
            </w:pPr>
          </w:p>
        </w:tc>
        <w:tc>
          <w:tcPr>
            <w:tcW w:w="1221" w:type="dxa"/>
            <w:vAlign w:val="center"/>
          </w:tcPr>
          <w:p w14:paraId="56D0ABD9">
            <w:pPr>
              <w:spacing w:line="360" w:lineRule="auto"/>
              <w:jc w:val="center"/>
              <w:rPr>
                <w:color w:val="000000" w:themeColor="text1"/>
                <w14:textFill>
                  <w14:solidFill>
                    <w14:schemeClr w14:val="tx1"/>
                  </w14:solidFill>
                </w14:textFill>
              </w:rPr>
            </w:pPr>
          </w:p>
        </w:tc>
      </w:tr>
    </w:tbl>
    <w:p w14:paraId="480E8348">
      <w:pPr>
        <w:rPr>
          <w:color w:val="000000" w:themeColor="text1"/>
          <w14:textFill>
            <w14:solidFill>
              <w14:schemeClr w14:val="tx1"/>
            </w14:solidFill>
          </w14:textFill>
        </w:rPr>
      </w:pPr>
    </w:p>
    <w:p w14:paraId="740BC291">
      <w:pPr>
        <w:rPr>
          <w:b/>
          <w:bCs/>
          <w:color w:val="000000" w:themeColor="text1"/>
          <w14:textFill>
            <w14:solidFill>
              <w14:schemeClr w14:val="tx1"/>
            </w14:solidFill>
          </w14:textFill>
        </w:rPr>
      </w:pPr>
    </w:p>
    <w:p w14:paraId="13614C5C">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附表二：计划开、竣工日期和施工进度计划（网络图或横道图）</w:t>
      </w:r>
    </w:p>
    <w:p w14:paraId="4556F3F9">
      <w:pPr>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s="宋体"/>
          <w:color w:val="000000" w:themeColor="text1"/>
          <w14:textFill>
            <w14:solidFill>
              <w14:schemeClr w14:val="tx1"/>
            </w14:solidFill>
          </w14:textFill>
        </w:rPr>
        <w:t>供应商应提交施工进度计划，说明按磋商文件要求的工期进行施工的各个关键日期。成交的供应商还应按合同条件有关条款的要求提交详细的施工进度计划。</w:t>
      </w:r>
    </w:p>
    <w:p w14:paraId="4A8BF749">
      <w:pPr>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s="宋体"/>
          <w:color w:val="000000" w:themeColor="text1"/>
          <w14:textFill>
            <w14:solidFill>
              <w14:schemeClr w14:val="tx1"/>
            </w14:solidFill>
          </w14:textFill>
        </w:rPr>
        <w:t>施工进度计划可采用网络图（或横道图）表示，说明计划开工日期和各分项工程各阶段的完工日期和分包合同签订的日期。</w:t>
      </w:r>
    </w:p>
    <w:p w14:paraId="22CEE11A">
      <w:pPr>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s="宋体"/>
          <w:color w:val="000000" w:themeColor="text1"/>
          <w14:textFill>
            <w14:solidFill>
              <w14:schemeClr w14:val="tx1"/>
            </w14:solidFill>
          </w14:textFill>
        </w:rPr>
        <w:t>施工进度计划应与施工组织设计相适应。</w:t>
      </w:r>
    </w:p>
    <w:p w14:paraId="4685ECE7">
      <w:pPr>
        <w:spacing w:line="360" w:lineRule="auto"/>
        <w:ind w:left="-6" w:firstLine="420"/>
        <w:rPr>
          <w:color w:val="000000" w:themeColor="text1"/>
          <w14:textFill>
            <w14:solidFill>
              <w14:schemeClr w14:val="tx1"/>
            </w14:solidFill>
          </w14:textFill>
        </w:rPr>
      </w:pPr>
    </w:p>
    <w:p w14:paraId="5B8EEBD1">
      <w:pPr>
        <w:rPr>
          <w:color w:val="000000" w:themeColor="text1"/>
          <w14:textFill>
            <w14:solidFill>
              <w14:schemeClr w14:val="tx1"/>
            </w14:solidFill>
          </w14:textFill>
        </w:rPr>
      </w:pPr>
    </w:p>
    <w:p w14:paraId="12FF8C5A">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附表三：施工总平面图</w:t>
      </w:r>
    </w:p>
    <w:p w14:paraId="0756C767">
      <w:pPr>
        <w:spacing w:line="460" w:lineRule="exact"/>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供应商应递交一份施工总平面图，绘出现场临时设施布置图表并附文字说明，说明临时设施、加工车间、现场办公、设备及仓储、供电、供水、卫生、生活、道路、消防等设施的情况和布置。</w:t>
      </w:r>
    </w:p>
    <w:p w14:paraId="196D9083">
      <w:pPr>
        <w:rPr>
          <w:color w:val="000000" w:themeColor="text1"/>
          <w14:textFill>
            <w14:solidFill>
              <w14:schemeClr w14:val="tx1"/>
            </w14:solidFill>
          </w14:textFill>
        </w:rPr>
      </w:pPr>
    </w:p>
    <w:p w14:paraId="4E802C26">
      <w:pPr>
        <w:rPr>
          <w:color w:val="000000" w:themeColor="text1"/>
          <w14:textFill>
            <w14:solidFill>
              <w14:schemeClr w14:val="tx1"/>
            </w14:solidFill>
          </w14:textFill>
        </w:rPr>
      </w:pPr>
    </w:p>
    <w:p w14:paraId="028C82AA">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附表四：临时用地表</w:t>
      </w:r>
    </w:p>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4"/>
        <w:gridCol w:w="2293"/>
        <w:gridCol w:w="2079"/>
      </w:tblGrid>
      <w:tr w14:paraId="038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3" w:type="dxa"/>
            <w:vAlign w:val="center"/>
          </w:tcPr>
          <w:p w14:paraId="2174912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用途</w:t>
            </w:r>
          </w:p>
        </w:tc>
        <w:tc>
          <w:tcPr>
            <w:tcW w:w="2294" w:type="dxa"/>
            <w:vAlign w:val="center"/>
          </w:tcPr>
          <w:p w14:paraId="3521B01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面积（平方米）</w:t>
            </w:r>
          </w:p>
        </w:tc>
        <w:tc>
          <w:tcPr>
            <w:tcW w:w="2293" w:type="dxa"/>
            <w:vAlign w:val="center"/>
          </w:tcPr>
          <w:p w14:paraId="014201BF">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位置</w:t>
            </w:r>
          </w:p>
        </w:tc>
        <w:tc>
          <w:tcPr>
            <w:tcW w:w="2079" w:type="dxa"/>
            <w:vAlign w:val="center"/>
          </w:tcPr>
          <w:p w14:paraId="71786C8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需用时间</w:t>
            </w:r>
          </w:p>
        </w:tc>
      </w:tr>
      <w:tr w14:paraId="3E81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93" w:type="dxa"/>
          </w:tcPr>
          <w:p w14:paraId="35C44334">
            <w:pPr>
              <w:rPr>
                <w:color w:val="000000" w:themeColor="text1"/>
                <w14:textFill>
                  <w14:solidFill>
                    <w14:schemeClr w14:val="tx1"/>
                  </w14:solidFill>
                </w14:textFill>
              </w:rPr>
            </w:pPr>
          </w:p>
        </w:tc>
        <w:tc>
          <w:tcPr>
            <w:tcW w:w="2294" w:type="dxa"/>
          </w:tcPr>
          <w:p w14:paraId="5086DD49">
            <w:pPr>
              <w:rPr>
                <w:color w:val="000000" w:themeColor="text1"/>
                <w14:textFill>
                  <w14:solidFill>
                    <w14:schemeClr w14:val="tx1"/>
                  </w14:solidFill>
                </w14:textFill>
              </w:rPr>
            </w:pPr>
          </w:p>
        </w:tc>
        <w:tc>
          <w:tcPr>
            <w:tcW w:w="2293" w:type="dxa"/>
          </w:tcPr>
          <w:p w14:paraId="55B2596E">
            <w:pPr>
              <w:rPr>
                <w:color w:val="000000" w:themeColor="text1"/>
                <w14:textFill>
                  <w14:solidFill>
                    <w14:schemeClr w14:val="tx1"/>
                  </w14:solidFill>
                </w14:textFill>
              </w:rPr>
            </w:pPr>
          </w:p>
        </w:tc>
        <w:tc>
          <w:tcPr>
            <w:tcW w:w="2079" w:type="dxa"/>
          </w:tcPr>
          <w:p w14:paraId="24F23969">
            <w:pPr>
              <w:rPr>
                <w:color w:val="000000" w:themeColor="text1"/>
                <w14:textFill>
                  <w14:solidFill>
                    <w14:schemeClr w14:val="tx1"/>
                  </w14:solidFill>
                </w14:textFill>
              </w:rPr>
            </w:pPr>
          </w:p>
        </w:tc>
      </w:tr>
      <w:tr w14:paraId="5F3C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93" w:type="dxa"/>
          </w:tcPr>
          <w:p w14:paraId="2B953C9B">
            <w:pPr>
              <w:rPr>
                <w:color w:val="000000" w:themeColor="text1"/>
                <w14:textFill>
                  <w14:solidFill>
                    <w14:schemeClr w14:val="tx1"/>
                  </w14:solidFill>
                </w14:textFill>
              </w:rPr>
            </w:pPr>
          </w:p>
        </w:tc>
        <w:tc>
          <w:tcPr>
            <w:tcW w:w="2294" w:type="dxa"/>
          </w:tcPr>
          <w:p w14:paraId="10F88DF2">
            <w:pPr>
              <w:rPr>
                <w:color w:val="000000" w:themeColor="text1"/>
                <w14:textFill>
                  <w14:solidFill>
                    <w14:schemeClr w14:val="tx1"/>
                  </w14:solidFill>
                </w14:textFill>
              </w:rPr>
            </w:pPr>
          </w:p>
        </w:tc>
        <w:tc>
          <w:tcPr>
            <w:tcW w:w="2293" w:type="dxa"/>
          </w:tcPr>
          <w:p w14:paraId="136766E8">
            <w:pPr>
              <w:rPr>
                <w:color w:val="000000" w:themeColor="text1"/>
                <w14:textFill>
                  <w14:solidFill>
                    <w14:schemeClr w14:val="tx1"/>
                  </w14:solidFill>
                </w14:textFill>
              </w:rPr>
            </w:pPr>
          </w:p>
        </w:tc>
        <w:tc>
          <w:tcPr>
            <w:tcW w:w="2079" w:type="dxa"/>
          </w:tcPr>
          <w:p w14:paraId="69C3AB94">
            <w:pPr>
              <w:rPr>
                <w:color w:val="000000" w:themeColor="text1"/>
                <w14:textFill>
                  <w14:solidFill>
                    <w14:schemeClr w14:val="tx1"/>
                  </w14:solidFill>
                </w14:textFill>
              </w:rPr>
            </w:pPr>
          </w:p>
        </w:tc>
      </w:tr>
      <w:tr w14:paraId="421C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93" w:type="dxa"/>
          </w:tcPr>
          <w:p w14:paraId="06516389">
            <w:pPr>
              <w:rPr>
                <w:color w:val="000000" w:themeColor="text1"/>
                <w14:textFill>
                  <w14:solidFill>
                    <w14:schemeClr w14:val="tx1"/>
                  </w14:solidFill>
                </w14:textFill>
              </w:rPr>
            </w:pPr>
          </w:p>
        </w:tc>
        <w:tc>
          <w:tcPr>
            <w:tcW w:w="2294" w:type="dxa"/>
          </w:tcPr>
          <w:p w14:paraId="260B494C">
            <w:pPr>
              <w:rPr>
                <w:color w:val="000000" w:themeColor="text1"/>
                <w14:textFill>
                  <w14:solidFill>
                    <w14:schemeClr w14:val="tx1"/>
                  </w14:solidFill>
                </w14:textFill>
              </w:rPr>
            </w:pPr>
          </w:p>
        </w:tc>
        <w:tc>
          <w:tcPr>
            <w:tcW w:w="2293" w:type="dxa"/>
          </w:tcPr>
          <w:p w14:paraId="03621C64">
            <w:pPr>
              <w:rPr>
                <w:color w:val="000000" w:themeColor="text1"/>
                <w14:textFill>
                  <w14:solidFill>
                    <w14:schemeClr w14:val="tx1"/>
                  </w14:solidFill>
                </w14:textFill>
              </w:rPr>
            </w:pPr>
          </w:p>
        </w:tc>
        <w:tc>
          <w:tcPr>
            <w:tcW w:w="2079" w:type="dxa"/>
          </w:tcPr>
          <w:p w14:paraId="33D1AA57">
            <w:pPr>
              <w:rPr>
                <w:color w:val="000000" w:themeColor="text1"/>
                <w14:textFill>
                  <w14:solidFill>
                    <w14:schemeClr w14:val="tx1"/>
                  </w14:solidFill>
                </w14:textFill>
              </w:rPr>
            </w:pPr>
          </w:p>
        </w:tc>
      </w:tr>
      <w:tr w14:paraId="56C7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93" w:type="dxa"/>
          </w:tcPr>
          <w:p w14:paraId="665CB609">
            <w:pPr>
              <w:rPr>
                <w:color w:val="000000" w:themeColor="text1"/>
                <w14:textFill>
                  <w14:solidFill>
                    <w14:schemeClr w14:val="tx1"/>
                  </w14:solidFill>
                </w14:textFill>
              </w:rPr>
            </w:pPr>
          </w:p>
        </w:tc>
        <w:tc>
          <w:tcPr>
            <w:tcW w:w="2294" w:type="dxa"/>
          </w:tcPr>
          <w:p w14:paraId="3FE920ED">
            <w:pPr>
              <w:rPr>
                <w:color w:val="000000" w:themeColor="text1"/>
                <w14:textFill>
                  <w14:solidFill>
                    <w14:schemeClr w14:val="tx1"/>
                  </w14:solidFill>
                </w14:textFill>
              </w:rPr>
            </w:pPr>
          </w:p>
        </w:tc>
        <w:tc>
          <w:tcPr>
            <w:tcW w:w="2293" w:type="dxa"/>
          </w:tcPr>
          <w:p w14:paraId="29778033">
            <w:pPr>
              <w:rPr>
                <w:color w:val="000000" w:themeColor="text1"/>
                <w14:textFill>
                  <w14:solidFill>
                    <w14:schemeClr w14:val="tx1"/>
                  </w14:solidFill>
                </w14:textFill>
              </w:rPr>
            </w:pPr>
          </w:p>
        </w:tc>
        <w:tc>
          <w:tcPr>
            <w:tcW w:w="2079" w:type="dxa"/>
          </w:tcPr>
          <w:p w14:paraId="28ED580F">
            <w:pPr>
              <w:rPr>
                <w:color w:val="000000" w:themeColor="text1"/>
                <w14:textFill>
                  <w14:solidFill>
                    <w14:schemeClr w14:val="tx1"/>
                  </w14:solidFill>
                </w14:textFill>
              </w:rPr>
            </w:pPr>
          </w:p>
        </w:tc>
      </w:tr>
    </w:tbl>
    <w:p w14:paraId="04136967">
      <w:pPr>
        <w:spacing w:line="360" w:lineRule="auto"/>
        <w:ind w:firstLine="880" w:firstLineChars="200"/>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1574FCC3">
      <w:pPr>
        <w:spacing w:line="360" w:lineRule="auto"/>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p>
    <w:p w14:paraId="2753343F">
      <w:pPr>
        <w:adjustRightInd w:val="0"/>
        <w:snapToGrid w:val="0"/>
        <w:spacing w:line="300" w:lineRule="auto"/>
        <w:jc w:val="center"/>
        <w:rPr>
          <w:rFonts w:ascii="宋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项目管理机构配备情况表及主要人员简历表</w:t>
      </w:r>
    </w:p>
    <w:p w14:paraId="46EC1E77">
      <w:pPr>
        <w:snapToGrid w:val="0"/>
        <w:spacing w:before="120" w:beforeLines="50" w:after="5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（一）项目管理机构配备情况表</w:t>
      </w:r>
    </w:p>
    <w:p w14:paraId="007C887D">
      <w:pPr>
        <w:pStyle w:val="24"/>
        <w:spacing w:line="360" w:lineRule="auto"/>
        <w:contextualSpacing/>
        <w:rPr>
          <w:color w:val="000000" w:themeColor="text1"/>
          <w:sz w:val="24"/>
          <w:szCs w:val="24"/>
          <w14:textFill>
            <w14:solidFill>
              <w14:schemeClr w14:val="tx1"/>
            </w14:solidFill>
          </w14:textFill>
        </w:rPr>
      </w:pPr>
      <w:r>
        <w:rPr>
          <w:rFonts w:hint="eastAsia" w:hAnsi="宋体" w:cs="仿宋_GB2312"/>
          <w:color w:val="000000" w:themeColor="text1"/>
          <w:sz w:val="24"/>
          <w14:textFill>
            <w14:solidFill>
              <w14:schemeClr w14:val="tx1"/>
            </w14:solidFill>
          </w14:textFill>
        </w:rPr>
        <w:t>分标（如有）</w:t>
      </w:r>
      <w:r>
        <w:rPr>
          <w:rFonts w:hint="eastAsia"/>
          <w:color w:val="000000" w:themeColor="text1"/>
          <w:sz w:val="24"/>
          <w:szCs w:val="24"/>
          <w14:textFill>
            <w14:solidFill>
              <w14:schemeClr w14:val="tx1"/>
            </w14:solidFill>
          </w14:textFill>
        </w:rPr>
        <w:t>：</w:t>
      </w:r>
    </w:p>
    <w:tbl>
      <w:tblPr>
        <w:tblStyle w:val="4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19"/>
        <w:gridCol w:w="767"/>
        <w:gridCol w:w="754"/>
        <w:gridCol w:w="1064"/>
        <w:gridCol w:w="1064"/>
        <w:gridCol w:w="1064"/>
        <w:gridCol w:w="689"/>
        <w:gridCol w:w="1080"/>
        <w:gridCol w:w="1184"/>
      </w:tblGrid>
      <w:tr w14:paraId="069D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52" w:type="dxa"/>
            <w:vMerge w:val="restart"/>
            <w:vAlign w:val="center"/>
          </w:tcPr>
          <w:p w14:paraId="46AF857F">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岗位</w:t>
            </w:r>
          </w:p>
        </w:tc>
        <w:tc>
          <w:tcPr>
            <w:tcW w:w="619" w:type="dxa"/>
            <w:vMerge w:val="restart"/>
            <w:vAlign w:val="center"/>
          </w:tcPr>
          <w:p w14:paraId="6B242D44">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767" w:type="dxa"/>
            <w:vMerge w:val="restart"/>
            <w:vAlign w:val="center"/>
          </w:tcPr>
          <w:p w14:paraId="0098CA3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754" w:type="dxa"/>
            <w:vMerge w:val="restart"/>
            <w:vAlign w:val="center"/>
          </w:tcPr>
          <w:p w14:paraId="494E5266">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3881" w:type="dxa"/>
            <w:gridSpan w:val="4"/>
            <w:vAlign w:val="center"/>
          </w:tcPr>
          <w:p w14:paraId="7DE210E1">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执业或职业资格</w:t>
            </w:r>
          </w:p>
        </w:tc>
        <w:tc>
          <w:tcPr>
            <w:tcW w:w="2264" w:type="dxa"/>
            <w:gridSpan w:val="2"/>
            <w:vAlign w:val="center"/>
          </w:tcPr>
          <w:p w14:paraId="325746D7">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承担完工、在建工程情况</w:t>
            </w:r>
          </w:p>
        </w:tc>
      </w:tr>
      <w:tr w14:paraId="626C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2" w:type="dxa"/>
            <w:vMerge w:val="continue"/>
            <w:vAlign w:val="center"/>
          </w:tcPr>
          <w:p w14:paraId="58B44FE6">
            <w:pPr>
              <w:ind w:left="223" w:hanging="222" w:hangingChars="106"/>
              <w:jc w:val="center"/>
              <w:rPr>
                <w:color w:val="000000" w:themeColor="text1"/>
                <w14:textFill>
                  <w14:solidFill>
                    <w14:schemeClr w14:val="tx1"/>
                  </w14:solidFill>
                </w14:textFill>
              </w:rPr>
            </w:pPr>
          </w:p>
        </w:tc>
        <w:tc>
          <w:tcPr>
            <w:tcW w:w="619" w:type="dxa"/>
            <w:vMerge w:val="continue"/>
            <w:vAlign w:val="center"/>
          </w:tcPr>
          <w:p w14:paraId="05E7B5FF">
            <w:pPr>
              <w:ind w:left="223" w:hanging="222" w:hangingChars="106"/>
              <w:jc w:val="center"/>
              <w:rPr>
                <w:color w:val="000000" w:themeColor="text1"/>
                <w14:textFill>
                  <w14:solidFill>
                    <w14:schemeClr w14:val="tx1"/>
                  </w14:solidFill>
                </w14:textFill>
              </w:rPr>
            </w:pPr>
          </w:p>
        </w:tc>
        <w:tc>
          <w:tcPr>
            <w:tcW w:w="767" w:type="dxa"/>
            <w:vMerge w:val="continue"/>
            <w:vAlign w:val="center"/>
          </w:tcPr>
          <w:p w14:paraId="53C19FFB">
            <w:pPr>
              <w:ind w:left="223" w:hanging="222" w:hangingChars="106"/>
              <w:jc w:val="center"/>
              <w:rPr>
                <w:color w:val="000000" w:themeColor="text1"/>
                <w14:textFill>
                  <w14:solidFill>
                    <w14:schemeClr w14:val="tx1"/>
                  </w14:solidFill>
                </w14:textFill>
              </w:rPr>
            </w:pPr>
          </w:p>
        </w:tc>
        <w:tc>
          <w:tcPr>
            <w:tcW w:w="754" w:type="dxa"/>
            <w:vMerge w:val="continue"/>
            <w:vAlign w:val="center"/>
          </w:tcPr>
          <w:p w14:paraId="2D2FD011">
            <w:pPr>
              <w:ind w:left="223" w:hanging="222" w:hangingChars="106"/>
              <w:jc w:val="center"/>
              <w:rPr>
                <w:color w:val="000000" w:themeColor="text1"/>
                <w14:textFill>
                  <w14:solidFill>
                    <w14:schemeClr w14:val="tx1"/>
                  </w14:solidFill>
                </w14:textFill>
              </w:rPr>
            </w:pPr>
          </w:p>
        </w:tc>
        <w:tc>
          <w:tcPr>
            <w:tcW w:w="1064" w:type="dxa"/>
            <w:vAlign w:val="center"/>
          </w:tcPr>
          <w:p w14:paraId="611C5438">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064" w:type="dxa"/>
            <w:vAlign w:val="center"/>
          </w:tcPr>
          <w:p w14:paraId="2DF3395B">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1064" w:type="dxa"/>
            <w:vAlign w:val="center"/>
          </w:tcPr>
          <w:p w14:paraId="5F8E5021">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证号</w:t>
            </w:r>
          </w:p>
        </w:tc>
        <w:tc>
          <w:tcPr>
            <w:tcW w:w="689" w:type="dxa"/>
            <w:vAlign w:val="center"/>
          </w:tcPr>
          <w:p w14:paraId="11A9773C">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p>
        </w:tc>
        <w:tc>
          <w:tcPr>
            <w:tcW w:w="1080" w:type="dxa"/>
            <w:vAlign w:val="center"/>
          </w:tcPr>
          <w:p w14:paraId="1AB5254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在建</w:t>
            </w:r>
          </w:p>
        </w:tc>
        <w:tc>
          <w:tcPr>
            <w:tcW w:w="1184" w:type="dxa"/>
            <w:vAlign w:val="center"/>
          </w:tcPr>
          <w:p w14:paraId="3BE2CD1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主要项目</w:t>
            </w:r>
          </w:p>
          <w:p w14:paraId="576731C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r>
      <w:tr w14:paraId="6A03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02ACF78B">
            <w:pPr>
              <w:pStyle w:val="173"/>
              <w:spacing w:line="240" w:lineRule="auto"/>
              <w:ind w:firstLine="0"/>
              <w:rPr>
                <w:rFonts w:hAnsi="宋体" w:cs="宋体"/>
                <w:color w:val="000000" w:themeColor="text1"/>
                <w:sz w:val="21"/>
                <w:szCs w:val="21"/>
                <w14:textFill>
                  <w14:solidFill>
                    <w14:schemeClr w14:val="tx1"/>
                  </w14:solidFill>
                </w14:textFill>
              </w:rPr>
            </w:pPr>
            <w:r>
              <w:rPr>
                <w:rFonts w:ascii="Times New Roman"/>
                <w:color w:val="000000" w:themeColor="text1"/>
                <w:sz w:val="21"/>
                <w:szCs w:val="21"/>
                <w:lang w:val="en-US" w:eastAsia="en-US"/>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项目经理</w:t>
            </w:r>
          </w:p>
        </w:tc>
        <w:tc>
          <w:tcPr>
            <w:tcW w:w="619" w:type="dxa"/>
            <w:vAlign w:val="center"/>
          </w:tcPr>
          <w:p w14:paraId="16040EC9">
            <w:pPr>
              <w:ind w:left="223" w:hanging="222" w:hangingChars="106"/>
              <w:jc w:val="center"/>
              <w:rPr>
                <w:color w:val="000000" w:themeColor="text1"/>
                <w:szCs w:val="21"/>
                <w14:textFill>
                  <w14:solidFill>
                    <w14:schemeClr w14:val="tx1"/>
                  </w14:solidFill>
                </w14:textFill>
              </w:rPr>
            </w:pPr>
          </w:p>
        </w:tc>
        <w:tc>
          <w:tcPr>
            <w:tcW w:w="767" w:type="dxa"/>
            <w:vAlign w:val="center"/>
          </w:tcPr>
          <w:p w14:paraId="479FA8B9">
            <w:pPr>
              <w:ind w:left="223" w:hanging="222" w:hangingChars="106"/>
              <w:jc w:val="center"/>
              <w:rPr>
                <w:color w:val="000000" w:themeColor="text1"/>
                <w:szCs w:val="21"/>
                <w14:textFill>
                  <w14:solidFill>
                    <w14:schemeClr w14:val="tx1"/>
                  </w14:solidFill>
                </w14:textFill>
              </w:rPr>
            </w:pPr>
          </w:p>
        </w:tc>
        <w:tc>
          <w:tcPr>
            <w:tcW w:w="754" w:type="dxa"/>
            <w:vAlign w:val="center"/>
          </w:tcPr>
          <w:p w14:paraId="709F2CC2">
            <w:pPr>
              <w:ind w:left="223" w:hanging="222" w:hangingChars="106"/>
              <w:jc w:val="center"/>
              <w:rPr>
                <w:color w:val="000000" w:themeColor="text1"/>
                <w:szCs w:val="21"/>
                <w14:textFill>
                  <w14:solidFill>
                    <w14:schemeClr w14:val="tx1"/>
                  </w14:solidFill>
                </w14:textFill>
              </w:rPr>
            </w:pPr>
          </w:p>
        </w:tc>
        <w:tc>
          <w:tcPr>
            <w:tcW w:w="1064" w:type="dxa"/>
            <w:vAlign w:val="center"/>
          </w:tcPr>
          <w:p w14:paraId="6E3C2964">
            <w:pPr>
              <w:ind w:left="223" w:hanging="222" w:hangingChars="106"/>
              <w:jc w:val="center"/>
              <w:rPr>
                <w:color w:val="000000" w:themeColor="text1"/>
                <w:szCs w:val="21"/>
                <w14:textFill>
                  <w14:solidFill>
                    <w14:schemeClr w14:val="tx1"/>
                  </w14:solidFill>
                </w14:textFill>
              </w:rPr>
            </w:pPr>
          </w:p>
        </w:tc>
        <w:tc>
          <w:tcPr>
            <w:tcW w:w="1064" w:type="dxa"/>
            <w:vAlign w:val="center"/>
          </w:tcPr>
          <w:p w14:paraId="0811C9AD">
            <w:pPr>
              <w:ind w:left="223" w:hanging="222" w:hangingChars="106"/>
              <w:jc w:val="center"/>
              <w:rPr>
                <w:color w:val="000000" w:themeColor="text1"/>
                <w:szCs w:val="21"/>
                <w14:textFill>
                  <w14:solidFill>
                    <w14:schemeClr w14:val="tx1"/>
                  </w14:solidFill>
                </w14:textFill>
              </w:rPr>
            </w:pPr>
          </w:p>
        </w:tc>
        <w:tc>
          <w:tcPr>
            <w:tcW w:w="1064" w:type="dxa"/>
            <w:vAlign w:val="center"/>
          </w:tcPr>
          <w:p w14:paraId="3E75168F">
            <w:pPr>
              <w:ind w:left="223" w:hanging="222" w:hangingChars="106"/>
              <w:jc w:val="center"/>
              <w:rPr>
                <w:color w:val="000000" w:themeColor="text1"/>
                <w:szCs w:val="21"/>
                <w14:textFill>
                  <w14:solidFill>
                    <w14:schemeClr w14:val="tx1"/>
                  </w14:solidFill>
                </w14:textFill>
              </w:rPr>
            </w:pPr>
          </w:p>
        </w:tc>
        <w:tc>
          <w:tcPr>
            <w:tcW w:w="689" w:type="dxa"/>
            <w:vAlign w:val="center"/>
          </w:tcPr>
          <w:p w14:paraId="4CB4E3ED">
            <w:pPr>
              <w:ind w:left="223" w:hanging="222" w:hangingChars="106"/>
              <w:jc w:val="center"/>
              <w:rPr>
                <w:color w:val="000000" w:themeColor="text1"/>
                <w:szCs w:val="21"/>
                <w14:textFill>
                  <w14:solidFill>
                    <w14:schemeClr w14:val="tx1"/>
                  </w14:solidFill>
                </w14:textFill>
              </w:rPr>
            </w:pPr>
          </w:p>
        </w:tc>
        <w:tc>
          <w:tcPr>
            <w:tcW w:w="1080" w:type="dxa"/>
            <w:vAlign w:val="center"/>
          </w:tcPr>
          <w:p w14:paraId="457FD887">
            <w:pPr>
              <w:ind w:left="223" w:hanging="222" w:hangingChars="106"/>
              <w:jc w:val="center"/>
              <w:rPr>
                <w:color w:val="000000" w:themeColor="text1"/>
                <w:szCs w:val="21"/>
                <w14:textFill>
                  <w14:solidFill>
                    <w14:schemeClr w14:val="tx1"/>
                  </w14:solidFill>
                </w14:textFill>
              </w:rPr>
            </w:pPr>
          </w:p>
        </w:tc>
        <w:tc>
          <w:tcPr>
            <w:tcW w:w="1184" w:type="dxa"/>
            <w:vAlign w:val="center"/>
          </w:tcPr>
          <w:p w14:paraId="65D81134">
            <w:pPr>
              <w:ind w:left="223" w:hanging="222" w:hangingChars="106"/>
              <w:jc w:val="center"/>
              <w:rPr>
                <w:color w:val="000000" w:themeColor="text1"/>
                <w:szCs w:val="21"/>
                <w14:textFill>
                  <w14:solidFill>
                    <w14:schemeClr w14:val="tx1"/>
                  </w14:solidFill>
                </w14:textFill>
              </w:rPr>
            </w:pPr>
          </w:p>
        </w:tc>
      </w:tr>
      <w:tr w14:paraId="0DA7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52" w:type="dxa"/>
            <w:vAlign w:val="center"/>
          </w:tcPr>
          <w:p w14:paraId="099C2289">
            <w:pPr>
              <w:pStyle w:val="173"/>
              <w:spacing w:line="240" w:lineRule="auto"/>
              <w:ind w:firstLine="0"/>
              <w:rPr>
                <w:rFonts w:hAnsi="宋体" w:cs="宋体"/>
                <w:color w:val="000000" w:themeColor="text1"/>
                <w:sz w:val="21"/>
                <w:szCs w:val="21"/>
                <w14:textFill>
                  <w14:solidFill>
                    <w14:schemeClr w14:val="tx1"/>
                  </w14:solidFill>
                </w14:textFill>
              </w:rPr>
            </w:pPr>
            <w:r>
              <w:rPr>
                <w:rFonts w:ascii="Times New Roman"/>
                <w:color w:val="000000" w:themeColor="text1"/>
                <w:sz w:val="21"/>
                <w:szCs w:val="21"/>
                <w:lang w:val="en-US"/>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技术负责人（项目总工）</w:t>
            </w:r>
          </w:p>
        </w:tc>
        <w:tc>
          <w:tcPr>
            <w:tcW w:w="619" w:type="dxa"/>
            <w:vAlign w:val="center"/>
          </w:tcPr>
          <w:p w14:paraId="52658F3E">
            <w:pPr>
              <w:ind w:left="223" w:hanging="222" w:hangingChars="106"/>
              <w:jc w:val="center"/>
              <w:rPr>
                <w:color w:val="000000" w:themeColor="text1"/>
                <w:szCs w:val="21"/>
                <w14:textFill>
                  <w14:solidFill>
                    <w14:schemeClr w14:val="tx1"/>
                  </w14:solidFill>
                </w14:textFill>
              </w:rPr>
            </w:pPr>
          </w:p>
        </w:tc>
        <w:tc>
          <w:tcPr>
            <w:tcW w:w="767" w:type="dxa"/>
            <w:vAlign w:val="center"/>
          </w:tcPr>
          <w:p w14:paraId="0A47ED4B">
            <w:pPr>
              <w:ind w:left="223" w:hanging="222" w:hangingChars="106"/>
              <w:jc w:val="center"/>
              <w:rPr>
                <w:color w:val="000000" w:themeColor="text1"/>
                <w:szCs w:val="21"/>
                <w14:textFill>
                  <w14:solidFill>
                    <w14:schemeClr w14:val="tx1"/>
                  </w14:solidFill>
                </w14:textFill>
              </w:rPr>
            </w:pPr>
          </w:p>
        </w:tc>
        <w:tc>
          <w:tcPr>
            <w:tcW w:w="754" w:type="dxa"/>
            <w:vAlign w:val="center"/>
          </w:tcPr>
          <w:p w14:paraId="7B023A8A">
            <w:pPr>
              <w:ind w:left="223" w:hanging="222" w:hangingChars="106"/>
              <w:jc w:val="center"/>
              <w:rPr>
                <w:color w:val="000000" w:themeColor="text1"/>
                <w:szCs w:val="21"/>
                <w14:textFill>
                  <w14:solidFill>
                    <w14:schemeClr w14:val="tx1"/>
                  </w14:solidFill>
                </w14:textFill>
              </w:rPr>
            </w:pPr>
          </w:p>
        </w:tc>
        <w:tc>
          <w:tcPr>
            <w:tcW w:w="1064" w:type="dxa"/>
            <w:vAlign w:val="center"/>
          </w:tcPr>
          <w:p w14:paraId="325965AD">
            <w:pPr>
              <w:ind w:left="223" w:hanging="222" w:hangingChars="106"/>
              <w:jc w:val="center"/>
              <w:rPr>
                <w:color w:val="000000" w:themeColor="text1"/>
                <w:szCs w:val="21"/>
                <w14:textFill>
                  <w14:solidFill>
                    <w14:schemeClr w14:val="tx1"/>
                  </w14:solidFill>
                </w14:textFill>
              </w:rPr>
            </w:pPr>
          </w:p>
        </w:tc>
        <w:tc>
          <w:tcPr>
            <w:tcW w:w="1064" w:type="dxa"/>
            <w:vAlign w:val="center"/>
          </w:tcPr>
          <w:p w14:paraId="335BAF5F">
            <w:pPr>
              <w:ind w:left="223" w:hanging="222" w:hangingChars="106"/>
              <w:jc w:val="center"/>
              <w:rPr>
                <w:color w:val="000000" w:themeColor="text1"/>
                <w:szCs w:val="21"/>
                <w14:textFill>
                  <w14:solidFill>
                    <w14:schemeClr w14:val="tx1"/>
                  </w14:solidFill>
                </w14:textFill>
              </w:rPr>
            </w:pPr>
          </w:p>
        </w:tc>
        <w:tc>
          <w:tcPr>
            <w:tcW w:w="1064" w:type="dxa"/>
            <w:vAlign w:val="center"/>
          </w:tcPr>
          <w:p w14:paraId="79D69438">
            <w:pPr>
              <w:ind w:left="223" w:hanging="222" w:hangingChars="106"/>
              <w:jc w:val="center"/>
              <w:rPr>
                <w:color w:val="000000" w:themeColor="text1"/>
                <w:szCs w:val="21"/>
                <w14:textFill>
                  <w14:solidFill>
                    <w14:schemeClr w14:val="tx1"/>
                  </w14:solidFill>
                </w14:textFill>
              </w:rPr>
            </w:pPr>
          </w:p>
        </w:tc>
        <w:tc>
          <w:tcPr>
            <w:tcW w:w="689" w:type="dxa"/>
            <w:vAlign w:val="center"/>
          </w:tcPr>
          <w:p w14:paraId="549523BF">
            <w:pPr>
              <w:ind w:left="223" w:hanging="222" w:hangingChars="106"/>
              <w:jc w:val="center"/>
              <w:rPr>
                <w:color w:val="000000" w:themeColor="text1"/>
                <w:szCs w:val="21"/>
                <w14:textFill>
                  <w14:solidFill>
                    <w14:schemeClr w14:val="tx1"/>
                  </w14:solidFill>
                </w14:textFill>
              </w:rPr>
            </w:pPr>
          </w:p>
        </w:tc>
        <w:tc>
          <w:tcPr>
            <w:tcW w:w="1080" w:type="dxa"/>
            <w:vAlign w:val="center"/>
          </w:tcPr>
          <w:p w14:paraId="09011303">
            <w:pPr>
              <w:ind w:left="223" w:hanging="222" w:hangingChars="106"/>
              <w:jc w:val="center"/>
              <w:rPr>
                <w:color w:val="000000" w:themeColor="text1"/>
                <w:szCs w:val="21"/>
                <w14:textFill>
                  <w14:solidFill>
                    <w14:schemeClr w14:val="tx1"/>
                  </w14:solidFill>
                </w14:textFill>
              </w:rPr>
            </w:pPr>
          </w:p>
        </w:tc>
        <w:tc>
          <w:tcPr>
            <w:tcW w:w="1184" w:type="dxa"/>
            <w:vAlign w:val="center"/>
          </w:tcPr>
          <w:p w14:paraId="4E5C37F4">
            <w:pPr>
              <w:ind w:left="223" w:hanging="222" w:hangingChars="106"/>
              <w:jc w:val="center"/>
              <w:rPr>
                <w:color w:val="000000" w:themeColor="text1"/>
                <w:szCs w:val="21"/>
                <w14:textFill>
                  <w14:solidFill>
                    <w14:schemeClr w14:val="tx1"/>
                  </w14:solidFill>
                </w14:textFill>
              </w:rPr>
            </w:pPr>
          </w:p>
        </w:tc>
      </w:tr>
      <w:tr w14:paraId="2A2E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1EFCB3DC">
            <w:pPr>
              <w:pStyle w:val="173"/>
              <w:spacing w:line="240" w:lineRule="auto"/>
              <w:ind w:firstLine="0"/>
              <w:rPr>
                <w:rFonts w:hAnsi="宋体" w:cs="宋体"/>
                <w:color w:val="000000" w:themeColor="text1"/>
                <w:sz w:val="21"/>
                <w:szCs w:val="21"/>
                <w14:textFill>
                  <w14:solidFill>
                    <w14:schemeClr w14:val="tx1"/>
                  </w14:solidFill>
                </w14:textFill>
              </w:rPr>
            </w:pPr>
            <w:r>
              <w:rPr>
                <w:rFonts w:ascii="Times New Roman"/>
                <w:color w:val="000000" w:themeColor="text1"/>
                <w:sz w:val="21"/>
                <w:szCs w:val="21"/>
                <w:lang w:val="en-US" w:eastAsia="en-US"/>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施工员</w:t>
            </w:r>
          </w:p>
        </w:tc>
        <w:tc>
          <w:tcPr>
            <w:tcW w:w="619" w:type="dxa"/>
            <w:vAlign w:val="center"/>
          </w:tcPr>
          <w:p w14:paraId="3406FA5D">
            <w:pPr>
              <w:ind w:left="223" w:hanging="222" w:hangingChars="106"/>
              <w:jc w:val="center"/>
              <w:rPr>
                <w:color w:val="000000" w:themeColor="text1"/>
                <w:szCs w:val="21"/>
                <w14:textFill>
                  <w14:solidFill>
                    <w14:schemeClr w14:val="tx1"/>
                  </w14:solidFill>
                </w14:textFill>
              </w:rPr>
            </w:pPr>
          </w:p>
        </w:tc>
        <w:tc>
          <w:tcPr>
            <w:tcW w:w="767" w:type="dxa"/>
            <w:vAlign w:val="center"/>
          </w:tcPr>
          <w:p w14:paraId="515DD108">
            <w:pPr>
              <w:ind w:left="223" w:hanging="222" w:hangingChars="106"/>
              <w:jc w:val="center"/>
              <w:rPr>
                <w:color w:val="000000" w:themeColor="text1"/>
                <w:szCs w:val="21"/>
                <w14:textFill>
                  <w14:solidFill>
                    <w14:schemeClr w14:val="tx1"/>
                  </w14:solidFill>
                </w14:textFill>
              </w:rPr>
            </w:pPr>
          </w:p>
        </w:tc>
        <w:tc>
          <w:tcPr>
            <w:tcW w:w="754" w:type="dxa"/>
            <w:vAlign w:val="center"/>
          </w:tcPr>
          <w:p w14:paraId="57598814">
            <w:pPr>
              <w:ind w:left="223" w:hanging="222" w:hangingChars="106"/>
              <w:jc w:val="center"/>
              <w:rPr>
                <w:color w:val="000000" w:themeColor="text1"/>
                <w:szCs w:val="21"/>
                <w14:textFill>
                  <w14:solidFill>
                    <w14:schemeClr w14:val="tx1"/>
                  </w14:solidFill>
                </w14:textFill>
              </w:rPr>
            </w:pPr>
          </w:p>
        </w:tc>
        <w:tc>
          <w:tcPr>
            <w:tcW w:w="1064" w:type="dxa"/>
            <w:vAlign w:val="center"/>
          </w:tcPr>
          <w:p w14:paraId="61F96620">
            <w:pPr>
              <w:ind w:left="223" w:hanging="222" w:hangingChars="106"/>
              <w:jc w:val="center"/>
              <w:rPr>
                <w:color w:val="000000" w:themeColor="text1"/>
                <w:szCs w:val="21"/>
                <w14:textFill>
                  <w14:solidFill>
                    <w14:schemeClr w14:val="tx1"/>
                  </w14:solidFill>
                </w14:textFill>
              </w:rPr>
            </w:pPr>
          </w:p>
        </w:tc>
        <w:tc>
          <w:tcPr>
            <w:tcW w:w="1064" w:type="dxa"/>
            <w:vAlign w:val="center"/>
          </w:tcPr>
          <w:p w14:paraId="0468E521">
            <w:pPr>
              <w:ind w:left="223" w:hanging="222" w:hangingChars="106"/>
              <w:jc w:val="center"/>
              <w:rPr>
                <w:color w:val="000000" w:themeColor="text1"/>
                <w:szCs w:val="21"/>
                <w14:textFill>
                  <w14:solidFill>
                    <w14:schemeClr w14:val="tx1"/>
                  </w14:solidFill>
                </w14:textFill>
              </w:rPr>
            </w:pPr>
          </w:p>
        </w:tc>
        <w:tc>
          <w:tcPr>
            <w:tcW w:w="1064" w:type="dxa"/>
            <w:vAlign w:val="center"/>
          </w:tcPr>
          <w:p w14:paraId="7BCA972C">
            <w:pPr>
              <w:ind w:left="223" w:hanging="222" w:hangingChars="106"/>
              <w:jc w:val="center"/>
              <w:rPr>
                <w:color w:val="000000" w:themeColor="text1"/>
                <w:szCs w:val="21"/>
                <w14:textFill>
                  <w14:solidFill>
                    <w14:schemeClr w14:val="tx1"/>
                  </w14:solidFill>
                </w14:textFill>
              </w:rPr>
            </w:pPr>
          </w:p>
        </w:tc>
        <w:tc>
          <w:tcPr>
            <w:tcW w:w="689" w:type="dxa"/>
            <w:vAlign w:val="center"/>
          </w:tcPr>
          <w:p w14:paraId="413657F5">
            <w:pPr>
              <w:ind w:left="223" w:hanging="222" w:hangingChars="106"/>
              <w:jc w:val="center"/>
              <w:rPr>
                <w:color w:val="000000" w:themeColor="text1"/>
                <w:szCs w:val="21"/>
                <w14:textFill>
                  <w14:solidFill>
                    <w14:schemeClr w14:val="tx1"/>
                  </w14:solidFill>
                </w14:textFill>
              </w:rPr>
            </w:pPr>
          </w:p>
        </w:tc>
        <w:tc>
          <w:tcPr>
            <w:tcW w:w="1080" w:type="dxa"/>
            <w:vAlign w:val="center"/>
          </w:tcPr>
          <w:p w14:paraId="37C0EDFA">
            <w:pPr>
              <w:ind w:left="223" w:hanging="222" w:hangingChars="106"/>
              <w:jc w:val="center"/>
              <w:rPr>
                <w:color w:val="000000" w:themeColor="text1"/>
                <w:szCs w:val="21"/>
                <w14:textFill>
                  <w14:solidFill>
                    <w14:schemeClr w14:val="tx1"/>
                  </w14:solidFill>
                </w14:textFill>
              </w:rPr>
            </w:pPr>
          </w:p>
        </w:tc>
        <w:tc>
          <w:tcPr>
            <w:tcW w:w="1184" w:type="dxa"/>
            <w:vAlign w:val="center"/>
          </w:tcPr>
          <w:p w14:paraId="0DB370F1">
            <w:pPr>
              <w:ind w:left="223" w:hanging="222" w:hangingChars="106"/>
              <w:jc w:val="center"/>
              <w:rPr>
                <w:color w:val="000000" w:themeColor="text1"/>
                <w:szCs w:val="21"/>
                <w14:textFill>
                  <w14:solidFill>
                    <w14:schemeClr w14:val="tx1"/>
                  </w14:solidFill>
                </w14:textFill>
              </w:rPr>
            </w:pPr>
          </w:p>
        </w:tc>
      </w:tr>
      <w:tr w14:paraId="5352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157D9B41">
            <w:pPr>
              <w:pStyle w:val="173"/>
              <w:spacing w:line="240" w:lineRule="auto"/>
              <w:ind w:firstLine="0"/>
              <w:rPr>
                <w:rFonts w:hAnsi="宋体" w:cs="宋体"/>
                <w:color w:val="000000" w:themeColor="text1"/>
                <w:sz w:val="21"/>
                <w:szCs w:val="21"/>
                <w14:textFill>
                  <w14:solidFill>
                    <w14:schemeClr w14:val="tx1"/>
                  </w14:solidFill>
                </w14:textFill>
              </w:rPr>
            </w:pPr>
            <w:r>
              <w:rPr>
                <w:rFonts w:ascii="Times New Roman"/>
                <w:color w:val="000000" w:themeColor="text1"/>
                <w:sz w:val="21"/>
                <w:szCs w:val="21"/>
                <w:lang w:val="en-US" w:eastAsia="en-US"/>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安全员</w:t>
            </w:r>
          </w:p>
        </w:tc>
        <w:tc>
          <w:tcPr>
            <w:tcW w:w="619" w:type="dxa"/>
            <w:vAlign w:val="center"/>
          </w:tcPr>
          <w:p w14:paraId="779D599A">
            <w:pPr>
              <w:ind w:left="223" w:hanging="222" w:hangingChars="106"/>
              <w:jc w:val="center"/>
              <w:rPr>
                <w:color w:val="000000" w:themeColor="text1"/>
                <w:szCs w:val="21"/>
                <w14:textFill>
                  <w14:solidFill>
                    <w14:schemeClr w14:val="tx1"/>
                  </w14:solidFill>
                </w14:textFill>
              </w:rPr>
            </w:pPr>
          </w:p>
        </w:tc>
        <w:tc>
          <w:tcPr>
            <w:tcW w:w="767" w:type="dxa"/>
            <w:vAlign w:val="center"/>
          </w:tcPr>
          <w:p w14:paraId="4F53080E">
            <w:pPr>
              <w:ind w:left="223" w:hanging="222" w:hangingChars="106"/>
              <w:jc w:val="center"/>
              <w:rPr>
                <w:color w:val="000000" w:themeColor="text1"/>
                <w:szCs w:val="21"/>
                <w14:textFill>
                  <w14:solidFill>
                    <w14:schemeClr w14:val="tx1"/>
                  </w14:solidFill>
                </w14:textFill>
              </w:rPr>
            </w:pPr>
          </w:p>
        </w:tc>
        <w:tc>
          <w:tcPr>
            <w:tcW w:w="754" w:type="dxa"/>
            <w:vAlign w:val="center"/>
          </w:tcPr>
          <w:p w14:paraId="341A3312">
            <w:pPr>
              <w:ind w:left="223" w:hanging="222" w:hangingChars="106"/>
              <w:jc w:val="center"/>
              <w:rPr>
                <w:color w:val="000000" w:themeColor="text1"/>
                <w:szCs w:val="21"/>
                <w14:textFill>
                  <w14:solidFill>
                    <w14:schemeClr w14:val="tx1"/>
                  </w14:solidFill>
                </w14:textFill>
              </w:rPr>
            </w:pPr>
          </w:p>
        </w:tc>
        <w:tc>
          <w:tcPr>
            <w:tcW w:w="1064" w:type="dxa"/>
            <w:vAlign w:val="center"/>
          </w:tcPr>
          <w:p w14:paraId="66B96806">
            <w:pPr>
              <w:ind w:left="223" w:hanging="222" w:hangingChars="106"/>
              <w:jc w:val="center"/>
              <w:rPr>
                <w:color w:val="000000" w:themeColor="text1"/>
                <w:szCs w:val="21"/>
                <w14:textFill>
                  <w14:solidFill>
                    <w14:schemeClr w14:val="tx1"/>
                  </w14:solidFill>
                </w14:textFill>
              </w:rPr>
            </w:pPr>
          </w:p>
        </w:tc>
        <w:tc>
          <w:tcPr>
            <w:tcW w:w="1064" w:type="dxa"/>
            <w:vAlign w:val="center"/>
          </w:tcPr>
          <w:p w14:paraId="27EB0F7F">
            <w:pPr>
              <w:ind w:left="223" w:hanging="222" w:hangingChars="106"/>
              <w:jc w:val="center"/>
              <w:rPr>
                <w:color w:val="000000" w:themeColor="text1"/>
                <w:szCs w:val="21"/>
                <w14:textFill>
                  <w14:solidFill>
                    <w14:schemeClr w14:val="tx1"/>
                  </w14:solidFill>
                </w14:textFill>
              </w:rPr>
            </w:pPr>
          </w:p>
        </w:tc>
        <w:tc>
          <w:tcPr>
            <w:tcW w:w="1064" w:type="dxa"/>
            <w:vAlign w:val="center"/>
          </w:tcPr>
          <w:p w14:paraId="00BFC864">
            <w:pPr>
              <w:ind w:left="223" w:hanging="222" w:hangingChars="106"/>
              <w:jc w:val="center"/>
              <w:rPr>
                <w:color w:val="000000" w:themeColor="text1"/>
                <w:szCs w:val="21"/>
                <w14:textFill>
                  <w14:solidFill>
                    <w14:schemeClr w14:val="tx1"/>
                  </w14:solidFill>
                </w14:textFill>
              </w:rPr>
            </w:pPr>
          </w:p>
        </w:tc>
        <w:tc>
          <w:tcPr>
            <w:tcW w:w="689" w:type="dxa"/>
            <w:vAlign w:val="center"/>
          </w:tcPr>
          <w:p w14:paraId="0BE4699F">
            <w:pPr>
              <w:ind w:left="223" w:hanging="222" w:hangingChars="106"/>
              <w:jc w:val="center"/>
              <w:rPr>
                <w:color w:val="000000" w:themeColor="text1"/>
                <w:szCs w:val="21"/>
                <w14:textFill>
                  <w14:solidFill>
                    <w14:schemeClr w14:val="tx1"/>
                  </w14:solidFill>
                </w14:textFill>
              </w:rPr>
            </w:pPr>
          </w:p>
        </w:tc>
        <w:tc>
          <w:tcPr>
            <w:tcW w:w="1080" w:type="dxa"/>
            <w:vAlign w:val="center"/>
          </w:tcPr>
          <w:p w14:paraId="13E68B94">
            <w:pPr>
              <w:ind w:left="223" w:hanging="222" w:hangingChars="106"/>
              <w:jc w:val="center"/>
              <w:rPr>
                <w:color w:val="000000" w:themeColor="text1"/>
                <w:szCs w:val="21"/>
                <w14:textFill>
                  <w14:solidFill>
                    <w14:schemeClr w14:val="tx1"/>
                  </w14:solidFill>
                </w14:textFill>
              </w:rPr>
            </w:pPr>
          </w:p>
        </w:tc>
        <w:tc>
          <w:tcPr>
            <w:tcW w:w="1184" w:type="dxa"/>
            <w:vAlign w:val="center"/>
          </w:tcPr>
          <w:p w14:paraId="3EF888D2">
            <w:pPr>
              <w:ind w:left="223" w:hanging="222" w:hangingChars="106"/>
              <w:jc w:val="center"/>
              <w:rPr>
                <w:color w:val="000000" w:themeColor="text1"/>
                <w:szCs w:val="21"/>
                <w14:textFill>
                  <w14:solidFill>
                    <w14:schemeClr w14:val="tx1"/>
                  </w14:solidFill>
                </w14:textFill>
              </w:rPr>
            </w:pPr>
          </w:p>
        </w:tc>
      </w:tr>
      <w:tr w14:paraId="3BD8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7E0AA59D">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质量员</w:t>
            </w:r>
          </w:p>
        </w:tc>
        <w:tc>
          <w:tcPr>
            <w:tcW w:w="619" w:type="dxa"/>
            <w:vAlign w:val="center"/>
          </w:tcPr>
          <w:p w14:paraId="5C5806E6">
            <w:pPr>
              <w:ind w:left="223" w:hanging="222" w:hangingChars="106"/>
              <w:jc w:val="center"/>
              <w:rPr>
                <w:color w:val="000000" w:themeColor="text1"/>
                <w:szCs w:val="21"/>
                <w14:textFill>
                  <w14:solidFill>
                    <w14:schemeClr w14:val="tx1"/>
                  </w14:solidFill>
                </w14:textFill>
              </w:rPr>
            </w:pPr>
          </w:p>
        </w:tc>
        <w:tc>
          <w:tcPr>
            <w:tcW w:w="767" w:type="dxa"/>
            <w:vAlign w:val="center"/>
          </w:tcPr>
          <w:p w14:paraId="3C66BC56">
            <w:pPr>
              <w:ind w:left="223" w:hanging="222" w:hangingChars="106"/>
              <w:jc w:val="center"/>
              <w:rPr>
                <w:color w:val="000000" w:themeColor="text1"/>
                <w:szCs w:val="21"/>
                <w14:textFill>
                  <w14:solidFill>
                    <w14:schemeClr w14:val="tx1"/>
                  </w14:solidFill>
                </w14:textFill>
              </w:rPr>
            </w:pPr>
          </w:p>
        </w:tc>
        <w:tc>
          <w:tcPr>
            <w:tcW w:w="754" w:type="dxa"/>
            <w:vAlign w:val="center"/>
          </w:tcPr>
          <w:p w14:paraId="5B244845">
            <w:pPr>
              <w:ind w:left="223" w:hanging="222" w:hangingChars="106"/>
              <w:jc w:val="center"/>
              <w:rPr>
                <w:color w:val="000000" w:themeColor="text1"/>
                <w:szCs w:val="21"/>
                <w14:textFill>
                  <w14:solidFill>
                    <w14:schemeClr w14:val="tx1"/>
                  </w14:solidFill>
                </w14:textFill>
              </w:rPr>
            </w:pPr>
          </w:p>
        </w:tc>
        <w:tc>
          <w:tcPr>
            <w:tcW w:w="1064" w:type="dxa"/>
            <w:vAlign w:val="center"/>
          </w:tcPr>
          <w:p w14:paraId="355B6AD6">
            <w:pPr>
              <w:ind w:left="223" w:hanging="222" w:hangingChars="106"/>
              <w:jc w:val="center"/>
              <w:rPr>
                <w:color w:val="000000" w:themeColor="text1"/>
                <w:szCs w:val="21"/>
                <w14:textFill>
                  <w14:solidFill>
                    <w14:schemeClr w14:val="tx1"/>
                  </w14:solidFill>
                </w14:textFill>
              </w:rPr>
            </w:pPr>
          </w:p>
        </w:tc>
        <w:tc>
          <w:tcPr>
            <w:tcW w:w="1064" w:type="dxa"/>
            <w:vAlign w:val="center"/>
          </w:tcPr>
          <w:p w14:paraId="5FF11F4D">
            <w:pPr>
              <w:ind w:left="223" w:hanging="222" w:hangingChars="106"/>
              <w:jc w:val="center"/>
              <w:rPr>
                <w:color w:val="000000" w:themeColor="text1"/>
                <w:szCs w:val="21"/>
                <w14:textFill>
                  <w14:solidFill>
                    <w14:schemeClr w14:val="tx1"/>
                  </w14:solidFill>
                </w14:textFill>
              </w:rPr>
            </w:pPr>
          </w:p>
        </w:tc>
        <w:tc>
          <w:tcPr>
            <w:tcW w:w="1064" w:type="dxa"/>
            <w:vAlign w:val="center"/>
          </w:tcPr>
          <w:p w14:paraId="5845619D">
            <w:pPr>
              <w:ind w:left="223" w:hanging="222" w:hangingChars="106"/>
              <w:jc w:val="center"/>
              <w:rPr>
                <w:color w:val="000000" w:themeColor="text1"/>
                <w:szCs w:val="21"/>
                <w14:textFill>
                  <w14:solidFill>
                    <w14:schemeClr w14:val="tx1"/>
                  </w14:solidFill>
                </w14:textFill>
              </w:rPr>
            </w:pPr>
          </w:p>
        </w:tc>
        <w:tc>
          <w:tcPr>
            <w:tcW w:w="689" w:type="dxa"/>
            <w:vAlign w:val="center"/>
          </w:tcPr>
          <w:p w14:paraId="39E1B269">
            <w:pPr>
              <w:ind w:left="223" w:hanging="222" w:hangingChars="106"/>
              <w:jc w:val="center"/>
              <w:rPr>
                <w:color w:val="000000" w:themeColor="text1"/>
                <w:szCs w:val="21"/>
                <w14:textFill>
                  <w14:solidFill>
                    <w14:schemeClr w14:val="tx1"/>
                  </w14:solidFill>
                </w14:textFill>
              </w:rPr>
            </w:pPr>
          </w:p>
        </w:tc>
        <w:tc>
          <w:tcPr>
            <w:tcW w:w="1080" w:type="dxa"/>
            <w:vAlign w:val="center"/>
          </w:tcPr>
          <w:p w14:paraId="4C35DEAF">
            <w:pPr>
              <w:ind w:left="223" w:hanging="222" w:hangingChars="106"/>
              <w:jc w:val="center"/>
              <w:rPr>
                <w:color w:val="000000" w:themeColor="text1"/>
                <w:szCs w:val="21"/>
                <w14:textFill>
                  <w14:solidFill>
                    <w14:schemeClr w14:val="tx1"/>
                  </w14:solidFill>
                </w14:textFill>
              </w:rPr>
            </w:pPr>
          </w:p>
        </w:tc>
        <w:tc>
          <w:tcPr>
            <w:tcW w:w="1184" w:type="dxa"/>
            <w:vAlign w:val="center"/>
          </w:tcPr>
          <w:p w14:paraId="15199A2E">
            <w:pPr>
              <w:ind w:left="223" w:hanging="222" w:hangingChars="106"/>
              <w:jc w:val="center"/>
              <w:rPr>
                <w:color w:val="000000" w:themeColor="text1"/>
                <w:szCs w:val="21"/>
                <w14:textFill>
                  <w14:solidFill>
                    <w14:schemeClr w14:val="tx1"/>
                  </w14:solidFill>
                </w14:textFill>
              </w:rPr>
            </w:pPr>
          </w:p>
        </w:tc>
      </w:tr>
      <w:tr w14:paraId="68E3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62F79DDC">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材料员</w:t>
            </w:r>
          </w:p>
        </w:tc>
        <w:tc>
          <w:tcPr>
            <w:tcW w:w="619" w:type="dxa"/>
            <w:vAlign w:val="center"/>
          </w:tcPr>
          <w:p w14:paraId="6D51D6EB">
            <w:pPr>
              <w:ind w:left="223" w:hanging="222" w:hangingChars="106"/>
              <w:jc w:val="center"/>
              <w:rPr>
                <w:color w:val="000000" w:themeColor="text1"/>
                <w:szCs w:val="21"/>
                <w14:textFill>
                  <w14:solidFill>
                    <w14:schemeClr w14:val="tx1"/>
                  </w14:solidFill>
                </w14:textFill>
              </w:rPr>
            </w:pPr>
          </w:p>
        </w:tc>
        <w:tc>
          <w:tcPr>
            <w:tcW w:w="767" w:type="dxa"/>
            <w:vAlign w:val="center"/>
          </w:tcPr>
          <w:p w14:paraId="50FD4D35">
            <w:pPr>
              <w:ind w:left="223" w:hanging="222" w:hangingChars="106"/>
              <w:jc w:val="center"/>
              <w:rPr>
                <w:color w:val="000000" w:themeColor="text1"/>
                <w:szCs w:val="21"/>
                <w14:textFill>
                  <w14:solidFill>
                    <w14:schemeClr w14:val="tx1"/>
                  </w14:solidFill>
                </w14:textFill>
              </w:rPr>
            </w:pPr>
          </w:p>
        </w:tc>
        <w:tc>
          <w:tcPr>
            <w:tcW w:w="754" w:type="dxa"/>
            <w:vAlign w:val="center"/>
          </w:tcPr>
          <w:p w14:paraId="7D27A60F">
            <w:pPr>
              <w:ind w:left="223" w:hanging="222" w:hangingChars="106"/>
              <w:jc w:val="center"/>
              <w:rPr>
                <w:color w:val="000000" w:themeColor="text1"/>
                <w:szCs w:val="21"/>
                <w14:textFill>
                  <w14:solidFill>
                    <w14:schemeClr w14:val="tx1"/>
                  </w14:solidFill>
                </w14:textFill>
              </w:rPr>
            </w:pPr>
          </w:p>
        </w:tc>
        <w:tc>
          <w:tcPr>
            <w:tcW w:w="1064" w:type="dxa"/>
            <w:vAlign w:val="center"/>
          </w:tcPr>
          <w:p w14:paraId="1E7BFE41">
            <w:pPr>
              <w:ind w:left="223" w:hanging="222" w:hangingChars="106"/>
              <w:jc w:val="center"/>
              <w:rPr>
                <w:color w:val="000000" w:themeColor="text1"/>
                <w:szCs w:val="21"/>
                <w14:textFill>
                  <w14:solidFill>
                    <w14:schemeClr w14:val="tx1"/>
                  </w14:solidFill>
                </w14:textFill>
              </w:rPr>
            </w:pPr>
          </w:p>
        </w:tc>
        <w:tc>
          <w:tcPr>
            <w:tcW w:w="1064" w:type="dxa"/>
            <w:vAlign w:val="center"/>
          </w:tcPr>
          <w:p w14:paraId="59B03EA3">
            <w:pPr>
              <w:ind w:left="223" w:hanging="222" w:hangingChars="106"/>
              <w:jc w:val="center"/>
              <w:rPr>
                <w:color w:val="000000" w:themeColor="text1"/>
                <w:szCs w:val="21"/>
                <w14:textFill>
                  <w14:solidFill>
                    <w14:schemeClr w14:val="tx1"/>
                  </w14:solidFill>
                </w14:textFill>
              </w:rPr>
            </w:pPr>
          </w:p>
        </w:tc>
        <w:tc>
          <w:tcPr>
            <w:tcW w:w="1064" w:type="dxa"/>
            <w:vAlign w:val="center"/>
          </w:tcPr>
          <w:p w14:paraId="407CF985">
            <w:pPr>
              <w:ind w:left="223" w:hanging="222" w:hangingChars="106"/>
              <w:jc w:val="center"/>
              <w:rPr>
                <w:color w:val="000000" w:themeColor="text1"/>
                <w:szCs w:val="21"/>
                <w14:textFill>
                  <w14:solidFill>
                    <w14:schemeClr w14:val="tx1"/>
                  </w14:solidFill>
                </w14:textFill>
              </w:rPr>
            </w:pPr>
          </w:p>
        </w:tc>
        <w:tc>
          <w:tcPr>
            <w:tcW w:w="689" w:type="dxa"/>
            <w:vAlign w:val="center"/>
          </w:tcPr>
          <w:p w14:paraId="4BBD36A7">
            <w:pPr>
              <w:ind w:left="223" w:hanging="222" w:hangingChars="106"/>
              <w:jc w:val="center"/>
              <w:rPr>
                <w:color w:val="000000" w:themeColor="text1"/>
                <w:szCs w:val="21"/>
                <w14:textFill>
                  <w14:solidFill>
                    <w14:schemeClr w14:val="tx1"/>
                  </w14:solidFill>
                </w14:textFill>
              </w:rPr>
            </w:pPr>
          </w:p>
        </w:tc>
        <w:tc>
          <w:tcPr>
            <w:tcW w:w="1080" w:type="dxa"/>
            <w:vAlign w:val="center"/>
          </w:tcPr>
          <w:p w14:paraId="12453D97">
            <w:pPr>
              <w:ind w:left="223" w:hanging="222" w:hangingChars="106"/>
              <w:jc w:val="center"/>
              <w:rPr>
                <w:color w:val="000000" w:themeColor="text1"/>
                <w:szCs w:val="21"/>
                <w14:textFill>
                  <w14:solidFill>
                    <w14:schemeClr w14:val="tx1"/>
                  </w14:solidFill>
                </w14:textFill>
              </w:rPr>
            </w:pPr>
          </w:p>
        </w:tc>
        <w:tc>
          <w:tcPr>
            <w:tcW w:w="1184" w:type="dxa"/>
            <w:vAlign w:val="center"/>
          </w:tcPr>
          <w:p w14:paraId="114A9DE1">
            <w:pPr>
              <w:ind w:left="223" w:hanging="222" w:hangingChars="106"/>
              <w:jc w:val="center"/>
              <w:rPr>
                <w:color w:val="000000" w:themeColor="text1"/>
                <w:szCs w:val="21"/>
                <w14:textFill>
                  <w14:solidFill>
                    <w14:schemeClr w14:val="tx1"/>
                  </w14:solidFill>
                </w14:textFill>
              </w:rPr>
            </w:pPr>
          </w:p>
        </w:tc>
      </w:tr>
      <w:tr w14:paraId="35F5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vAlign w:val="center"/>
          </w:tcPr>
          <w:p w14:paraId="539F4411">
            <w:pPr>
              <w:ind w:left="223" w:hanging="222" w:hangingChars="106"/>
              <w:jc w:val="center"/>
              <w:rPr>
                <w:color w:val="000000" w:themeColor="text1"/>
                <w:szCs w:val="21"/>
                <w14:textFill>
                  <w14:solidFill>
                    <w14:schemeClr w14:val="tx1"/>
                  </w14:solidFill>
                </w14:textFill>
              </w:rPr>
            </w:pPr>
          </w:p>
        </w:tc>
        <w:tc>
          <w:tcPr>
            <w:tcW w:w="619" w:type="dxa"/>
            <w:vAlign w:val="center"/>
          </w:tcPr>
          <w:p w14:paraId="253F3AE6">
            <w:pPr>
              <w:ind w:left="223" w:hanging="222" w:hangingChars="106"/>
              <w:jc w:val="center"/>
              <w:rPr>
                <w:color w:val="000000" w:themeColor="text1"/>
                <w:szCs w:val="21"/>
                <w14:textFill>
                  <w14:solidFill>
                    <w14:schemeClr w14:val="tx1"/>
                  </w14:solidFill>
                </w14:textFill>
              </w:rPr>
            </w:pPr>
          </w:p>
        </w:tc>
        <w:tc>
          <w:tcPr>
            <w:tcW w:w="767" w:type="dxa"/>
            <w:vAlign w:val="center"/>
          </w:tcPr>
          <w:p w14:paraId="2FE72FC4">
            <w:pPr>
              <w:ind w:left="223" w:hanging="222" w:hangingChars="106"/>
              <w:jc w:val="center"/>
              <w:rPr>
                <w:color w:val="000000" w:themeColor="text1"/>
                <w:szCs w:val="21"/>
                <w14:textFill>
                  <w14:solidFill>
                    <w14:schemeClr w14:val="tx1"/>
                  </w14:solidFill>
                </w14:textFill>
              </w:rPr>
            </w:pPr>
          </w:p>
        </w:tc>
        <w:tc>
          <w:tcPr>
            <w:tcW w:w="754" w:type="dxa"/>
            <w:vAlign w:val="center"/>
          </w:tcPr>
          <w:p w14:paraId="0315040C">
            <w:pPr>
              <w:ind w:left="223" w:hanging="222" w:hangingChars="106"/>
              <w:jc w:val="center"/>
              <w:rPr>
                <w:color w:val="000000" w:themeColor="text1"/>
                <w:szCs w:val="21"/>
                <w14:textFill>
                  <w14:solidFill>
                    <w14:schemeClr w14:val="tx1"/>
                  </w14:solidFill>
                </w14:textFill>
              </w:rPr>
            </w:pPr>
          </w:p>
        </w:tc>
        <w:tc>
          <w:tcPr>
            <w:tcW w:w="1064" w:type="dxa"/>
            <w:vAlign w:val="center"/>
          </w:tcPr>
          <w:p w14:paraId="03D644B6">
            <w:pPr>
              <w:ind w:left="223" w:hanging="222" w:hangingChars="106"/>
              <w:jc w:val="center"/>
              <w:rPr>
                <w:color w:val="000000" w:themeColor="text1"/>
                <w:szCs w:val="21"/>
                <w14:textFill>
                  <w14:solidFill>
                    <w14:schemeClr w14:val="tx1"/>
                  </w14:solidFill>
                </w14:textFill>
              </w:rPr>
            </w:pPr>
          </w:p>
        </w:tc>
        <w:tc>
          <w:tcPr>
            <w:tcW w:w="1064" w:type="dxa"/>
            <w:vAlign w:val="center"/>
          </w:tcPr>
          <w:p w14:paraId="29231774">
            <w:pPr>
              <w:ind w:left="223" w:hanging="222" w:hangingChars="106"/>
              <w:jc w:val="center"/>
              <w:rPr>
                <w:color w:val="000000" w:themeColor="text1"/>
                <w:szCs w:val="21"/>
                <w14:textFill>
                  <w14:solidFill>
                    <w14:schemeClr w14:val="tx1"/>
                  </w14:solidFill>
                </w14:textFill>
              </w:rPr>
            </w:pPr>
          </w:p>
        </w:tc>
        <w:tc>
          <w:tcPr>
            <w:tcW w:w="1064" w:type="dxa"/>
            <w:vAlign w:val="center"/>
          </w:tcPr>
          <w:p w14:paraId="689CEBD3">
            <w:pPr>
              <w:ind w:left="223" w:hanging="222" w:hangingChars="106"/>
              <w:jc w:val="center"/>
              <w:rPr>
                <w:color w:val="000000" w:themeColor="text1"/>
                <w:szCs w:val="21"/>
                <w14:textFill>
                  <w14:solidFill>
                    <w14:schemeClr w14:val="tx1"/>
                  </w14:solidFill>
                </w14:textFill>
              </w:rPr>
            </w:pPr>
          </w:p>
        </w:tc>
        <w:tc>
          <w:tcPr>
            <w:tcW w:w="689" w:type="dxa"/>
            <w:vAlign w:val="center"/>
          </w:tcPr>
          <w:p w14:paraId="451D3A83">
            <w:pPr>
              <w:ind w:left="223" w:hanging="222" w:hangingChars="106"/>
              <w:jc w:val="center"/>
              <w:rPr>
                <w:color w:val="000000" w:themeColor="text1"/>
                <w:szCs w:val="21"/>
                <w14:textFill>
                  <w14:solidFill>
                    <w14:schemeClr w14:val="tx1"/>
                  </w14:solidFill>
                </w14:textFill>
              </w:rPr>
            </w:pPr>
          </w:p>
        </w:tc>
        <w:tc>
          <w:tcPr>
            <w:tcW w:w="1080" w:type="dxa"/>
            <w:vAlign w:val="center"/>
          </w:tcPr>
          <w:p w14:paraId="77947E13">
            <w:pPr>
              <w:ind w:left="223" w:hanging="222" w:hangingChars="106"/>
              <w:jc w:val="center"/>
              <w:rPr>
                <w:color w:val="000000" w:themeColor="text1"/>
                <w:szCs w:val="21"/>
                <w14:textFill>
                  <w14:solidFill>
                    <w14:schemeClr w14:val="tx1"/>
                  </w14:solidFill>
                </w14:textFill>
              </w:rPr>
            </w:pPr>
          </w:p>
        </w:tc>
        <w:tc>
          <w:tcPr>
            <w:tcW w:w="1184" w:type="dxa"/>
            <w:vAlign w:val="center"/>
          </w:tcPr>
          <w:p w14:paraId="0953DB13">
            <w:pPr>
              <w:ind w:left="223" w:hanging="222" w:hangingChars="106"/>
              <w:jc w:val="center"/>
              <w:rPr>
                <w:color w:val="000000" w:themeColor="text1"/>
                <w:szCs w:val="21"/>
                <w14:textFill>
                  <w14:solidFill>
                    <w14:schemeClr w14:val="tx1"/>
                  </w14:solidFill>
                </w14:textFill>
              </w:rPr>
            </w:pPr>
          </w:p>
        </w:tc>
      </w:tr>
      <w:tr w14:paraId="7DC7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137" w:type="dxa"/>
            <w:gridSpan w:val="10"/>
            <w:vAlign w:val="center"/>
          </w:tcPr>
          <w:p w14:paraId="3341CE86">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3D8B54BF">
      <w:pPr>
        <w:spacing w:line="360" w:lineRule="auto"/>
        <w:contextualSpacing/>
        <w:jc w:val="left"/>
        <w:rPr>
          <w:rFonts w:asci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备注：</w:t>
      </w:r>
    </w:p>
    <w:p w14:paraId="3DCB4D45">
      <w:pPr>
        <w:spacing w:line="360" w:lineRule="auto"/>
        <w:ind w:firstLine="480" w:firstLineChars="200"/>
        <w:contextualSpacing/>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asci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本表所列岗位的所有管理人员的情况均应如实填写。可按以上格式扩展为多页填写。</w:t>
      </w:r>
    </w:p>
    <w:p w14:paraId="24E1FF2B">
      <w:pPr>
        <w:spacing w:line="360" w:lineRule="auto"/>
        <w:ind w:firstLine="480" w:firstLineChars="200"/>
        <w:contextualSpacing/>
        <w:jc w:val="left"/>
        <w:rPr>
          <w:rFonts w:asci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w:t>
      </w:r>
      <w:r>
        <w:rPr>
          <w:rFonts w:asci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供应商应当在本表后附所有管理人员的身份证、职称证</w:t>
      </w:r>
      <w:r>
        <w:rPr>
          <w:rFonts w:hint="eastAsia" w:ascii="宋体" w:hAnsi="宋体"/>
          <w:color w:val="000000" w:themeColor="text1"/>
          <w:sz w:val="24"/>
          <w:szCs w:val="20"/>
          <w:lang w:eastAsia="zh-CN"/>
          <w14:textFill>
            <w14:solidFill>
              <w14:schemeClr w14:val="tx1"/>
            </w14:solidFill>
          </w14:textFill>
        </w:rPr>
        <w:t>（</w:t>
      </w:r>
      <w:r>
        <w:rPr>
          <w:rFonts w:hint="eastAsia" w:ascii="宋体" w:hAnsi="宋体"/>
          <w:color w:val="000000" w:themeColor="text1"/>
          <w:sz w:val="24"/>
          <w:szCs w:val="20"/>
          <w:lang w:val="en-US" w:eastAsia="zh-CN"/>
          <w14:textFill>
            <w14:solidFill>
              <w14:schemeClr w14:val="tx1"/>
            </w14:solidFill>
          </w14:textFill>
        </w:rPr>
        <w:t>如有</w:t>
      </w:r>
      <w:r>
        <w:rPr>
          <w:rFonts w:hint="eastAsia" w:ascii="宋体" w:hAnsi="宋体"/>
          <w:color w:val="000000" w:themeColor="text1"/>
          <w:sz w:val="24"/>
          <w:szCs w:val="20"/>
          <w:lang w:eastAsia="zh-CN"/>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、执业或职业资格证书</w:t>
      </w:r>
      <w:r>
        <w:rPr>
          <w:rFonts w:hint="eastAsia" w:ascii="宋体" w:hAnsi="宋体"/>
          <w:color w:val="auto"/>
          <w:sz w:val="24"/>
          <w:szCs w:val="20"/>
        </w:rPr>
        <w:t>、依法缴纳社会保险的证明材料的复印</w:t>
      </w:r>
      <w:r>
        <w:rPr>
          <w:rFonts w:hint="eastAsia" w:ascii="宋体" w:hAnsi="宋体"/>
          <w:color w:val="000000" w:themeColor="text1"/>
          <w:sz w:val="24"/>
          <w:szCs w:val="20"/>
          <w14:textFill>
            <w14:solidFill>
              <w14:schemeClr w14:val="tx1"/>
            </w14:solidFill>
          </w14:textFill>
        </w:rPr>
        <w:t>件并加盖供应商电子签章。</w:t>
      </w:r>
    </w:p>
    <w:p w14:paraId="7A3755CA">
      <w:pPr>
        <w:spacing w:line="360" w:lineRule="auto"/>
        <w:ind w:firstLine="480" w:firstLineChars="200"/>
        <w:contextualSpacing/>
        <w:rPr>
          <w:rFonts w:asci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14:textFill>
            <w14:solidFill>
              <w14:schemeClr w14:val="tx1"/>
            </w14:solidFill>
          </w14:textFill>
        </w:rPr>
        <w:t>签字：</w:t>
      </w:r>
    </w:p>
    <w:p w14:paraId="4FC5AE63">
      <w:pPr>
        <w:spacing w:line="360" w:lineRule="auto"/>
        <w:ind w:firstLine="560" w:firstLineChars="200"/>
        <w:contextualSpacing/>
        <w:jc w:val="left"/>
        <w:rPr>
          <w:rFonts w:asci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供应商（电子签章）：日期：</w:t>
      </w:r>
    </w:p>
    <w:p w14:paraId="44B75715">
      <w:pPr>
        <w:spacing w:line="360" w:lineRule="auto"/>
        <w:jc w:val="center"/>
        <w:rPr>
          <w:rFonts w:ascii="宋体"/>
          <w:b/>
          <w:color w:val="000000" w:themeColor="text1"/>
          <w:sz w:val="32"/>
          <w:szCs w:val="32"/>
          <w14:textFill>
            <w14:solidFill>
              <w14:schemeClr w14:val="tx1"/>
            </w14:solidFill>
          </w14:textFill>
        </w:rPr>
      </w:pPr>
      <w:r>
        <w:rPr>
          <w:rFonts w:asci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（二）拟投入的主要人员简历表</w:t>
      </w:r>
    </w:p>
    <w:p w14:paraId="526900B0">
      <w:pPr>
        <w:spacing w:line="360" w:lineRule="auto"/>
        <w:ind w:firstLine="643" w:firstLineChars="200"/>
        <w:jc w:val="center"/>
        <w:rPr>
          <w:color w:val="000000" w:themeColor="text1"/>
          <w:u w:val="single"/>
          <w14:textFill>
            <w14:solidFill>
              <w14:schemeClr w14:val="tx1"/>
            </w14:solidFill>
          </w14:textFill>
        </w:rPr>
      </w:pPr>
      <w:r>
        <w:rPr>
          <w:rFonts w:hint="eastAsia" w:cs="宋体"/>
          <w:b/>
          <w:color w:val="000000" w:themeColor="text1"/>
          <w:sz w:val="32"/>
          <w:szCs w:val="32"/>
          <w14:textFill>
            <w14:solidFill>
              <w14:schemeClr w14:val="tx1"/>
            </w14:solidFill>
          </w14:textFill>
        </w:rPr>
        <w:t>项目经理简历表</w:t>
      </w:r>
    </w:p>
    <w:tbl>
      <w:tblPr>
        <w:tblStyle w:val="4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51"/>
        <w:gridCol w:w="366"/>
        <w:gridCol w:w="818"/>
        <w:gridCol w:w="620"/>
        <w:gridCol w:w="299"/>
        <w:gridCol w:w="216"/>
        <w:gridCol w:w="63"/>
        <w:gridCol w:w="1130"/>
        <w:gridCol w:w="123"/>
        <w:gridCol w:w="227"/>
        <w:gridCol w:w="1018"/>
        <w:gridCol w:w="72"/>
        <w:gridCol w:w="383"/>
        <w:gridCol w:w="1029"/>
        <w:gridCol w:w="41"/>
        <w:gridCol w:w="63"/>
        <w:gridCol w:w="1315"/>
        <w:gridCol w:w="11"/>
      </w:tblGrid>
      <w:tr w14:paraId="2D3D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3" w:type="dxa"/>
            <w:vAlign w:val="center"/>
          </w:tcPr>
          <w:p w14:paraId="3874F9E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154" w:type="dxa"/>
            <w:gridSpan w:val="5"/>
            <w:vAlign w:val="center"/>
          </w:tcPr>
          <w:p w14:paraId="6C13C855">
            <w:pPr>
              <w:jc w:val="center"/>
              <w:rPr>
                <w:color w:val="000000" w:themeColor="text1"/>
                <w14:textFill>
                  <w14:solidFill>
                    <w14:schemeClr w14:val="tx1"/>
                  </w14:solidFill>
                </w14:textFill>
              </w:rPr>
            </w:pPr>
          </w:p>
        </w:tc>
        <w:tc>
          <w:tcPr>
            <w:tcW w:w="1759" w:type="dxa"/>
            <w:gridSpan w:val="5"/>
            <w:vAlign w:val="center"/>
          </w:tcPr>
          <w:p w14:paraId="00E00EA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473" w:type="dxa"/>
            <w:gridSpan w:val="3"/>
            <w:vAlign w:val="center"/>
          </w:tcPr>
          <w:p w14:paraId="58332038">
            <w:pPr>
              <w:jc w:val="center"/>
              <w:rPr>
                <w:color w:val="000000" w:themeColor="text1"/>
                <w14:textFill>
                  <w14:solidFill>
                    <w14:schemeClr w14:val="tx1"/>
                  </w14:solidFill>
                </w14:textFill>
              </w:rPr>
            </w:pPr>
          </w:p>
        </w:tc>
        <w:tc>
          <w:tcPr>
            <w:tcW w:w="1029" w:type="dxa"/>
            <w:vAlign w:val="center"/>
          </w:tcPr>
          <w:p w14:paraId="4E66C692">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430" w:type="dxa"/>
            <w:gridSpan w:val="4"/>
            <w:vAlign w:val="center"/>
          </w:tcPr>
          <w:p w14:paraId="74B2D7E1">
            <w:pPr>
              <w:jc w:val="center"/>
              <w:rPr>
                <w:color w:val="000000" w:themeColor="text1"/>
                <w14:textFill>
                  <w14:solidFill>
                    <w14:schemeClr w14:val="tx1"/>
                  </w14:solidFill>
                </w14:textFill>
              </w:rPr>
            </w:pPr>
          </w:p>
        </w:tc>
      </w:tr>
      <w:tr w14:paraId="76A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3" w:type="dxa"/>
            <w:vAlign w:val="center"/>
          </w:tcPr>
          <w:p w14:paraId="363B378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154" w:type="dxa"/>
            <w:gridSpan w:val="5"/>
            <w:vAlign w:val="center"/>
          </w:tcPr>
          <w:p w14:paraId="185180F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项目经理</w:t>
            </w:r>
          </w:p>
        </w:tc>
        <w:tc>
          <w:tcPr>
            <w:tcW w:w="1759" w:type="dxa"/>
            <w:gridSpan w:val="5"/>
            <w:vAlign w:val="center"/>
          </w:tcPr>
          <w:p w14:paraId="0B8ECFC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473" w:type="dxa"/>
            <w:gridSpan w:val="3"/>
            <w:vAlign w:val="center"/>
          </w:tcPr>
          <w:p w14:paraId="443A0084">
            <w:pPr>
              <w:jc w:val="center"/>
              <w:rPr>
                <w:color w:val="000000" w:themeColor="text1"/>
                <w14:textFill>
                  <w14:solidFill>
                    <w14:schemeClr w14:val="tx1"/>
                  </w14:solidFill>
                </w14:textFill>
              </w:rPr>
            </w:pPr>
          </w:p>
        </w:tc>
        <w:tc>
          <w:tcPr>
            <w:tcW w:w="1029" w:type="dxa"/>
            <w:vAlign w:val="center"/>
          </w:tcPr>
          <w:p w14:paraId="7B73138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430" w:type="dxa"/>
            <w:gridSpan w:val="4"/>
            <w:vAlign w:val="center"/>
          </w:tcPr>
          <w:p w14:paraId="1E15C58D">
            <w:pPr>
              <w:jc w:val="center"/>
              <w:rPr>
                <w:color w:val="000000" w:themeColor="text1"/>
                <w14:textFill>
                  <w14:solidFill>
                    <w14:schemeClr w14:val="tx1"/>
                  </w14:solidFill>
                </w14:textFill>
              </w:rPr>
            </w:pPr>
          </w:p>
        </w:tc>
      </w:tr>
      <w:tr w14:paraId="55D8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3" w:type="dxa"/>
            <w:vAlign w:val="center"/>
          </w:tcPr>
          <w:p w14:paraId="389F9585">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154" w:type="dxa"/>
            <w:gridSpan w:val="5"/>
            <w:vAlign w:val="center"/>
          </w:tcPr>
          <w:p w14:paraId="7486E02E">
            <w:pPr>
              <w:jc w:val="center"/>
              <w:rPr>
                <w:color w:val="000000" w:themeColor="text1"/>
                <w14:textFill>
                  <w14:solidFill>
                    <w14:schemeClr w14:val="tx1"/>
                  </w14:solidFill>
                </w14:textFill>
              </w:rPr>
            </w:pPr>
          </w:p>
        </w:tc>
        <w:tc>
          <w:tcPr>
            <w:tcW w:w="1759" w:type="dxa"/>
            <w:gridSpan w:val="5"/>
            <w:vAlign w:val="center"/>
          </w:tcPr>
          <w:p w14:paraId="13C69F8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职称获得时间</w:t>
            </w:r>
          </w:p>
        </w:tc>
        <w:tc>
          <w:tcPr>
            <w:tcW w:w="1473" w:type="dxa"/>
            <w:gridSpan w:val="3"/>
            <w:vAlign w:val="center"/>
          </w:tcPr>
          <w:p w14:paraId="027244E1">
            <w:pPr>
              <w:jc w:val="center"/>
              <w:rPr>
                <w:color w:val="000000" w:themeColor="text1"/>
                <w14:textFill>
                  <w14:solidFill>
                    <w14:schemeClr w14:val="tx1"/>
                  </w14:solidFill>
                </w14:textFill>
              </w:rPr>
            </w:pPr>
          </w:p>
        </w:tc>
        <w:tc>
          <w:tcPr>
            <w:tcW w:w="1029" w:type="dxa"/>
            <w:vAlign w:val="center"/>
          </w:tcPr>
          <w:p w14:paraId="3F0A0A41">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430" w:type="dxa"/>
            <w:gridSpan w:val="4"/>
            <w:vAlign w:val="center"/>
          </w:tcPr>
          <w:p w14:paraId="3AA68EAA">
            <w:pPr>
              <w:jc w:val="center"/>
              <w:rPr>
                <w:color w:val="000000" w:themeColor="text1"/>
                <w14:textFill>
                  <w14:solidFill>
                    <w14:schemeClr w14:val="tx1"/>
                  </w14:solidFill>
                </w14:textFill>
              </w:rPr>
            </w:pPr>
          </w:p>
        </w:tc>
      </w:tr>
      <w:tr w14:paraId="6119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4" w:type="dxa"/>
            <w:gridSpan w:val="2"/>
            <w:vAlign w:val="center"/>
          </w:tcPr>
          <w:p w14:paraId="734B286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担任项目经理年限</w:t>
            </w:r>
          </w:p>
        </w:tc>
        <w:tc>
          <w:tcPr>
            <w:tcW w:w="2382" w:type="dxa"/>
            <w:gridSpan w:val="6"/>
            <w:vAlign w:val="center"/>
          </w:tcPr>
          <w:p w14:paraId="5BF19F83">
            <w:pPr>
              <w:jc w:val="center"/>
              <w:rPr>
                <w:color w:val="000000" w:themeColor="text1"/>
                <w14:textFill>
                  <w14:solidFill>
                    <w14:schemeClr w14:val="tx1"/>
                  </w14:solidFill>
                </w14:textFill>
              </w:rPr>
            </w:pPr>
          </w:p>
        </w:tc>
        <w:tc>
          <w:tcPr>
            <w:tcW w:w="1130" w:type="dxa"/>
            <w:vAlign w:val="center"/>
          </w:tcPr>
          <w:p w14:paraId="5D39763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4282" w:type="dxa"/>
            <w:gridSpan w:val="10"/>
            <w:vAlign w:val="center"/>
          </w:tcPr>
          <w:p w14:paraId="1AE5F414">
            <w:pPr>
              <w:jc w:val="center"/>
              <w:rPr>
                <w:color w:val="000000" w:themeColor="text1"/>
                <w14:textFill>
                  <w14:solidFill>
                    <w14:schemeClr w14:val="tx1"/>
                  </w14:solidFill>
                </w14:textFill>
              </w:rPr>
            </w:pPr>
          </w:p>
        </w:tc>
      </w:tr>
      <w:tr w14:paraId="542B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4" w:type="dxa"/>
            <w:gridSpan w:val="2"/>
            <w:vAlign w:val="center"/>
          </w:tcPr>
          <w:p w14:paraId="4BC53E3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184" w:type="dxa"/>
            <w:gridSpan w:val="2"/>
            <w:vAlign w:val="center"/>
          </w:tcPr>
          <w:p w14:paraId="629E848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135" w:type="dxa"/>
            <w:gridSpan w:val="3"/>
            <w:vAlign w:val="center"/>
          </w:tcPr>
          <w:p w14:paraId="6271C12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1316" w:type="dxa"/>
            <w:gridSpan w:val="3"/>
            <w:vAlign w:val="center"/>
          </w:tcPr>
          <w:p w14:paraId="45F1219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317" w:type="dxa"/>
            <w:gridSpan w:val="3"/>
            <w:vAlign w:val="center"/>
          </w:tcPr>
          <w:p w14:paraId="7DAF10F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516" w:type="dxa"/>
            <w:gridSpan w:val="4"/>
            <w:vAlign w:val="center"/>
          </w:tcPr>
          <w:p w14:paraId="1E97AB2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326" w:type="dxa"/>
            <w:gridSpan w:val="2"/>
            <w:vAlign w:val="center"/>
          </w:tcPr>
          <w:p w14:paraId="07A9E3A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684F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4" w:type="dxa"/>
            <w:gridSpan w:val="2"/>
            <w:vAlign w:val="center"/>
          </w:tcPr>
          <w:p w14:paraId="74FD216C">
            <w:pPr>
              <w:jc w:val="center"/>
              <w:rPr>
                <w:color w:val="000000" w:themeColor="text1"/>
                <w14:textFill>
                  <w14:solidFill>
                    <w14:schemeClr w14:val="tx1"/>
                  </w14:solidFill>
                </w14:textFill>
              </w:rPr>
            </w:pPr>
          </w:p>
        </w:tc>
        <w:tc>
          <w:tcPr>
            <w:tcW w:w="1184" w:type="dxa"/>
            <w:gridSpan w:val="2"/>
            <w:vAlign w:val="center"/>
          </w:tcPr>
          <w:p w14:paraId="3CE562C1">
            <w:pPr>
              <w:jc w:val="center"/>
              <w:rPr>
                <w:color w:val="000000" w:themeColor="text1"/>
                <w14:textFill>
                  <w14:solidFill>
                    <w14:schemeClr w14:val="tx1"/>
                  </w14:solidFill>
                </w14:textFill>
              </w:rPr>
            </w:pPr>
          </w:p>
        </w:tc>
        <w:tc>
          <w:tcPr>
            <w:tcW w:w="1135" w:type="dxa"/>
            <w:gridSpan w:val="3"/>
            <w:vAlign w:val="center"/>
          </w:tcPr>
          <w:p w14:paraId="0C4B0F2F">
            <w:pPr>
              <w:jc w:val="center"/>
              <w:rPr>
                <w:rFonts w:cs="宋体"/>
                <w:color w:val="000000" w:themeColor="text1"/>
                <w14:textFill>
                  <w14:solidFill>
                    <w14:schemeClr w14:val="tx1"/>
                  </w14:solidFill>
                </w14:textFill>
              </w:rPr>
            </w:pPr>
          </w:p>
        </w:tc>
        <w:tc>
          <w:tcPr>
            <w:tcW w:w="1316" w:type="dxa"/>
            <w:gridSpan w:val="3"/>
            <w:vAlign w:val="center"/>
          </w:tcPr>
          <w:p w14:paraId="6277E5AE">
            <w:pPr>
              <w:jc w:val="center"/>
              <w:rPr>
                <w:color w:val="000000" w:themeColor="text1"/>
                <w14:textFill>
                  <w14:solidFill>
                    <w14:schemeClr w14:val="tx1"/>
                  </w14:solidFill>
                </w14:textFill>
              </w:rPr>
            </w:pPr>
          </w:p>
        </w:tc>
        <w:tc>
          <w:tcPr>
            <w:tcW w:w="1317" w:type="dxa"/>
            <w:gridSpan w:val="3"/>
            <w:vAlign w:val="center"/>
          </w:tcPr>
          <w:p w14:paraId="2DB6962A">
            <w:pPr>
              <w:jc w:val="center"/>
              <w:rPr>
                <w:color w:val="000000" w:themeColor="text1"/>
                <w14:textFill>
                  <w14:solidFill>
                    <w14:schemeClr w14:val="tx1"/>
                  </w14:solidFill>
                </w14:textFill>
              </w:rPr>
            </w:pPr>
          </w:p>
        </w:tc>
        <w:tc>
          <w:tcPr>
            <w:tcW w:w="1516" w:type="dxa"/>
            <w:gridSpan w:val="4"/>
            <w:vAlign w:val="center"/>
          </w:tcPr>
          <w:p w14:paraId="020B5E86">
            <w:pPr>
              <w:jc w:val="center"/>
              <w:rPr>
                <w:color w:val="000000" w:themeColor="text1"/>
                <w14:textFill>
                  <w14:solidFill>
                    <w14:schemeClr w14:val="tx1"/>
                  </w14:solidFill>
                </w14:textFill>
              </w:rPr>
            </w:pPr>
          </w:p>
        </w:tc>
        <w:tc>
          <w:tcPr>
            <w:tcW w:w="1326" w:type="dxa"/>
            <w:gridSpan w:val="2"/>
            <w:vAlign w:val="center"/>
          </w:tcPr>
          <w:p w14:paraId="0787CAC2">
            <w:pPr>
              <w:jc w:val="center"/>
              <w:rPr>
                <w:color w:val="000000" w:themeColor="text1"/>
                <w14:textFill>
                  <w14:solidFill>
                    <w14:schemeClr w14:val="tx1"/>
                  </w14:solidFill>
                </w14:textFill>
              </w:rPr>
            </w:pPr>
          </w:p>
        </w:tc>
      </w:tr>
      <w:tr w14:paraId="23C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4" w:type="dxa"/>
            <w:gridSpan w:val="2"/>
            <w:vAlign w:val="center"/>
          </w:tcPr>
          <w:p w14:paraId="3448701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184" w:type="dxa"/>
            <w:gridSpan w:val="2"/>
            <w:vAlign w:val="center"/>
          </w:tcPr>
          <w:p w14:paraId="188B5CFF">
            <w:pPr>
              <w:jc w:val="center"/>
              <w:rPr>
                <w:color w:val="000000" w:themeColor="text1"/>
                <w14:textFill>
                  <w14:solidFill>
                    <w14:schemeClr w14:val="tx1"/>
                  </w14:solidFill>
                </w14:textFill>
              </w:rPr>
            </w:pPr>
          </w:p>
        </w:tc>
        <w:tc>
          <w:tcPr>
            <w:tcW w:w="1135" w:type="dxa"/>
            <w:gridSpan w:val="3"/>
            <w:vAlign w:val="center"/>
          </w:tcPr>
          <w:p w14:paraId="13763977">
            <w:pPr>
              <w:jc w:val="center"/>
              <w:rPr>
                <w:rFonts w:cs="宋体"/>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类</w:t>
            </w:r>
          </w:p>
        </w:tc>
        <w:tc>
          <w:tcPr>
            <w:tcW w:w="1316" w:type="dxa"/>
            <w:gridSpan w:val="3"/>
            <w:vAlign w:val="center"/>
          </w:tcPr>
          <w:p w14:paraId="350299BE">
            <w:pPr>
              <w:jc w:val="center"/>
              <w:rPr>
                <w:color w:val="000000" w:themeColor="text1"/>
                <w14:textFill>
                  <w14:solidFill>
                    <w14:schemeClr w14:val="tx1"/>
                  </w14:solidFill>
                </w14:textFill>
              </w:rPr>
            </w:pPr>
          </w:p>
        </w:tc>
        <w:tc>
          <w:tcPr>
            <w:tcW w:w="1317" w:type="dxa"/>
            <w:gridSpan w:val="3"/>
            <w:vAlign w:val="center"/>
          </w:tcPr>
          <w:p w14:paraId="580ED933">
            <w:pPr>
              <w:jc w:val="center"/>
              <w:rPr>
                <w:color w:val="000000" w:themeColor="text1"/>
                <w14:textFill>
                  <w14:solidFill>
                    <w14:schemeClr w14:val="tx1"/>
                  </w14:solidFill>
                </w14:textFill>
              </w:rPr>
            </w:pPr>
          </w:p>
        </w:tc>
        <w:tc>
          <w:tcPr>
            <w:tcW w:w="1516" w:type="dxa"/>
            <w:gridSpan w:val="4"/>
            <w:vAlign w:val="center"/>
          </w:tcPr>
          <w:p w14:paraId="16E3F417">
            <w:pPr>
              <w:jc w:val="center"/>
              <w:rPr>
                <w:color w:val="000000" w:themeColor="text1"/>
                <w14:textFill>
                  <w14:solidFill>
                    <w14:schemeClr w14:val="tx1"/>
                  </w14:solidFill>
                </w14:textFill>
              </w:rPr>
            </w:pPr>
          </w:p>
        </w:tc>
        <w:tc>
          <w:tcPr>
            <w:tcW w:w="1326" w:type="dxa"/>
            <w:gridSpan w:val="2"/>
            <w:vAlign w:val="center"/>
          </w:tcPr>
          <w:p w14:paraId="1B5DF2F5">
            <w:pPr>
              <w:jc w:val="center"/>
              <w:rPr>
                <w:color w:val="000000" w:themeColor="text1"/>
                <w14:textFill>
                  <w14:solidFill>
                    <w14:schemeClr w14:val="tx1"/>
                  </w14:solidFill>
                </w14:textFill>
              </w:rPr>
            </w:pPr>
          </w:p>
        </w:tc>
      </w:tr>
      <w:tr w14:paraId="272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38" w:type="dxa"/>
            <w:gridSpan w:val="19"/>
            <w:vAlign w:val="center"/>
          </w:tcPr>
          <w:p w14:paraId="4C6ABCD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1D7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510" w:type="dxa"/>
            <w:gridSpan w:val="3"/>
            <w:vAlign w:val="center"/>
          </w:tcPr>
          <w:p w14:paraId="02E7E339">
            <w:pPr>
              <w:jc w:val="center"/>
              <w:rPr>
                <w:color w:val="000000" w:themeColor="text1"/>
                <w14:textFill>
                  <w14:solidFill>
                    <w14:schemeClr w14:val="tx1"/>
                  </w14:solidFill>
                </w14:textFill>
              </w:rPr>
            </w:pPr>
          </w:p>
        </w:tc>
        <w:tc>
          <w:tcPr>
            <w:tcW w:w="1438" w:type="dxa"/>
            <w:gridSpan w:val="2"/>
            <w:vAlign w:val="center"/>
          </w:tcPr>
          <w:p w14:paraId="4C53349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1</w:t>
            </w:r>
          </w:p>
        </w:tc>
        <w:tc>
          <w:tcPr>
            <w:tcW w:w="1708" w:type="dxa"/>
            <w:gridSpan w:val="4"/>
            <w:vAlign w:val="center"/>
          </w:tcPr>
          <w:p w14:paraId="50E79F4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2</w:t>
            </w:r>
          </w:p>
        </w:tc>
        <w:tc>
          <w:tcPr>
            <w:tcW w:w="1368" w:type="dxa"/>
            <w:gridSpan w:val="3"/>
            <w:vAlign w:val="center"/>
          </w:tcPr>
          <w:p w14:paraId="062BE1D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3</w:t>
            </w:r>
          </w:p>
        </w:tc>
        <w:tc>
          <w:tcPr>
            <w:tcW w:w="1525" w:type="dxa"/>
            <w:gridSpan w:val="4"/>
            <w:vAlign w:val="center"/>
          </w:tcPr>
          <w:p w14:paraId="623016D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4</w:t>
            </w:r>
          </w:p>
        </w:tc>
        <w:tc>
          <w:tcPr>
            <w:tcW w:w="1378" w:type="dxa"/>
            <w:gridSpan w:val="2"/>
            <w:vAlign w:val="center"/>
          </w:tcPr>
          <w:p w14:paraId="0678AC6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C17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510" w:type="dxa"/>
            <w:gridSpan w:val="3"/>
            <w:vAlign w:val="center"/>
          </w:tcPr>
          <w:p w14:paraId="1E494A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438" w:type="dxa"/>
            <w:gridSpan w:val="2"/>
            <w:vAlign w:val="center"/>
          </w:tcPr>
          <w:p w14:paraId="752AC969">
            <w:pPr>
              <w:jc w:val="center"/>
              <w:rPr>
                <w:color w:val="000000" w:themeColor="text1"/>
                <w14:textFill>
                  <w14:solidFill>
                    <w14:schemeClr w14:val="tx1"/>
                  </w14:solidFill>
                </w14:textFill>
              </w:rPr>
            </w:pPr>
          </w:p>
        </w:tc>
        <w:tc>
          <w:tcPr>
            <w:tcW w:w="1708" w:type="dxa"/>
            <w:gridSpan w:val="4"/>
            <w:vAlign w:val="center"/>
          </w:tcPr>
          <w:p w14:paraId="0196EF27">
            <w:pPr>
              <w:jc w:val="center"/>
              <w:rPr>
                <w:color w:val="000000" w:themeColor="text1"/>
                <w14:textFill>
                  <w14:solidFill>
                    <w14:schemeClr w14:val="tx1"/>
                  </w14:solidFill>
                </w14:textFill>
              </w:rPr>
            </w:pPr>
          </w:p>
        </w:tc>
        <w:tc>
          <w:tcPr>
            <w:tcW w:w="1368" w:type="dxa"/>
            <w:gridSpan w:val="3"/>
            <w:vAlign w:val="center"/>
          </w:tcPr>
          <w:p w14:paraId="0F76EF60">
            <w:pPr>
              <w:jc w:val="center"/>
              <w:rPr>
                <w:color w:val="000000" w:themeColor="text1"/>
                <w14:textFill>
                  <w14:solidFill>
                    <w14:schemeClr w14:val="tx1"/>
                  </w14:solidFill>
                </w14:textFill>
              </w:rPr>
            </w:pPr>
          </w:p>
        </w:tc>
        <w:tc>
          <w:tcPr>
            <w:tcW w:w="1525" w:type="dxa"/>
            <w:gridSpan w:val="4"/>
            <w:vAlign w:val="center"/>
          </w:tcPr>
          <w:p w14:paraId="5601512E">
            <w:pPr>
              <w:jc w:val="center"/>
              <w:rPr>
                <w:color w:val="000000" w:themeColor="text1"/>
                <w14:textFill>
                  <w14:solidFill>
                    <w14:schemeClr w14:val="tx1"/>
                  </w14:solidFill>
                </w14:textFill>
              </w:rPr>
            </w:pPr>
          </w:p>
        </w:tc>
        <w:tc>
          <w:tcPr>
            <w:tcW w:w="1378" w:type="dxa"/>
            <w:gridSpan w:val="2"/>
            <w:vAlign w:val="center"/>
          </w:tcPr>
          <w:p w14:paraId="2D0A8C2E">
            <w:pPr>
              <w:jc w:val="center"/>
              <w:rPr>
                <w:color w:val="000000" w:themeColor="text1"/>
                <w14:textFill>
                  <w14:solidFill>
                    <w14:schemeClr w14:val="tx1"/>
                  </w14:solidFill>
                </w14:textFill>
              </w:rPr>
            </w:pPr>
          </w:p>
        </w:tc>
      </w:tr>
      <w:tr w14:paraId="27EC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510" w:type="dxa"/>
            <w:gridSpan w:val="3"/>
            <w:vAlign w:val="center"/>
          </w:tcPr>
          <w:p w14:paraId="3143365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438" w:type="dxa"/>
            <w:gridSpan w:val="2"/>
            <w:vAlign w:val="center"/>
          </w:tcPr>
          <w:p w14:paraId="0FE562AB">
            <w:pPr>
              <w:jc w:val="center"/>
              <w:rPr>
                <w:color w:val="000000" w:themeColor="text1"/>
                <w14:textFill>
                  <w14:solidFill>
                    <w14:schemeClr w14:val="tx1"/>
                  </w14:solidFill>
                </w14:textFill>
              </w:rPr>
            </w:pPr>
          </w:p>
        </w:tc>
        <w:tc>
          <w:tcPr>
            <w:tcW w:w="1708" w:type="dxa"/>
            <w:gridSpan w:val="4"/>
            <w:vAlign w:val="center"/>
          </w:tcPr>
          <w:p w14:paraId="52D75E60">
            <w:pPr>
              <w:jc w:val="center"/>
              <w:rPr>
                <w:color w:val="000000" w:themeColor="text1"/>
                <w14:textFill>
                  <w14:solidFill>
                    <w14:schemeClr w14:val="tx1"/>
                  </w14:solidFill>
                </w14:textFill>
              </w:rPr>
            </w:pPr>
          </w:p>
        </w:tc>
        <w:tc>
          <w:tcPr>
            <w:tcW w:w="1368" w:type="dxa"/>
            <w:gridSpan w:val="3"/>
            <w:vAlign w:val="center"/>
          </w:tcPr>
          <w:p w14:paraId="5E2A8772">
            <w:pPr>
              <w:jc w:val="center"/>
              <w:rPr>
                <w:color w:val="000000" w:themeColor="text1"/>
                <w14:textFill>
                  <w14:solidFill>
                    <w14:schemeClr w14:val="tx1"/>
                  </w14:solidFill>
                </w14:textFill>
              </w:rPr>
            </w:pPr>
          </w:p>
        </w:tc>
        <w:tc>
          <w:tcPr>
            <w:tcW w:w="1525" w:type="dxa"/>
            <w:gridSpan w:val="4"/>
            <w:vAlign w:val="center"/>
          </w:tcPr>
          <w:p w14:paraId="656D033B">
            <w:pPr>
              <w:jc w:val="center"/>
              <w:rPr>
                <w:color w:val="000000" w:themeColor="text1"/>
                <w14:textFill>
                  <w14:solidFill>
                    <w14:schemeClr w14:val="tx1"/>
                  </w14:solidFill>
                </w14:textFill>
              </w:rPr>
            </w:pPr>
          </w:p>
        </w:tc>
        <w:tc>
          <w:tcPr>
            <w:tcW w:w="1378" w:type="dxa"/>
            <w:gridSpan w:val="2"/>
            <w:vAlign w:val="center"/>
          </w:tcPr>
          <w:p w14:paraId="0E0AE114">
            <w:pPr>
              <w:jc w:val="center"/>
              <w:rPr>
                <w:color w:val="000000" w:themeColor="text1"/>
                <w14:textFill>
                  <w14:solidFill>
                    <w14:schemeClr w14:val="tx1"/>
                  </w14:solidFill>
                </w14:textFill>
              </w:rPr>
            </w:pPr>
          </w:p>
        </w:tc>
      </w:tr>
      <w:tr w14:paraId="2EDA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510" w:type="dxa"/>
            <w:gridSpan w:val="3"/>
            <w:vAlign w:val="center"/>
          </w:tcPr>
          <w:p w14:paraId="6CB6493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438" w:type="dxa"/>
            <w:gridSpan w:val="2"/>
            <w:vAlign w:val="center"/>
          </w:tcPr>
          <w:p w14:paraId="5CAC0DD1">
            <w:pPr>
              <w:jc w:val="center"/>
              <w:rPr>
                <w:color w:val="000000" w:themeColor="text1"/>
                <w14:textFill>
                  <w14:solidFill>
                    <w14:schemeClr w14:val="tx1"/>
                  </w14:solidFill>
                </w14:textFill>
              </w:rPr>
            </w:pPr>
          </w:p>
        </w:tc>
        <w:tc>
          <w:tcPr>
            <w:tcW w:w="1708" w:type="dxa"/>
            <w:gridSpan w:val="4"/>
            <w:vAlign w:val="center"/>
          </w:tcPr>
          <w:p w14:paraId="5457C9DE">
            <w:pPr>
              <w:jc w:val="center"/>
              <w:rPr>
                <w:color w:val="000000" w:themeColor="text1"/>
                <w14:textFill>
                  <w14:solidFill>
                    <w14:schemeClr w14:val="tx1"/>
                  </w14:solidFill>
                </w14:textFill>
              </w:rPr>
            </w:pPr>
          </w:p>
        </w:tc>
        <w:tc>
          <w:tcPr>
            <w:tcW w:w="1368" w:type="dxa"/>
            <w:gridSpan w:val="3"/>
            <w:vAlign w:val="center"/>
          </w:tcPr>
          <w:p w14:paraId="2F571375">
            <w:pPr>
              <w:jc w:val="center"/>
              <w:rPr>
                <w:color w:val="000000" w:themeColor="text1"/>
                <w14:textFill>
                  <w14:solidFill>
                    <w14:schemeClr w14:val="tx1"/>
                  </w14:solidFill>
                </w14:textFill>
              </w:rPr>
            </w:pPr>
          </w:p>
        </w:tc>
        <w:tc>
          <w:tcPr>
            <w:tcW w:w="1525" w:type="dxa"/>
            <w:gridSpan w:val="4"/>
            <w:vAlign w:val="center"/>
          </w:tcPr>
          <w:p w14:paraId="228E01C4">
            <w:pPr>
              <w:jc w:val="center"/>
              <w:rPr>
                <w:color w:val="000000" w:themeColor="text1"/>
                <w14:textFill>
                  <w14:solidFill>
                    <w14:schemeClr w14:val="tx1"/>
                  </w14:solidFill>
                </w14:textFill>
              </w:rPr>
            </w:pPr>
          </w:p>
        </w:tc>
        <w:tc>
          <w:tcPr>
            <w:tcW w:w="1378" w:type="dxa"/>
            <w:gridSpan w:val="2"/>
            <w:vAlign w:val="center"/>
          </w:tcPr>
          <w:p w14:paraId="0F2A71D1">
            <w:pPr>
              <w:jc w:val="center"/>
              <w:rPr>
                <w:color w:val="000000" w:themeColor="text1"/>
                <w14:textFill>
                  <w14:solidFill>
                    <w14:schemeClr w14:val="tx1"/>
                  </w14:solidFill>
                </w14:textFill>
              </w:rPr>
            </w:pPr>
          </w:p>
        </w:tc>
      </w:tr>
      <w:tr w14:paraId="0E4B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510" w:type="dxa"/>
            <w:gridSpan w:val="3"/>
            <w:vAlign w:val="center"/>
          </w:tcPr>
          <w:p w14:paraId="71E305DE">
            <w:pPr>
              <w:jc w:val="center"/>
              <w:rPr>
                <w:rFonts w:asci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438" w:type="dxa"/>
            <w:gridSpan w:val="2"/>
            <w:vAlign w:val="center"/>
          </w:tcPr>
          <w:p w14:paraId="23462396">
            <w:pPr>
              <w:jc w:val="center"/>
              <w:rPr>
                <w:color w:val="000000" w:themeColor="text1"/>
                <w14:textFill>
                  <w14:solidFill>
                    <w14:schemeClr w14:val="tx1"/>
                  </w14:solidFill>
                </w14:textFill>
              </w:rPr>
            </w:pPr>
          </w:p>
        </w:tc>
        <w:tc>
          <w:tcPr>
            <w:tcW w:w="1708" w:type="dxa"/>
            <w:gridSpan w:val="4"/>
            <w:vAlign w:val="center"/>
          </w:tcPr>
          <w:p w14:paraId="32B262A8">
            <w:pPr>
              <w:jc w:val="center"/>
              <w:rPr>
                <w:color w:val="000000" w:themeColor="text1"/>
                <w14:textFill>
                  <w14:solidFill>
                    <w14:schemeClr w14:val="tx1"/>
                  </w14:solidFill>
                </w14:textFill>
              </w:rPr>
            </w:pPr>
          </w:p>
        </w:tc>
        <w:tc>
          <w:tcPr>
            <w:tcW w:w="1368" w:type="dxa"/>
            <w:gridSpan w:val="3"/>
            <w:vAlign w:val="center"/>
          </w:tcPr>
          <w:p w14:paraId="36F627C2">
            <w:pPr>
              <w:jc w:val="center"/>
              <w:rPr>
                <w:color w:val="000000" w:themeColor="text1"/>
                <w14:textFill>
                  <w14:solidFill>
                    <w14:schemeClr w14:val="tx1"/>
                  </w14:solidFill>
                </w14:textFill>
              </w:rPr>
            </w:pPr>
          </w:p>
        </w:tc>
        <w:tc>
          <w:tcPr>
            <w:tcW w:w="1525" w:type="dxa"/>
            <w:gridSpan w:val="4"/>
            <w:vAlign w:val="center"/>
          </w:tcPr>
          <w:p w14:paraId="28205171">
            <w:pPr>
              <w:jc w:val="center"/>
              <w:rPr>
                <w:color w:val="000000" w:themeColor="text1"/>
                <w14:textFill>
                  <w14:solidFill>
                    <w14:schemeClr w14:val="tx1"/>
                  </w14:solidFill>
                </w14:textFill>
              </w:rPr>
            </w:pPr>
          </w:p>
        </w:tc>
        <w:tc>
          <w:tcPr>
            <w:tcW w:w="1378" w:type="dxa"/>
            <w:gridSpan w:val="2"/>
            <w:vAlign w:val="center"/>
          </w:tcPr>
          <w:p w14:paraId="626F2349">
            <w:pPr>
              <w:jc w:val="center"/>
              <w:rPr>
                <w:color w:val="000000" w:themeColor="text1"/>
                <w14:textFill>
                  <w14:solidFill>
                    <w14:schemeClr w14:val="tx1"/>
                  </w14:solidFill>
                </w14:textFill>
              </w:rPr>
            </w:pPr>
          </w:p>
        </w:tc>
      </w:tr>
      <w:tr w14:paraId="3574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510" w:type="dxa"/>
            <w:gridSpan w:val="3"/>
            <w:vAlign w:val="center"/>
          </w:tcPr>
          <w:p w14:paraId="2EFACE5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438" w:type="dxa"/>
            <w:gridSpan w:val="2"/>
            <w:vAlign w:val="center"/>
          </w:tcPr>
          <w:p w14:paraId="4162F8A8">
            <w:pPr>
              <w:jc w:val="center"/>
              <w:rPr>
                <w:color w:val="000000" w:themeColor="text1"/>
                <w14:textFill>
                  <w14:solidFill>
                    <w14:schemeClr w14:val="tx1"/>
                  </w14:solidFill>
                </w14:textFill>
              </w:rPr>
            </w:pPr>
          </w:p>
        </w:tc>
        <w:tc>
          <w:tcPr>
            <w:tcW w:w="1708" w:type="dxa"/>
            <w:gridSpan w:val="4"/>
            <w:vAlign w:val="center"/>
          </w:tcPr>
          <w:p w14:paraId="7FBD9987">
            <w:pPr>
              <w:jc w:val="center"/>
              <w:rPr>
                <w:color w:val="000000" w:themeColor="text1"/>
                <w14:textFill>
                  <w14:solidFill>
                    <w14:schemeClr w14:val="tx1"/>
                  </w14:solidFill>
                </w14:textFill>
              </w:rPr>
            </w:pPr>
          </w:p>
        </w:tc>
        <w:tc>
          <w:tcPr>
            <w:tcW w:w="1368" w:type="dxa"/>
            <w:gridSpan w:val="3"/>
            <w:vAlign w:val="center"/>
          </w:tcPr>
          <w:p w14:paraId="29C2D513">
            <w:pPr>
              <w:jc w:val="center"/>
              <w:rPr>
                <w:color w:val="000000" w:themeColor="text1"/>
                <w14:textFill>
                  <w14:solidFill>
                    <w14:schemeClr w14:val="tx1"/>
                  </w14:solidFill>
                </w14:textFill>
              </w:rPr>
            </w:pPr>
          </w:p>
        </w:tc>
        <w:tc>
          <w:tcPr>
            <w:tcW w:w="1525" w:type="dxa"/>
            <w:gridSpan w:val="4"/>
            <w:vAlign w:val="center"/>
          </w:tcPr>
          <w:p w14:paraId="2369D827">
            <w:pPr>
              <w:jc w:val="center"/>
              <w:rPr>
                <w:color w:val="000000" w:themeColor="text1"/>
                <w14:textFill>
                  <w14:solidFill>
                    <w14:schemeClr w14:val="tx1"/>
                  </w14:solidFill>
                </w14:textFill>
              </w:rPr>
            </w:pPr>
          </w:p>
        </w:tc>
        <w:tc>
          <w:tcPr>
            <w:tcW w:w="1378" w:type="dxa"/>
            <w:gridSpan w:val="2"/>
            <w:vAlign w:val="center"/>
          </w:tcPr>
          <w:p w14:paraId="5E4EA1B8">
            <w:pPr>
              <w:jc w:val="center"/>
              <w:rPr>
                <w:color w:val="000000" w:themeColor="text1"/>
                <w14:textFill>
                  <w14:solidFill>
                    <w14:schemeClr w14:val="tx1"/>
                  </w14:solidFill>
                </w14:textFill>
              </w:rPr>
            </w:pPr>
          </w:p>
        </w:tc>
      </w:tr>
      <w:tr w14:paraId="0F49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510" w:type="dxa"/>
            <w:gridSpan w:val="3"/>
            <w:vAlign w:val="center"/>
          </w:tcPr>
          <w:p w14:paraId="579254DA">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438" w:type="dxa"/>
            <w:gridSpan w:val="2"/>
            <w:vAlign w:val="center"/>
          </w:tcPr>
          <w:p w14:paraId="07E89A74">
            <w:pPr>
              <w:jc w:val="center"/>
              <w:rPr>
                <w:color w:val="000000" w:themeColor="text1"/>
                <w14:textFill>
                  <w14:solidFill>
                    <w14:schemeClr w14:val="tx1"/>
                  </w14:solidFill>
                </w14:textFill>
              </w:rPr>
            </w:pPr>
          </w:p>
        </w:tc>
        <w:tc>
          <w:tcPr>
            <w:tcW w:w="1708" w:type="dxa"/>
            <w:gridSpan w:val="4"/>
            <w:vAlign w:val="center"/>
          </w:tcPr>
          <w:p w14:paraId="391F8833">
            <w:pPr>
              <w:jc w:val="center"/>
              <w:rPr>
                <w:color w:val="000000" w:themeColor="text1"/>
                <w14:textFill>
                  <w14:solidFill>
                    <w14:schemeClr w14:val="tx1"/>
                  </w14:solidFill>
                </w14:textFill>
              </w:rPr>
            </w:pPr>
          </w:p>
        </w:tc>
        <w:tc>
          <w:tcPr>
            <w:tcW w:w="1368" w:type="dxa"/>
            <w:gridSpan w:val="3"/>
            <w:vAlign w:val="center"/>
          </w:tcPr>
          <w:p w14:paraId="0AF7EA18">
            <w:pPr>
              <w:jc w:val="center"/>
              <w:rPr>
                <w:color w:val="000000" w:themeColor="text1"/>
                <w14:textFill>
                  <w14:solidFill>
                    <w14:schemeClr w14:val="tx1"/>
                  </w14:solidFill>
                </w14:textFill>
              </w:rPr>
            </w:pPr>
          </w:p>
        </w:tc>
        <w:tc>
          <w:tcPr>
            <w:tcW w:w="1525" w:type="dxa"/>
            <w:gridSpan w:val="4"/>
            <w:vAlign w:val="center"/>
          </w:tcPr>
          <w:p w14:paraId="301C83A7">
            <w:pPr>
              <w:jc w:val="center"/>
              <w:rPr>
                <w:color w:val="000000" w:themeColor="text1"/>
                <w14:textFill>
                  <w14:solidFill>
                    <w14:schemeClr w14:val="tx1"/>
                  </w14:solidFill>
                </w14:textFill>
              </w:rPr>
            </w:pPr>
          </w:p>
        </w:tc>
        <w:tc>
          <w:tcPr>
            <w:tcW w:w="1378" w:type="dxa"/>
            <w:gridSpan w:val="2"/>
            <w:vAlign w:val="center"/>
          </w:tcPr>
          <w:p w14:paraId="07C8256E">
            <w:pPr>
              <w:jc w:val="center"/>
              <w:rPr>
                <w:color w:val="000000" w:themeColor="text1"/>
                <w14:textFill>
                  <w14:solidFill>
                    <w14:schemeClr w14:val="tx1"/>
                  </w14:solidFill>
                </w14:textFill>
              </w:rPr>
            </w:pPr>
          </w:p>
        </w:tc>
      </w:tr>
      <w:tr w14:paraId="6830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510" w:type="dxa"/>
            <w:gridSpan w:val="3"/>
            <w:vAlign w:val="center"/>
          </w:tcPr>
          <w:p w14:paraId="2DE50B48">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438" w:type="dxa"/>
            <w:gridSpan w:val="2"/>
            <w:vAlign w:val="center"/>
          </w:tcPr>
          <w:p w14:paraId="0ACAD47E">
            <w:pPr>
              <w:jc w:val="center"/>
              <w:rPr>
                <w:color w:val="000000" w:themeColor="text1"/>
                <w14:textFill>
                  <w14:solidFill>
                    <w14:schemeClr w14:val="tx1"/>
                  </w14:solidFill>
                </w14:textFill>
              </w:rPr>
            </w:pPr>
          </w:p>
        </w:tc>
        <w:tc>
          <w:tcPr>
            <w:tcW w:w="1708" w:type="dxa"/>
            <w:gridSpan w:val="4"/>
            <w:vAlign w:val="center"/>
          </w:tcPr>
          <w:p w14:paraId="375A151F">
            <w:pPr>
              <w:jc w:val="center"/>
              <w:rPr>
                <w:color w:val="000000" w:themeColor="text1"/>
                <w14:textFill>
                  <w14:solidFill>
                    <w14:schemeClr w14:val="tx1"/>
                  </w14:solidFill>
                </w14:textFill>
              </w:rPr>
            </w:pPr>
          </w:p>
        </w:tc>
        <w:tc>
          <w:tcPr>
            <w:tcW w:w="1368" w:type="dxa"/>
            <w:gridSpan w:val="3"/>
            <w:vAlign w:val="center"/>
          </w:tcPr>
          <w:p w14:paraId="310E6C8D">
            <w:pPr>
              <w:jc w:val="center"/>
              <w:rPr>
                <w:color w:val="000000" w:themeColor="text1"/>
                <w14:textFill>
                  <w14:solidFill>
                    <w14:schemeClr w14:val="tx1"/>
                  </w14:solidFill>
                </w14:textFill>
              </w:rPr>
            </w:pPr>
          </w:p>
        </w:tc>
        <w:tc>
          <w:tcPr>
            <w:tcW w:w="1525" w:type="dxa"/>
            <w:gridSpan w:val="4"/>
            <w:vAlign w:val="center"/>
          </w:tcPr>
          <w:p w14:paraId="2F195858">
            <w:pPr>
              <w:jc w:val="center"/>
              <w:rPr>
                <w:color w:val="000000" w:themeColor="text1"/>
                <w14:textFill>
                  <w14:solidFill>
                    <w14:schemeClr w14:val="tx1"/>
                  </w14:solidFill>
                </w14:textFill>
              </w:rPr>
            </w:pPr>
          </w:p>
        </w:tc>
        <w:tc>
          <w:tcPr>
            <w:tcW w:w="1378" w:type="dxa"/>
            <w:gridSpan w:val="2"/>
            <w:vAlign w:val="center"/>
          </w:tcPr>
          <w:p w14:paraId="10392343">
            <w:pPr>
              <w:jc w:val="center"/>
              <w:rPr>
                <w:color w:val="000000" w:themeColor="text1"/>
                <w14:textFill>
                  <w14:solidFill>
                    <w14:schemeClr w14:val="tx1"/>
                  </w14:solidFill>
                </w14:textFill>
              </w:rPr>
            </w:pPr>
          </w:p>
        </w:tc>
      </w:tr>
      <w:tr w14:paraId="48F3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510" w:type="dxa"/>
            <w:gridSpan w:val="3"/>
            <w:vAlign w:val="center"/>
          </w:tcPr>
          <w:p w14:paraId="01ECBC10">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438" w:type="dxa"/>
            <w:gridSpan w:val="2"/>
            <w:vAlign w:val="center"/>
          </w:tcPr>
          <w:p w14:paraId="547E8E05">
            <w:pPr>
              <w:jc w:val="center"/>
              <w:rPr>
                <w:color w:val="000000" w:themeColor="text1"/>
                <w14:textFill>
                  <w14:solidFill>
                    <w14:schemeClr w14:val="tx1"/>
                  </w14:solidFill>
                </w14:textFill>
              </w:rPr>
            </w:pPr>
          </w:p>
        </w:tc>
        <w:tc>
          <w:tcPr>
            <w:tcW w:w="1708" w:type="dxa"/>
            <w:gridSpan w:val="4"/>
            <w:vAlign w:val="center"/>
          </w:tcPr>
          <w:p w14:paraId="01918FDD">
            <w:pPr>
              <w:jc w:val="center"/>
              <w:rPr>
                <w:color w:val="000000" w:themeColor="text1"/>
                <w14:textFill>
                  <w14:solidFill>
                    <w14:schemeClr w14:val="tx1"/>
                  </w14:solidFill>
                </w14:textFill>
              </w:rPr>
            </w:pPr>
          </w:p>
        </w:tc>
        <w:tc>
          <w:tcPr>
            <w:tcW w:w="1368" w:type="dxa"/>
            <w:gridSpan w:val="3"/>
            <w:vAlign w:val="center"/>
          </w:tcPr>
          <w:p w14:paraId="5C27070B">
            <w:pPr>
              <w:jc w:val="center"/>
              <w:rPr>
                <w:color w:val="000000" w:themeColor="text1"/>
                <w14:textFill>
                  <w14:solidFill>
                    <w14:schemeClr w14:val="tx1"/>
                  </w14:solidFill>
                </w14:textFill>
              </w:rPr>
            </w:pPr>
          </w:p>
        </w:tc>
        <w:tc>
          <w:tcPr>
            <w:tcW w:w="1525" w:type="dxa"/>
            <w:gridSpan w:val="4"/>
            <w:vAlign w:val="center"/>
          </w:tcPr>
          <w:p w14:paraId="2EC199D0">
            <w:pPr>
              <w:jc w:val="center"/>
              <w:rPr>
                <w:color w:val="000000" w:themeColor="text1"/>
                <w14:textFill>
                  <w14:solidFill>
                    <w14:schemeClr w14:val="tx1"/>
                  </w14:solidFill>
                </w14:textFill>
              </w:rPr>
            </w:pPr>
          </w:p>
        </w:tc>
        <w:tc>
          <w:tcPr>
            <w:tcW w:w="1378" w:type="dxa"/>
            <w:gridSpan w:val="2"/>
            <w:vAlign w:val="center"/>
          </w:tcPr>
          <w:p w14:paraId="2A078B32">
            <w:pPr>
              <w:jc w:val="center"/>
              <w:rPr>
                <w:color w:val="000000" w:themeColor="text1"/>
                <w14:textFill>
                  <w14:solidFill>
                    <w14:schemeClr w14:val="tx1"/>
                  </w14:solidFill>
                </w14:textFill>
              </w:rPr>
            </w:pPr>
          </w:p>
        </w:tc>
      </w:tr>
      <w:tr w14:paraId="45B3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510" w:type="dxa"/>
            <w:gridSpan w:val="3"/>
            <w:vAlign w:val="center"/>
          </w:tcPr>
          <w:p w14:paraId="54D278B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438" w:type="dxa"/>
            <w:gridSpan w:val="2"/>
            <w:vAlign w:val="center"/>
          </w:tcPr>
          <w:p w14:paraId="0D9B9F5E">
            <w:pPr>
              <w:jc w:val="center"/>
              <w:rPr>
                <w:color w:val="000000" w:themeColor="text1"/>
                <w14:textFill>
                  <w14:solidFill>
                    <w14:schemeClr w14:val="tx1"/>
                  </w14:solidFill>
                </w14:textFill>
              </w:rPr>
            </w:pPr>
          </w:p>
        </w:tc>
        <w:tc>
          <w:tcPr>
            <w:tcW w:w="1708" w:type="dxa"/>
            <w:gridSpan w:val="4"/>
            <w:vAlign w:val="center"/>
          </w:tcPr>
          <w:p w14:paraId="496B0A7E">
            <w:pPr>
              <w:jc w:val="center"/>
              <w:rPr>
                <w:color w:val="000000" w:themeColor="text1"/>
                <w14:textFill>
                  <w14:solidFill>
                    <w14:schemeClr w14:val="tx1"/>
                  </w14:solidFill>
                </w14:textFill>
              </w:rPr>
            </w:pPr>
          </w:p>
        </w:tc>
        <w:tc>
          <w:tcPr>
            <w:tcW w:w="1368" w:type="dxa"/>
            <w:gridSpan w:val="3"/>
            <w:vAlign w:val="center"/>
          </w:tcPr>
          <w:p w14:paraId="206A6321">
            <w:pPr>
              <w:jc w:val="center"/>
              <w:rPr>
                <w:color w:val="000000" w:themeColor="text1"/>
                <w14:textFill>
                  <w14:solidFill>
                    <w14:schemeClr w14:val="tx1"/>
                  </w14:solidFill>
                </w14:textFill>
              </w:rPr>
            </w:pPr>
          </w:p>
        </w:tc>
        <w:tc>
          <w:tcPr>
            <w:tcW w:w="1525" w:type="dxa"/>
            <w:gridSpan w:val="4"/>
            <w:vAlign w:val="center"/>
          </w:tcPr>
          <w:p w14:paraId="3E367625">
            <w:pPr>
              <w:jc w:val="center"/>
              <w:rPr>
                <w:color w:val="000000" w:themeColor="text1"/>
                <w14:textFill>
                  <w14:solidFill>
                    <w14:schemeClr w14:val="tx1"/>
                  </w14:solidFill>
                </w14:textFill>
              </w:rPr>
            </w:pPr>
          </w:p>
        </w:tc>
        <w:tc>
          <w:tcPr>
            <w:tcW w:w="1378" w:type="dxa"/>
            <w:gridSpan w:val="2"/>
            <w:vAlign w:val="center"/>
          </w:tcPr>
          <w:p w14:paraId="0A2433D9">
            <w:pPr>
              <w:jc w:val="center"/>
              <w:rPr>
                <w:color w:val="000000" w:themeColor="text1"/>
                <w14:textFill>
                  <w14:solidFill>
                    <w14:schemeClr w14:val="tx1"/>
                  </w14:solidFill>
                </w14:textFill>
              </w:rPr>
            </w:pPr>
          </w:p>
        </w:tc>
      </w:tr>
    </w:tbl>
    <w:p w14:paraId="7E6600D8">
      <w:pPr>
        <w:rPr>
          <w:rFonts w:asci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64783CE2">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项目数可以根据需要增加。</w:t>
      </w:r>
    </w:p>
    <w:p w14:paraId="7BEFB209">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本表后附项目经理的学历证、安全生产考核合格证（</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类）、本表所列证书复印件并加盖供应商电子签章。</w:t>
      </w:r>
    </w:p>
    <w:p w14:paraId="01914085">
      <w:pPr>
        <w:spacing w:before="120" w:beforeLines="50"/>
        <w:ind w:firstLine="643" w:firstLineChars="200"/>
        <w:jc w:val="center"/>
        <w:rPr>
          <w:color w:val="000000" w:themeColor="text1"/>
          <w:u w:val="single"/>
          <w14:textFill>
            <w14:solidFill>
              <w14:schemeClr w14:val="tx1"/>
            </w14:solidFill>
          </w14:textFill>
        </w:rPr>
      </w:pPr>
      <w:r>
        <w:rPr>
          <w:rFonts w:cs="宋体"/>
          <w:b/>
          <w:color w:val="000000" w:themeColor="text1"/>
          <w:sz w:val="32"/>
          <w:szCs w:val="32"/>
          <w14:textFill>
            <w14:solidFill>
              <w14:schemeClr w14:val="tx1"/>
            </w14:solidFill>
          </w14:textFill>
        </w:rPr>
        <w:br w:type="page"/>
      </w:r>
      <w:r>
        <w:rPr>
          <w:rFonts w:hint="eastAsia" w:cs="宋体"/>
          <w:b/>
          <w:color w:val="000000" w:themeColor="text1"/>
          <w:sz w:val="32"/>
          <w:szCs w:val="32"/>
          <w14:textFill>
            <w14:solidFill>
              <w14:schemeClr w14:val="tx1"/>
            </w14:solidFill>
          </w14:textFill>
        </w:rPr>
        <w:t>项目技术负责人（项目总工）简历表</w:t>
      </w:r>
    </w:p>
    <w:tbl>
      <w:tblPr>
        <w:tblStyle w:val="4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6"/>
        <w:gridCol w:w="292"/>
        <w:gridCol w:w="837"/>
        <w:gridCol w:w="633"/>
        <w:gridCol w:w="305"/>
        <w:gridCol w:w="222"/>
        <w:gridCol w:w="63"/>
        <w:gridCol w:w="1156"/>
        <w:gridCol w:w="127"/>
        <w:gridCol w:w="231"/>
        <w:gridCol w:w="1041"/>
        <w:gridCol w:w="75"/>
        <w:gridCol w:w="390"/>
        <w:gridCol w:w="1052"/>
        <w:gridCol w:w="42"/>
        <w:gridCol w:w="66"/>
        <w:gridCol w:w="1343"/>
        <w:gridCol w:w="11"/>
      </w:tblGrid>
      <w:tr w14:paraId="04E9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96" w:type="dxa"/>
            <w:vAlign w:val="center"/>
          </w:tcPr>
          <w:p w14:paraId="1E4769F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223" w:type="dxa"/>
            <w:gridSpan w:val="5"/>
            <w:vAlign w:val="center"/>
          </w:tcPr>
          <w:p w14:paraId="59F3C798">
            <w:pPr>
              <w:jc w:val="center"/>
              <w:rPr>
                <w:color w:val="000000" w:themeColor="text1"/>
                <w14:textFill>
                  <w14:solidFill>
                    <w14:schemeClr w14:val="tx1"/>
                  </w14:solidFill>
                </w14:textFill>
              </w:rPr>
            </w:pPr>
          </w:p>
        </w:tc>
        <w:tc>
          <w:tcPr>
            <w:tcW w:w="1799" w:type="dxa"/>
            <w:gridSpan w:val="5"/>
            <w:vAlign w:val="center"/>
          </w:tcPr>
          <w:p w14:paraId="29893F9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06" w:type="dxa"/>
            <w:gridSpan w:val="3"/>
            <w:vAlign w:val="center"/>
          </w:tcPr>
          <w:p w14:paraId="01707CD9">
            <w:pPr>
              <w:jc w:val="center"/>
              <w:rPr>
                <w:color w:val="000000" w:themeColor="text1"/>
                <w14:textFill>
                  <w14:solidFill>
                    <w14:schemeClr w14:val="tx1"/>
                  </w14:solidFill>
                </w14:textFill>
              </w:rPr>
            </w:pPr>
          </w:p>
        </w:tc>
        <w:tc>
          <w:tcPr>
            <w:tcW w:w="1052" w:type="dxa"/>
            <w:vAlign w:val="center"/>
          </w:tcPr>
          <w:p w14:paraId="657A337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462" w:type="dxa"/>
            <w:gridSpan w:val="4"/>
            <w:vAlign w:val="center"/>
          </w:tcPr>
          <w:p w14:paraId="5BAA2E46">
            <w:pPr>
              <w:jc w:val="center"/>
              <w:rPr>
                <w:color w:val="000000" w:themeColor="text1"/>
                <w14:textFill>
                  <w14:solidFill>
                    <w14:schemeClr w14:val="tx1"/>
                  </w14:solidFill>
                </w14:textFill>
              </w:rPr>
            </w:pPr>
          </w:p>
        </w:tc>
      </w:tr>
      <w:tr w14:paraId="580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6" w:type="dxa"/>
            <w:vAlign w:val="center"/>
          </w:tcPr>
          <w:p w14:paraId="0C3048C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223" w:type="dxa"/>
            <w:gridSpan w:val="5"/>
            <w:vAlign w:val="center"/>
          </w:tcPr>
          <w:p w14:paraId="3A695AC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项目技术负责人（项目总工）</w:t>
            </w:r>
          </w:p>
        </w:tc>
        <w:tc>
          <w:tcPr>
            <w:tcW w:w="1799" w:type="dxa"/>
            <w:gridSpan w:val="5"/>
            <w:vAlign w:val="center"/>
          </w:tcPr>
          <w:p w14:paraId="2026A7D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06" w:type="dxa"/>
            <w:gridSpan w:val="3"/>
            <w:vAlign w:val="center"/>
          </w:tcPr>
          <w:p w14:paraId="06B0E1F8">
            <w:pPr>
              <w:jc w:val="center"/>
              <w:rPr>
                <w:color w:val="000000" w:themeColor="text1"/>
                <w14:textFill>
                  <w14:solidFill>
                    <w14:schemeClr w14:val="tx1"/>
                  </w14:solidFill>
                </w14:textFill>
              </w:rPr>
            </w:pPr>
          </w:p>
        </w:tc>
        <w:tc>
          <w:tcPr>
            <w:tcW w:w="1052" w:type="dxa"/>
            <w:vAlign w:val="center"/>
          </w:tcPr>
          <w:p w14:paraId="2186DCB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462" w:type="dxa"/>
            <w:gridSpan w:val="4"/>
            <w:vAlign w:val="center"/>
          </w:tcPr>
          <w:p w14:paraId="06F39A58">
            <w:pPr>
              <w:jc w:val="center"/>
              <w:rPr>
                <w:color w:val="000000" w:themeColor="text1"/>
                <w14:textFill>
                  <w14:solidFill>
                    <w14:schemeClr w14:val="tx1"/>
                  </w14:solidFill>
                </w14:textFill>
              </w:rPr>
            </w:pPr>
          </w:p>
        </w:tc>
      </w:tr>
      <w:tr w14:paraId="1D2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6" w:type="dxa"/>
            <w:vAlign w:val="center"/>
          </w:tcPr>
          <w:p w14:paraId="54959834">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223" w:type="dxa"/>
            <w:gridSpan w:val="5"/>
            <w:vAlign w:val="center"/>
          </w:tcPr>
          <w:p w14:paraId="6CE6117F">
            <w:pPr>
              <w:jc w:val="center"/>
              <w:rPr>
                <w:color w:val="000000" w:themeColor="text1"/>
                <w14:textFill>
                  <w14:solidFill>
                    <w14:schemeClr w14:val="tx1"/>
                  </w14:solidFill>
                </w14:textFill>
              </w:rPr>
            </w:pPr>
          </w:p>
        </w:tc>
        <w:tc>
          <w:tcPr>
            <w:tcW w:w="1799" w:type="dxa"/>
            <w:gridSpan w:val="5"/>
            <w:vAlign w:val="center"/>
          </w:tcPr>
          <w:p w14:paraId="2BA7A634">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职称获得时间</w:t>
            </w:r>
          </w:p>
        </w:tc>
        <w:tc>
          <w:tcPr>
            <w:tcW w:w="1506" w:type="dxa"/>
            <w:gridSpan w:val="3"/>
            <w:vAlign w:val="center"/>
          </w:tcPr>
          <w:p w14:paraId="1F1E4532">
            <w:pPr>
              <w:jc w:val="center"/>
              <w:rPr>
                <w:color w:val="000000" w:themeColor="text1"/>
                <w14:textFill>
                  <w14:solidFill>
                    <w14:schemeClr w14:val="tx1"/>
                  </w14:solidFill>
                </w14:textFill>
              </w:rPr>
            </w:pPr>
          </w:p>
        </w:tc>
        <w:tc>
          <w:tcPr>
            <w:tcW w:w="1052" w:type="dxa"/>
            <w:vAlign w:val="center"/>
          </w:tcPr>
          <w:p w14:paraId="16A9EE47">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462" w:type="dxa"/>
            <w:gridSpan w:val="4"/>
            <w:vAlign w:val="center"/>
          </w:tcPr>
          <w:p w14:paraId="5C7B3731">
            <w:pPr>
              <w:jc w:val="center"/>
              <w:rPr>
                <w:color w:val="000000" w:themeColor="text1"/>
                <w14:textFill>
                  <w14:solidFill>
                    <w14:schemeClr w14:val="tx1"/>
                  </w14:solidFill>
                </w14:textFill>
              </w:rPr>
            </w:pPr>
          </w:p>
        </w:tc>
      </w:tr>
      <w:tr w14:paraId="46BD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52" w:type="dxa"/>
            <w:gridSpan w:val="2"/>
            <w:vAlign w:val="center"/>
          </w:tcPr>
          <w:p w14:paraId="3884DD6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年限</w:t>
            </w:r>
          </w:p>
        </w:tc>
        <w:tc>
          <w:tcPr>
            <w:tcW w:w="2352" w:type="dxa"/>
            <w:gridSpan w:val="6"/>
            <w:vAlign w:val="center"/>
          </w:tcPr>
          <w:p w14:paraId="6545533B">
            <w:pPr>
              <w:jc w:val="center"/>
              <w:rPr>
                <w:color w:val="000000" w:themeColor="text1"/>
                <w14:textFill>
                  <w14:solidFill>
                    <w14:schemeClr w14:val="tx1"/>
                  </w14:solidFill>
                </w14:textFill>
              </w:rPr>
            </w:pPr>
          </w:p>
        </w:tc>
        <w:tc>
          <w:tcPr>
            <w:tcW w:w="1156" w:type="dxa"/>
            <w:vAlign w:val="center"/>
          </w:tcPr>
          <w:p w14:paraId="00A8C0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4378" w:type="dxa"/>
            <w:gridSpan w:val="10"/>
            <w:vAlign w:val="center"/>
          </w:tcPr>
          <w:p w14:paraId="067A6826">
            <w:pPr>
              <w:jc w:val="center"/>
              <w:rPr>
                <w:color w:val="000000" w:themeColor="text1"/>
                <w14:textFill>
                  <w14:solidFill>
                    <w14:schemeClr w14:val="tx1"/>
                  </w14:solidFill>
                </w14:textFill>
              </w:rPr>
            </w:pPr>
          </w:p>
        </w:tc>
      </w:tr>
      <w:tr w14:paraId="75DB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2" w:type="dxa"/>
            <w:gridSpan w:val="2"/>
            <w:vAlign w:val="center"/>
          </w:tcPr>
          <w:p w14:paraId="1F936F6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129" w:type="dxa"/>
            <w:gridSpan w:val="2"/>
            <w:vAlign w:val="center"/>
          </w:tcPr>
          <w:p w14:paraId="6054F26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160" w:type="dxa"/>
            <w:gridSpan w:val="3"/>
            <w:vAlign w:val="center"/>
          </w:tcPr>
          <w:p w14:paraId="03D56B7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1346" w:type="dxa"/>
            <w:gridSpan w:val="3"/>
            <w:vAlign w:val="center"/>
          </w:tcPr>
          <w:p w14:paraId="41CE8E0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347" w:type="dxa"/>
            <w:gridSpan w:val="3"/>
            <w:vAlign w:val="center"/>
          </w:tcPr>
          <w:p w14:paraId="2FD92A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550" w:type="dxa"/>
            <w:gridSpan w:val="4"/>
            <w:vAlign w:val="center"/>
          </w:tcPr>
          <w:p w14:paraId="7B458BF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354" w:type="dxa"/>
            <w:gridSpan w:val="2"/>
            <w:vAlign w:val="center"/>
          </w:tcPr>
          <w:p w14:paraId="4BA738A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5513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2" w:type="dxa"/>
            <w:gridSpan w:val="2"/>
            <w:vAlign w:val="center"/>
          </w:tcPr>
          <w:p w14:paraId="7A3F7EDD">
            <w:pPr>
              <w:jc w:val="center"/>
              <w:rPr>
                <w:color w:val="000000" w:themeColor="text1"/>
                <w14:textFill>
                  <w14:solidFill>
                    <w14:schemeClr w14:val="tx1"/>
                  </w14:solidFill>
                </w14:textFill>
              </w:rPr>
            </w:pPr>
          </w:p>
        </w:tc>
        <w:tc>
          <w:tcPr>
            <w:tcW w:w="1129" w:type="dxa"/>
            <w:gridSpan w:val="2"/>
            <w:vAlign w:val="center"/>
          </w:tcPr>
          <w:p w14:paraId="3BBF30D8">
            <w:pPr>
              <w:jc w:val="center"/>
              <w:rPr>
                <w:color w:val="000000" w:themeColor="text1"/>
                <w14:textFill>
                  <w14:solidFill>
                    <w14:schemeClr w14:val="tx1"/>
                  </w14:solidFill>
                </w14:textFill>
              </w:rPr>
            </w:pPr>
          </w:p>
        </w:tc>
        <w:tc>
          <w:tcPr>
            <w:tcW w:w="1160" w:type="dxa"/>
            <w:gridSpan w:val="3"/>
            <w:vAlign w:val="center"/>
          </w:tcPr>
          <w:p w14:paraId="2B455151">
            <w:pPr>
              <w:jc w:val="center"/>
              <w:rPr>
                <w:rFonts w:cs="宋体"/>
                <w:color w:val="000000" w:themeColor="text1"/>
                <w14:textFill>
                  <w14:solidFill>
                    <w14:schemeClr w14:val="tx1"/>
                  </w14:solidFill>
                </w14:textFill>
              </w:rPr>
            </w:pPr>
          </w:p>
        </w:tc>
        <w:tc>
          <w:tcPr>
            <w:tcW w:w="1346" w:type="dxa"/>
            <w:gridSpan w:val="3"/>
            <w:vAlign w:val="center"/>
          </w:tcPr>
          <w:p w14:paraId="495621A2">
            <w:pPr>
              <w:jc w:val="center"/>
              <w:rPr>
                <w:color w:val="000000" w:themeColor="text1"/>
                <w14:textFill>
                  <w14:solidFill>
                    <w14:schemeClr w14:val="tx1"/>
                  </w14:solidFill>
                </w14:textFill>
              </w:rPr>
            </w:pPr>
          </w:p>
        </w:tc>
        <w:tc>
          <w:tcPr>
            <w:tcW w:w="1347" w:type="dxa"/>
            <w:gridSpan w:val="3"/>
            <w:vAlign w:val="center"/>
          </w:tcPr>
          <w:p w14:paraId="638D5C2E">
            <w:pPr>
              <w:jc w:val="center"/>
              <w:rPr>
                <w:color w:val="000000" w:themeColor="text1"/>
                <w14:textFill>
                  <w14:solidFill>
                    <w14:schemeClr w14:val="tx1"/>
                  </w14:solidFill>
                </w14:textFill>
              </w:rPr>
            </w:pPr>
          </w:p>
        </w:tc>
        <w:tc>
          <w:tcPr>
            <w:tcW w:w="1550" w:type="dxa"/>
            <w:gridSpan w:val="4"/>
            <w:vAlign w:val="center"/>
          </w:tcPr>
          <w:p w14:paraId="77A37089">
            <w:pPr>
              <w:jc w:val="center"/>
              <w:rPr>
                <w:color w:val="000000" w:themeColor="text1"/>
                <w14:textFill>
                  <w14:solidFill>
                    <w14:schemeClr w14:val="tx1"/>
                  </w14:solidFill>
                </w14:textFill>
              </w:rPr>
            </w:pPr>
          </w:p>
        </w:tc>
        <w:tc>
          <w:tcPr>
            <w:tcW w:w="1354" w:type="dxa"/>
            <w:gridSpan w:val="2"/>
            <w:vAlign w:val="center"/>
          </w:tcPr>
          <w:p w14:paraId="4E4AA7BF">
            <w:pPr>
              <w:jc w:val="center"/>
              <w:rPr>
                <w:color w:val="000000" w:themeColor="text1"/>
                <w14:textFill>
                  <w14:solidFill>
                    <w14:schemeClr w14:val="tx1"/>
                  </w14:solidFill>
                </w14:textFill>
              </w:rPr>
            </w:pPr>
          </w:p>
        </w:tc>
      </w:tr>
      <w:tr w14:paraId="1955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2" w:type="dxa"/>
            <w:gridSpan w:val="2"/>
            <w:vAlign w:val="center"/>
          </w:tcPr>
          <w:p w14:paraId="21833969">
            <w:pPr>
              <w:jc w:val="center"/>
              <w:rPr>
                <w:color w:val="000000" w:themeColor="text1"/>
                <w14:textFill>
                  <w14:solidFill>
                    <w14:schemeClr w14:val="tx1"/>
                  </w14:solidFill>
                </w14:textFill>
              </w:rPr>
            </w:pPr>
          </w:p>
        </w:tc>
        <w:tc>
          <w:tcPr>
            <w:tcW w:w="1129" w:type="dxa"/>
            <w:gridSpan w:val="2"/>
            <w:vAlign w:val="center"/>
          </w:tcPr>
          <w:p w14:paraId="66778C0D">
            <w:pPr>
              <w:jc w:val="center"/>
              <w:rPr>
                <w:color w:val="000000" w:themeColor="text1"/>
                <w14:textFill>
                  <w14:solidFill>
                    <w14:schemeClr w14:val="tx1"/>
                  </w14:solidFill>
                </w14:textFill>
              </w:rPr>
            </w:pPr>
          </w:p>
        </w:tc>
        <w:tc>
          <w:tcPr>
            <w:tcW w:w="1160" w:type="dxa"/>
            <w:gridSpan w:val="3"/>
            <w:vAlign w:val="center"/>
          </w:tcPr>
          <w:p w14:paraId="32146D82">
            <w:pPr>
              <w:jc w:val="center"/>
              <w:rPr>
                <w:rFonts w:cs="宋体"/>
                <w:color w:val="000000" w:themeColor="text1"/>
                <w14:textFill>
                  <w14:solidFill>
                    <w14:schemeClr w14:val="tx1"/>
                  </w14:solidFill>
                </w14:textFill>
              </w:rPr>
            </w:pPr>
          </w:p>
        </w:tc>
        <w:tc>
          <w:tcPr>
            <w:tcW w:w="1346" w:type="dxa"/>
            <w:gridSpan w:val="3"/>
            <w:vAlign w:val="center"/>
          </w:tcPr>
          <w:p w14:paraId="558C4D4D">
            <w:pPr>
              <w:jc w:val="center"/>
              <w:rPr>
                <w:color w:val="000000" w:themeColor="text1"/>
                <w14:textFill>
                  <w14:solidFill>
                    <w14:schemeClr w14:val="tx1"/>
                  </w14:solidFill>
                </w14:textFill>
              </w:rPr>
            </w:pPr>
          </w:p>
        </w:tc>
        <w:tc>
          <w:tcPr>
            <w:tcW w:w="1347" w:type="dxa"/>
            <w:gridSpan w:val="3"/>
            <w:vAlign w:val="center"/>
          </w:tcPr>
          <w:p w14:paraId="00DE05F5">
            <w:pPr>
              <w:jc w:val="center"/>
              <w:rPr>
                <w:color w:val="000000" w:themeColor="text1"/>
                <w14:textFill>
                  <w14:solidFill>
                    <w14:schemeClr w14:val="tx1"/>
                  </w14:solidFill>
                </w14:textFill>
              </w:rPr>
            </w:pPr>
          </w:p>
        </w:tc>
        <w:tc>
          <w:tcPr>
            <w:tcW w:w="1550" w:type="dxa"/>
            <w:gridSpan w:val="4"/>
            <w:vAlign w:val="center"/>
          </w:tcPr>
          <w:p w14:paraId="05B162FE">
            <w:pPr>
              <w:jc w:val="center"/>
              <w:rPr>
                <w:color w:val="000000" w:themeColor="text1"/>
                <w14:textFill>
                  <w14:solidFill>
                    <w14:schemeClr w14:val="tx1"/>
                  </w14:solidFill>
                </w14:textFill>
              </w:rPr>
            </w:pPr>
          </w:p>
        </w:tc>
        <w:tc>
          <w:tcPr>
            <w:tcW w:w="1354" w:type="dxa"/>
            <w:gridSpan w:val="2"/>
            <w:vAlign w:val="center"/>
          </w:tcPr>
          <w:p w14:paraId="16DB97A6">
            <w:pPr>
              <w:jc w:val="center"/>
              <w:rPr>
                <w:color w:val="000000" w:themeColor="text1"/>
                <w14:textFill>
                  <w14:solidFill>
                    <w14:schemeClr w14:val="tx1"/>
                  </w14:solidFill>
                </w14:textFill>
              </w:rPr>
            </w:pPr>
          </w:p>
        </w:tc>
      </w:tr>
      <w:tr w14:paraId="6E77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38" w:type="dxa"/>
            <w:gridSpan w:val="19"/>
            <w:vAlign w:val="center"/>
          </w:tcPr>
          <w:p w14:paraId="6C595EE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06C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0" w:hRule="atLeast"/>
          <w:jc w:val="center"/>
        </w:trPr>
        <w:tc>
          <w:tcPr>
            <w:tcW w:w="1544" w:type="dxa"/>
            <w:gridSpan w:val="3"/>
            <w:vAlign w:val="center"/>
          </w:tcPr>
          <w:p w14:paraId="32CB3E03">
            <w:pPr>
              <w:jc w:val="center"/>
              <w:rPr>
                <w:color w:val="000000" w:themeColor="text1"/>
                <w14:textFill>
                  <w14:solidFill>
                    <w14:schemeClr w14:val="tx1"/>
                  </w14:solidFill>
                </w14:textFill>
              </w:rPr>
            </w:pPr>
          </w:p>
        </w:tc>
        <w:tc>
          <w:tcPr>
            <w:tcW w:w="1470" w:type="dxa"/>
            <w:gridSpan w:val="2"/>
            <w:vAlign w:val="center"/>
          </w:tcPr>
          <w:p w14:paraId="074F963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1</w:t>
            </w:r>
          </w:p>
        </w:tc>
        <w:tc>
          <w:tcPr>
            <w:tcW w:w="1746" w:type="dxa"/>
            <w:gridSpan w:val="4"/>
            <w:vAlign w:val="center"/>
          </w:tcPr>
          <w:p w14:paraId="1D8642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2</w:t>
            </w:r>
          </w:p>
        </w:tc>
        <w:tc>
          <w:tcPr>
            <w:tcW w:w="1399" w:type="dxa"/>
            <w:gridSpan w:val="3"/>
            <w:vAlign w:val="center"/>
          </w:tcPr>
          <w:p w14:paraId="63918EC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3</w:t>
            </w:r>
          </w:p>
        </w:tc>
        <w:tc>
          <w:tcPr>
            <w:tcW w:w="1559" w:type="dxa"/>
            <w:gridSpan w:val="4"/>
            <w:vAlign w:val="center"/>
          </w:tcPr>
          <w:p w14:paraId="28F449C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4</w:t>
            </w:r>
          </w:p>
        </w:tc>
        <w:tc>
          <w:tcPr>
            <w:tcW w:w="1409" w:type="dxa"/>
            <w:gridSpan w:val="2"/>
            <w:vAlign w:val="center"/>
          </w:tcPr>
          <w:p w14:paraId="1159C0E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5ED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0" w:hRule="atLeast"/>
          <w:jc w:val="center"/>
        </w:trPr>
        <w:tc>
          <w:tcPr>
            <w:tcW w:w="1544" w:type="dxa"/>
            <w:gridSpan w:val="3"/>
            <w:vAlign w:val="center"/>
          </w:tcPr>
          <w:p w14:paraId="53AFC89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470" w:type="dxa"/>
            <w:gridSpan w:val="2"/>
            <w:vAlign w:val="center"/>
          </w:tcPr>
          <w:p w14:paraId="321C41B6">
            <w:pPr>
              <w:jc w:val="center"/>
              <w:rPr>
                <w:color w:val="000000" w:themeColor="text1"/>
                <w14:textFill>
                  <w14:solidFill>
                    <w14:schemeClr w14:val="tx1"/>
                  </w14:solidFill>
                </w14:textFill>
              </w:rPr>
            </w:pPr>
          </w:p>
        </w:tc>
        <w:tc>
          <w:tcPr>
            <w:tcW w:w="1746" w:type="dxa"/>
            <w:gridSpan w:val="4"/>
            <w:vAlign w:val="center"/>
          </w:tcPr>
          <w:p w14:paraId="782BE284">
            <w:pPr>
              <w:jc w:val="center"/>
              <w:rPr>
                <w:color w:val="000000" w:themeColor="text1"/>
                <w14:textFill>
                  <w14:solidFill>
                    <w14:schemeClr w14:val="tx1"/>
                  </w14:solidFill>
                </w14:textFill>
              </w:rPr>
            </w:pPr>
          </w:p>
        </w:tc>
        <w:tc>
          <w:tcPr>
            <w:tcW w:w="1399" w:type="dxa"/>
            <w:gridSpan w:val="3"/>
            <w:vAlign w:val="center"/>
          </w:tcPr>
          <w:p w14:paraId="688E5170">
            <w:pPr>
              <w:jc w:val="center"/>
              <w:rPr>
                <w:color w:val="000000" w:themeColor="text1"/>
                <w14:textFill>
                  <w14:solidFill>
                    <w14:schemeClr w14:val="tx1"/>
                  </w14:solidFill>
                </w14:textFill>
              </w:rPr>
            </w:pPr>
          </w:p>
        </w:tc>
        <w:tc>
          <w:tcPr>
            <w:tcW w:w="1559" w:type="dxa"/>
            <w:gridSpan w:val="4"/>
            <w:vAlign w:val="center"/>
          </w:tcPr>
          <w:p w14:paraId="45D832DE">
            <w:pPr>
              <w:jc w:val="center"/>
              <w:rPr>
                <w:color w:val="000000" w:themeColor="text1"/>
                <w14:textFill>
                  <w14:solidFill>
                    <w14:schemeClr w14:val="tx1"/>
                  </w14:solidFill>
                </w14:textFill>
              </w:rPr>
            </w:pPr>
          </w:p>
        </w:tc>
        <w:tc>
          <w:tcPr>
            <w:tcW w:w="1409" w:type="dxa"/>
            <w:gridSpan w:val="2"/>
            <w:vAlign w:val="center"/>
          </w:tcPr>
          <w:p w14:paraId="26273B17">
            <w:pPr>
              <w:jc w:val="center"/>
              <w:rPr>
                <w:color w:val="000000" w:themeColor="text1"/>
                <w14:textFill>
                  <w14:solidFill>
                    <w14:schemeClr w14:val="tx1"/>
                  </w14:solidFill>
                </w14:textFill>
              </w:rPr>
            </w:pPr>
          </w:p>
        </w:tc>
      </w:tr>
      <w:tr w14:paraId="2DE0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1" w:hRule="atLeast"/>
          <w:jc w:val="center"/>
        </w:trPr>
        <w:tc>
          <w:tcPr>
            <w:tcW w:w="1544" w:type="dxa"/>
            <w:gridSpan w:val="3"/>
            <w:vAlign w:val="center"/>
          </w:tcPr>
          <w:p w14:paraId="26DD3DD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470" w:type="dxa"/>
            <w:gridSpan w:val="2"/>
            <w:vAlign w:val="center"/>
          </w:tcPr>
          <w:p w14:paraId="30F8078D">
            <w:pPr>
              <w:jc w:val="center"/>
              <w:rPr>
                <w:color w:val="000000" w:themeColor="text1"/>
                <w14:textFill>
                  <w14:solidFill>
                    <w14:schemeClr w14:val="tx1"/>
                  </w14:solidFill>
                </w14:textFill>
              </w:rPr>
            </w:pPr>
          </w:p>
        </w:tc>
        <w:tc>
          <w:tcPr>
            <w:tcW w:w="1746" w:type="dxa"/>
            <w:gridSpan w:val="4"/>
            <w:vAlign w:val="center"/>
          </w:tcPr>
          <w:p w14:paraId="3F25DBD7">
            <w:pPr>
              <w:jc w:val="center"/>
              <w:rPr>
                <w:color w:val="000000" w:themeColor="text1"/>
                <w14:textFill>
                  <w14:solidFill>
                    <w14:schemeClr w14:val="tx1"/>
                  </w14:solidFill>
                </w14:textFill>
              </w:rPr>
            </w:pPr>
          </w:p>
        </w:tc>
        <w:tc>
          <w:tcPr>
            <w:tcW w:w="1399" w:type="dxa"/>
            <w:gridSpan w:val="3"/>
            <w:vAlign w:val="center"/>
          </w:tcPr>
          <w:p w14:paraId="06B42F95">
            <w:pPr>
              <w:jc w:val="center"/>
              <w:rPr>
                <w:color w:val="000000" w:themeColor="text1"/>
                <w14:textFill>
                  <w14:solidFill>
                    <w14:schemeClr w14:val="tx1"/>
                  </w14:solidFill>
                </w14:textFill>
              </w:rPr>
            </w:pPr>
          </w:p>
        </w:tc>
        <w:tc>
          <w:tcPr>
            <w:tcW w:w="1559" w:type="dxa"/>
            <w:gridSpan w:val="4"/>
            <w:vAlign w:val="center"/>
          </w:tcPr>
          <w:p w14:paraId="4B7F5465">
            <w:pPr>
              <w:jc w:val="center"/>
              <w:rPr>
                <w:color w:val="000000" w:themeColor="text1"/>
                <w14:textFill>
                  <w14:solidFill>
                    <w14:schemeClr w14:val="tx1"/>
                  </w14:solidFill>
                </w14:textFill>
              </w:rPr>
            </w:pPr>
          </w:p>
        </w:tc>
        <w:tc>
          <w:tcPr>
            <w:tcW w:w="1409" w:type="dxa"/>
            <w:gridSpan w:val="2"/>
            <w:vAlign w:val="center"/>
          </w:tcPr>
          <w:p w14:paraId="5DA01716">
            <w:pPr>
              <w:jc w:val="center"/>
              <w:rPr>
                <w:color w:val="000000" w:themeColor="text1"/>
                <w14:textFill>
                  <w14:solidFill>
                    <w14:schemeClr w14:val="tx1"/>
                  </w14:solidFill>
                </w14:textFill>
              </w:rPr>
            </w:pPr>
          </w:p>
        </w:tc>
      </w:tr>
      <w:tr w14:paraId="2CC6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1" w:hRule="atLeast"/>
          <w:jc w:val="center"/>
        </w:trPr>
        <w:tc>
          <w:tcPr>
            <w:tcW w:w="1544" w:type="dxa"/>
            <w:gridSpan w:val="3"/>
            <w:vAlign w:val="center"/>
          </w:tcPr>
          <w:p w14:paraId="1C667CD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470" w:type="dxa"/>
            <w:gridSpan w:val="2"/>
            <w:vAlign w:val="center"/>
          </w:tcPr>
          <w:p w14:paraId="6D9CECDA">
            <w:pPr>
              <w:jc w:val="center"/>
              <w:rPr>
                <w:color w:val="000000" w:themeColor="text1"/>
                <w14:textFill>
                  <w14:solidFill>
                    <w14:schemeClr w14:val="tx1"/>
                  </w14:solidFill>
                </w14:textFill>
              </w:rPr>
            </w:pPr>
          </w:p>
        </w:tc>
        <w:tc>
          <w:tcPr>
            <w:tcW w:w="1746" w:type="dxa"/>
            <w:gridSpan w:val="4"/>
            <w:vAlign w:val="center"/>
          </w:tcPr>
          <w:p w14:paraId="6193F035">
            <w:pPr>
              <w:jc w:val="center"/>
              <w:rPr>
                <w:color w:val="000000" w:themeColor="text1"/>
                <w14:textFill>
                  <w14:solidFill>
                    <w14:schemeClr w14:val="tx1"/>
                  </w14:solidFill>
                </w14:textFill>
              </w:rPr>
            </w:pPr>
          </w:p>
        </w:tc>
        <w:tc>
          <w:tcPr>
            <w:tcW w:w="1399" w:type="dxa"/>
            <w:gridSpan w:val="3"/>
            <w:vAlign w:val="center"/>
          </w:tcPr>
          <w:p w14:paraId="73123613">
            <w:pPr>
              <w:jc w:val="center"/>
              <w:rPr>
                <w:color w:val="000000" w:themeColor="text1"/>
                <w14:textFill>
                  <w14:solidFill>
                    <w14:schemeClr w14:val="tx1"/>
                  </w14:solidFill>
                </w14:textFill>
              </w:rPr>
            </w:pPr>
          </w:p>
        </w:tc>
        <w:tc>
          <w:tcPr>
            <w:tcW w:w="1559" w:type="dxa"/>
            <w:gridSpan w:val="4"/>
            <w:vAlign w:val="center"/>
          </w:tcPr>
          <w:p w14:paraId="7EB7D11A">
            <w:pPr>
              <w:jc w:val="center"/>
              <w:rPr>
                <w:color w:val="000000" w:themeColor="text1"/>
                <w14:textFill>
                  <w14:solidFill>
                    <w14:schemeClr w14:val="tx1"/>
                  </w14:solidFill>
                </w14:textFill>
              </w:rPr>
            </w:pPr>
          </w:p>
        </w:tc>
        <w:tc>
          <w:tcPr>
            <w:tcW w:w="1409" w:type="dxa"/>
            <w:gridSpan w:val="2"/>
            <w:vAlign w:val="center"/>
          </w:tcPr>
          <w:p w14:paraId="21E1D05C">
            <w:pPr>
              <w:jc w:val="center"/>
              <w:rPr>
                <w:color w:val="000000" w:themeColor="text1"/>
                <w14:textFill>
                  <w14:solidFill>
                    <w14:schemeClr w14:val="tx1"/>
                  </w14:solidFill>
                </w14:textFill>
              </w:rPr>
            </w:pPr>
          </w:p>
        </w:tc>
      </w:tr>
      <w:tr w14:paraId="011B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1" w:hRule="atLeast"/>
          <w:jc w:val="center"/>
        </w:trPr>
        <w:tc>
          <w:tcPr>
            <w:tcW w:w="1544" w:type="dxa"/>
            <w:gridSpan w:val="3"/>
            <w:vAlign w:val="center"/>
          </w:tcPr>
          <w:p w14:paraId="1A784457">
            <w:pPr>
              <w:jc w:val="center"/>
              <w:rPr>
                <w:rFonts w:asci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470" w:type="dxa"/>
            <w:gridSpan w:val="2"/>
            <w:vAlign w:val="center"/>
          </w:tcPr>
          <w:p w14:paraId="4A784F97">
            <w:pPr>
              <w:jc w:val="center"/>
              <w:rPr>
                <w:color w:val="000000" w:themeColor="text1"/>
                <w14:textFill>
                  <w14:solidFill>
                    <w14:schemeClr w14:val="tx1"/>
                  </w14:solidFill>
                </w14:textFill>
              </w:rPr>
            </w:pPr>
          </w:p>
        </w:tc>
        <w:tc>
          <w:tcPr>
            <w:tcW w:w="1746" w:type="dxa"/>
            <w:gridSpan w:val="4"/>
            <w:vAlign w:val="center"/>
          </w:tcPr>
          <w:p w14:paraId="1770239B">
            <w:pPr>
              <w:jc w:val="center"/>
              <w:rPr>
                <w:color w:val="000000" w:themeColor="text1"/>
                <w14:textFill>
                  <w14:solidFill>
                    <w14:schemeClr w14:val="tx1"/>
                  </w14:solidFill>
                </w14:textFill>
              </w:rPr>
            </w:pPr>
          </w:p>
        </w:tc>
        <w:tc>
          <w:tcPr>
            <w:tcW w:w="1399" w:type="dxa"/>
            <w:gridSpan w:val="3"/>
            <w:vAlign w:val="center"/>
          </w:tcPr>
          <w:p w14:paraId="1B9CCBF2">
            <w:pPr>
              <w:jc w:val="center"/>
              <w:rPr>
                <w:color w:val="000000" w:themeColor="text1"/>
                <w14:textFill>
                  <w14:solidFill>
                    <w14:schemeClr w14:val="tx1"/>
                  </w14:solidFill>
                </w14:textFill>
              </w:rPr>
            </w:pPr>
          </w:p>
        </w:tc>
        <w:tc>
          <w:tcPr>
            <w:tcW w:w="1559" w:type="dxa"/>
            <w:gridSpan w:val="4"/>
            <w:vAlign w:val="center"/>
          </w:tcPr>
          <w:p w14:paraId="00D57417">
            <w:pPr>
              <w:jc w:val="center"/>
              <w:rPr>
                <w:color w:val="000000" w:themeColor="text1"/>
                <w14:textFill>
                  <w14:solidFill>
                    <w14:schemeClr w14:val="tx1"/>
                  </w14:solidFill>
                </w14:textFill>
              </w:rPr>
            </w:pPr>
          </w:p>
        </w:tc>
        <w:tc>
          <w:tcPr>
            <w:tcW w:w="1409" w:type="dxa"/>
            <w:gridSpan w:val="2"/>
            <w:vAlign w:val="center"/>
          </w:tcPr>
          <w:p w14:paraId="6F06E0CE">
            <w:pPr>
              <w:jc w:val="center"/>
              <w:rPr>
                <w:color w:val="000000" w:themeColor="text1"/>
                <w14:textFill>
                  <w14:solidFill>
                    <w14:schemeClr w14:val="tx1"/>
                  </w14:solidFill>
                </w14:textFill>
              </w:rPr>
            </w:pPr>
          </w:p>
        </w:tc>
      </w:tr>
      <w:tr w14:paraId="6019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1" w:hRule="atLeast"/>
          <w:jc w:val="center"/>
        </w:trPr>
        <w:tc>
          <w:tcPr>
            <w:tcW w:w="1544" w:type="dxa"/>
            <w:gridSpan w:val="3"/>
            <w:vAlign w:val="center"/>
          </w:tcPr>
          <w:p w14:paraId="72FB705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470" w:type="dxa"/>
            <w:gridSpan w:val="2"/>
            <w:vAlign w:val="center"/>
          </w:tcPr>
          <w:p w14:paraId="13FB42ED">
            <w:pPr>
              <w:jc w:val="center"/>
              <w:rPr>
                <w:color w:val="000000" w:themeColor="text1"/>
                <w14:textFill>
                  <w14:solidFill>
                    <w14:schemeClr w14:val="tx1"/>
                  </w14:solidFill>
                </w14:textFill>
              </w:rPr>
            </w:pPr>
          </w:p>
        </w:tc>
        <w:tc>
          <w:tcPr>
            <w:tcW w:w="1746" w:type="dxa"/>
            <w:gridSpan w:val="4"/>
            <w:vAlign w:val="center"/>
          </w:tcPr>
          <w:p w14:paraId="0321E114">
            <w:pPr>
              <w:jc w:val="center"/>
              <w:rPr>
                <w:color w:val="000000" w:themeColor="text1"/>
                <w14:textFill>
                  <w14:solidFill>
                    <w14:schemeClr w14:val="tx1"/>
                  </w14:solidFill>
                </w14:textFill>
              </w:rPr>
            </w:pPr>
          </w:p>
        </w:tc>
        <w:tc>
          <w:tcPr>
            <w:tcW w:w="1399" w:type="dxa"/>
            <w:gridSpan w:val="3"/>
            <w:vAlign w:val="center"/>
          </w:tcPr>
          <w:p w14:paraId="1E9363E6">
            <w:pPr>
              <w:jc w:val="center"/>
              <w:rPr>
                <w:color w:val="000000" w:themeColor="text1"/>
                <w14:textFill>
                  <w14:solidFill>
                    <w14:schemeClr w14:val="tx1"/>
                  </w14:solidFill>
                </w14:textFill>
              </w:rPr>
            </w:pPr>
          </w:p>
        </w:tc>
        <w:tc>
          <w:tcPr>
            <w:tcW w:w="1559" w:type="dxa"/>
            <w:gridSpan w:val="4"/>
            <w:vAlign w:val="center"/>
          </w:tcPr>
          <w:p w14:paraId="1FA4C88F">
            <w:pPr>
              <w:jc w:val="center"/>
              <w:rPr>
                <w:color w:val="000000" w:themeColor="text1"/>
                <w14:textFill>
                  <w14:solidFill>
                    <w14:schemeClr w14:val="tx1"/>
                  </w14:solidFill>
                </w14:textFill>
              </w:rPr>
            </w:pPr>
          </w:p>
        </w:tc>
        <w:tc>
          <w:tcPr>
            <w:tcW w:w="1409" w:type="dxa"/>
            <w:gridSpan w:val="2"/>
            <w:vAlign w:val="center"/>
          </w:tcPr>
          <w:p w14:paraId="6C1190C1">
            <w:pPr>
              <w:jc w:val="center"/>
              <w:rPr>
                <w:color w:val="000000" w:themeColor="text1"/>
                <w14:textFill>
                  <w14:solidFill>
                    <w14:schemeClr w14:val="tx1"/>
                  </w14:solidFill>
                </w14:textFill>
              </w:rPr>
            </w:pPr>
          </w:p>
        </w:tc>
      </w:tr>
      <w:tr w14:paraId="59F5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9" w:hRule="atLeast"/>
          <w:jc w:val="center"/>
        </w:trPr>
        <w:tc>
          <w:tcPr>
            <w:tcW w:w="1544" w:type="dxa"/>
            <w:gridSpan w:val="3"/>
            <w:vAlign w:val="center"/>
          </w:tcPr>
          <w:p w14:paraId="218CD401">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470" w:type="dxa"/>
            <w:gridSpan w:val="2"/>
            <w:vAlign w:val="center"/>
          </w:tcPr>
          <w:p w14:paraId="0EC16962">
            <w:pPr>
              <w:jc w:val="center"/>
              <w:rPr>
                <w:color w:val="000000" w:themeColor="text1"/>
                <w14:textFill>
                  <w14:solidFill>
                    <w14:schemeClr w14:val="tx1"/>
                  </w14:solidFill>
                </w14:textFill>
              </w:rPr>
            </w:pPr>
          </w:p>
        </w:tc>
        <w:tc>
          <w:tcPr>
            <w:tcW w:w="1746" w:type="dxa"/>
            <w:gridSpan w:val="4"/>
            <w:vAlign w:val="center"/>
          </w:tcPr>
          <w:p w14:paraId="2D061843">
            <w:pPr>
              <w:jc w:val="center"/>
              <w:rPr>
                <w:color w:val="000000" w:themeColor="text1"/>
                <w14:textFill>
                  <w14:solidFill>
                    <w14:schemeClr w14:val="tx1"/>
                  </w14:solidFill>
                </w14:textFill>
              </w:rPr>
            </w:pPr>
          </w:p>
        </w:tc>
        <w:tc>
          <w:tcPr>
            <w:tcW w:w="1399" w:type="dxa"/>
            <w:gridSpan w:val="3"/>
            <w:vAlign w:val="center"/>
          </w:tcPr>
          <w:p w14:paraId="110B9AFF">
            <w:pPr>
              <w:jc w:val="center"/>
              <w:rPr>
                <w:color w:val="000000" w:themeColor="text1"/>
                <w14:textFill>
                  <w14:solidFill>
                    <w14:schemeClr w14:val="tx1"/>
                  </w14:solidFill>
                </w14:textFill>
              </w:rPr>
            </w:pPr>
          </w:p>
        </w:tc>
        <w:tc>
          <w:tcPr>
            <w:tcW w:w="1559" w:type="dxa"/>
            <w:gridSpan w:val="4"/>
            <w:vAlign w:val="center"/>
          </w:tcPr>
          <w:p w14:paraId="4D2FB30E">
            <w:pPr>
              <w:jc w:val="center"/>
              <w:rPr>
                <w:color w:val="000000" w:themeColor="text1"/>
                <w14:textFill>
                  <w14:solidFill>
                    <w14:schemeClr w14:val="tx1"/>
                  </w14:solidFill>
                </w14:textFill>
              </w:rPr>
            </w:pPr>
          </w:p>
        </w:tc>
        <w:tc>
          <w:tcPr>
            <w:tcW w:w="1409" w:type="dxa"/>
            <w:gridSpan w:val="2"/>
            <w:vAlign w:val="center"/>
          </w:tcPr>
          <w:p w14:paraId="3EE55ED7">
            <w:pPr>
              <w:jc w:val="center"/>
              <w:rPr>
                <w:color w:val="000000" w:themeColor="text1"/>
                <w14:textFill>
                  <w14:solidFill>
                    <w14:schemeClr w14:val="tx1"/>
                  </w14:solidFill>
                </w14:textFill>
              </w:rPr>
            </w:pPr>
          </w:p>
        </w:tc>
      </w:tr>
      <w:tr w14:paraId="68A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9" w:hRule="atLeast"/>
          <w:jc w:val="center"/>
        </w:trPr>
        <w:tc>
          <w:tcPr>
            <w:tcW w:w="1544" w:type="dxa"/>
            <w:gridSpan w:val="3"/>
            <w:vAlign w:val="center"/>
          </w:tcPr>
          <w:p w14:paraId="109E79E7">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470" w:type="dxa"/>
            <w:gridSpan w:val="2"/>
            <w:vAlign w:val="center"/>
          </w:tcPr>
          <w:p w14:paraId="21821848">
            <w:pPr>
              <w:jc w:val="center"/>
              <w:rPr>
                <w:color w:val="000000" w:themeColor="text1"/>
                <w14:textFill>
                  <w14:solidFill>
                    <w14:schemeClr w14:val="tx1"/>
                  </w14:solidFill>
                </w14:textFill>
              </w:rPr>
            </w:pPr>
          </w:p>
        </w:tc>
        <w:tc>
          <w:tcPr>
            <w:tcW w:w="1746" w:type="dxa"/>
            <w:gridSpan w:val="4"/>
            <w:vAlign w:val="center"/>
          </w:tcPr>
          <w:p w14:paraId="6B6AC71F">
            <w:pPr>
              <w:jc w:val="center"/>
              <w:rPr>
                <w:color w:val="000000" w:themeColor="text1"/>
                <w14:textFill>
                  <w14:solidFill>
                    <w14:schemeClr w14:val="tx1"/>
                  </w14:solidFill>
                </w14:textFill>
              </w:rPr>
            </w:pPr>
          </w:p>
        </w:tc>
        <w:tc>
          <w:tcPr>
            <w:tcW w:w="1399" w:type="dxa"/>
            <w:gridSpan w:val="3"/>
            <w:vAlign w:val="center"/>
          </w:tcPr>
          <w:p w14:paraId="4145332D">
            <w:pPr>
              <w:jc w:val="center"/>
              <w:rPr>
                <w:color w:val="000000" w:themeColor="text1"/>
                <w14:textFill>
                  <w14:solidFill>
                    <w14:schemeClr w14:val="tx1"/>
                  </w14:solidFill>
                </w14:textFill>
              </w:rPr>
            </w:pPr>
          </w:p>
        </w:tc>
        <w:tc>
          <w:tcPr>
            <w:tcW w:w="1559" w:type="dxa"/>
            <w:gridSpan w:val="4"/>
            <w:vAlign w:val="center"/>
          </w:tcPr>
          <w:p w14:paraId="6A9A4287">
            <w:pPr>
              <w:jc w:val="center"/>
              <w:rPr>
                <w:color w:val="000000" w:themeColor="text1"/>
                <w14:textFill>
                  <w14:solidFill>
                    <w14:schemeClr w14:val="tx1"/>
                  </w14:solidFill>
                </w14:textFill>
              </w:rPr>
            </w:pPr>
          </w:p>
        </w:tc>
        <w:tc>
          <w:tcPr>
            <w:tcW w:w="1409" w:type="dxa"/>
            <w:gridSpan w:val="2"/>
            <w:vAlign w:val="center"/>
          </w:tcPr>
          <w:p w14:paraId="18C536E9">
            <w:pPr>
              <w:jc w:val="center"/>
              <w:rPr>
                <w:color w:val="000000" w:themeColor="text1"/>
                <w14:textFill>
                  <w14:solidFill>
                    <w14:schemeClr w14:val="tx1"/>
                  </w14:solidFill>
                </w14:textFill>
              </w:rPr>
            </w:pPr>
          </w:p>
        </w:tc>
      </w:tr>
      <w:tr w14:paraId="7955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9" w:hRule="atLeast"/>
          <w:jc w:val="center"/>
        </w:trPr>
        <w:tc>
          <w:tcPr>
            <w:tcW w:w="1544" w:type="dxa"/>
            <w:gridSpan w:val="3"/>
            <w:vAlign w:val="center"/>
          </w:tcPr>
          <w:p w14:paraId="49186E50">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470" w:type="dxa"/>
            <w:gridSpan w:val="2"/>
            <w:vAlign w:val="center"/>
          </w:tcPr>
          <w:p w14:paraId="2B2351C3">
            <w:pPr>
              <w:jc w:val="center"/>
              <w:rPr>
                <w:color w:val="000000" w:themeColor="text1"/>
                <w14:textFill>
                  <w14:solidFill>
                    <w14:schemeClr w14:val="tx1"/>
                  </w14:solidFill>
                </w14:textFill>
              </w:rPr>
            </w:pPr>
          </w:p>
        </w:tc>
        <w:tc>
          <w:tcPr>
            <w:tcW w:w="1746" w:type="dxa"/>
            <w:gridSpan w:val="4"/>
            <w:vAlign w:val="center"/>
          </w:tcPr>
          <w:p w14:paraId="3861F9BF">
            <w:pPr>
              <w:jc w:val="center"/>
              <w:rPr>
                <w:color w:val="000000" w:themeColor="text1"/>
                <w14:textFill>
                  <w14:solidFill>
                    <w14:schemeClr w14:val="tx1"/>
                  </w14:solidFill>
                </w14:textFill>
              </w:rPr>
            </w:pPr>
          </w:p>
        </w:tc>
        <w:tc>
          <w:tcPr>
            <w:tcW w:w="1399" w:type="dxa"/>
            <w:gridSpan w:val="3"/>
            <w:vAlign w:val="center"/>
          </w:tcPr>
          <w:p w14:paraId="2929371F">
            <w:pPr>
              <w:jc w:val="center"/>
              <w:rPr>
                <w:color w:val="000000" w:themeColor="text1"/>
                <w14:textFill>
                  <w14:solidFill>
                    <w14:schemeClr w14:val="tx1"/>
                  </w14:solidFill>
                </w14:textFill>
              </w:rPr>
            </w:pPr>
          </w:p>
        </w:tc>
        <w:tc>
          <w:tcPr>
            <w:tcW w:w="1559" w:type="dxa"/>
            <w:gridSpan w:val="4"/>
            <w:vAlign w:val="center"/>
          </w:tcPr>
          <w:p w14:paraId="02486619">
            <w:pPr>
              <w:jc w:val="center"/>
              <w:rPr>
                <w:color w:val="000000" w:themeColor="text1"/>
                <w14:textFill>
                  <w14:solidFill>
                    <w14:schemeClr w14:val="tx1"/>
                  </w14:solidFill>
                </w14:textFill>
              </w:rPr>
            </w:pPr>
          </w:p>
        </w:tc>
        <w:tc>
          <w:tcPr>
            <w:tcW w:w="1409" w:type="dxa"/>
            <w:gridSpan w:val="2"/>
            <w:vAlign w:val="center"/>
          </w:tcPr>
          <w:p w14:paraId="4E3CA92B">
            <w:pPr>
              <w:jc w:val="center"/>
              <w:rPr>
                <w:color w:val="000000" w:themeColor="text1"/>
                <w14:textFill>
                  <w14:solidFill>
                    <w14:schemeClr w14:val="tx1"/>
                  </w14:solidFill>
                </w14:textFill>
              </w:rPr>
            </w:pPr>
          </w:p>
        </w:tc>
      </w:tr>
      <w:tr w14:paraId="4D83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9" w:hRule="atLeast"/>
          <w:jc w:val="center"/>
        </w:trPr>
        <w:tc>
          <w:tcPr>
            <w:tcW w:w="1544" w:type="dxa"/>
            <w:gridSpan w:val="3"/>
            <w:vAlign w:val="center"/>
          </w:tcPr>
          <w:p w14:paraId="0F6006AB">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470" w:type="dxa"/>
            <w:gridSpan w:val="2"/>
            <w:vAlign w:val="center"/>
          </w:tcPr>
          <w:p w14:paraId="6D734F6B">
            <w:pPr>
              <w:jc w:val="center"/>
              <w:rPr>
                <w:color w:val="000000" w:themeColor="text1"/>
                <w14:textFill>
                  <w14:solidFill>
                    <w14:schemeClr w14:val="tx1"/>
                  </w14:solidFill>
                </w14:textFill>
              </w:rPr>
            </w:pPr>
          </w:p>
        </w:tc>
        <w:tc>
          <w:tcPr>
            <w:tcW w:w="1746" w:type="dxa"/>
            <w:gridSpan w:val="4"/>
            <w:vAlign w:val="center"/>
          </w:tcPr>
          <w:p w14:paraId="1E32E2BD">
            <w:pPr>
              <w:jc w:val="center"/>
              <w:rPr>
                <w:color w:val="000000" w:themeColor="text1"/>
                <w14:textFill>
                  <w14:solidFill>
                    <w14:schemeClr w14:val="tx1"/>
                  </w14:solidFill>
                </w14:textFill>
              </w:rPr>
            </w:pPr>
          </w:p>
        </w:tc>
        <w:tc>
          <w:tcPr>
            <w:tcW w:w="1399" w:type="dxa"/>
            <w:gridSpan w:val="3"/>
            <w:vAlign w:val="center"/>
          </w:tcPr>
          <w:p w14:paraId="5E0AF526">
            <w:pPr>
              <w:jc w:val="center"/>
              <w:rPr>
                <w:color w:val="000000" w:themeColor="text1"/>
                <w14:textFill>
                  <w14:solidFill>
                    <w14:schemeClr w14:val="tx1"/>
                  </w14:solidFill>
                </w14:textFill>
              </w:rPr>
            </w:pPr>
          </w:p>
        </w:tc>
        <w:tc>
          <w:tcPr>
            <w:tcW w:w="1559" w:type="dxa"/>
            <w:gridSpan w:val="4"/>
            <w:vAlign w:val="center"/>
          </w:tcPr>
          <w:p w14:paraId="1366433B">
            <w:pPr>
              <w:jc w:val="center"/>
              <w:rPr>
                <w:color w:val="000000" w:themeColor="text1"/>
                <w14:textFill>
                  <w14:solidFill>
                    <w14:schemeClr w14:val="tx1"/>
                  </w14:solidFill>
                </w14:textFill>
              </w:rPr>
            </w:pPr>
          </w:p>
        </w:tc>
        <w:tc>
          <w:tcPr>
            <w:tcW w:w="1409" w:type="dxa"/>
            <w:gridSpan w:val="2"/>
            <w:vAlign w:val="center"/>
          </w:tcPr>
          <w:p w14:paraId="1693692A">
            <w:pPr>
              <w:jc w:val="center"/>
              <w:rPr>
                <w:color w:val="000000" w:themeColor="text1"/>
                <w14:textFill>
                  <w14:solidFill>
                    <w14:schemeClr w14:val="tx1"/>
                  </w14:solidFill>
                </w14:textFill>
              </w:rPr>
            </w:pPr>
          </w:p>
        </w:tc>
      </w:tr>
    </w:tbl>
    <w:p w14:paraId="63215D1B">
      <w:pPr>
        <w:spacing w:line="360" w:lineRule="auto"/>
        <w:rPr>
          <w:rFonts w:asci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31137653">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项目数可以根据需要增加。</w:t>
      </w:r>
    </w:p>
    <w:p w14:paraId="3D59E50C">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本表后附项目技术负责人（项目总工）的</w:t>
      </w:r>
      <w:r>
        <w:rPr>
          <w:rFonts w:hint="eastAsia" w:ascii="宋体" w:hAnsi="宋体"/>
          <w:color w:val="000000" w:themeColor="text1"/>
          <w:szCs w:val="21"/>
          <w:lang w:eastAsia="zh-CN"/>
          <w14:textFill>
            <w14:solidFill>
              <w14:schemeClr w14:val="tx1"/>
            </w14:solidFill>
          </w14:textFill>
        </w:rPr>
        <w:t>职称</w:t>
      </w:r>
      <w:r>
        <w:rPr>
          <w:rFonts w:hint="eastAsia" w:ascii="宋体" w:hAnsi="宋体"/>
          <w:color w:val="000000" w:themeColor="text1"/>
          <w:szCs w:val="21"/>
          <w14:textFill>
            <w14:solidFill>
              <w14:schemeClr w14:val="tx1"/>
            </w14:solidFill>
          </w14:textFill>
        </w:rPr>
        <w:t>证、本表所列证书复印件并加盖供应商电子签章。</w:t>
      </w:r>
    </w:p>
    <w:p w14:paraId="334E9C94">
      <w:pPr>
        <w:spacing w:line="360" w:lineRule="auto"/>
        <w:rPr>
          <w:rFonts w:eastAsia="楷体_GB2312"/>
          <w:color w:val="000000" w:themeColor="text1"/>
          <w14:textFill>
            <w14:solidFill>
              <w14:schemeClr w14:val="tx1"/>
            </w14:solidFill>
          </w14:textFill>
        </w:rPr>
      </w:pPr>
    </w:p>
    <w:p w14:paraId="79ECEE9E">
      <w:pPr>
        <w:pStyle w:val="196"/>
        <w:spacing w:line="360" w:lineRule="auto"/>
        <w:jc w:val="center"/>
        <w:outlineLvl w:val="9"/>
        <w:rPr>
          <w:color w:val="000000" w:themeColor="text1"/>
          <w:u w:val="single"/>
          <w14:textFill>
            <w14:solidFill>
              <w14:schemeClr w14:val="tx1"/>
            </w14:solidFill>
          </w14:textFill>
        </w:rPr>
      </w:pPr>
      <w:r>
        <w:rPr>
          <w:rFonts w:cs="宋体"/>
          <w:b/>
          <w:bCs/>
          <w:color w:val="000000" w:themeColor="text1"/>
          <w:sz w:val="28"/>
          <w:szCs w:val="28"/>
          <w14:textFill>
            <w14:solidFill>
              <w14:schemeClr w14:val="tx1"/>
            </w14:solidFill>
          </w14:textFill>
        </w:rPr>
        <w:br w:type="page"/>
      </w:r>
      <w:r>
        <w:rPr>
          <w:rFonts w:hint="eastAsia" w:cs="宋体"/>
          <w:b/>
          <w:color w:val="000000" w:themeColor="text1"/>
          <w:sz w:val="32"/>
          <w:szCs w:val="32"/>
          <w14:textFill>
            <w14:solidFill>
              <w14:schemeClr w14:val="tx1"/>
            </w14:solidFill>
          </w14:textFill>
        </w:rPr>
        <w:t>专职安全生产管理人员</w:t>
      </w:r>
    </w:p>
    <w:tbl>
      <w:tblPr>
        <w:tblStyle w:val="4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
        <w:gridCol w:w="377"/>
        <w:gridCol w:w="840"/>
        <w:gridCol w:w="637"/>
        <w:gridCol w:w="306"/>
        <w:gridCol w:w="222"/>
        <w:gridCol w:w="64"/>
        <w:gridCol w:w="1161"/>
        <w:gridCol w:w="127"/>
        <w:gridCol w:w="232"/>
        <w:gridCol w:w="1046"/>
        <w:gridCol w:w="75"/>
        <w:gridCol w:w="392"/>
        <w:gridCol w:w="1056"/>
        <w:gridCol w:w="43"/>
        <w:gridCol w:w="66"/>
        <w:gridCol w:w="1350"/>
        <w:gridCol w:w="9"/>
      </w:tblGrid>
      <w:tr w14:paraId="534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01" w:type="dxa"/>
            <w:vAlign w:val="center"/>
          </w:tcPr>
          <w:p w14:paraId="249D729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233" w:type="dxa"/>
            <w:gridSpan w:val="5"/>
            <w:vAlign w:val="center"/>
          </w:tcPr>
          <w:p w14:paraId="5F03A5CF">
            <w:pPr>
              <w:jc w:val="center"/>
              <w:rPr>
                <w:color w:val="000000" w:themeColor="text1"/>
                <w14:textFill>
                  <w14:solidFill>
                    <w14:schemeClr w14:val="tx1"/>
                  </w14:solidFill>
                </w14:textFill>
              </w:rPr>
            </w:pPr>
          </w:p>
        </w:tc>
        <w:tc>
          <w:tcPr>
            <w:tcW w:w="1806" w:type="dxa"/>
            <w:gridSpan w:val="5"/>
            <w:vAlign w:val="center"/>
          </w:tcPr>
          <w:p w14:paraId="203FDA0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13" w:type="dxa"/>
            <w:gridSpan w:val="3"/>
            <w:vAlign w:val="center"/>
          </w:tcPr>
          <w:p w14:paraId="6B8FE89B">
            <w:pPr>
              <w:jc w:val="center"/>
              <w:rPr>
                <w:color w:val="000000" w:themeColor="text1"/>
                <w14:textFill>
                  <w14:solidFill>
                    <w14:schemeClr w14:val="tx1"/>
                  </w14:solidFill>
                </w14:textFill>
              </w:rPr>
            </w:pPr>
          </w:p>
        </w:tc>
        <w:tc>
          <w:tcPr>
            <w:tcW w:w="1056" w:type="dxa"/>
            <w:vAlign w:val="center"/>
          </w:tcPr>
          <w:p w14:paraId="25BBB6A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468" w:type="dxa"/>
            <w:gridSpan w:val="4"/>
            <w:vAlign w:val="center"/>
          </w:tcPr>
          <w:p w14:paraId="1685BFF7">
            <w:pPr>
              <w:jc w:val="center"/>
              <w:rPr>
                <w:color w:val="000000" w:themeColor="text1"/>
                <w14:textFill>
                  <w14:solidFill>
                    <w14:schemeClr w14:val="tx1"/>
                  </w14:solidFill>
                </w14:textFill>
              </w:rPr>
            </w:pPr>
          </w:p>
        </w:tc>
      </w:tr>
      <w:tr w14:paraId="672F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1519AFF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233" w:type="dxa"/>
            <w:gridSpan w:val="5"/>
            <w:vAlign w:val="center"/>
          </w:tcPr>
          <w:p w14:paraId="68E00AF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专职安全生产管理人员</w:t>
            </w:r>
          </w:p>
        </w:tc>
        <w:tc>
          <w:tcPr>
            <w:tcW w:w="1806" w:type="dxa"/>
            <w:gridSpan w:val="5"/>
            <w:vAlign w:val="center"/>
          </w:tcPr>
          <w:p w14:paraId="3EF0E48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13" w:type="dxa"/>
            <w:gridSpan w:val="3"/>
            <w:vAlign w:val="center"/>
          </w:tcPr>
          <w:p w14:paraId="03C3357C">
            <w:pPr>
              <w:jc w:val="center"/>
              <w:rPr>
                <w:color w:val="000000" w:themeColor="text1"/>
                <w14:textFill>
                  <w14:solidFill>
                    <w14:schemeClr w14:val="tx1"/>
                  </w14:solidFill>
                </w14:textFill>
              </w:rPr>
            </w:pPr>
          </w:p>
        </w:tc>
        <w:tc>
          <w:tcPr>
            <w:tcW w:w="1056" w:type="dxa"/>
            <w:vAlign w:val="center"/>
          </w:tcPr>
          <w:p w14:paraId="1625D1B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468" w:type="dxa"/>
            <w:gridSpan w:val="4"/>
            <w:vAlign w:val="center"/>
          </w:tcPr>
          <w:p w14:paraId="7E9D7B12">
            <w:pPr>
              <w:jc w:val="center"/>
              <w:rPr>
                <w:color w:val="000000" w:themeColor="text1"/>
                <w14:textFill>
                  <w14:solidFill>
                    <w14:schemeClr w14:val="tx1"/>
                  </w14:solidFill>
                </w14:textFill>
              </w:rPr>
            </w:pPr>
          </w:p>
        </w:tc>
      </w:tr>
      <w:tr w14:paraId="095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01" w:type="dxa"/>
            <w:vAlign w:val="center"/>
          </w:tcPr>
          <w:p w14:paraId="001775CD">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233" w:type="dxa"/>
            <w:gridSpan w:val="5"/>
            <w:vAlign w:val="center"/>
          </w:tcPr>
          <w:p w14:paraId="73C63A64">
            <w:pPr>
              <w:jc w:val="center"/>
              <w:rPr>
                <w:color w:val="000000" w:themeColor="text1"/>
                <w14:textFill>
                  <w14:solidFill>
                    <w14:schemeClr w14:val="tx1"/>
                  </w14:solidFill>
                </w14:textFill>
              </w:rPr>
            </w:pPr>
          </w:p>
        </w:tc>
        <w:tc>
          <w:tcPr>
            <w:tcW w:w="1806" w:type="dxa"/>
            <w:gridSpan w:val="5"/>
            <w:vAlign w:val="center"/>
          </w:tcPr>
          <w:p w14:paraId="61AD90B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职称获得时间</w:t>
            </w:r>
          </w:p>
        </w:tc>
        <w:tc>
          <w:tcPr>
            <w:tcW w:w="1513" w:type="dxa"/>
            <w:gridSpan w:val="3"/>
            <w:vAlign w:val="center"/>
          </w:tcPr>
          <w:p w14:paraId="0C10621C">
            <w:pPr>
              <w:jc w:val="center"/>
              <w:rPr>
                <w:color w:val="000000" w:themeColor="text1"/>
                <w14:textFill>
                  <w14:solidFill>
                    <w14:schemeClr w14:val="tx1"/>
                  </w14:solidFill>
                </w14:textFill>
              </w:rPr>
            </w:pPr>
          </w:p>
        </w:tc>
        <w:tc>
          <w:tcPr>
            <w:tcW w:w="1056" w:type="dxa"/>
            <w:vAlign w:val="center"/>
          </w:tcPr>
          <w:p w14:paraId="73E39F36">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468" w:type="dxa"/>
            <w:gridSpan w:val="4"/>
            <w:vAlign w:val="center"/>
          </w:tcPr>
          <w:p w14:paraId="4D537718">
            <w:pPr>
              <w:jc w:val="center"/>
              <w:rPr>
                <w:color w:val="000000" w:themeColor="text1"/>
                <w14:textFill>
                  <w14:solidFill>
                    <w14:schemeClr w14:val="tx1"/>
                  </w14:solidFill>
                </w14:textFill>
              </w:rPr>
            </w:pPr>
          </w:p>
        </w:tc>
      </w:tr>
      <w:tr w14:paraId="7BCF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74" w:type="dxa"/>
            <w:gridSpan w:val="2"/>
            <w:vAlign w:val="center"/>
          </w:tcPr>
          <w:p w14:paraId="1F925C7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担任……年限</w:t>
            </w:r>
          </w:p>
        </w:tc>
        <w:tc>
          <w:tcPr>
            <w:tcW w:w="2446" w:type="dxa"/>
            <w:gridSpan w:val="6"/>
            <w:vAlign w:val="center"/>
          </w:tcPr>
          <w:p w14:paraId="0A09E408">
            <w:pPr>
              <w:jc w:val="center"/>
              <w:rPr>
                <w:color w:val="000000" w:themeColor="text1"/>
                <w14:textFill>
                  <w14:solidFill>
                    <w14:schemeClr w14:val="tx1"/>
                  </w14:solidFill>
                </w14:textFill>
              </w:rPr>
            </w:pPr>
          </w:p>
        </w:tc>
        <w:tc>
          <w:tcPr>
            <w:tcW w:w="1161" w:type="dxa"/>
            <w:vAlign w:val="center"/>
          </w:tcPr>
          <w:p w14:paraId="440395F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p>
        </w:tc>
        <w:tc>
          <w:tcPr>
            <w:tcW w:w="4396" w:type="dxa"/>
            <w:gridSpan w:val="10"/>
            <w:vAlign w:val="center"/>
          </w:tcPr>
          <w:p w14:paraId="2CEF17B5">
            <w:pPr>
              <w:jc w:val="center"/>
              <w:rPr>
                <w:color w:val="000000" w:themeColor="text1"/>
                <w14:textFill>
                  <w14:solidFill>
                    <w14:schemeClr w14:val="tx1"/>
                  </w14:solidFill>
                </w14:textFill>
              </w:rPr>
            </w:pPr>
          </w:p>
        </w:tc>
      </w:tr>
      <w:tr w14:paraId="3B13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74" w:type="dxa"/>
            <w:gridSpan w:val="2"/>
            <w:vAlign w:val="center"/>
          </w:tcPr>
          <w:p w14:paraId="58996BA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217" w:type="dxa"/>
            <w:gridSpan w:val="2"/>
            <w:vAlign w:val="center"/>
          </w:tcPr>
          <w:p w14:paraId="2E0C2B9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165" w:type="dxa"/>
            <w:gridSpan w:val="3"/>
            <w:vAlign w:val="center"/>
          </w:tcPr>
          <w:p w14:paraId="71CD924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1352" w:type="dxa"/>
            <w:gridSpan w:val="3"/>
            <w:vAlign w:val="center"/>
          </w:tcPr>
          <w:p w14:paraId="2C66F8C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353" w:type="dxa"/>
            <w:gridSpan w:val="3"/>
            <w:vAlign w:val="center"/>
          </w:tcPr>
          <w:p w14:paraId="0E4C3F9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557" w:type="dxa"/>
            <w:gridSpan w:val="4"/>
            <w:vAlign w:val="center"/>
          </w:tcPr>
          <w:p w14:paraId="68CC0AF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359" w:type="dxa"/>
            <w:gridSpan w:val="2"/>
            <w:vAlign w:val="center"/>
          </w:tcPr>
          <w:p w14:paraId="65F893E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3E96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74" w:type="dxa"/>
            <w:gridSpan w:val="2"/>
            <w:vAlign w:val="center"/>
          </w:tcPr>
          <w:p w14:paraId="2EDCE32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217" w:type="dxa"/>
            <w:gridSpan w:val="2"/>
            <w:vAlign w:val="center"/>
          </w:tcPr>
          <w:p w14:paraId="19647DD3">
            <w:pPr>
              <w:jc w:val="center"/>
              <w:rPr>
                <w:color w:val="000000" w:themeColor="text1"/>
                <w14:textFill>
                  <w14:solidFill>
                    <w14:schemeClr w14:val="tx1"/>
                  </w14:solidFill>
                </w14:textFill>
              </w:rPr>
            </w:pPr>
          </w:p>
        </w:tc>
        <w:tc>
          <w:tcPr>
            <w:tcW w:w="1165" w:type="dxa"/>
            <w:gridSpan w:val="3"/>
            <w:vAlign w:val="center"/>
          </w:tcPr>
          <w:p w14:paraId="79A7787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C</w:t>
            </w:r>
            <w:r>
              <w:rPr>
                <w:rFonts w:hint="eastAsia" w:cs="宋体"/>
                <w:color w:val="000000" w:themeColor="text1"/>
                <w14:textFill>
                  <w14:solidFill>
                    <w14:schemeClr w14:val="tx1"/>
                  </w14:solidFill>
                </w14:textFill>
              </w:rPr>
              <w:t>类</w:t>
            </w:r>
          </w:p>
        </w:tc>
        <w:tc>
          <w:tcPr>
            <w:tcW w:w="1352" w:type="dxa"/>
            <w:gridSpan w:val="3"/>
            <w:vAlign w:val="center"/>
          </w:tcPr>
          <w:p w14:paraId="7FA7E7BF">
            <w:pPr>
              <w:jc w:val="center"/>
              <w:rPr>
                <w:color w:val="000000" w:themeColor="text1"/>
                <w14:textFill>
                  <w14:solidFill>
                    <w14:schemeClr w14:val="tx1"/>
                  </w14:solidFill>
                </w14:textFill>
              </w:rPr>
            </w:pPr>
          </w:p>
        </w:tc>
        <w:tc>
          <w:tcPr>
            <w:tcW w:w="1353" w:type="dxa"/>
            <w:gridSpan w:val="3"/>
            <w:vAlign w:val="center"/>
          </w:tcPr>
          <w:p w14:paraId="35F0180B">
            <w:pPr>
              <w:jc w:val="center"/>
              <w:rPr>
                <w:color w:val="000000" w:themeColor="text1"/>
                <w14:textFill>
                  <w14:solidFill>
                    <w14:schemeClr w14:val="tx1"/>
                  </w14:solidFill>
                </w14:textFill>
              </w:rPr>
            </w:pPr>
          </w:p>
        </w:tc>
        <w:tc>
          <w:tcPr>
            <w:tcW w:w="1557" w:type="dxa"/>
            <w:gridSpan w:val="4"/>
            <w:vAlign w:val="center"/>
          </w:tcPr>
          <w:p w14:paraId="1A559B46">
            <w:pPr>
              <w:jc w:val="center"/>
              <w:rPr>
                <w:color w:val="000000" w:themeColor="text1"/>
                <w14:textFill>
                  <w14:solidFill>
                    <w14:schemeClr w14:val="tx1"/>
                  </w14:solidFill>
                </w14:textFill>
              </w:rPr>
            </w:pPr>
          </w:p>
        </w:tc>
        <w:tc>
          <w:tcPr>
            <w:tcW w:w="1359" w:type="dxa"/>
            <w:gridSpan w:val="2"/>
            <w:vAlign w:val="center"/>
          </w:tcPr>
          <w:p w14:paraId="6C088A25">
            <w:pPr>
              <w:jc w:val="center"/>
              <w:rPr>
                <w:color w:val="000000" w:themeColor="text1"/>
                <w14:textFill>
                  <w14:solidFill>
                    <w14:schemeClr w14:val="tx1"/>
                  </w14:solidFill>
                </w14:textFill>
              </w:rPr>
            </w:pPr>
          </w:p>
        </w:tc>
      </w:tr>
      <w:tr w14:paraId="340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74" w:type="dxa"/>
            <w:gridSpan w:val="2"/>
            <w:vAlign w:val="center"/>
          </w:tcPr>
          <w:p w14:paraId="139CF168">
            <w:pPr>
              <w:jc w:val="center"/>
              <w:rPr>
                <w:color w:val="000000" w:themeColor="text1"/>
                <w14:textFill>
                  <w14:solidFill>
                    <w14:schemeClr w14:val="tx1"/>
                  </w14:solidFill>
                </w14:textFill>
              </w:rPr>
            </w:pPr>
          </w:p>
        </w:tc>
        <w:tc>
          <w:tcPr>
            <w:tcW w:w="1217" w:type="dxa"/>
            <w:gridSpan w:val="2"/>
            <w:vAlign w:val="center"/>
          </w:tcPr>
          <w:p w14:paraId="0E97CDC7">
            <w:pPr>
              <w:jc w:val="center"/>
              <w:rPr>
                <w:color w:val="000000" w:themeColor="text1"/>
                <w14:textFill>
                  <w14:solidFill>
                    <w14:schemeClr w14:val="tx1"/>
                  </w14:solidFill>
                </w14:textFill>
              </w:rPr>
            </w:pPr>
          </w:p>
        </w:tc>
        <w:tc>
          <w:tcPr>
            <w:tcW w:w="1165" w:type="dxa"/>
            <w:gridSpan w:val="3"/>
            <w:vAlign w:val="center"/>
          </w:tcPr>
          <w:p w14:paraId="4A64980C">
            <w:pPr>
              <w:jc w:val="center"/>
              <w:rPr>
                <w:rFonts w:cs="宋体"/>
                <w:color w:val="000000" w:themeColor="text1"/>
                <w14:textFill>
                  <w14:solidFill>
                    <w14:schemeClr w14:val="tx1"/>
                  </w14:solidFill>
                </w14:textFill>
              </w:rPr>
            </w:pPr>
          </w:p>
        </w:tc>
        <w:tc>
          <w:tcPr>
            <w:tcW w:w="1352" w:type="dxa"/>
            <w:gridSpan w:val="3"/>
            <w:vAlign w:val="center"/>
          </w:tcPr>
          <w:p w14:paraId="4FAE85A1">
            <w:pPr>
              <w:jc w:val="center"/>
              <w:rPr>
                <w:color w:val="000000" w:themeColor="text1"/>
                <w14:textFill>
                  <w14:solidFill>
                    <w14:schemeClr w14:val="tx1"/>
                  </w14:solidFill>
                </w14:textFill>
              </w:rPr>
            </w:pPr>
          </w:p>
        </w:tc>
        <w:tc>
          <w:tcPr>
            <w:tcW w:w="1353" w:type="dxa"/>
            <w:gridSpan w:val="3"/>
            <w:vAlign w:val="center"/>
          </w:tcPr>
          <w:p w14:paraId="00B73AA8">
            <w:pPr>
              <w:jc w:val="center"/>
              <w:rPr>
                <w:color w:val="000000" w:themeColor="text1"/>
                <w14:textFill>
                  <w14:solidFill>
                    <w14:schemeClr w14:val="tx1"/>
                  </w14:solidFill>
                </w14:textFill>
              </w:rPr>
            </w:pPr>
          </w:p>
        </w:tc>
        <w:tc>
          <w:tcPr>
            <w:tcW w:w="1557" w:type="dxa"/>
            <w:gridSpan w:val="4"/>
            <w:vAlign w:val="center"/>
          </w:tcPr>
          <w:p w14:paraId="6B8CDDD6">
            <w:pPr>
              <w:jc w:val="center"/>
              <w:rPr>
                <w:color w:val="000000" w:themeColor="text1"/>
                <w14:textFill>
                  <w14:solidFill>
                    <w14:schemeClr w14:val="tx1"/>
                  </w14:solidFill>
                </w14:textFill>
              </w:rPr>
            </w:pPr>
          </w:p>
        </w:tc>
        <w:tc>
          <w:tcPr>
            <w:tcW w:w="1359" w:type="dxa"/>
            <w:gridSpan w:val="2"/>
            <w:vAlign w:val="center"/>
          </w:tcPr>
          <w:p w14:paraId="03BDF832">
            <w:pPr>
              <w:jc w:val="center"/>
              <w:rPr>
                <w:color w:val="000000" w:themeColor="text1"/>
                <w14:textFill>
                  <w14:solidFill>
                    <w14:schemeClr w14:val="tx1"/>
                  </w14:solidFill>
                </w14:textFill>
              </w:rPr>
            </w:pPr>
          </w:p>
        </w:tc>
      </w:tr>
      <w:tr w14:paraId="3C08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77" w:type="dxa"/>
            <w:gridSpan w:val="19"/>
            <w:vAlign w:val="center"/>
          </w:tcPr>
          <w:p w14:paraId="0381F28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4C6B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0" w:hRule="atLeast"/>
          <w:jc w:val="center"/>
        </w:trPr>
        <w:tc>
          <w:tcPr>
            <w:tcW w:w="1551" w:type="dxa"/>
            <w:gridSpan w:val="3"/>
            <w:vAlign w:val="center"/>
          </w:tcPr>
          <w:p w14:paraId="0B53902D">
            <w:pPr>
              <w:jc w:val="center"/>
              <w:rPr>
                <w:color w:val="000000" w:themeColor="text1"/>
                <w14:textFill>
                  <w14:solidFill>
                    <w14:schemeClr w14:val="tx1"/>
                  </w14:solidFill>
                </w14:textFill>
              </w:rPr>
            </w:pPr>
          </w:p>
        </w:tc>
        <w:tc>
          <w:tcPr>
            <w:tcW w:w="1477" w:type="dxa"/>
            <w:gridSpan w:val="2"/>
            <w:vAlign w:val="center"/>
          </w:tcPr>
          <w:p w14:paraId="2A77E67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1</w:t>
            </w:r>
          </w:p>
        </w:tc>
        <w:tc>
          <w:tcPr>
            <w:tcW w:w="1753" w:type="dxa"/>
            <w:gridSpan w:val="4"/>
            <w:vAlign w:val="center"/>
          </w:tcPr>
          <w:p w14:paraId="4E87839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2</w:t>
            </w:r>
          </w:p>
        </w:tc>
        <w:tc>
          <w:tcPr>
            <w:tcW w:w="1405" w:type="dxa"/>
            <w:gridSpan w:val="3"/>
            <w:vAlign w:val="center"/>
          </w:tcPr>
          <w:p w14:paraId="317D66F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3</w:t>
            </w:r>
          </w:p>
        </w:tc>
        <w:tc>
          <w:tcPr>
            <w:tcW w:w="1566" w:type="dxa"/>
            <w:gridSpan w:val="4"/>
            <w:vAlign w:val="center"/>
          </w:tcPr>
          <w:p w14:paraId="2FEA051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4</w:t>
            </w:r>
          </w:p>
        </w:tc>
        <w:tc>
          <w:tcPr>
            <w:tcW w:w="1416" w:type="dxa"/>
            <w:gridSpan w:val="2"/>
            <w:vAlign w:val="center"/>
          </w:tcPr>
          <w:p w14:paraId="554CC6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F8F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0" w:hRule="atLeast"/>
          <w:jc w:val="center"/>
        </w:trPr>
        <w:tc>
          <w:tcPr>
            <w:tcW w:w="1551" w:type="dxa"/>
            <w:gridSpan w:val="3"/>
            <w:vAlign w:val="center"/>
          </w:tcPr>
          <w:p w14:paraId="6793DC8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477" w:type="dxa"/>
            <w:gridSpan w:val="2"/>
            <w:vAlign w:val="center"/>
          </w:tcPr>
          <w:p w14:paraId="546F2901">
            <w:pPr>
              <w:jc w:val="center"/>
              <w:rPr>
                <w:color w:val="000000" w:themeColor="text1"/>
                <w14:textFill>
                  <w14:solidFill>
                    <w14:schemeClr w14:val="tx1"/>
                  </w14:solidFill>
                </w14:textFill>
              </w:rPr>
            </w:pPr>
          </w:p>
        </w:tc>
        <w:tc>
          <w:tcPr>
            <w:tcW w:w="1753" w:type="dxa"/>
            <w:gridSpan w:val="4"/>
            <w:vAlign w:val="center"/>
          </w:tcPr>
          <w:p w14:paraId="1443A851">
            <w:pPr>
              <w:jc w:val="center"/>
              <w:rPr>
                <w:color w:val="000000" w:themeColor="text1"/>
                <w14:textFill>
                  <w14:solidFill>
                    <w14:schemeClr w14:val="tx1"/>
                  </w14:solidFill>
                </w14:textFill>
              </w:rPr>
            </w:pPr>
          </w:p>
        </w:tc>
        <w:tc>
          <w:tcPr>
            <w:tcW w:w="1405" w:type="dxa"/>
            <w:gridSpan w:val="3"/>
            <w:vAlign w:val="center"/>
          </w:tcPr>
          <w:p w14:paraId="2DD25874">
            <w:pPr>
              <w:jc w:val="center"/>
              <w:rPr>
                <w:color w:val="000000" w:themeColor="text1"/>
                <w14:textFill>
                  <w14:solidFill>
                    <w14:schemeClr w14:val="tx1"/>
                  </w14:solidFill>
                </w14:textFill>
              </w:rPr>
            </w:pPr>
          </w:p>
        </w:tc>
        <w:tc>
          <w:tcPr>
            <w:tcW w:w="1566" w:type="dxa"/>
            <w:gridSpan w:val="4"/>
            <w:vAlign w:val="center"/>
          </w:tcPr>
          <w:p w14:paraId="121A4C24">
            <w:pPr>
              <w:jc w:val="center"/>
              <w:rPr>
                <w:color w:val="000000" w:themeColor="text1"/>
                <w14:textFill>
                  <w14:solidFill>
                    <w14:schemeClr w14:val="tx1"/>
                  </w14:solidFill>
                </w14:textFill>
              </w:rPr>
            </w:pPr>
          </w:p>
        </w:tc>
        <w:tc>
          <w:tcPr>
            <w:tcW w:w="1416" w:type="dxa"/>
            <w:gridSpan w:val="2"/>
            <w:vAlign w:val="center"/>
          </w:tcPr>
          <w:p w14:paraId="7622DFF6">
            <w:pPr>
              <w:jc w:val="center"/>
              <w:rPr>
                <w:color w:val="000000" w:themeColor="text1"/>
                <w14:textFill>
                  <w14:solidFill>
                    <w14:schemeClr w14:val="tx1"/>
                  </w14:solidFill>
                </w14:textFill>
              </w:rPr>
            </w:pPr>
          </w:p>
        </w:tc>
      </w:tr>
      <w:tr w14:paraId="2CD0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1" w:hRule="atLeast"/>
          <w:jc w:val="center"/>
        </w:trPr>
        <w:tc>
          <w:tcPr>
            <w:tcW w:w="1551" w:type="dxa"/>
            <w:gridSpan w:val="3"/>
            <w:vAlign w:val="center"/>
          </w:tcPr>
          <w:p w14:paraId="65B3A33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477" w:type="dxa"/>
            <w:gridSpan w:val="2"/>
            <w:vAlign w:val="center"/>
          </w:tcPr>
          <w:p w14:paraId="29EB5EFD">
            <w:pPr>
              <w:jc w:val="center"/>
              <w:rPr>
                <w:color w:val="000000" w:themeColor="text1"/>
                <w14:textFill>
                  <w14:solidFill>
                    <w14:schemeClr w14:val="tx1"/>
                  </w14:solidFill>
                </w14:textFill>
              </w:rPr>
            </w:pPr>
          </w:p>
        </w:tc>
        <w:tc>
          <w:tcPr>
            <w:tcW w:w="1753" w:type="dxa"/>
            <w:gridSpan w:val="4"/>
            <w:vAlign w:val="center"/>
          </w:tcPr>
          <w:p w14:paraId="6A7E0213">
            <w:pPr>
              <w:jc w:val="center"/>
              <w:rPr>
                <w:color w:val="000000" w:themeColor="text1"/>
                <w14:textFill>
                  <w14:solidFill>
                    <w14:schemeClr w14:val="tx1"/>
                  </w14:solidFill>
                </w14:textFill>
              </w:rPr>
            </w:pPr>
          </w:p>
        </w:tc>
        <w:tc>
          <w:tcPr>
            <w:tcW w:w="1405" w:type="dxa"/>
            <w:gridSpan w:val="3"/>
            <w:vAlign w:val="center"/>
          </w:tcPr>
          <w:p w14:paraId="228D1275">
            <w:pPr>
              <w:jc w:val="center"/>
              <w:rPr>
                <w:color w:val="000000" w:themeColor="text1"/>
                <w14:textFill>
                  <w14:solidFill>
                    <w14:schemeClr w14:val="tx1"/>
                  </w14:solidFill>
                </w14:textFill>
              </w:rPr>
            </w:pPr>
          </w:p>
        </w:tc>
        <w:tc>
          <w:tcPr>
            <w:tcW w:w="1566" w:type="dxa"/>
            <w:gridSpan w:val="4"/>
            <w:vAlign w:val="center"/>
          </w:tcPr>
          <w:p w14:paraId="5E7B9AE7">
            <w:pPr>
              <w:jc w:val="center"/>
              <w:rPr>
                <w:color w:val="000000" w:themeColor="text1"/>
                <w14:textFill>
                  <w14:solidFill>
                    <w14:schemeClr w14:val="tx1"/>
                  </w14:solidFill>
                </w14:textFill>
              </w:rPr>
            </w:pPr>
          </w:p>
        </w:tc>
        <w:tc>
          <w:tcPr>
            <w:tcW w:w="1416" w:type="dxa"/>
            <w:gridSpan w:val="2"/>
            <w:vAlign w:val="center"/>
          </w:tcPr>
          <w:p w14:paraId="25D94706">
            <w:pPr>
              <w:jc w:val="center"/>
              <w:rPr>
                <w:color w:val="000000" w:themeColor="text1"/>
                <w14:textFill>
                  <w14:solidFill>
                    <w14:schemeClr w14:val="tx1"/>
                  </w14:solidFill>
                </w14:textFill>
              </w:rPr>
            </w:pPr>
          </w:p>
        </w:tc>
      </w:tr>
      <w:tr w14:paraId="6A1E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1" w:hRule="atLeast"/>
          <w:jc w:val="center"/>
        </w:trPr>
        <w:tc>
          <w:tcPr>
            <w:tcW w:w="1551" w:type="dxa"/>
            <w:gridSpan w:val="3"/>
            <w:vAlign w:val="center"/>
          </w:tcPr>
          <w:p w14:paraId="604C52E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477" w:type="dxa"/>
            <w:gridSpan w:val="2"/>
            <w:vAlign w:val="center"/>
          </w:tcPr>
          <w:p w14:paraId="354C04C4">
            <w:pPr>
              <w:jc w:val="center"/>
              <w:rPr>
                <w:color w:val="000000" w:themeColor="text1"/>
                <w14:textFill>
                  <w14:solidFill>
                    <w14:schemeClr w14:val="tx1"/>
                  </w14:solidFill>
                </w14:textFill>
              </w:rPr>
            </w:pPr>
          </w:p>
        </w:tc>
        <w:tc>
          <w:tcPr>
            <w:tcW w:w="1753" w:type="dxa"/>
            <w:gridSpan w:val="4"/>
            <w:vAlign w:val="center"/>
          </w:tcPr>
          <w:p w14:paraId="7D2CCB24">
            <w:pPr>
              <w:jc w:val="center"/>
              <w:rPr>
                <w:color w:val="000000" w:themeColor="text1"/>
                <w14:textFill>
                  <w14:solidFill>
                    <w14:schemeClr w14:val="tx1"/>
                  </w14:solidFill>
                </w14:textFill>
              </w:rPr>
            </w:pPr>
          </w:p>
        </w:tc>
        <w:tc>
          <w:tcPr>
            <w:tcW w:w="1405" w:type="dxa"/>
            <w:gridSpan w:val="3"/>
            <w:vAlign w:val="center"/>
          </w:tcPr>
          <w:p w14:paraId="5742A22B">
            <w:pPr>
              <w:jc w:val="center"/>
              <w:rPr>
                <w:color w:val="000000" w:themeColor="text1"/>
                <w14:textFill>
                  <w14:solidFill>
                    <w14:schemeClr w14:val="tx1"/>
                  </w14:solidFill>
                </w14:textFill>
              </w:rPr>
            </w:pPr>
          </w:p>
        </w:tc>
        <w:tc>
          <w:tcPr>
            <w:tcW w:w="1566" w:type="dxa"/>
            <w:gridSpan w:val="4"/>
            <w:vAlign w:val="center"/>
          </w:tcPr>
          <w:p w14:paraId="058D2EEF">
            <w:pPr>
              <w:jc w:val="center"/>
              <w:rPr>
                <w:color w:val="000000" w:themeColor="text1"/>
                <w14:textFill>
                  <w14:solidFill>
                    <w14:schemeClr w14:val="tx1"/>
                  </w14:solidFill>
                </w14:textFill>
              </w:rPr>
            </w:pPr>
          </w:p>
        </w:tc>
        <w:tc>
          <w:tcPr>
            <w:tcW w:w="1416" w:type="dxa"/>
            <w:gridSpan w:val="2"/>
            <w:vAlign w:val="center"/>
          </w:tcPr>
          <w:p w14:paraId="159E4412">
            <w:pPr>
              <w:jc w:val="center"/>
              <w:rPr>
                <w:color w:val="000000" w:themeColor="text1"/>
                <w14:textFill>
                  <w14:solidFill>
                    <w14:schemeClr w14:val="tx1"/>
                  </w14:solidFill>
                </w14:textFill>
              </w:rPr>
            </w:pPr>
          </w:p>
        </w:tc>
      </w:tr>
      <w:tr w14:paraId="0817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1" w:hRule="atLeast"/>
          <w:jc w:val="center"/>
        </w:trPr>
        <w:tc>
          <w:tcPr>
            <w:tcW w:w="1551" w:type="dxa"/>
            <w:gridSpan w:val="3"/>
            <w:vAlign w:val="center"/>
          </w:tcPr>
          <w:p w14:paraId="7C90248E">
            <w:pPr>
              <w:jc w:val="center"/>
              <w:rPr>
                <w:rFonts w:asci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477" w:type="dxa"/>
            <w:gridSpan w:val="2"/>
            <w:vAlign w:val="center"/>
          </w:tcPr>
          <w:p w14:paraId="1B9411F0">
            <w:pPr>
              <w:jc w:val="center"/>
              <w:rPr>
                <w:color w:val="000000" w:themeColor="text1"/>
                <w14:textFill>
                  <w14:solidFill>
                    <w14:schemeClr w14:val="tx1"/>
                  </w14:solidFill>
                </w14:textFill>
              </w:rPr>
            </w:pPr>
          </w:p>
        </w:tc>
        <w:tc>
          <w:tcPr>
            <w:tcW w:w="1753" w:type="dxa"/>
            <w:gridSpan w:val="4"/>
            <w:vAlign w:val="center"/>
          </w:tcPr>
          <w:p w14:paraId="294463DB">
            <w:pPr>
              <w:jc w:val="center"/>
              <w:rPr>
                <w:color w:val="000000" w:themeColor="text1"/>
                <w14:textFill>
                  <w14:solidFill>
                    <w14:schemeClr w14:val="tx1"/>
                  </w14:solidFill>
                </w14:textFill>
              </w:rPr>
            </w:pPr>
          </w:p>
        </w:tc>
        <w:tc>
          <w:tcPr>
            <w:tcW w:w="1405" w:type="dxa"/>
            <w:gridSpan w:val="3"/>
            <w:vAlign w:val="center"/>
          </w:tcPr>
          <w:p w14:paraId="1E903D4D">
            <w:pPr>
              <w:jc w:val="center"/>
              <w:rPr>
                <w:color w:val="000000" w:themeColor="text1"/>
                <w14:textFill>
                  <w14:solidFill>
                    <w14:schemeClr w14:val="tx1"/>
                  </w14:solidFill>
                </w14:textFill>
              </w:rPr>
            </w:pPr>
          </w:p>
        </w:tc>
        <w:tc>
          <w:tcPr>
            <w:tcW w:w="1566" w:type="dxa"/>
            <w:gridSpan w:val="4"/>
            <w:vAlign w:val="center"/>
          </w:tcPr>
          <w:p w14:paraId="1D4CA2AB">
            <w:pPr>
              <w:jc w:val="center"/>
              <w:rPr>
                <w:color w:val="000000" w:themeColor="text1"/>
                <w14:textFill>
                  <w14:solidFill>
                    <w14:schemeClr w14:val="tx1"/>
                  </w14:solidFill>
                </w14:textFill>
              </w:rPr>
            </w:pPr>
          </w:p>
        </w:tc>
        <w:tc>
          <w:tcPr>
            <w:tcW w:w="1416" w:type="dxa"/>
            <w:gridSpan w:val="2"/>
            <w:vAlign w:val="center"/>
          </w:tcPr>
          <w:p w14:paraId="1B0E1363">
            <w:pPr>
              <w:jc w:val="center"/>
              <w:rPr>
                <w:color w:val="000000" w:themeColor="text1"/>
                <w14:textFill>
                  <w14:solidFill>
                    <w14:schemeClr w14:val="tx1"/>
                  </w14:solidFill>
                </w14:textFill>
              </w:rPr>
            </w:pPr>
          </w:p>
        </w:tc>
      </w:tr>
      <w:tr w14:paraId="007B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9" w:hRule="atLeast"/>
          <w:jc w:val="center"/>
        </w:trPr>
        <w:tc>
          <w:tcPr>
            <w:tcW w:w="1551" w:type="dxa"/>
            <w:gridSpan w:val="3"/>
            <w:vAlign w:val="center"/>
          </w:tcPr>
          <w:p w14:paraId="6524839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477" w:type="dxa"/>
            <w:gridSpan w:val="2"/>
            <w:vAlign w:val="center"/>
          </w:tcPr>
          <w:p w14:paraId="48EB55BE">
            <w:pPr>
              <w:jc w:val="center"/>
              <w:rPr>
                <w:color w:val="000000" w:themeColor="text1"/>
                <w14:textFill>
                  <w14:solidFill>
                    <w14:schemeClr w14:val="tx1"/>
                  </w14:solidFill>
                </w14:textFill>
              </w:rPr>
            </w:pPr>
          </w:p>
        </w:tc>
        <w:tc>
          <w:tcPr>
            <w:tcW w:w="1753" w:type="dxa"/>
            <w:gridSpan w:val="4"/>
            <w:vAlign w:val="center"/>
          </w:tcPr>
          <w:p w14:paraId="2A82CD41">
            <w:pPr>
              <w:jc w:val="center"/>
              <w:rPr>
                <w:color w:val="000000" w:themeColor="text1"/>
                <w14:textFill>
                  <w14:solidFill>
                    <w14:schemeClr w14:val="tx1"/>
                  </w14:solidFill>
                </w14:textFill>
              </w:rPr>
            </w:pPr>
          </w:p>
        </w:tc>
        <w:tc>
          <w:tcPr>
            <w:tcW w:w="1405" w:type="dxa"/>
            <w:gridSpan w:val="3"/>
            <w:vAlign w:val="center"/>
          </w:tcPr>
          <w:p w14:paraId="7210CD87">
            <w:pPr>
              <w:jc w:val="center"/>
              <w:rPr>
                <w:color w:val="000000" w:themeColor="text1"/>
                <w14:textFill>
                  <w14:solidFill>
                    <w14:schemeClr w14:val="tx1"/>
                  </w14:solidFill>
                </w14:textFill>
              </w:rPr>
            </w:pPr>
          </w:p>
        </w:tc>
        <w:tc>
          <w:tcPr>
            <w:tcW w:w="1566" w:type="dxa"/>
            <w:gridSpan w:val="4"/>
            <w:vAlign w:val="center"/>
          </w:tcPr>
          <w:p w14:paraId="48E8BB5D">
            <w:pPr>
              <w:jc w:val="center"/>
              <w:rPr>
                <w:color w:val="000000" w:themeColor="text1"/>
                <w14:textFill>
                  <w14:solidFill>
                    <w14:schemeClr w14:val="tx1"/>
                  </w14:solidFill>
                </w14:textFill>
              </w:rPr>
            </w:pPr>
          </w:p>
        </w:tc>
        <w:tc>
          <w:tcPr>
            <w:tcW w:w="1416" w:type="dxa"/>
            <w:gridSpan w:val="2"/>
            <w:vAlign w:val="center"/>
          </w:tcPr>
          <w:p w14:paraId="25B72318">
            <w:pPr>
              <w:jc w:val="center"/>
              <w:rPr>
                <w:color w:val="000000" w:themeColor="text1"/>
                <w14:textFill>
                  <w14:solidFill>
                    <w14:schemeClr w14:val="tx1"/>
                  </w14:solidFill>
                </w14:textFill>
              </w:rPr>
            </w:pPr>
          </w:p>
        </w:tc>
      </w:tr>
      <w:tr w14:paraId="709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9" w:hRule="atLeast"/>
          <w:jc w:val="center"/>
        </w:trPr>
        <w:tc>
          <w:tcPr>
            <w:tcW w:w="1551" w:type="dxa"/>
            <w:gridSpan w:val="3"/>
            <w:vAlign w:val="center"/>
          </w:tcPr>
          <w:p w14:paraId="33D164E9">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477" w:type="dxa"/>
            <w:gridSpan w:val="2"/>
            <w:vAlign w:val="center"/>
          </w:tcPr>
          <w:p w14:paraId="295F407D">
            <w:pPr>
              <w:jc w:val="center"/>
              <w:rPr>
                <w:color w:val="000000" w:themeColor="text1"/>
                <w14:textFill>
                  <w14:solidFill>
                    <w14:schemeClr w14:val="tx1"/>
                  </w14:solidFill>
                </w14:textFill>
              </w:rPr>
            </w:pPr>
          </w:p>
        </w:tc>
        <w:tc>
          <w:tcPr>
            <w:tcW w:w="1753" w:type="dxa"/>
            <w:gridSpan w:val="4"/>
            <w:vAlign w:val="center"/>
          </w:tcPr>
          <w:p w14:paraId="2001AA86">
            <w:pPr>
              <w:jc w:val="center"/>
              <w:rPr>
                <w:color w:val="000000" w:themeColor="text1"/>
                <w14:textFill>
                  <w14:solidFill>
                    <w14:schemeClr w14:val="tx1"/>
                  </w14:solidFill>
                </w14:textFill>
              </w:rPr>
            </w:pPr>
          </w:p>
        </w:tc>
        <w:tc>
          <w:tcPr>
            <w:tcW w:w="1405" w:type="dxa"/>
            <w:gridSpan w:val="3"/>
            <w:vAlign w:val="center"/>
          </w:tcPr>
          <w:p w14:paraId="3E631E16">
            <w:pPr>
              <w:jc w:val="center"/>
              <w:rPr>
                <w:color w:val="000000" w:themeColor="text1"/>
                <w14:textFill>
                  <w14:solidFill>
                    <w14:schemeClr w14:val="tx1"/>
                  </w14:solidFill>
                </w14:textFill>
              </w:rPr>
            </w:pPr>
          </w:p>
        </w:tc>
        <w:tc>
          <w:tcPr>
            <w:tcW w:w="1566" w:type="dxa"/>
            <w:gridSpan w:val="4"/>
            <w:vAlign w:val="center"/>
          </w:tcPr>
          <w:p w14:paraId="272A5C8B">
            <w:pPr>
              <w:jc w:val="center"/>
              <w:rPr>
                <w:color w:val="000000" w:themeColor="text1"/>
                <w14:textFill>
                  <w14:solidFill>
                    <w14:schemeClr w14:val="tx1"/>
                  </w14:solidFill>
                </w14:textFill>
              </w:rPr>
            </w:pPr>
          </w:p>
        </w:tc>
        <w:tc>
          <w:tcPr>
            <w:tcW w:w="1416" w:type="dxa"/>
            <w:gridSpan w:val="2"/>
            <w:vAlign w:val="center"/>
          </w:tcPr>
          <w:p w14:paraId="1FC7D9BE">
            <w:pPr>
              <w:jc w:val="center"/>
              <w:rPr>
                <w:color w:val="000000" w:themeColor="text1"/>
                <w14:textFill>
                  <w14:solidFill>
                    <w14:schemeClr w14:val="tx1"/>
                  </w14:solidFill>
                </w14:textFill>
              </w:rPr>
            </w:pPr>
          </w:p>
        </w:tc>
      </w:tr>
      <w:tr w14:paraId="6A0A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9" w:hRule="atLeast"/>
          <w:jc w:val="center"/>
        </w:trPr>
        <w:tc>
          <w:tcPr>
            <w:tcW w:w="1551" w:type="dxa"/>
            <w:gridSpan w:val="3"/>
            <w:vAlign w:val="center"/>
          </w:tcPr>
          <w:p w14:paraId="0D20F611">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477" w:type="dxa"/>
            <w:gridSpan w:val="2"/>
            <w:vAlign w:val="center"/>
          </w:tcPr>
          <w:p w14:paraId="1F5260F6">
            <w:pPr>
              <w:jc w:val="center"/>
              <w:rPr>
                <w:color w:val="000000" w:themeColor="text1"/>
                <w14:textFill>
                  <w14:solidFill>
                    <w14:schemeClr w14:val="tx1"/>
                  </w14:solidFill>
                </w14:textFill>
              </w:rPr>
            </w:pPr>
          </w:p>
        </w:tc>
        <w:tc>
          <w:tcPr>
            <w:tcW w:w="1753" w:type="dxa"/>
            <w:gridSpan w:val="4"/>
            <w:vAlign w:val="center"/>
          </w:tcPr>
          <w:p w14:paraId="5F24C97A">
            <w:pPr>
              <w:jc w:val="center"/>
              <w:rPr>
                <w:color w:val="000000" w:themeColor="text1"/>
                <w14:textFill>
                  <w14:solidFill>
                    <w14:schemeClr w14:val="tx1"/>
                  </w14:solidFill>
                </w14:textFill>
              </w:rPr>
            </w:pPr>
          </w:p>
        </w:tc>
        <w:tc>
          <w:tcPr>
            <w:tcW w:w="1405" w:type="dxa"/>
            <w:gridSpan w:val="3"/>
            <w:vAlign w:val="center"/>
          </w:tcPr>
          <w:p w14:paraId="6B715AE1">
            <w:pPr>
              <w:jc w:val="center"/>
              <w:rPr>
                <w:color w:val="000000" w:themeColor="text1"/>
                <w14:textFill>
                  <w14:solidFill>
                    <w14:schemeClr w14:val="tx1"/>
                  </w14:solidFill>
                </w14:textFill>
              </w:rPr>
            </w:pPr>
          </w:p>
        </w:tc>
        <w:tc>
          <w:tcPr>
            <w:tcW w:w="1566" w:type="dxa"/>
            <w:gridSpan w:val="4"/>
            <w:vAlign w:val="center"/>
          </w:tcPr>
          <w:p w14:paraId="63994C80">
            <w:pPr>
              <w:jc w:val="center"/>
              <w:rPr>
                <w:color w:val="000000" w:themeColor="text1"/>
                <w14:textFill>
                  <w14:solidFill>
                    <w14:schemeClr w14:val="tx1"/>
                  </w14:solidFill>
                </w14:textFill>
              </w:rPr>
            </w:pPr>
          </w:p>
        </w:tc>
        <w:tc>
          <w:tcPr>
            <w:tcW w:w="1416" w:type="dxa"/>
            <w:gridSpan w:val="2"/>
            <w:vAlign w:val="center"/>
          </w:tcPr>
          <w:p w14:paraId="569AE775">
            <w:pPr>
              <w:jc w:val="center"/>
              <w:rPr>
                <w:color w:val="000000" w:themeColor="text1"/>
                <w14:textFill>
                  <w14:solidFill>
                    <w14:schemeClr w14:val="tx1"/>
                  </w14:solidFill>
                </w14:textFill>
              </w:rPr>
            </w:pPr>
          </w:p>
        </w:tc>
      </w:tr>
      <w:tr w14:paraId="308C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9" w:hRule="atLeast"/>
          <w:jc w:val="center"/>
        </w:trPr>
        <w:tc>
          <w:tcPr>
            <w:tcW w:w="1551" w:type="dxa"/>
            <w:gridSpan w:val="3"/>
            <w:vAlign w:val="center"/>
          </w:tcPr>
          <w:p w14:paraId="4C858220">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477" w:type="dxa"/>
            <w:gridSpan w:val="2"/>
            <w:vAlign w:val="center"/>
          </w:tcPr>
          <w:p w14:paraId="0E7C2E80">
            <w:pPr>
              <w:jc w:val="center"/>
              <w:rPr>
                <w:color w:val="000000" w:themeColor="text1"/>
                <w14:textFill>
                  <w14:solidFill>
                    <w14:schemeClr w14:val="tx1"/>
                  </w14:solidFill>
                </w14:textFill>
              </w:rPr>
            </w:pPr>
          </w:p>
        </w:tc>
        <w:tc>
          <w:tcPr>
            <w:tcW w:w="1753" w:type="dxa"/>
            <w:gridSpan w:val="4"/>
            <w:vAlign w:val="center"/>
          </w:tcPr>
          <w:p w14:paraId="424842F5">
            <w:pPr>
              <w:jc w:val="center"/>
              <w:rPr>
                <w:color w:val="000000" w:themeColor="text1"/>
                <w14:textFill>
                  <w14:solidFill>
                    <w14:schemeClr w14:val="tx1"/>
                  </w14:solidFill>
                </w14:textFill>
              </w:rPr>
            </w:pPr>
          </w:p>
        </w:tc>
        <w:tc>
          <w:tcPr>
            <w:tcW w:w="1405" w:type="dxa"/>
            <w:gridSpan w:val="3"/>
            <w:vAlign w:val="center"/>
          </w:tcPr>
          <w:p w14:paraId="396C116A">
            <w:pPr>
              <w:jc w:val="center"/>
              <w:rPr>
                <w:color w:val="000000" w:themeColor="text1"/>
                <w14:textFill>
                  <w14:solidFill>
                    <w14:schemeClr w14:val="tx1"/>
                  </w14:solidFill>
                </w14:textFill>
              </w:rPr>
            </w:pPr>
          </w:p>
        </w:tc>
        <w:tc>
          <w:tcPr>
            <w:tcW w:w="1566" w:type="dxa"/>
            <w:gridSpan w:val="4"/>
            <w:vAlign w:val="center"/>
          </w:tcPr>
          <w:p w14:paraId="7E3824A9">
            <w:pPr>
              <w:jc w:val="center"/>
              <w:rPr>
                <w:color w:val="000000" w:themeColor="text1"/>
                <w14:textFill>
                  <w14:solidFill>
                    <w14:schemeClr w14:val="tx1"/>
                  </w14:solidFill>
                </w14:textFill>
              </w:rPr>
            </w:pPr>
          </w:p>
        </w:tc>
        <w:tc>
          <w:tcPr>
            <w:tcW w:w="1416" w:type="dxa"/>
            <w:gridSpan w:val="2"/>
            <w:vAlign w:val="center"/>
          </w:tcPr>
          <w:p w14:paraId="2AADEFAE">
            <w:pPr>
              <w:jc w:val="center"/>
              <w:rPr>
                <w:color w:val="000000" w:themeColor="text1"/>
                <w14:textFill>
                  <w14:solidFill>
                    <w14:schemeClr w14:val="tx1"/>
                  </w14:solidFill>
                </w14:textFill>
              </w:rPr>
            </w:pPr>
          </w:p>
        </w:tc>
      </w:tr>
      <w:tr w14:paraId="05AB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9" w:hRule="atLeast"/>
          <w:jc w:val="center"/>
        </w:trPr>
        <w:tc>
          <w:tcPr>
            <w:tcW w:w="1551" w:type="dxa"/>
            <w:gridSpan w:val="3"/>
            <w:vAlign w:val="center"/>
          </w:tcPr>
          <w:p w14:paraId="19AB2389">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477" w:type="dxa"/>
            <w:gridSpan w:val="2"/>
            <w:vAlign w:val="center"/>
          </w:tcPr>
          <w:p w14:paraId="78D199AC">
            <w:pPr>
              <w:jc w:val="center"/>
              <w:rPr>
                <w:color w:val="000000" w:themeColor="text1"/>
                <w14:textFill>
                  <w14:solidFill>
                    <w14:schemeClr w14:val="tx1"/>
                  </w14:solidFill>
                </w14:textFill>
              </w:rPr>
            </w:pPr>
          </w:p>
        </w:tc>
        <w:tc>
          <w:tcPr>
            <w:tcW w:w="1753" w:type="dxa"/>
            <w:gridSpan w:val="4"/>
            <w:vAlign w:val="center"/>
          </w:tcPr>
          <w:p w14:paraId="246C1F5D">
            <w:pPr>
              <w:jc w:val="center"/>
              <w:rPr>
                <w:color w:val="000000" w:themeColor="text1"/>
                <w14:textFill>
                  <w14:solidFill>
                    <w14:schemeClr w14:val="tx1"/>
                  </w14:solidFill>
                </w14:textFill>
              </w:rPr>
            </w:pPr>
          </w:p>
        </w:tc>
        <w:tc>
          <w:tcPr>
            <w:tcW w:w="1405" w:type="dxa"/>
            <w:gridSpan w:val="3"/>
            <w:vAlign w:val="center"/>
          </w:tcPr>
          <w:p w14:paraId="3953AB0A">
            <w:pPr>
              <w:jc w:val="center"/>
              <w:rPr>
                <w:color w:val="000000" w:themeColor="text1"/>
                <w14:textFill>
                  <w14:solidFill>
                    <w14:schemeClr w14:val="tx1"/>
                  </w14:solidFill>
                </w14:textFill>
              </w:rPr>
            </w:pPr>
          </w:p>
        </w:tc>
        <w:tc>
          <w:tcPr>
            <w:tcW w:w="1566" w:type="dxa"/>
            <w:gridSpan w:val="4"/>
            <w:vAlign w:val="center"/>
          </w:tcPr>
          <w:p w14:paraId="19FCD011">
            <w:pPr>
              <w:jc w:val="center"/>
              <w:rPr>
                <w:color w:val="000000" w:themeColor="text1"/>
                <w14:textFill>
                  <w14:solidFill>
                    <w14:schemeClr w14:val="tx1"/>
                  </w14:solidFill>
                </w14:textFill>
              </w:rPr>
            </w:pPr>
          </w:p>
        </w:tc>
        <w:tc>
          <w:tcPr>
            <w:tcW w:w="1416" w:type="dxa"/>
            <w:gridSpan w:val="2"/>
            <w:vAlign w:val="center"/>
          </w:tcPr>
          <w:p w14:paraId="4AFCF5B7">
            <w:pPr>
              <w:jc w:val="center"/>
              <w:rPr>
                <w:color w:val="000000" w:themeColor="text1"/>
                <w14:textFill>
                  <w14:solidFill>
                    <w14:schemeClr w14:val="tx1"/>
                  </w14:solidFill>
                </w14:textFill>
              </w:rPr>
            </w:pPr>
          </w:p>
        </w:tc>
      </w:tr>
    </w:tbl>
    <w:p w14:paraId="4AAFD304">
      <w:pPr>
        <w:spacing w:line="360" w:lineRule="auto"/>
        <w:rPr>
          <w:rFonts w:ascii="宋体"/>
          <w:color w:val="000000" w:themeColor="text1"/>
          <w14:textFill>
            <w14:solidFill>
              <w14:schemeClr w14:val="tx1"/>
            </w14:solidFill>
          </w14:textFill>
        </w:rPr>
      </w:pPr>
      <w:r>
        <w:rPr>
          <w:rFonts w:hint="eastAsia" w:ascii="宋体" w:hAnsi="宋体" w:cs="楷体_GB2312"/>
          <w:color w:val="000000" w:themeColor="text1"/>
          <w14:textFill>
            <w14:solidFill>
              <w14:schemeClr w14:val="tx1"/>
            </w14:solidFill>
          </w14:textFill>
        </w:rPr>
        <w:t>备注：</w:t>
      </w:r>
    </w:p>
    <w:p w14:paraId="60F7B5F1">
      <w:pPr>
        <w:spacing w:line="360" w:lineRule="auto"/>
        <w:ind w:firstLine="42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供应商可以根据项目情况增减表格内容，项目数可以根据需要增加。</w:t>
      </w:r>
    </w:p>
    <w:p w14:paraId="76EB3029">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本表后附专职安全生产管理人员的</w:t>
      </w:r>
      <w:r>
        <w:rPr>
          <w:rFonts w:hint="eastAsia" w:ascii="宋体" w:hAnsi="宋体"/>
          <w:color w:val="000000" w:themeColor="text1"/>
          <w:szCs w:val="21"/>
          <w:lang w:eastAsia="zh-CN"/>
          <w14:textFill>
            <w14:solidFill>
              <w14:schemeClr w14:val="tx1"/>
            </w14:solidFill>
          </w14:textFill>
        </w:rPr>
        <w:t>岗位</w:t>
      </w:r>
      <w:r>
        <w:rPr>
          <w:rFonts w:hint="eastAsia" w:ascii="宋体" w:hAnsi="宋体"/>
          <w:color w:val="000000" w:themeColor="text1"/>
          <w:szCs w:val="21"/>
          <w14:textFill>
            <w14:solidFill>
              <w14:schemeClr w14:val="tx1"/>
            </w14:solidFill>
          </w14:textFill>
        </w:rPr>
        <w:t>证、安全生产考核合格证（</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类）、本表所列证书复印件并加盖供应商电子签章。</w:t>
      </w:r>
    </w:p>
    <w:p w14:paraId="46E5BA75">
      <w:pPr>
        <w:spacing w:line="360" w:lineRule="auto"/>
        <w:rPr>
          <w:rFonts w:ascii="宋体"/>
          <w:color w:val="000000" w:themeColor="text1"/>
          <w:szCs w:val="21"/>
          <w14:textFill>
            <w14:solidFill>
              <w14:schemeClr w14:val="tx1"/>
            </w14:solidFill>
          </w14:textFill>
        </w:rPr>
      </w:pPr>
      <w:r>
        <w:rPr>
          <w:rFonts w:asci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其他文书、文件格式</w:t>
      </w:r>
    </w:p>
    <w:p w14:paraId="57560CC9">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09" w:name="_Toc71365926"/>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中小企业声明函（工程）</w:t>
      </w:r>
      <w:bookmarkEnd w:id="109"/>
    </w:p>
    <w:p w14:paraId="03185987">
      <w:pPr>
        <w:spacing w:before="2" w:line="500" w:lineRule="exact"/>
        <w:ind w:firstLine="708" w:firstLineChars="294"/>
        <w:rPr>
          <w:rFonts w:ascii="宋体" w:cs="宋体"/>
          <w:b/>
          <w:bCs/>
          <w:color w:val="000000" w:themeColor="text1"/>
          <w:sz w:val="24"/>
          <w14:textFill>
            <w14:solidFill>
              <w14:schemeClr w14:val="tx1"/>
            </w14:solidFill>
          </w14:textFill>
        </w:rPr>
      </w:pPr>
    </w:p>
    <w:p w14:paraId="6AF754E3">
      <w:pPr>
        <w:pStyle w:val="18"/>
        <w:spacing w:line="500" w:lineRule="exact"/>
        <w:ind w:right="142" w:firstLine="705" w:firstLineChars="294"/>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本公司（联合体）郑重声明，根据《政府采购促进中小企业发展管理办法》（财库﹝</w:t>
      </w:r>
      <w:r>
        <w:rPr>
          <w:rFonts w:ascii="宋体" w:hAnsi="宋体"/>
          <w:color w:val="000000" w:themeColor="text1"/>
          <w:sz w:val="24"/>
          <w14:textFill>
            <w14:solidFill>
              <w14:schemeClr w14:val="tx1"/>
            </w14:solidFill>
          </w14:textFill>
        </w:rPr>
        <w:t>2020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46</w:t>
      </w:r>
      <w:r>
        <w:rPr>
          <w:rFonts w:hint="eastAsia" w:ascii="宋体" w:hAnsi="宋体"/>
          <w:color w:val="000000" w:themeColor="text1"/>
          <w:sz w:val="24"/>
          <w14:textFill>
            <w14:solidFill>
              <w14:schemeClr w14:val="tx1"/>
            </w14:solidFill>
          </w14:textFill>
        </w:rPr>
        <w:t>号）的规定，本公司（联合体）参加</w:t>
      </w:r>
      <w:r>
        <w:rPr>
          <w:rFonts w:hint="eastAsia" w:ascii="宋体" w:hAnsi="宋体"/>
          <w:color w:val="000000" w:themeColor="text1"/>
          <w:sz w:val="24"/>
          <w:u w:val="single"/>
          <w14:textFill>
            <w14:solidFill>
              <w14:schemeClr w14:val="tx1"/>
            </w14:solidFill>
          </w14:textFill>
        </w:rPr>
        <w:t>（单位名称）</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采购活动，工程的施工单位全部为符合政策要求的中小企业。相关企业（含联合体中的中小企业、签订分包意向协议的中小企业）的具体情况如下：</w:t>
      </w:r>
    </w:p>
    <w:p w14:paraId="19A372D6">
      <w:pPr>
        <w:tabs>
          <w:tab w:val="left" w:pos="1384"/>
          <w:tab w:val="left" w:pos="4562"/>
          <w:tab w:val="left" w:pos="6803"/>
        </w:tabs>
        <w:spacing w:before="13" w:line="500" w:lineRule="exact"/>
        <w:ind w:right="142" w:firstLine="772" w:firstLineChars="322"/>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，从业人员人，营业收入为万元，资产总额为万元，属于</w:t>
      </w:r>
      <w:r>
        <w:rPr>
          <w:rFonts w:hint="eastAsia" w:ascii="宋体" w:hAnsi="宋体"/>
          <w:color w:val="000000" w:themeColor="text1"/>
          <w:sz w:val="24"/>
          <w:u w:val="single"/>
          <w14:textFill>
            <w14:solidFill>
              <w14:schemeClr w14:val="tx1"/>
            </w14:solidFill>
          </w14:textFill>
        </w:rPr>
        <w:t>（中型企业、小型企业、微型企业）</w:t>
      </w:r>
      <w:r>
        <w:rPr>
          <w:rFonts w:hint="eastAsia" w:ascii="宋体" w:hAnsi="宋体"/>
          <w:color w:val="000000" w:themeColor="text1"/>
          <w:sz w:val="24"/>
          <w14:textFill>
            <w14:solidFill>
              <w14:schemeClr w14:val="tx1"/>
            </w14:solidFill>
          </w14:textFill>
        </w:rPr>
        <w:t>；</w:t>
      </w:r>
    </w:p>
    <w:p w14:paraId="38F6D627">
      <w:pPr>
        <w:tabs>
          <w:tab w:val="left" w:pos="1065"/>
          <w:tab w:val="left" w:pos="4262"/>
          <w:tab w:val="left" w:pos="6477"/>
        </w:tabs>
        <w:spacing w:before="20" w:line="500" w:lineRule="exact"/>
        <w:ind w:right="84" w:firstLine="772" w:firstLineChars="322"/>
        <w:rPr>
          <w:rFonts w:asci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，从业人员人，营业收入为万元，资产总额为万元，属于</w:t>
      </w:r>
      <w:r>
        <w:rPr>
          <w:rFonts w:hint="eastAsia" w:ascii="宋体" w:hAnsi="宋体"/>
          <w:color w:val="000000" w:themeColor="text1"/>
          <w:sz w:val="24"/>
          <w:u w:val="single"/>
          <w14:textFill>
            <w14:solidFill>
              <w14:schemeClr w14:val="tx1"/>
            </w14:solidFill>
          </w14:textFill>
        </w:rPr>
        <w:t>（中型企业、小型企业、微型企业）</w:t>
      </w:r>
      <w:r>
        <w:rPr>
          <w:rFonts w:hint="eastAsia" w:ascii="宋体" w:hAnsi="宋体"/>
          <w:color w:val="000000" w:themeColor="text1"/>
          <w:sz w:val="24"/>
          <w14:textFill>
            <w14:solidFill>
              <w14:schemeClr w14:val="tx1"/>
            </w14:solidFill>
          </w14:textFill>
        </w:rPr>
        <w:t>；</w:t>
      </w:r>
    </w:p>
    <w:p w14:paraId="73DC7E1B">
      <w:pPr>
        <w:pStyle w:val="18"/>
        <w:spacing w:before="34" w:line="500" w:lineRule="exact"/>
        <w:ind w:right="142" w:firstLine="705" w:firstLineChars="294"/>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p>
    <w:p w14:paraId="2160FF57">
      <w:pPr>
        <w:pStyle w:val="18"/>
        <w:spacing w:before="34" w:line="500" w:lineRule="exact"/>
        <w:ind w:right="142" w:firstLine="705" w:firstLineChars="294"/>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4D2F6D4">
      <w:pPr>
        <w:pStyle w:val="18"/>
        <w:spacing w:before="25" w:line="500" w:lineRule="exact"/>
        <w:ind w:right="142" w:firstLine="705" w:firstLineChars="294"/>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14:paraId="0AA3D591">
      <w:pPr>
        <w:pStyle w:val="18"/>
        <w:spacing w:before="56" w:line="500" w:lineRule="exact"/>
        <w:ind w:right="1808" w:firstLine="705" w:firstLineChars="294"/>
        <w:rPr>
          <w:rFonts w:ascii="宋体"/>
          <w:color w:val="000000" w:themeColor="text1"/>
          <w:sz w:val="24"/>
          <w14:textFill>
            <w14:solidFill>
              <w14:schemeClr w14:val="tx1"/>
            </w14:solidFill>
          </w14:textFill>
        </w:rPr>
      </w:pPr>
    </w:p>
    <w:p w14:paraId="321BE802">
      <w:pPr>
        <w:pStyle w:val="18"/>
        <w:spacing w:before="56" w:line="500" w:lineRule="exact"/>
        <w:ind w:right="650" w:firstLine="5625" w:firstLineChars="2344"/>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企业名称（章）：</w:t>
      </w:r>
    </w:p>
    <w:p w14:paraId="291D9629">
      <w:pPr>
        <w:pStyle w:val="18"/>
        <w:spacing w:before="56" w:line="500" w:lineRule="exact"/>
        <w:ind w:right="1808" w:firstLine="5625" w:firstLineChars="2344"/>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5BBE0655">
      <w:pPr>
        <w:spacing w:line="520" w:lineRule="exact"/>
        <w:jc w:val="left"/>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注：享受《政府采购促进中小企业发展管理办法》（财库〔</w:t>
      </w:r>
      <w:r>
        <w:rPr>
          <w:rFonts w:ascii="宋体" w:hAnsi="宋体" w:cs="仿宋_GB2312"/>
          <w:color w:val="000000" w:themeColor="text1"/>
          <w:sz w:val="24"/>
          <w14:textFill>
            <w14:solidFill>
              <w14:schemeClr w14:val="tx1"/>
            </w14:solidFill>
          </w14:textFill>
        </w:rPr>
        <w:t>2020</w:t>
      </w:r>
      <w:r>
        <w:rPr>
          <w:rFonts w:hint="eastAsia" w:ascii="宋体" w:hAnsi="宋体" w:cs="仿宋_GB2312"/>
          <w:color w:val="000000" w:themeColor="text1"/>
          <w:sz w:val="24"/>
          <w14:textFill>
            <w14:solidFill>
              <w14:schemeClr w14:val="tx1"/>
            </w14:solidFill>
          </w14:textFill>
        </w:rPr>
        <w:t>〕</w:t>
      </w:r>
      <w:r>
        <w:rPr>
          <w:rFonts w:ascii="宋体" w:hAnsi="宋体" w:cs="仿宋_GB2312"/>
          <w:color w:val="000000" w:themeColor="text1"/>
          <w:sz w:val="24"/>
          <w14:textFill>
            <w14:solidFill>
              <w14:schemeClr w14:val="tx1"/>
            </w14:solidFill>
          </w14:textFill>
        </w:rPr>
        <w:t>46</w:t>
      </w:r>
      <w:r>
        <w:rPr>
          <w:rFonts w:hint="eastAsia" w:ascii="宋体" w:hAnsi="宋体" w:cs="仿宋_GB2312"/>
          <w:color w:val="000000" w:themeColor="text1"/>
          <w:sz w:val="24"/>
          <w14:textFill>
            <w14:solidFill>
              <w14:schemeClr w14:val="tx1"/>
            </w14:solidFill>
          </w14:textFill>
        </w:rPr>
        <w:t>号）规定的中小企业扶持政策的，采购人、采购代理机构应当随成交结果公开成交供应商的《中小企业声明函》。从业人员、营业收入、资产总额填报上一年度数据，无上一年度数据的新成立企业可不填报。</w:t>
      </w:r>
    </w:p>
    <w:p w14:paraId="731D9D8D">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宋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残疾人福利性单位声明函</w:t>
      </w:r>
    </w:p>
    <w:p w14:paraId="488E2B9F">
      <w:pPr>
        <w:spacing w:line="360" w:lineRule="auto"/>
        <w:contextualSpacing/>
        <w:rPr>
          <w:rFonts w:ascii="仿宋_GB2312" w:hAnsi="仿宋_GB2312" w:eastAsia="仿宋_GB2312" w:cs="仿宋_GB2312"/>
          <w:color w:val="000000" w:themeColor="text1"/>
          <w:sz w:val="32"/>
          <w:szCs w:val="32"/>
          <w14:textFill>
            <w14:solidFill>
              <w14:schemeClr w14:val="tx1"/>
            </w14:solidFill>
          </w14:textFill>
        </w:rPr>
      </w:pPr>
    </w:p>
    <w:p w14:paraId="7EB61CA6">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本单位郑重声明，根据《财政部民政部中国残疾人联合会关于促进残疾人就业政府采购政策的通知》（财库〔</w:t>
      </w:r>
      <w:r>
        <w:rPr>
          <w:rFonts w:ascii="宋体" w:hAnsi="宋体" w:cs="仿宋_GB2312"/>
          <w:color w:val="000000" w:themeColor="text1"/>
          <w:sz w:val="24"/>
          <w14:textFill>
            <w14:solidFill>
              <w14:schemeClr w14:val="tx1"/>
            </w14:solidFill>
          </w14:textFill>
        </w:rPr>
        <w:t>2017</w:t>
      </w:r>
      <w:r>
        <w:rPr>
          <w:rFonts w:hint="eastAsia" w:ascii="宋体" w:hAnsi="宋体" w:cs="仿宋_GB2312"/>
          <w:color w:val="000000" w:themeColor="text1"/>
          <w:sz w:val="24"/>
          <w14:textFill>
            <w14:solidFill>
              <w14:schemeClr w14:val="tx1"/>
            </w14:solidFill>
          </w14:textFill>
        </w:rPr>
        <w:t>〕</w:t>
      </w:r>
      <w:r>
        <w:rPr>
          <w:rFonts w:ascii="宋体" w:hAnsi="宋体" w:cs="仿宋_GB2312"/>
          <w:color w:val="000000" w:themeColor="text1"/>
          <w:sz w:val="24"/>
          <w14:textFill>
            <w14:solidFill>
              <w14:schemeClr w14:val="tx1"/>
            </w14:solidFill>
          </w14:textFill>
        </w:rPr>
        <w:t>141</w:t>
      </w:r>
      <w:r>
        <w:rPr>
          <w:rFonts w:hint="eastAsia" w:ascii="宋体" w:hAnsi="宋体" w:cs="仿宋_GB2312"/>
          <w:color w:val="000000" w:themeColor="text1"/>
          <w:sz w:val="24"/>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提供服务），或者提供其他残疾人福利性单位制造的货物（不包括使用非残疾人福利性单位注册商标的货物）。</w:t>
      </w:r>
    </w:p>
    <w:p w14:paraId="587D7AA3">
      <w:pPr>
        <w:spacing w:line="360" w:lineRule="auto"/>
        <w:ind w:firstLine="480" w:firstLineChars="2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本单位对上述声明的真实性负责。如有虚假，将依法承担相应责任。</w:t>
      </w:r>
    </w:p>
    <w:p w14:paraId="717E2292">
      <w:pPr>
        <w:spacing w:line="360" w:lineRule="auto"/>
        <w:contextualSpacing/>
        <w:rPr>
          <w:rFonts w:ascii="宋体" w:cs="仿宋_GB2312"/>
          <w:color w:val="000000" w:themeColor="text1"/>
          <w:sz w:val="24"/>
          <w14:textFill>
            <w14:solidFill>
              <w14:schemeClr w14:val="tx1"/>
            </w14:solidFill>
          </w14:textFill>
        </w:rPr>
      </w:pPr>
    </w:p>
    <w:p w14:paraId="52F7D462">
      <w:pPr>
        <w:spacing w:line="360" w:lineRule="auto"/>
        <w:contextualSpacing/>
        <w:rPr>
          <w:rFonts w:ascii="宋体" w:cs="仿宋_GB2312"/>
          <w:color w:val="000000" w:themeColor="text1"/>
          <w:sz w:val="24"/>
          <w14:textFill>
            <w14:solidFill>
              <w14:schemeClr w14:val="tx1"/>
            </w14:solidFill>
          </w14:textFill>
        </w:rPr>
      </w:pPr>
    </w:p>
    <w:p w14:paraId="1E120989">
      <w:pPr>
        <w:spacing w:line="360" w:lineRule="auto"/>
        <w:contextualSpacing/>
        <w:rPr>
          <w:rFonts w:ascii="宋体" w:cs="仿宋_GB2312"/>
          <w:color w:val="000000" w:themeColor="text1"/>
          <w:sz w:val="24"/>
          <w14:textFill>
            <w14:solidFill>
              <w14:schemeClr w14:val="tx1"/>
            </w14:solidFill>
          </w14:textFill>
        </w:rPr>
      </w:pPr>
    </w:p>
    <w:p w14:paraId="601312C3">
      <w:pPr>
        <w:spacing w:line="360" w:lineRule="auto"/>
        <w:ind w:firstLine="2400" w:firstLineChars="10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单位名称（盖章）：</w:t>
      </w:r>
    </w:p>
    <w:p w14:paraId="0BA9AB42">
      <w:pPr>
        <w:spacing w:line="360" w:lineRule="auto"/>
        <w:ind w:firstLine="3600" w:firstLineChars="1500"/>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w:t>
      </w:r>
    </w:p>
    <w:p w14:paraId="73D385D9">
      <w:pPr>
        <w:spacing w:line="360" w:lineRule="auto"/>
        <w:contextualSpacing/>
        <w:rPr>
          <w:rFonts w:ascii="宋体" w:cs="仿宋_GB2312"/>
          <w:color w:val="000000" w:themeColor="text1"/>
          <w:sz w:val="24"/>
          <w14:textFill>
            <w14:solidFill>
              <w14:schemeClr w14:val="tx1"/>
            </w14:solidFill>
          </w14:textFill>
        </w:rPr>
      </w:pPr>
    </w:p>
    <w:p w14:paraId="73615844">
      <w:pPr>
        <w:spacing w:line="360" w:lineRule="auto"/>
        <w:contextualSpacing/>
        <w:rPr>
          <w:rFonts w:ascii="宋体" w:cs="仿宋_GB2312"/>
          <w:color w:val="000000" w:themeColor="text1"/>
          <w:sz w:val="24"/>
          <w14:textFill>
            <w14:solidFill>
              <w14:schemeClr w14:val="tx1"/>
            </w14:solidFill>
          </w14:textFill>
        </w:rPr>
      </w:pPr>
    </w:p>
    <w:p w14:paraId="362DA23B">
      <w:pPr>
        <w:spacing w:line="360" w:lineRule="auto"/>
        <w:contextualSpacing/>
        <w:rPr>
          <w:rFonts w:ascii="宋体" w:cs="仿宋_GB2312"/>
          <w:color w:val="000000" w:themeColor="text1"/>
          <w:sz w:val="24"/>
          <w14:textFill>
            <w14:solidFill>
              <w14:schemeClr w14:val="tx1"/>
            </w14:solidFill>
          </w14:textFill>
        </w:rPr>
      </w:pPr>
    </w:p>
    <w:p w14:paraId="1A062D6F">
      <w:pPr>
        <w:spacing w:line="360" w:lineRule="auto"/>
        <w:contextualSpacing/>
        <w:rPr>
          <w:rFonts w:asci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w:t>
      </w:r>
    </w:p>
    <w:p w14:paraId="4E4FFED3">
      <w:pPr>
        <w:spacing w:line="360" w:lineRule="auto"/>
        <w:jc w:val="center"/>
        <w:rPr>
          <w:rFonts w:ascii="宋体" w:cs="仿宋_GB2312"/>
          <w:color w:val="000000" w:themeColor="text1"/>
          <w:sz w:val="24"/>
          <w14:textFill>
            <w14:solidFill>
              <w14:schemeClr w14:val="tx1"/>
            </w14:solidFill>
          </w14:textFill>
        </w:rPr>
      </w:pPr>
      <w:r>
        <w:rPr>
          <w:rFonts w:ascii="宋体" w:cs="仿宋_GB2312"/>
          <w:color w:val="000000" w:themeColor="text1"/>
          <w:sz w:val="24"/>
          <w14:textFill>
            <w14:solidFill>
              <w14:schemeClr w14:val="tx1"/>
            </w14:solidFill>
          </w14:textFill>
        </w:rPr>
        <w:br w:type="page"/>
      </w:r>
    </w:p>
    <w:p w14:paraId="37CCB36D">
      <w:pPr>
        <w:spacing w:line="360" w:lineRule="auto"/>
        <w:jc w:val="center"/>
        <w:rPr>
          <w:rFonts w:ascii="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2D803E0B">
      <w:pPr>
        <w:pStyle w:val="24"/>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46B70BE8">
      <w:pPr>
        <w:pStyle w:val="24"/>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53019F6F">
      <w:pPr>
        <w:pStyle w:val="2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地址：邮编：</w:t>
      </w:r>
    </w:p>
    <w:p w14:paraId="070B5490">
      <w:pPr>
        <w:pStyle w:val="2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联系人：联系电话：</w:t>
      </w:r>
    </w:p>
    <w:p w14:paraId="673F0887">
      <w:pPr>
        <w:pStyle w:val="2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36A83922">
      <w:pPr>
        <w:pStyle w:val="24"/>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联系电话：</w:t>
      </w:r>
    </w:p>
    <w:p w14:paraId="7A0BB58B">
      <w:pPr>
        <w:pStyle w:val="2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地址：邮编：</w:t>
      </w:r>
    </w:p>
    <w:p w14:paraId="05D5F66C">
      <w:pPr>
        <w:pStyle w:val="24"/>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3466879D">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40772341">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7CD89C8E">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08F32017">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54825487">
      <w:pPr>
        <w:pStyle w:val="2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□采购文件采购文件获取日期：</w:t>
      </w:r>
    </w:p>
    <w:p w14:paraId="14988368">
      <w:pPr>
        <w:pStyle w:val="2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□采购过程</w:t>
      </w:r>
    </w:p>
    <w:p w14:paraId="7AD80417">
      <w:pPr>
        <w:pStyle w:val="24"/>
        <w:spacing w:line="360" w:lineRule="auto"/>
        <w:ind w:left="25" w:leftChars="12" w:firstLine="352" w:firstLineChars="147"/>
        <w:contextualSpacing/>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□成交结果</w:t>
      </w:r>
    </w:p>
    <w:p w14:paraId="17DA6E7F">
      <w:pPr>
        <w:pStyle w:val="24"/>
        <w:spacing w:line="360" w:lineRule="auto"/>
        <w:ind w:left="25" w:leftChars="12" w:firstLine="472" w:firstLineChars="196"/>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097DC51E">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w:t>
      </w:r>
    </w:p>
    <w:p w14:paraId="32527054">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43131ECB">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1573260B">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r>
        <w:rPr>
          <w:rFonts w:hAnsi="宋体"/>
          <w:color w:val="000000" w:themeColor="text1"/>
          <w:sz w:val="24"/>
          <w:szCs w:val="24"/>
          <w14:textFill>
            <w14:solidFill>
              <w14:schemeClr w14:val="tx1"/>
            </w14:solidFill>
          </w14:textFill>
        </w:rPr>
        <w:t>2</w:t>
      </w:r>
    </w:p>
    <w:p w14:paraId="62C306B2">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p>
    <w:p w14:paraId="4B7C16F8">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542B36A4">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19D71370">
      <w:pPr>
        <w:pStyle w:val="2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p>
    <w:p w14:paraId="48358A7A">
      <w:pPr>
        <w:pStyle w:val="2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签字（签章）：公章：</w:t>
      </w:r>
    </w:p>
    <w:p w14:paraId="514BB2C1">
      <w:pPr>
        <w:pStyle w:val="24"/>
        <w:spacing w:line="360" w:lineRule="auto"/>
        <w:ind w:firstLine="480" w:firstLineChars="200"/>
        <w:contextualSpacing/>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4182563A">
      <w:pPr>
        <w:pStyle w:val="24"/>
        <w:spacing w:line="360" w:lineRule="auto"/>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39EB0B88">
      <w:pPr>
        <w:pStyle w:val="24"/>
        <w:spacing w:line="360" w:lineRule="auto"/>
        <w:ind w:left="25" w:leftChars="12" w:firstLine="354" w:firstLineChars="147"/>
        <w:contextualSpacing/>
        <w:rPr>
          <w:rFonts w:hAnsi="宋体"/>
          <w:b/>
          <w:bCs/>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1.</w:t>
      </w:r>
      <w:r>
        <w:rPr>
          <w:rFonts w:hint="eastAsia" w:hAnsi="宋体"/>
          <w:b/>
          <w:color w:val="000000" w:themeColor="text1"/>
          <w:sz w:val="24"/>
          <w:szCs w:val="24"/>
          <w14:textFill>
            <w14:solidFill>
              <w14:schemeClr w14:val="tx1"/>
            </w14:solidFill>
          </w14:textFill>
        </w:rPr>
        <w:t>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5C88A587">
      <w:pPr>
        <w:pStyle w:val="2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2.</w:t>
      </w:r>
      <w:r>
        <w:rPr>
          <w:rFonts w:hint="eastAsia" w:hAnsi="宋体"/>
          <w:b/>
          <w:color w:val="000000" w:themeColor="text1"/>
          <w:sz w:val="24"/>
          <w:szCs w:val="24"/>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307B1B">
      <w:pPr>
        <w:pStyle w:val="2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3.</w:t>
      </w:r>
      <w:r>
        <w:rPr>
          <w:rFonts w:hint="eastAsia" w:hAnsi="宋体"/>
          <w:b/>
          <w:color w:val="000000" w:themeColor="text1"/>
          <w:sz w:val="24"/>
          <w:szCs w:val="24"/>
          <w14:textFill>
            <w14:solidFill>
              <w14:schemeClr w14:val="tx1"/>
            </w14:solidFill>
          </w14:textFill>
        </w:rPr>
        <w:t>质疑函的质疑事项应具体、明确，并有必要的事实依据和法律依据。</w:t>
      </w:r>
    </w:p>
    <w:p w14:paraId="5DDA9A7A">
      <w:pPr>
        <w:pStyle w:val="2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4.</w:t>
      </w:r>
      <w:r>
        <w:rPr>
          <w:rFonts w:hint="eastAsia" w:hAnsi="宋体"/>
          <w:b/>
          <w:color w:val="000000" w:themeColor="text1"/>
          <w:sz w:val="24"/>
          <w:szCs w:val="24"/>
          <w14:textFill>
            <w14:solidFill>
              <w14:schemeClr w14:val="tx1"/>
            </w14:solidFill>
          </w14:textFill>
        </w:rPr>
        <w:t>质疑函的质疑请求应与质疑事项相关。</w:t>
      </w:r>
    </w:p>
    <w:p w14:paraId="24D09BC9">
      <w:pPr>
        <w:pStyle w:val="24"/>
        <w:spacing w:line="360" w:lineRule="auto"/>
        <w:ind w:left="25" w:leftChars="12" w:firstLine="354" w:firstLineChars="147"/>
        <w:contextualSpacing/>
        <w:rPr>
          <w:rFonts w:hAnsi="宋体"/>
          <w:b/>
          <w:color w:val="000000" w:themeColor="text1"/>
          <w14:textFill>
            <w14:solidFill>
              <w14:schemeClr w14:val="tx1"/>
            </w14:solidFill>
          </w14:textFill>
        </w:rPr>
      </w:pPr>
      <w:r>
        <w:rPr>
          <w:rFonts w:hAnsi="宋体"/>
          <w:b/>
          <w:color w:val="000000" w:themeColor="text1"/>
          <w:sz w:val="24"/>
          <w:szCs w:val="24"/>
          <w14:textFill>
            <w14:solidFill>
              <w14:schemeClr w14:val="tx1"/>
            </w14:solidFill>
          </w14:textFill>
        </w:rPr>
        <w:t>5.</w:t>
      </w:r>
      <w:r>
        <w:rPr>
          <w:rFonts w:hint="eastAsia" w:hAnsi="宋体"/>
          <w:b/>
          <w:color w:val="000000" w:themeColor="text1"/>
          <w:sz w:val="24"/>
          <w:szCs w:val="24"/>
          <w14:textFill>
            <w14:solidFill>
              <w14:schemeClr w14:val="tx1"/>
            </w14:solidFill>
          </w14:textFill>
        </w:rPr>
        <w:t>质疑供应商为法人或者其他组织的，质疑函应由法定代表人、主要负责人，或者其授权代表签字或者盖章，并加盖公章。</w:t>
      </w:r>
    </w:p>
    <w:p w14:paraId="52B53835">
      <w:pPr>
        <w:widowControl/>
        <w:jc w:val="left"/>
        <w:rPr>
          <w:color w:val="000000" w:themeColor="text1"/>
          <w:sz w:val="32"/>
          <w:szCs w:val="40"/>
          <w14:textFill>
            <w14:solidFill>
              <w14:schemeClr w14:val="tx1"/>
            </w14:solidFill>
          </w14:textFill>
        </w:rPr>
      </w:pPr>
      <w:r>
        <w:rPr>
          <w:color w:val="000000" w:themeColor="text1"/>
          <w:sz w:val="32"/>
          <w:szCs w:val="40"/>
          <w14:textFill>
            <w14:solidFill>
              <w14:schemeClr w14:val="tx1"/>
            </w14:solidFill>
          </w14:textFill>
        </w:rPr>
        <w:br w:type="page"/>
      </w:r>
    </w:p>
    <w:p w14:paraId="310960B7">
      <w:pPr>
        <w:spacing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41C798CA">
      <w:pPr>
        <w:pStyle w:val="24"/>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794D5096">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供应商：</w:t>
      </w:r>
    </w:p>
    <w:p w14:paraId="279E701A">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地址：邮编：</w:t>
      </w:r>
    </w:p>
    <w:p w14:paraId="611A4EBB">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w:t>
      </w:r>
      <w:r>
        <w:rPr>
          <w:rFonts w:hAnsi="宋体"/>
          <w:bCs/>
          <w:color w:val="000000" w:themeColor="text1"/>
          <w:sz w:val="24"/>
          <w:szCs w:val="24"/>
          <w14:textFill>
            <w14:solidFill>
              <w14:schemeClr w14:val="tx1"/>
            </w14:solidFill>
          </w14:textFill>
        </w:rPr>
        <w:t>/</w:t>
      </w:r>
      <w:r>
        <w:rPr>
          <w:rFonts w:hint="eastAsia" w:hAnsi="宋体"/>
          <w:bCs/>
          <w:color w:val="000000" w:themeColor="text1"/>
          <w:sz w:val="24"/>
          <w:szCs w:val="24"/>
          <w14:textFill>
            <w14:solidFill>
              <w14:schemeClr w14:val="tx1"/>
            </w14:solidFill>
          </w14:textFill>
        </w:rPr>
        <w:t>主要负责人：</w:t>
      </w:r>
    </w:p>
    <w:p w14:paraId="2A3A971C">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联系电话：</w:t>
      </w:r>
    </w:p>
    <w:p w14:paraId="37722B4B">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授权代表：联系电话：</w:t>
      </w:r>
    </w:p>
    <w:p w14:paraId="0B6312D4">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6ADA1967">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邮编：</w:t>
      </w:r>
    </w:p>
    <w:p w14:paraId="04AA0A7B">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w:t>
      </w:r>
      <w:r>
        <w:rPr>
          <w:rFonts w:hAnsi="宋体"/>
          <w:bCs/>
          <w:color w:val="000000" w:themeColor="text1"/>
          <w:sz w:val="24"/>
          <w:szCs w:val="24"/>
          <w14:textFill>
            <w14:solidFill>
              <w14:schemeClr w14:val="tx1"/>
            </w14:solidFill>
          </w14:textFill>
        </w:rPr>
        <w:t>1</w:t>
      </w:r>
      <w:r>
        <w:rPr>
          <w:rFonts w:hint="eastAsia" w:hAnsi="宋体"/>
          <w:bCs/>
          <w:color w:val="000000" w:themeColor="text1"/>
          <w:sz w:val="24"/>
          <w:szCs w:val="24"/>
          <w14:textFill>
            <w14:solidFill>
              <w14:schemeClr w14:val="tx1"/>
            </w14:solidFill>
          </w14:textFill>
        </w:rPr>
        <w:t>：</w:t>
      </w:r>
    </w:p>
    <w:p w14:paraId="63D2E9CD">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5AF23FE9">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邮编：</w:t>
      </w:r>
    </w:p>
    <w:p w14:paraId="6AEFF144">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联系人：联系电话：</w:t>
      </w:r>
    </w:p>
    <w:p w14:paraId="0919BEB1">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w:t>
      </w:r>
      <w:r>
        <w:rPr>
          <w:rFonts w:hAnsi="宋体"/>
          <w:bCs/>
          <w:color w:val="000000" w:themeColor="text1"/>
          <w:sz w:val="24"/>
          <w:szCs w:val="24"/>
          <w14:textFill>
            <w14:solidFill>
              <w14:schemeClr w14:val="tx1"/>
            </w14:solidFill>
          </w14:textFill>
        </w:rPr>
        <w:t>2</w:t>
      </w:r>
      <w:r>
        <w:rPr>
          <w:rFonts w:hint="eastAsia" w:hAnsi="宋体"/>
          <w:bCs/>
          <w:color w:val="000000" w:themeColor="text1"/>
          <w:sz w:val="24"/>
          <w:szCs w:val="24"/>
          <w14:textFill>
            <w14:solidFill>
              <w14:schemeClr w14:val="tx1"/>
            </w14:solidFill>
          </w14:textFill>
        </w:rPr>
        <w:t>：</w:t>
      </w:r>
    </w:p>
    <w:p w14:paraId="241970F7">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w:t>
      </w:r>
    </w:p>
    <w:p w14:paraId="2E6885E9">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46531D0B">
      <w:pPr>
        <w:pStyle w:val="2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地址：邮编：</w:t>
      </w:r>
    </w:p>
    <w:p w14:paraId="28A360B2">
      <w:pPr>
        <w:pStyle w:val="2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联系人：联系电话：</w:t>
      </w:r>
    </w:p>
    <w:p w14:paraId="740A79D2">
      <w:pPr>
        <w:pStyle w:val="24"/>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3933B6C5">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0F8240A6">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61CCBCFF">
      <w:pPr>
        <w:pStyle w:val="2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7A54AABB">
      <w:pPr>
        <w:pStyle w:val="2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62F0246C">
      <w:pPr>
        <w:pStyle w:val="2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w:t>
      </w:r>
      <w:r>
        <w:rPr>
          <w:rFonts w:hAnsi="宋体"/>
          <w:bCs/>
          <w:color w:val="000000" w:themeColor="text1"/>
          <w:sz w:val="24"/>
          <w:szCs w:val="24"/>
          <w:u w:val="single"/>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否</w:t>
      </w:r>
      <w:r>
        <w:rPr>
          <w:rFonts w:hint="eastAsia" w:hAnsi="宋体"/>
          <w:bCs/>
          <w:color w:val="000000" w:themeColor="text1"/>
          <w:sz w:val="24"/>
          <w:szCs w:val="24"/>
          <w14:textFill>
            <w14:solidFill>
              <w14:schemeClr w14:val="tx1"/>
            </w14:solidFill>
          </w14:textFill>
        </w:rPr>
        <w:t>公告期限：</w:t>
      </w:r>
    </w:p>
    <w:p w14:paraId="6F7E2DDD">
      <w:pPr>
        <w:pStyle w:val="24"/>
        <w:spacing w:line="360" w:lineRule="auto"/>
        <w:ind w:left="25" w:leftChars="12" w:firstLine="472" w:firstLineChars="197"/>
        <w:rPr>
          <w:rFonts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w:t>
      </w:r>
      <w:r>
        <w:rPr>
          <w:rFonts w:hAnsi="宋体"/>
          <w:bCs/>
          <w:color w:val="000000" w:themeColor="text1"/>
          <w:sz w:val="24"/>
          <w:szCs w:val="24"/>
          <w:u w:val="single"/>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否</w:t>
      </w:r>
      <w:r>
        <w:rPr>
          <w:rFonts w:hint="eastAsia" w:hAnsi="宋体"/>
          <w:bCs/>
          <w:color w:val="000000" w:themeColor="text1"/>
          <w:sz w:val="24"/>
          <w:szCs w:val="24"/>
          <w14:textFill>
            <w14:solidFill>
              <w14:schemeClr w14:val="tx1"/>
            </w14:solidFill>
          </w14:textFill>
        </w:rPr>
        <w:t>公告期限：</w:t>
      </w:r>
    </w:p>
    <w:p w14:paraId="6BD0C467">
      <w:pPr>
        <w:pStyle w:val="2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481C35DF">
      <w:pPr>
        <w:pStyle w:val="24"/>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0C7923EA">
      <w:pPr>
        <w:pStyle w:val="24"/>
        <w:spacing w:line="360" w:lineRule="auto"/>
        <w:ind w:firstLine="241"/>
        <w:rPr>
          <w:rFonts w:hAnsi="宋体"/>
          <w:bCs/>
          <w:color w:val="000000" w:themeColor="text1"/>
          <w:sz w:val="24"/>
          <w:szCs w:val="24"/>
          <w:u w:val="single"/>
          <w14:textFill>
            <w14:solidFill>
              <w14:schemeClr w14:val="tx1"/>
            </w14:solidFill>
          </w14:textFill>
        </w:rPr>
      </w:pPr>
    </w:p>
    <w:p w14:paraId="733A50CA">
      <w:pPr>
        <w:pStyle w:val="24"/>
        <w:spacing w:line="360" w:lineRule="auto"/>
        <w:ind w:firstLine="241"/>
        <w:rPr>
          <w:rFonts w:hAnsi="宋体"/>
          <w:bCs/>
          <w:color w:val="000000" w:themeColor="text1"/>
          <w:sz w:val="24"/>
          <w:szCs w:val="24"/>
          <w:u w:val="single"/>
          <w14:textFill>
            <w14:solidFill>
              <w14:schemeClr w14:val="tx1"/>
            </w14:solidFill>
          </w14:textFill>
        </w:rPr>
      </w:pPr>
    </w:p>
    <w:p w14:paraId="776F86B8">
      <w:pPr>
        <w:pStyle w:val="24"/>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w:t>
      </w:r>
      <w:r>
        <w:rPr>
          <w:rFonts w:hAnsi="宋体"/>
          <w:bCs/>
          <w:color w:val="000000" w:themeColor="text1"/>
          <w:sz w:val="24"/>
          <w:szCs w:val="24"/>
          <w:u w:val="single"/>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就质疑事项作出了答复</w:t>
      </w:r>
      <w:r>
        <w:rPr>
          <w:rFonts w:hAnsi="宋体"/>
          <w:bCs/>
          <w:color w:val="000000" w:themeColor="text1"/>
          <w:sz w:val="24"/>
          <w:szCs w:val="24"/>
          <w14:textFill>
            <w14:solidFill>
              <w14:schemeClr w14:val="tx1"/>
            </w14:solidFill>
          </w14:textFill>
        </w:rPr>
        <w:t>/</w:t>
      </w:r>
      <w:r>
        <w:rPr>
          <w:rFonts w:hint="eastAsia" w:hAnsi="宋体"/>
          <w:bCs/>
          <w:color w:val="000000" w:themeColor="text1"/>
          <w:sz w:val="24"/>
          <w:szCs w:val="24"/>
          <w14:textFill>
            <w14:solidFill>
              <w14:schemeClr w14:val="tx1"/>
            </w14:solidFill>
          </w14:textFill>
        </w:rPr>
        <w:t>没有在法定期限内作出答复。</w:t>
      </w:r>
    </w:p>
    <w:p w14:paraId="32A0C02B">
      <w:pPr>
        <w:pStyle w:val="2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30AC9BBF">
      <w:pPr>
        <w:pStyle w:val="2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w:t>
      </w:r>
    </w:p>
    <w:p w14:paraId="02823C9C">
      <w:pPr>
        <w:pStyle w:val="24"/>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3965DE09">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p>
    <w:p w14:paraId="0756C760">
      <w:pPr>
        <w:pStyle w:val="24"/>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00D85BF3">
      <w:pPr>
        <w:pStyle w:val="24"/>
        <w:spacing w:line="360" w:lineRule="auto"/>
        <w:ind w:left="25" w:leftChars="12" w:firstLine="352" w:firstLineChars="147"/>
        <w:rPr>
          <w:rFonts w:hAnsi="宋体"/>
          <w:bCs/>
          <w:color w:val="000000" w:themeColor="text1"/>
          <w:sz w:val="24"/>
          <w:szCs w:val="24"/>
          <w:u w:val="single"/>
          <w14:textFill>
            <w14:solidFill>
              <w14:schemeClr w14:val="tx1"/>
            </w14:solidFill>
          </w14:textFill>
        </w:rPr>
      </w:pPr>
    </w:p>
    <w:p w14:paraId="29E4DFED">
      <w:pPr>
        <w:pStyle w:val="24"/>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投诉事项</w:t>
      </w:r>
      <w:r>
        <w:rPr>
          <w:rFonts w:hAnsi="宋体"/>
          <w:color w:val="000000" w:themeColor="text1"/>
          <w:sz w:val="24"/>
          <w:szCs w:val="24"/>
          <w14:textFill>
            <w14:solidFill>
              <w14:schemeClr w14:val="tx1"/>
            </w14:solidFill>
          </w14:textFill>
        </w:rPr>
        <w:t xml:space="preserve">2  </w:t>
      </w:r>
    </w:p>
    <w:p w14:paraId="440CA14C">
      <w:pPr>
        <w:pStyle w:val="24"/>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w:t>
      </w:r>
    </w:p>
    <w:p w14:paraId="72BE17F1">
      <w:pPr>
        <w:pStyle w:val="2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6FB63590">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6D3516E2">
      <w:pPr>
        <w:pStyle w:val="24"/>
        <w:spacing w:line="360" w:lineRule="auto"/>
        <w:ind w:left="25" w:leftChars="12" w:firstLine="352" w:firstLineChars="147"/>
        <w:rPr>
          <w:rFonts w:hAnsi="宋体"/>
          <w:color w:val="000000" w:themeColor="text1"/>
          <w:sz w:val="24"/>
          <w:szCs w:val="24"/>
          <w14:textFill>
            <w14:solidFill>
              <w14:schemeClr w14:val="tx1"/>
            </w14:solidFill>
          </w14:textFill>
        </w:rPr>
      </w:pPr>
    </w:p>
    <w:p w14:paraId="6D7C0DB7">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签字（签章）：公章：</w:t>
      </w:r>
    </w:p>
    <w:p w14:paraId="236BD29B">
      <w:pPr>
        <w:pStyle w:val="24"/>
        <w:spacing w:line="360" w:lineRule="auto"/>
        <w:ind w:left="25" w:leftChars="12" w:firstLine="352" w:firstLineChars="147"/>
        <w:rPr>
          <w:rFonts w:hAnsi="宋体"/>
          <w:color w:val="000000" w:themeColor="text1"/>
          <w:sz w:val="24"/>
          <w:szCs w:val="24"/>
          <w14:textFill>
            <w14:solidFill>
              <w14:schemeClr w14:val="tx1"/>
            </w14:solidFill>
          </w14:textFill>
        </w:rPr>
      </w:pPr>
    </w:p>
    <w:p w14:paraId="05B46B09">
      <w:pPr>
        <w:pStyle w:val="2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7E1C1A34">
      <w:pPr>
        <w:pStyle w:val="24"/>
        <w:spacing w:line="360" w:lineRule="auto"/>
        <w:ind w:left="25" w:leftChars="12" w:firstLine="475" w:firstLineChars="197"/>
        <w:rPr>
          <w:rFonts w:hAnsi="宋体"/>
          <w:b/>
          <w:color w:val="000000" w:themeColor="text1"/>
          <w:sz w:val="24"/>
          <w:szCs w:val="24"/>
          <w14:textFill>
            <w14:solidFill>
              <w14:schemeClr w14:val="tx1"/>
            </w14:solidFill>
          </w14:textFill>
        </w:rPr>
      </w:pPr>
    </w:p>
    <w:p w14:paraId="29104B80">
      <w:pPr>
        <w:pStyle w:val="24"/>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0BA141C6">
      <w:pPr>
        <w:pStyle w:val="24"/>
        <w:spacing w:line="360" w:lineRule="auto"/>
        <w:ind w:left="25" w:leftChars="12" w:firstLine="354" w:firstLineChars="147"/>
        <w:rPr>
          <w:rFonts w:hAnsi="宋体"/>
          <w:b/>
          <w:bCs/>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1.</w:t>
      </w:r>
      <w:r>
        <w:rPr>
          <w:rFonts w:hint="eastAsia" w:hAnsi="宋体"/>
          <w:b/>
          <w:color w:val="000000" w:themeColor="text1"/>
          <w:sz w:val="24"/>
          <w:szCs w:val="24"/>
          <w14:textFill>
            <w14:solidFill>
              <w14:schemeClr w14:val="tx1"/>
            </w14:solidFill>
          </w14:textFill>
        </w:rPr>
        <w:t>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40DE2875">
      <w:pPr>
        <w:pStyle w:val="2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2.</w:t>
      </w:r>
      <w:r>
        <w:rPr>
          <w:rFonts w:hint="eastAsia" w:hAnsi="宋体"/>
          <w:b/>
          <w:color w:val="000000" w:themeColor="text1"/>
          <w:sz w:val="24"/>
          <w:szCs w:val="24"/>
          <w14:textFill>
            <w14:solidFill>
              <w14:schemeClr w14:val="tx1"/>
            </w14:solidFill>
          </w14:textFill>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43A72C65">
      <w:pPr>
        <w:pStyle w:val="2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3.</w:t>
      </w:r>
      <w:r>
        <w:rPr>
          <w:rFonts w:hint="eastAsia" w:hAnsi="宋体"/>
          <w:b/>
          <w:color w:val="000000" w:themeColor="text1"/>
          <w:sz w:val="24"/>
          <w:szCs w:val="24"/>
          <w14:textFill>
            <w14:solidFill>
              <w14:schemeClr w14:val="tx1"/>
            </w14:solidFill>
          </w14:textFill>
        </w:rPr>
        <w:t>投诉书应简要列明质疑事项，质疑函、质疑答复等作为附件材料提供。</w:t>
      </w:r>
    </w:p>
    <w:p w14:paraId="78BFDA3D">
      <w:pPr>
        <w:pStyle w:val="2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4.</w:t>
      </w:r>
      <w:r>
        <w:rPr>
          <w:rFonts w:hint="eastAsia" w:hAnsi="宋体"/>
          <w:b/>
          <w:color w:val="000000" w:themeColor="text1"/>
          <w:sz w:val="24"/>
          <w:szCs w:val="24"/>
          <w14:textFill>
            <w14:solidFill>
              <w14:schemeClr w14:val="tx1"/>
            </w14:solidFill>
          </w14:textFill>
        </w:rPr>
        <w:t>投诉书的投诉事项应具体、明确，并有必要的事实依据和法律依据。</w:t>
      </w:r>
    </w:p>
    <w:p w14:paraId="1729DB2B">
      <w:pPr>
        <w:pStyle w:val="2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5.</w:t>
      </w:r>
      <w:r>
        <w:rPr>
          <w:rFonts w:hint="eastAsia" w:hAnsi="宋体"/>
          <w:b/>
          <w:color w:val="000000" w:themeColor="text1"/>
          <w:sz w:val="24"/>
          <w:szCs w:val="24"/>
          <w14:textFill>
            <w14:solidFill>
              <w14:schemeClr w14:val="tx1"/>
            </w14:solidFill>
          </w14:textFill>
        </w:rPr>
        <w:t>投诉书的投诉请求应与投诉事项相关。</w:t>
      </w:r>
    </w:p>
    <w:p w14:paraId="0E463724">
      <w:pPr>
        <w:pStyle w:val="24"/>
        <w:spacing w:line="360" w:lineRule="auto"/>
        <w:ind w:left="25" w:leftChars="12" w:firstLine="354" w:firstLineChars="147"/>
        <w:rPr>
          <w:rFonts w:hAnsi="宋体"/>
          <w:b/>
          <w:color w:val="000000" w:themeColor="text1"/>
          <w14:textFill>
            <w14:solidFill>
              <w14:schemeClr w14:val="tx1"/>
            </w14:solidFill>
          </w14:textFill>
        </w:rPr>
      </w:pPr>
      <w:r>
        <w:rPr>
          <w:rFonts w:hAnsi="宋体"/>
          <w:b/>
          <w:color w:val="000000" w:themeColor="text1"/>
          <w:sz w:val="24"/>
          <w:szCs w:val="24"/>
          <w14:textFill>
            <w14:solidFill>
              <w14:schemeClr w14:val="tx1"/>
            </w14:solidFill>
          </w14:textFill>
        </w:rPr>
        <w:t>6.</w:t>
      </w:r>
      <w:r>
        <w:rPr>
          <w:rFonts w:hint="eastAsia" w:hAnsi="宋体"/>
          <w:b/>
          <w:color w:val="000000" w:themeColor="text1"/>
          <w:sz w:val="24"/>
          <w:szCs w:val="24"/>
          <w14:textFill>
            <w14:solidFill>
              <w14:schemeClr w14:val="tx1"/>
            </w14:solidFill>
          </w14:textFill>
        </w:rPr>
        <w:t>投诉人为法人或者其他组织的，投诉书应由法定代表人、主要负责人，或者其授权代表签字或者盖章，并加盖公章。</w:t>
      </w:r>
    </w:p>
    <w:p w14:paraId="1AAC3D93">
      <w:pPr>
        <w:jc w:val="both"/>
        <w:outlineLvl w:val="9"/>
        <w:rPr>
          <w:color w:val="000000" w:themeColor="text1"/>
          <w14:textFill>
            <w14:solidFill>
              <w14:schemeClr w14:val="tx1"/>
            </w14:solidFill>
          </w14:textFill>
        </w:rPr>
      </w:pPr>
      <w:bookmarkStart w:id="110" w:name="_Toc74323461"/>
    </w:p>
    <w:p w14:paraId="51ED5034">
      <w:pPr>
        <w:pStyle w:val="2"/>
        <w:jc w:val="center"/>
        <w:rPr>
          <w:rFonts w:hint="eastAsia"/>
          <w:color w:val="000000" w:themeColor="text1"/>
          <w14:textFill>
            <w14:solidFill>
              <w14:schemeClr w14:val="tx1"/>
            </w14:solidFill>
          </w14:textFill>
        </w:rPr>
        <w:sectPr>
          <w:footerReference r:id="rId10" w:type="first"/>
          <w:footerReference r:id="rId9" w:type="default"/>
          <w:pgSz w:w="11906" w:h="16838"/>
          <w:pgMar w:top="1440" w:right="1701" w:bottom="1440" w:left="1701" w:header="851" w:footer="992" w:gutter="0"/>
          <w:pgNumType w:fmt="decimal" w:start="1"/>
          <w:cols w:space="720" w:num="1"/>
          <w:titlePg/>
          <w:docGrid w:type="lines" w:linePitch="312" w:charSpace="0"/>
        </w:sectPr>
      </w:pPr>
    </w:p>
    <w:p w14:paraId="251F8B1D">
      <w:pPr>
        <w:pStyle w:val="2"/>
        <w:jc w:val="center"/>
        <w:rPr>
          <w:rFonts w:hint="eastAsia"/>
          <w:color w:val="000000" w:themeColor="text1"/>
          <w14:textFill>
            <w14:solidFill>
              <w14:schemeClr w14:val="tx1"/>
            </w14:solidFill>
          </w14:textFill>
        </w:rPr>
        <w:sectPr>
          <w:pgSz w:w="11906" w:h="16838"/>
          <w:pgMar w:top="1440" w:right="1701" w:bottom="1440" w:left="1701" w:header="851" w:footer="992" w:gutter="0"/>
          <w:pgNumType w:fmt="decimal"/>
          <w:cols w:space="720" w:num="1"/>
          <w:titlePg/>
          <w:docGrid w:type="lines" w:linePitch="312" w:charSpace="0"/>
        </w:sectPr>
      </w:pPr>
      <w:r>
        <w:rPr>
          <w:rFonts w:hint="eastAsia"/>
          <w:color w:val="000000" w:themeColor="text1"/>
          <w14:textFill>
            <w14:solidFill>
              <w14:schemeClr w14:val="tx1"/>
            </w14:solidFill>
          </w14:textFill>
        </w:rPr>
        <w:t>第七章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合同文本</w:t>
      </w:r>
      <w:bookmarkEnd w:id="110"/>
    </w:p>
    <w:p w14:paraId="717E4EE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highlight w:val="none"/>
        </w:rPr>
      </w:pPr>
      <w:bookmarkStart w:id="111" w:name="bookmark167"/>
      <w:bookmarkEnd w:id="111"/>
      <w:bookmarkStart w:id="112" w:name="bookmark280"/>
      <w:bookmarkEnd w:id="112"/>
      <w:bookmarkStart w:id="113" w:name="_Toc351203480"/>
      <w:bookmarkStart w:id="114" w:name="_Toc296890982"/>
      <w:bookmarkStart w:id="115" w:name="_Toc1756478213"/>
      <w:bookmarkStart w:id="116" w:name="_Toc373227552"/>
      <w:bookmarkStart w:id="117" w:name="_Toc296503025"/>
      <w:bookmarkStart w:id="118" w:name="_Toc78449777"/>
      <w:bookmarkStart w:id="119" w:name="_Toc389065255"/>
      <w:bookmarkStart w:id="120" w:name="_Toc407135191"/>
      <w:bookmarkStart w:id="121" w:name="_Toc373478199"/>
      <w:bookmarkStart w:id="122" w:name="_Toc724920571"/>
      <w:r>
        <w:rPr>
          <w:rFonts w:hint="eastAsia" w:cs="黑体"/>
          <w:color w:val="auto"/>
          <w:sz w:val="44"/>
          <w:szCs w:val="44"/>
          <w:highlight w:val="none"/>
        </w:rPr>
        <w:t>第一部分</w:t>
      </w:r>
      <w:r>
        <w:rPr>
          <w:color w:val="auto"/>
          <w:sz w:val="44"/>
          <w:szCs w:val="44"/>
          <w:highlight w:val="none"/>
        </w:rPr>
        <w:t xml:space="preserve"> </w:t>
      </w:r>
      <w:r>
        <w:rPr>
          <w:rFonts w:hint="eastAsia" w:cs="黑体"/>
          <w:color w:val="auto"/>
          <w:sz w:val="44"/>
          <w:szCs w:val="44"/>
          <w:highlight w:val="none"/>
        </w:rPr>
        <w:t>合同协议书</w:t>
      </w:r>
      <w:bookmarkEnd w:id="113"/>
      <w:bookmarkEnd w:id="114"/>
      <w:bookmarkEnd w:id="115"/>
      <w:bookmarkEnd w:id="116"/>
      <w:bookmarkEnd w:id="117"/>
      <w:bookmarkEnd w:id="118"/>
      <w:bookmarkEnd w:id="119"/>
      <w:bookmarkEnd w:id="120"/>
      <w:bookmarkEnd w:id="121"/>
      <w:bookmarkEnd w:id="122"/>
    </w:p>
    <w:p w14:paraId="5321F02B">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14:paraId="0367D18C">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1D679E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根据《中华人民共和国民法典》、《中华人民共和国建筑法》及有关法律规定，遵循平等、自愿、公平和诚实信用的原则，双方就</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龙州县响水镇红阳村渡口维修项目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工程施工及有关事项协商一致，共同达成如下协议：</w:t>
      </w:r>
      <w:bookmarkStart w:id="123" w:name="_Toc351203481"/>
    </w:p>
    <w:p w14:paraId="19564A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一、工程概况</w:t>
      </w:r>
      <w:bookmarkEnd w:id="123"/>
    </w:p>
    <w:p w14:paraId="61968A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 工程名称：</w:t>
      </w:r>
      <w:r>
        <w:rPr>
          <w:rFonts w:hint="eastAsia" w:ascii="宋体" w:hAnsi="宋体" w:cs="宋体"/>
          <w:color w:val="auto"/>
          <w:highlight w:val="none"/>
          <w:u w:val="single"/>
          <w:lang w:eastAsia="zh-CN"/>
        </w:rPr>
        <w:t>龙州县响水镇红阳村渡口维修项目</w:t>
      </w:r>
      <w:r>
        <w:rPr>
          <w:rFonts w:hint="eastAsia" w:ascii="宋体" w:hAnsi="宋体" w:eastAsia="宋体" w:cs="宋体"/>
          <w:color w:val="auto"/>
          <w:highlight w:val="none"/>
        </w:rPr>
        <w:t>。</w:t>
      </w:r>
    </w:p>
    <w:p w14:paraId="48D93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工程地点：</w:t>
      </w:r>
      <w:r>
        <w:rPr>
          <w:rFonts w:hint="eastAsia" w:ascii="宋体" w:hAnsi="宋体" w:cs="宋体"/>
          <w:color w:val="auto"/>
          <w:highlight w:val="none"/>
          <w:u w:val="single"/>
          <w:lang w:eastAsia="zh-CN"/>
        </w:rPr>
        <w:t>崇左市龙州县红阳村</w:t>
      </w:r>
      <w:r>
        <w:rPr>
          <w:rFonts w:hint="eastAsia" w:ascii="宋体" w:hAnsi="宋体" w:eastAsia="宋体" w:cs="宋体"/>
          <w:color w:val="auto"/>
          <w:highlight w:val="none"/>
        </w:rPr>
        <w:t>。</w:t>
      </w:r>
    </w:p>
    <w:p w14:paraId="6AE1C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 工程立项批准文号：</w:t>
      </w:r>
      <w:r>
        <w:rPr>
          <w:rFonts w:hint="eastAsia" w:ascii="宋体" w:hAnsi="宋体" w:eastAsia="宋体" w:cs="宋体"/>
          <w:color w:val="auto"/>
          <w:highlight w:val="none"/>
          <w:u w:val="single"/>
        </w:rPr>
        <w:t>龙政函[2024]</w:t>
      </w:r>
      <w:r>
        <w:rPr>
          <w:rFonts w:hint="eastAsia" w:ascii="宋体" w:hAnsi="宋体" w:cs="宋体"/>
          <w:color w:val="auto"/>
          <w:highlight w:val="none"/>
          <w:u w:val="single"/>
          <w:lang w:val="en-US" w:eastAsia="zh-CN"/>
        </w:rPr>
        <w:t>73</w:t>
      </w:r>
      <w:r>
        <w:rPr>
          <w:rFonts w:hint="eastAsia" w:ascii="宋体" w:hAnsi="宋体" w:eastAsia="宋体" w:cs="宋体"/>
          <w:color w:val="auto"/>
          <w:highlight w:val="none"/>
          <w:u w:val="single"/>
        </w:rPr>
        <w:t>号</w:t>
      </w:r>
      <w:r>
        <w:rPr>
          <w:rFonts w:hint="eastAsia" w:ascii="宋体" w:hAnsi="宋体" w:eastAsia="宋体" w:cs="宋体"/>
          <w:color w:val="auto"/>
          <w:highlight w:val="none"/>
        </w:rPr>
        <w:t>。</w:t>
      </w:r>
    </w:p>
    <w:p w14:paraId="5C313D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 资金来源：</w:t>
      </w:r>
      <w:r>
        <w:rPr>
          <w:rFonts w:hint="eastAsia" w:ascii="宋体" w:hAnsi="宋体" w:eastAsia="宋体" w:cs="宋体"/>
          <w:color w:val="auto"/>
          <w:highlight w:val="none"/>
          <w:u w:val="single"/>
          <w:lang w:val="en-US" w:eastAsia="zh-CN"/>
        </w:rPr>
        <w:t>财政资金</w:t>
      </w:r>
      <w:r>
        <w:rPr>
          <w:rFonts w:hint="eastAsia" w:ascii="宋体" w:hAnsi="宋体" w:eastAsia="宋体" w:cs="宋体"/>
          <w:color w:val="auto"/>
          <w:highlight w:val="none"/>
        </w:rPr>
        <w:t>。</w:t>
      </w:r>
    </w:p>
    <w:p w14:paraId="6C970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 工程内容：</w:t>
      </w:r>
      <w:r>
        <w:rPr>
          <w:rFonts w:hint="eastAsia" w:ascii="宋体" w:hAnsi="宋体" w:cs="宋体"/>
          <w:color w:val="auto"/>
          <w:highlight w:val="none"/>
          <w:u w:val="single"/>
          <w:lang w:eastAsia="zh-CN"/>
        </w:rPr>
        <w:t>本项目建设内容是渡口浅滩扩建维修工程、挡墙工程等；详见工程量清单及图纸。</w:t>
      </w:r>
    </w:p>
    <w:p w14:paraId="03986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14:paraId="526D1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 工程承包范围：</w:t>
      </w:r>
      <w:r>
        <w:rPr>
          <w:rFonts w:hint="eastAsia" w:ascii="宋体" w:hAnsi="宋体" w:cs="宋体"/>
          <w:color w:val="auto"/>
          <w:highlight w:val="none"/>
          <w:u w:val="single"/>
          <w:lang w:eastAsia="zh-CN"/>
        </w:rPr>
        <w:t>本项目建设内容是渡口浅滩扩建维修工程、挡墙工程等；详见工程量清单及图纸。</w:t>
      </w:r>
    </w:p>
    <w:p w14:paraId="54126F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highlight w:val="none"/>
        </w:rPr>
      </w:pPr>
      <w:bookmarkStart w:id="124" w:name="_Toc351203482"/>
      <w:r>
        <w:rPr>
          <w:rFonts w:hint="eastAsia" w:ascii="宋体" w:hAnsi="宋体" w:eastAsia="宋体" w:cs="宋体"/>
          <w:b/>
          <w:bCs/>
          <w:color w:val="auto"/>
          <w:highlight w:val="none"/>
        </w:rPr>
        <w:t>二、合同工期</w:t>
      </w:r>
      <w:bookmarkEnd w:id="124"/>
    </w:p>
    <w:p w14:paraId="2C8F7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日。（具体以发包人书面通知为准）</w:t>
      </w:r>
    </w:p>
    <w:p w14:paraId="08C42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668E7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天。工期总日历天数与根据前述计划开竣工日期计算的工期天数不一致的，以工期总日历天数为准。</w:t>
      </w:r>
    </w:p>
    <w:p w14:paraId="2FD135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highlight w:val="none"/>
        </w:rPr>
      </w:pPr>
      <w:bookmarkStart w:id="125" w:name="_Toc351203483"/>
      <w:r>
        <w:rPr>
          <w:rFonts w:hint="eastAsia" w:ascii="宋体" w:hAnsi="宋体" w:eastAsia="宋体" w:cs="宋体"/>
          <w:b/>
          <w:bCs/>
          <w:color w:val="auto"/>
          <w:highlight w:val="none"/>
        </w:rPr>
        <w:t>三、质量标准</w:t>
      </w:r>
      <w:bookmarkEnd w:id="125"/>
    </w:p>
    <w:p w14:paraId="0C9177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工程质量符合</w:t>
      </w:r>
      <w:r>
        <w:rPr>
          <w:rFonts w:hint="eastAsia" w:ascii="宋体" w:hAnsi="宋体" w:eastAsia="宋体" w:cs="宋体"/>
          <w:color w:val="auto"/>
          <w:highlight w:val="none"/>
          <w:u w:val="single"/>
          <w:lang w:val="en-US" w:eastAsia="zh-CN"/>
        </w:rPr>
        <w:t>合格</w:t>
      </w:r>
      <w:r>
        <w:rPr>
          <w:rFonts w:hint="eastAsia" w:ascii="宋体" w:hAnsi="宋体" w:eastAsia="宋体" w:cs="宋体"/>
          <w:color w:val="auto"/>
          <w:highlight w:val="none"/>
        </w:rPr>
        <w:t>标准。</w:t>
      </w:r>
    </w:p>
    <w:p w14:paraId="268CFF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highlight w:val="none"/>
        </w:rPr>
      </w:pPr>
      <w:bookmarkStart w:id="126" w:name="_Toc351203484"/>
      <w:r>
        <w:rPr>
          <w:rFonts w:hint="eastAsia" w:ascii="宋体" w:hAnsi="宋体" w:eastAsia="宋体" w:cs="宋体"/>
          <w:b/>
          <w:bCs/>
          <w:color w:val="auto"/>
          <w:highlight w:val="none"/>
        </w:rPr>
        <w:t>四、签约合同价与合同价格形式</w:t>
      </w:r>
      <w:bookmarkEnd w:id="126"/>
    </w:p>
    <w:p w14:paraId="58D1C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35F37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27E83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highlight w:val="none"/>
        </w:rPr>
      </w:pPr>
      <w:r>
        <w:rPr>
          <w:rFonts w:hint="eastAsia" w:ascii="宋体" w:hAnsi="宋体" w:eastAsia="宋体" w:cs="宋体"/>
          <w:color w:val="auto"/>
          <w:highlight w:val="none"/>
        </w:rPr>
        <w:t>其中：</w:t>
      </w:r>
    </w:p>
    <w:p w14:paraId="40B934B0">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1BE56CA1">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A56D7B8">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3A9E9A49">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3D0B0BE">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1E7CF058">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6CA8C9E">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684E76E0">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5EC9650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合同价格形式：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25C3B9">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27" w:name="_Toc351203485"/>
      <w:r>
        <w:rPr>
          <w:rFonts w:hint="eastAsia" w:ascii="宋体" w:hAnsi="宋体" w:eastAsia="宋体" w:cs="宋体"/>
          <w:b/>
          <w:bCs/>
          <w:color w:val="auto"/>
          <w:highlight w:val="none"/>
        </w:rPr>
        <w:t>五、</w:t>
      </w:r>
      <w:bookmarkEnd w:id="127"/>
      <w:r>
        <w:rPr>
          <w:rFonts w:hint="eastAsia" w:ascii="宋体" w:hAnsi="宋体" w:eastAsia="宋体" w:cs="宋体"/>
          <w:b/>
          <w:bCs/>
          <w:color w:val="auto"/>
          <w:highlight w:val="none"/>
        </w:rPr>
        <w:t>项目经理</w:t>
      </w:r>
    </w:p>
    <w:p w14:paraId="3CC092A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C80D3FF">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28" w:name="_Toc351203486"/>
      <w:r>
        <w:rPr>
          <w:rFonts w:hint="eastAsia" w:ascii="宋体" w:hAnsi="宋体" w:eastAsia="宋体" w:cs="宋体"/>
          <w:b/>
          <w:bCs/>
          <w:color w:val="auto"/>
          <w:highlight w:val="none"/>
        </w:rPr>
        <w:t>六、合同文件构成</w:t>
      </w:r>
      <w:bookmarkEnd w:id="128"/>
    </w:p>
    <w:p w14:paraId="738E0A5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0FB10F7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通知书（如有）；</w:t>
      </w:r>
    </w:p>
    <w:p w14:paraId="3487677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（2）竞标函及竞标函附录； </w:t>
      </w:r>
    </w:p>
    <w:p w14:paraId="55CD2B3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37E612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43E0C94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技术标准和要求</w:t>
      </w:r>
      <w:r>
        <w:rPr>
          <w:rFonts w:hint="eastAsia" w:ascii="宋体" w:hAnsi="宋体" w:eastAsia="宋体" w:cs="宋体"/>
          <w:color w:val="auto"/>
          <w:highlight w:val="none"/>
        </w:rPr>
        <w:t>；</w:t>
      </w:r>
    </w:p>
    <w:p w14:paraId="37AE75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u w:val="single"/>
        </w:rPr>
        <w:t>图纸</w:t>
      </w:r>
      <w:r>
        <w:rPr>
          <w:rFonts w:hint="eastAsia" w:ascii="宋体" w:hAnsi="宋体" w:eastAsia="宋体" w:cs="宋体"/>
          <w:color w:val="auto"/>
          <w:highlight w:val="none"/>
        </w:rPr>
        <w:t>；</w:t>
      </w:r>
    </w:p>
    <w:p w14:paraId="1CA65D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u w:val="single"/>
        </w:rPr>
        <w:t>已标价工程量清单</w:t>
      </w:r>
      <w:r>
        <w:rPr>
          <w:rFonts w:hint="eastAsia" w:ascii="宋体" w:hAnsi="宋体" w:eastAsia="宋体" w:cs="宋体"/>
          <w:color w:val="auto"/>
          <w:highlight w:val="none"/>
        </w:rPr>
        <w:t>；</w:t>
      </w:r>
    </w:p>
    <w:p w14:paraId="18E017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（8）其他合同文件：</w:t>
      </w:r>
    </w:p>
    <w:p w14:paraId="77FD35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095BD71">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0"/>
        <w:rPr>
          <w:rFonts w:hint="eastAsia" w:ascii="宋体" w:hAnsi="宋体" w:eastAsia="宋体" w:cs="宋体"/>
          <w:b/>
          <w:bCs/>
          <w:color w:val="auto"/>
          <w:highlight w:val="none"/>
        </w:rPr>
      </w:pPr>
      <w:bookmarkStart w:id="129" w:name="_Toc351203487"/>
      <w:r>
        <w:rPr>
          <w:rFonts w:hint="eastAsia" w:ascii="宋体" w:hAnsi="宋体" w:eastAsia="宋体" w:cs="宋体"/>
          <w:b/>
          <w:bCs/>
          <w:color w:val="auto"/>
          <w:highlight w:val="none"/>
        </w:rPr>
        <w:t>七、承诺</w:t>
      </w:r>
      <w:bookmarkEnd w:id="129"/>
    </w:p>
    <w:p w14:paraId="53B16D3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 发包人承诺按照法律规定履行项目审批手续、筹集工程建设资金并按照合同约定的期限和方式支付合同价款。</w:t>
      </w:r>
    </w:p>
    <w:p w14:paraId="1177D13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247ABB1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 发包人和承包人通过招投标形式签订合同的，双方理解并承诺不再就同一工程另行签订与合同实质性内容相背离的协议。</w:t>
      </w:r>
      <w:bookmarkStart w:id="130" w:name="_Toc351203488"/>
    </w:p>
    <w:p w14:paraId="17D861C9">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八、词语含义</w:t>
      </w:r>
      <w:bookmarkEnd w:id="130"/>
    </w:p>
    <w:p w14:paraId="2328015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608C1899">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31" w:name="_Toc351203489"/>
      <w:r>
        <w:rPr>
          <w:rFonts w:hint="eastAsia" w:ascii="宋体" w:hAnsi="宋体" w:eastAsia="宋体" w:cs="宋体"/>
          <w:b/>
          <w:bCs/>
          <w:color w:val="auto"/>
          <w:highlight w:val="none"/>
        </w:rPr>
        <w:t>九、签订时间</w:t>
      </w:r>
      <w:bookmarkEnd w:id="131"/>
    </w:p>
    <w:p w14:paraId="7EC13BB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w:t>
      </w:r>
    </w:p>
    <w:p w14:paraId="22CCD929">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32" w:name="_Toc351203490"/>
      <w:r>
        <w:rPr>
          <w:rFonts w:hint="eastAsia" w:ascii="宋体" w:hAnsi="宋体" w:eastAsia="宋体" w:cs="宋体"/>
          <w:b/>
          <w:bCs/>
          <w:color w:val="auto"/>
          <w:highlight w:val="none"/>
        </w:rPr>
        <w:t>十、签订地点</w:t>
      </w:r>
      <w:bookmarkEnd w:id="132"/>
    </w:p>
    <w:p w14:paraId="0EE2A99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 xml:space="preserve"> 广西政府采购云平台</w:t>
      </w:r>
      <w:r>
        <w:rPr>
          <w:rFonts w:hint="eastAsia" w:ascii="宋体" w:hAnsi="宋体" w:eastAsia="宋体" w:cs="宋体"/>
          <w:color w:val="auto"/>
          <w:highlight w:val="none"/>
          <w:u w:val="single"/>
          <w:lang w:eastAsia="zh-CN"/>
        </w:rPr>
        <w:t>线上</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w:t>
      </w:r>
    </w:p>
    <w:p w14:paraId="4FB2BB30">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33" w:name="_Toc351203491"/>
      <w:r>
        <w:rPr>
          <w:rFonts w:hint="eastAsia" w:ascii="宋体" w:hAnsi="宋体" w:eastAsia="宋体" w:cs="宋体"/>
          <w:b/>
          <w:bCs/>
          <w:color w:val="auto"/>
          <w:highlight w:val="none"/>
        </w:rPr>
        <w:t>十一、补充协议</w:t>
      </w:r>
      <w:bookmarkEnd w:id="133"/>
    </w:p>
    <w:p w14:paraId="41D4B36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072D0A69">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34" w:name="_Toc351203492"/>
      <w:r>
        <w:rPr>
          <w:rFonts w:hint="eastAsia" w:ascii="宋体" w:hAnsi="宋体" w:eastAsia="宋体" w:cs="宋体"/>
          <w:b/>
          <w:bCs/>
          <w:color w:val="auto"/>
          <w:highlight w:val="none"/>
        </w:rPr>
        <w:t>十二、合同生效</w:t>
      </w:r>
      <w:bookmarkEnd w:id="134"/>
    </w:p>
    <w:p w14:paraId="2C7D0D1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生效。</w:t>
      </w:r>
    </w:p>
    <w:p w14:paraId="616E0886">
      <w:pPr>
        <w:keepNext w:val="0"/>
        <w:keepLines w:val="0"/>
        <w:pageBreakBefore w:val="0"/>
        <w:widowControl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highlight w:val="none"/>
        </w:rPr>
      </w:pPr>
      <w:bookmarkStart w:id="135" w:name="_Toc351203493"/>
      <w:r>
        <w:rPr>
          <w:rFonts w:hint="eastAsia" w:ascii="宋体" w:hAnsi="宋体" w:eastAsia="宋体" w:cs="宋体"/>
          <w:b/>
          <w:bCs/>
          <w:color w:val="auto"/>
          <w:highlight w:val="none"/>
        </w:rPr>
        <w:t>十三、合同份数</w:t>
      </w:r>
      <w:bookmarkEnd w:id="135"/>
    </w:p>
    <w:p w14:paraId="65CA823A">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份，均具有同等法律效力，发包人执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份，承包人执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3C0E5267">
      <w:pPr>
        <w:spacing w:line="360" w:lineRule="auto"/>
        <w:rPr>
          <w:color w:val="auto"/>
          <w:highlight w:val="none"/>
        </w:rPr>
      </w:pPr>
    </w:p>
    <w:p w14:paraId="3E8F95B7">
      <w:pPr>
        <w:spacing w:line="360" w:lineRule="auto"/>
        <w:rPr>
          <w:color w:val="auto"/>
          <w:highlight w:val="none"/>
        </w:rPr>
      </w:pPr>
    </w:p>
    <w:p w14:paraId="4EB2F87C">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29DABF5">
      <w:pPr>
        <w:spacing w:line="360" w:lineRule="auto"/>
        <w:rPr>
          <w:color w:val="auto"/>
          <w:highlight w:val="none"/>
          <w:u w:val="single"/>
        </w:rPr>
      </w:pPr>
      <w:r>
        <w:rPr>
          <w:color w:val="auto"/>
          <w:highlight w:val="none"/>
        </w:rPr>
        <w:t xml:space="preserve">                                 </w:t>
      </w:r>
    </w:p>
    <w:p w14:paraId="316E6E4A">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132B6342">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00F4A00E">
      <w:pPr>
        <w:spacing w:line="360" w:lineRule="auto"/>
        <w:rPr>
          <w:color w:val="auto"/>
          <w:highlight w:val="none"/>
          <w:u w:val="single"/>
        </w:rPr>
      </w:pPr>
    </w:p>
    <w:p w14:paraId="54A821C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DCF7638">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08B9E296">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90C130D">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D9E4B29">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5264AD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F406B1F">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9E74EA">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98A08E7">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6719521">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3F9D5276">
      <w:pPr>
        <w:widowControl/>
        <w:jc w:val="left"/>
        <w:rPr>
          <w:color w:val="auto"/>
          <w:highlight w:val="none"/>
          <w:u w:val="single"/>
        </w:rPr>
      </w:pPr>
      <w:r>
        <w:rPr>
          <w:color w:val="auto"/>
          <w:highlight w:val="none"/>
        </w:rPr>
        <w:br w:type="page"/>
      </w:r>
    </w:p>
    <w:p w14:paraId="1E66149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highlight w:val="none"/>
        </w:rPr>
      </w:pPr>
      <w:bookmarkStart w:id="136" w:name="_Toc389065256"/>
      <w:bookmarkStart w:id="137" w:name="_Toc86847323"/>
      <w:bookmarkStart w:id="138" w:name="_Toc407135192"/>
      <w:bookmarkStart w:id="139" w:name="_Toc78449778"/>
      <w:bookmarkStart w:id="140" w:name="_Toc1714491818"/>
      <w:bookmarkStart w:id="141" w:name="_Toc373478338"/>
      <w:bookmarkStart w:id="142" w:name="_Toc351203632"/>
      <w:bookmarkStart w:id="143" w:name="_Toc373227691"/>
      <w:r>
        <w:rPr>
          <w:rFonts w:hint="eastAsia" w:ascii="Times New Roman" w:hAnsi="Times New Roman" w:cs="黑体"/>
          <w:color w:val="auto"/>
          <w:sz w:val="44"/>
          <w:szCs w:val="44"/>
          <w:highlight w:val="none"/>
        </w:rPr>
        <w:t>第二部分 通用合同条款</w:t>
      </w:r>
      <w:bookmarkEnd w:id="136"/>
      <w:bookmarkEnd w:id="137"/>
      <w:bookmarkEnd w:id="138"/>
      <w:bookmarkEnd w:id="139"/>
      <w:bookmarkEnd w:id="140"/>
    </w:p>
    <w:p w14:paraId="4EF66547">
      <w:pPr>
        <w:spacing w:line="360" w:lineRule="auto"/>
        <w:ind w:firstLine="420" w:firstLineChars="200"/>
        <w:rPr>
          <w:rFonts w:hAnsi="宋体"/>
          <w:color w:val="auto"/>
          <w:kern w:val="0"/>
          <w:highlight w:val="none"/>
        </w:rPr>
      </w:pPr>
    </w:p>
    <w:p w14:paraId="4C10C714">
      <w:pPr>
        <w:spacing w:line="360" w:lineRule="auto"/>
        <w:ind w:firstLine="0" w:firstLineChars="0"/>
        <w:jc w:val="center"/>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38319469">
      <w:pPr>
        <w:pStyle w:val="2"/>
        <w:keepNext w:val="0"/>
        <w:keepLines w:val="0"/>
        <w:jc w:val="center"/>
        <w:rPr>
          <w:rFonts w:hint="eastAsia" w:ascii="Times New Roman" w:hAnsi="Times New Roman" w:cs="黑体"/>
          <w:color w:val="auto"/>
          <w:sz w:val="44"/>
          <w:szCs w:val="44"/>
          <w:highlight w:val="none"/>
        </w:rPr>
        <w:sectPr>
          <w:pgSz w:w="11907" w:h="16840"/>
          <w:pgMar w:top="1440" w:right="1440" w:bottom="1440" w:left="1797" w:header="851" w:footer="851" w:gutter="0"/>
          <w:pgNumType w:fmt="decimal"/>
          <w:cols w:space="720" w:num="1"/>
          <w:docGrid w:linePitch="312" w:charSpace="0"/>
        </w:sectPr>
      </w:pPr>
      <w:bookmarkStart w:id="144" w:name="_Toc407135193"/>
      <w:bookmarkStart w:id="145" w:name="_Toc704444909"/>
      <w:bookmarkStart w:id="146" w:name="_Toc389065257"/>
      <w:bookmarkStart w:id="147" w:name="_Toc78449779"/>
      <w:bookmarkStart w:id="148" w:name="_Toc1204138598"/>
    </w:p>
    <w:bookmarkEnd w:id="141"/>
    <w:bookmarkEnd w:id="142"/>
    <w:bookmarkEnd w:id="143"/>
    <w:bookmarkEnd w:id="144"/>
    <w:bookmarkEnd w:id="145"/>
    <w:bookmarkEnd w:id="146"/>
    <w:bookmarkEnd w:id="147"/>
    <w:bookmarkEnd w:id="148"/>
    <w:p w14:paraId="5B7B2729">
      <w:pPr>
        <w:pStyle w:val="2"/>
        <w:keepNext w:val="0"/>
        <w:keepLines w:val="0"/>
        <w:pageBreakBefore w:val="0"/>
        <w:widowControl w:val="0"/>
        <w:kinsoku/>
        <w:wordWrap/>
        <w:overflowPunct/>
        <w:topLinePunct w:val="0"/>
        <w:autoSpaceDE/>
        <w:autoSpaceDN/>
        <w:bidi w:val="0"/>
        <w:adjustRightInd/>
        <w:snapToGrid/>
        <w:spacing w:before="0" w:after="0" w:line="480" w:lineRule="auto"/>
        <w:jc w:val="center"/>
        <w:textAlignment w:val="auto"/>
        <w:rPr>
          <w:rFonts w:hAnsi="宋体"/>
          <w:color w:val="auto"/>
          <w:sz w:val="30"/>
          <w:szCs w:val="30"/>
          <w:highlight w:val="none"/>
        </w:rPr>
      </w:pPr>
      <w:r>
        <w:rPr>
          <w:rFonts w:hint="eastAsia" w:ascii="Times New Roman" w:hAnsi="Times New Roman" w:cs="黑体"/>
          <w:color w:val="auto"/>
          <w:sz w:val="44"/>
          <w:szCs w:val="44"/>
          <w:highlight w:val="none"/>
        </w:rPr>
        <w:t>第三部分 专用合同条款</w:t>
      </w:r>
    </w:p>
    <w:p w14:paraId="1EF9AB11">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0B8F8BA0">
      <w:pPr>
        <w:pStyle w:val="3"/>
        <w:pageBreakBefore w:val="0"/>
        <w:widowControl w:val="0"/>
        <w:kinsoku/>
        <w:wordWrap/>
        <w:overflowPunct/>
        <w:topLinePunct w:val="0"/>
        <w:bidi w:val="0"/>
        <w:spacing w:before="0" w:after="0" w:line="360" w:lineRule="auto"/>
        <w:textAlignment w:val="auto"/>
        <w:rPr>
          <w:color w:val="auto"/>
          <w:highlight w:val="none"/>
        </w:rPr>
      </w:pPr>
      <w:bookmarkStart w:id="149" w:name="_Toc407135194"/>
      <w:bookmarkStart w:id="150" w:name="_Toc78449780"/>
      <w:bookmarkStart w:id="151" w:name="_Toc373478339"/>
      <w:bookmarkStart w:id="152" w:name="_Toc351203633"/>
      <w:bookmarkStart w:id="153" w:name="_Toc1516097295"/>
      <w:bookmarkStart w:id="154" w:name="_Toc389065258"/>
      <w:bookmarkStart w:id="155" w:name="_Toc373227692"/>
      <w:bookmarkStart w:id="156" w:name="_Toc1013968286"/>
      <w:r>
        <w:rPr>
          <w:color w:val="auto"/>
          <w:highlight w:val="none"/>
        </w:rPr>
        <w:t>1</w:t>
      </w:r>
      <w:bookmarkStart w:id="157" w:name="_Toc297120456"/>
      <w:bookmarkStart w:id="158" w:name="_Toc292559866"/>
      <w:bookmarkStart w:id="159" w:name="_Toc296944495"/>
      <w:bookmarkStart w:id="160" w:name="_Toc296891196"/>
      <w:bookmarkStart w:id="161" w:name="_Toc292559361"/>
      <w:bookmarkStart w:id="162" w:name="_Toc296346657"/>
      <w:bookmarkStart w:id="163" w:name="_Toc296503156"/>
      <w:bookmarkStart w:id="164" w:name="_Toc296890984"/>
      <w:bookmarkStart w:id="165" w:name="_Toc296347155"/>
      <w:bookmarkStart w:id="166" w:name="_Toc297048342"/>
      <w:r>
        <w:rPr>
          <w:color w:val="auto"/>
          <w:highlight w:val="none"/>
        </w:rPr>
        <w:t xml:space="preserve">. </w:t>
      </w:r>
      <w:r>
        <w:rPr>
          <w:rFonts w:hint="eastAsia" w:hAnsi="宋体" w:cs="黑体"/>
          <w:color w:val="auto"/>
          <w:highlight w:val="none"/>
        </w:rPr>
        <w:t>一般约定</w:t>
      </w:r>
      <w:bookmarkEnd w:id="149"/>
      <w:bookmarkEnd w:id="150"/>
      <w:bookmarkEnd w:id="151"/>
      <w:bookmarkEnd w:id="152"/>
      <w:bookmarkEnd w:id="153"/>
      <w:bookmarkEnd w:id="154"/>
      <w:bookmarkEnd w:id="155"/>
      <w:bookmarkEnd w:id="156"/>
    </w:p>
    <w:bookmarkEnd w:id="157"/>
    <w:bookmarkEnd w:id="158"/>
    <w:bookmarkEnd w:id="159"/>
    <w:bookmarkEnd w:id="160"/>
    <w:bookmarkEnd w:id="161"/>
    <w:bookmarkEnd w:id="162"/>
    <w:bookmarkEnd w:id="163"/>
    <w:bookmarkEnd w:id="164"/>
    <w:bookmarkEnd w:id="165"/>
    <w:bookmarkEnd w:id="166"/>
    <w:p w14:paraId="51AA700E">
      <w:pPr>
        <w:pStyle w:val="4"/>
        <w:pageBreakBefore w:val="0"/>
        <w:widowControl w:val="0"/>
        <w:kinsoku/>
        <w:wordWrap/>
        <w:overflowPunct/>
        <w:topLinePunct w:val="0"/>
        <w:bidi w:val="0"/>
        <w:spacing w:before="0" w:after="0" w:line="360" w:lineRule="auto"/>
        <w:textAlignment w:val="auto"/>
        <w:rPr>
          <w:color w:val="auto"/>
          <w:highlight w:val="none"/>
        </w:rPr>
      </w:pPr>
      <w:bookmarkStart w:id="167" w:name="_Toc373478340"/>
      <w:bookmarkStart w:id="168" w:name="_Toc389065259"/>
      <w:bookmarkStart w:id="169" w:name="_Toc407135195"/>
      <w:bookmarkStart w:id="170" w:name="_Toc155697041"/>
      <w:bookmarkStart w:id="171" w:name="_Toc373227693"/>
      <w:bookmarkStart w:id="172" w:name="_Toc78449781"/>
      <w:bookmarkStart w:id="173" w:name="_Toc1618220701"/>
      <w:r>
        <w:rPr>
          <w:color w:val="auto"/>
          <w:highlight w:val="none"/>
        </w:rPr>
        <w:t xml:space="preserve">1.1 </w:t>
      </w:r>
      <w:r>
        <w:rPr>
          <w:rFonts w:hint="eastAsia" w:hAnsi="宋体" w:cs="黑体"/>
          <w:color w:val="auto"/>
          <w:highlight w:val="none"/>
        </w:rPr>
        <w:t>词语定义</w:t>
      </w:r>
      <w:bookmarkEnd w:id="167"/>
      <w:bookmarkEnd w:id="168"/>
      <w:bookmarkEnd w:id="169"/>
      <w:bookmarkEnd w:id="170"/>
      <w:bookmarkEnd w:id="171"/>
      <w:bookmarkEnd w:id="172"/>
      <w:bookmarkEnd w:id="173"/>
    </w:p>
    <w:p w14:paraId="7446A8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1095E9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rFonts w:hint="eastAsia"/>
          <w:color w:val="auto"/>
          <w:highlight w:val="none"/>
          <w:u w:val="single"/>
        </w:rPr>
        <w:t>①发包人、承包人双方确认工程报价单或预算书；②发包人、承包人、监理单位会签的工程签证单；③发包人、承包人双方就本工程及有关合同文件进行协商、洽谈、变更、解除等所形成的补充协议等书面资料。采购文件及附件（含所有补充通知）；招标控制价</w:t>
      </w:r>
      <w:r>
        <w:rPr>
          <w:rFonts w:hint="eastAsia" w:hAnsi="宋体" w:cs="宋体"/>
          <w:color w:val="auto"/>
          <w:highlight w:val="none"/>
        </w:rPr>
        <w:t>。</w:t>
      </w:r>
    </w:p>
    <w:p w14:paraId="27B757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281CA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color w:val="auto"/>
          <w:highlight w:val="none"/>
        </w:rPr>
      </w:pPr>
      <w:r>
        <w:rPr>
          <w:color w:val="auto"/>
          <w:highlight w:val="none"/>
        </w:rPr>
        <w:t xml:space="preserve">1.1.2.4 </w:t>
      </w:r>
      <w:r>
        <w:rPr>
          <w:rFonts w:hint="eastAsia" w:hAnsi="宋体" w:cs="宋体"/>
          <w:color w:val="auto"/>
          <w:highlight w:val="none"/>
        </w:rPr>
        <w:t>监理人：</w:t>
      </w:r>
    </w:p>
    <w:p w14:paraId="3A425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2113B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23305F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2316E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6905A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7A68C9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color w:val="auto"/>
          <w:highlight w:val="none"/>
        </w:rPr>
      </w:pPr>
      <w:r>
        <w:rPr>
          <w:color w:val="auto"/>
          <w:highlight w:val="none"/>
        </w:rPr>
        <w:t xml:space="preserve">1.1.2.5 </w:t>
      </w:r>
      <w:r>
        <w:rPr>
          <w:rFonts w:hint="eastAsia" w:hAnsi="宋体" w:cs="宋体"/>
          <w:color w:val="auto"/>
          <w:highlight w:val="none"/>
        </w:rPr>
        <w:t>设计人：</w:t>
      </w:r>
    </w:p>
    <w:p w14:paraId="72EA7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625A6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7CF627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67A45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4FEFC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3DC86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1.1.3 </w:t>
      </w:r>
      <w:r>
        <w:rPr>
          <w:rFonts w:hint="eastAsia" w:hAnsi="宋体" w:cs="宋体"/>
          <w:color w:val="auto"/>
          <w:highlight w:val="none"/>
        </w:rPr>
        <w:t>工程和设备</w:t>
      </w:r>
    </w:p>
    <w:p w14:paraId="1C0A7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int="eastAsia"/>
          <w:color w:val="auto"/>
          <w:highlight w:val="none"/>
          <w:u w:val="single"/>
        </w:rPr>
        <w:t>按通用条款</w:t>
      </w:r>
      <w:r>
        <w:rPr>
          <w:rFonts w:hint="eastAsia" w:hAnsi="宋体" w:cs="宋体"/>
          <w:color w:val="auto"/>
          <w:highlight w:val="none"/>
        </w:rPr>
        <w:t>。</w:t>
      </w:r>
    </w:p>
    <w:p w14:paraId="711F46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rFonts w:hint="eastAsia"/>
          <w:color w:val="auto"/>
          <w:highlight w:val="none"/>
          <w:u w:val="single"/>
        </w:rPr>
        <w:t>依据设计图纸确定</w:t>
      </w:r>
      <w:r>
        <w:rPr>
          <w:rFonts w:hint="eastAsia" w:hAnsi="宋体" w:cs="宋体"/>
          <w:color w:val="auto"/>
          <w:kern w:val="0"/>
          <w:highlight w:val="none"/>
        </w:rPr>
        <w:t>。</w:t>
      </w:r>
    </w:p>
    <w:p w14:paraId="79D7A4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rFonts w:hint="eastAsia"/>
          <w:color w:val="auto"/>
          <w:highlight w:val="none"/>
          <w:u w:val="single"/>
        </w:rPr>
        <w:t>双方在合同履行过程中确定</w:t>
      </w:r>
      <w:r>
        <w:rPr>
          <w:rFonts w:hint="eastAsia" w:hAnsi="宋体" w:cs="宋体"/>
          <w:color w:val="auto"/>
          <w:kern w:val="0"/>
          <w:highlight w:val="none"/>
        </w:rPr>
        <w:t>。</w:t>
      </w:r>
    </w:p>
    <w:p w14:paraId="65C80925">
      <w:pPr>
        <w:pStyle w:val="4"/>
        <w:pageBreakBefore w:val="0"/>
        <w:widowControl w:val="0"/>
        <w:kinsoku/>
        <w:wordWrap/>
        <w:overflowPunct/>
        <w:topLinePunct w:val="0"/>
        <w:bidi w:val="0"/>
        <w:spacing w:before="0" w:after="0" w:line="360" w:lineRule="auto"/>
        <w:textAlignment w:val="auto"/>
        <w:rPr>
          <w:color w:val="auto"/>
          <w:highlight w:val="none"/>
        </w:rPr>
      </w:pPr>
      <w:bookmarkStart w:id="174" w:name="_Toc389065260"/>
      <w:bookmarkStart w:id="175" w:name="_Toc78449782"/>
      <w:bookmarkStart w:id="176" w:name="_Toc1162259329"/>
      <w:bookmarkStart w:id="177" w:name="_Toc373227694"/>
      <w:bookmarkStart w:id="178" w:name="_Toc373478341"/>
      <w:bookmarkStart w:id="179" w:name="_Toc1182598796"/>
      <w:bookmarkStart w:id="180" w:name="_Toc407135196"/>
      <w:r>
        <w:rPr>
          <w:color w:val="auto"/>
          <w:highlight w:val="none"/>
        </w:rPr>
        <w:t xml:space="preserve">1.3 </w:t>
      </w:r>
      <w:r>
        <w:rPr>
          <w:rFonts w:hint="eastAsia" w:hAnsi="宋体" w:cs="黑体"/>
          <w:color w:val="auto"/>
          <w:highlight w:val="none"/>
        </w:rPr>
        <w:t>法律</w:t>
      </w:r>
      <w:bookmarkEnd w:id="174"/>
      <w:bookmarkEnd w:id="175"/>
      <w:bookmarkEnd w:id="176"/>
      <w:bookmarkEnd w:id="177"/>
      <w:bookmarkEnd w:id="178"/>
      <w:bookmarkEnd w:id="179"/>
      <w:bookmarkEnd w:id="180"/>
    </w:p>
    <w:p w14:paraId="480773BA">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适用于合同的其他规范性文件：</w:t>
      </w:r>
      <w:r>
        <w:rPr>
          <w:rFonts w:hint="eastAsia" w:hAnsi="宋体"/>
          <w:color w:val="auto"/>
          <w:highlight w:val="none"/>
          <w:u w:val="single"/>
        </w:rPr>
        <w:t>国家、地方、行政主管部门对建设工程项目的有关规范性文件</w:t>
      </w:r>
      <w:r>
        <w:rPr>
          <w:rFonts w:hint="eastAsia" w:hAnsi="宋体" w:cs="宋体"/>
          <w:color w:val="auto"/>
          <w:highlight w:val="none"/>
        </w:rPr>
        <w:t>。</w:t>
      </w:r>
    </w:p>
    <w:p w14:paraId="3661BF50">
      <w:pPr>
        <w:pStyle w:val="4"/>
        <w:pageBreakBefore w:val="0"/>
        <w:widowControl w:val="0"/>
        <w:kinsoku/>
        <w:wordWrap/>
        <w:overflowPunct/>
        <w:topLinePunct w:val="0"/>
        <w:bidi w:val="0"/>
        <w:spacing w:before="0" w:after="0" w:line="360" w:lineRule="auto"/>
        <w:textAlignment w:val="auto"/>
        <w:rPr>
          <w:color w:val="auto"/>
          <w:highlight w:val="none"/>
        </w:rPr>
      </w:pPr>
      <w:bookmarkStart w:id="181" w:name="_Toc373227695"/>
      <w:bookmarkStart w:id="182" w:name="_Toc78449783"/>
      <w:bookmarkStart w:id="183" w:name="_Toc1694357896"/>
      <w:bookmarkStart w:id="184" w:name="_Toc373478342"/>
      <w:bookmarkStart w:id="185" w:name="_Toc389065261"/>
      <w:bookmarkStart w:id="186" w:name="_Toc407135197"/>
      <w:bookmarkStart w:id="187" w:name="_Toc1569433547"/>
      <w:r>
        <w:rPr>
          <w:color w:val="auto"/>
          <w:highlight w:val="none"/>
        </w:rPr>
        <w:t xml:space="preserve">1.4 </w:t>
      </w:r>
      <w:r>
        <w:rPr>
          <w:rFonts w:hint="eastAsia" w:hAnsi="宋体" w:cs="黑体"/>
          <w:color w:val="auto"/>
          <w:highlight w:val="none"/>
        </w:rPr>
        <w:t>标准和规范</w:t>
      </w:r>
      <w:bookmarkEnd w:id="181"/>
      <w:bookmarkEnd w:id="182"/>
      <w:bookmarkEnd w:id="183"/>
      <w:bookmarkEnd w:id="184"/>
      <w:bookmarkEnd w:id="185"/>
      <w:bookmarkEnd w:id="186"/>
      <w:bookmarkEnd w:id="187"/>
    </w:p>
    <w:p w14:paraId="0BA28EDA">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int="eastAsia" w:hAnsi="宋体"/>
          <w:color w:val="auto"/>
          <w:highlight w:val="none"/>
          <w:u w:val="single"/>
        </w:rPr>
        <w:t>经审查的设计施工图规定的各类国标标准和规范，且不仅限于此</w:t>
      </w:r>
      <w:r>
        <w:rPr>
          <w:rFonts w:hint="eastAsia" w:hAnsi="宋体" w:cs="宋体"/>
          <w:color w:val="auto"/>
          <w:highlight w:val="none"/>
        </w:rPr>
        <w:t>。</w:t>
      </w:r>
    </w:p>
    <w:p w14:paraId="135E1F68">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int="eastAsia" w:hAnsi="宋体"/>
          <w:color w:val="auto"/>
          <w:highlight w:val="none"/>
          <w:u w:val="single"/>
          <w:lang w:eastAsia="zh-CN"/>
        </w:rPr>
        <w:t>无</w:t>
      </w:r>
      <w:r>
        <w:rPr>
          <w:rFonts w:hint="eastAsia" w:hAnsi="宋体" w:cs="宋体"/>
          <w:color w:val="auto"/>
          <w:highlight w:val="none"/>
        </w:rPr>
        <w:t>；</w:t>
      </w:r>
    </w:p>
    <w:p w14:paraId="1510348A">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发包人提供国外标准、规范的份数：</w:t>
      </w:r>
      <w:r>
        <w:rPr>
          <w:rFonts w:hint="eastAsia" w:hAnsi="宋体"/>
          <w:color w:val="auto"/>
          <w:highlight w:val="none"/>
          <w:u w:val="single"/>
          <w:lang w:eastAsia="zh-CN"/>
        </w:rPr>
        <w:t>无</w:t>
      </w:r>
      <w:r>
        <w:rPr>
          <w:rFonts w:hint="eastAsia" w:hAnsi="宋体" w:cs="宋体"/>
          <w:color w:val="auto"/>
          <w:kern w:val="0"/>
          <w:highlight w:val="none"/>
        </w:rPr>
        <w:t>；</w:t>
      </w:r>
    </w:p>
    <w:p w14:paraId="0B49BEA1">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kern w:val="0"/>
          <w:highlight w:val="none"/>
        </w:rPr>
        <w:t>发包人提供国外标准、规范的名称：</w:t>
      </w:r>
      <w:r>
        <w:rPr>
          <w:rFonts w:hint="eastAsia" w:hAnsi="宋体"/>
          <w:color w:val="auto"/>
          <w:highlight w:val="none"/>
          <w:u w:val="single"/>
          <w:lang w:eastAsia="zh-CN"/>
        </w:rPr>
        <w:t>无</w:t>
      </w:r>
      <w:r>
        <w:rPr>
          <w:rFonts w:hint="eastAsia" w:hAnsi="宋体" w:cs="宋体"/>
          <w:color w:val="auto"/>
          <w:kern w:val="0"/>
          <w:highlight w:val="none"/>
        </w:rPr>
        <w:t>。</w:t>
      </w:r>
    </w:p>
    <w:p w14:paraId="0CE72DF4">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hAnsi="宋体"/>
          <w:color w:val="auto"/>
          <w:highlight w:val="none"/>
          <w:u w:val="single"/>
          <w:lang w:eastAsia="zh-CN"/>
        </w:rPr>
        <w:t>无</w:t>
      </w:r>
      <w:r>
        <w:rPr>
          <w:rFonts w:hint="eastAsia" w:hAnsi="宋体" w:cs="宋体"/>
          <w:color w:val="auto"/>
          <w:highlight w:val="none"/>
        </w:rPr>
        <w:t>。</w:t>
      </w:r>
    </w:p>
    <w:p w14:paraId="4E1F5E0D">
      <w:pPr>
        <w:pStyle w:val="4"/>
        <w:pageBreakBefore w:val="0"/>
        <w:widowControl w:val="0"/>
        <w:kinsoku/>
        <w:wordWrap/>
        <w:overflowPunct/>
        <w:topLinePunct w:val="0"/>
        <w:bidi w:val="0"/>
        <w:spacing w:before="0" w:after="0" w:line="360" w:lineRule="auto"/>
        <w:textAlignment w:val="auto"/>
        <w:rPr>
          <w:color w:val="auto"/>
          <w:highlight w:val="none"/>
        </w:rPr>
      </w:pPr>
      <w:bookmarkStart w:id="188" w:name="_Toc373478343"/>
      <w:bookmarkStart w:id="189" w:name="_Toc188277238"/>
      <w:bookmarkStart w:id="190" w:name="_Toc373227696"/>
      <w:bookmarkStart w:id="191" w:name="_Toc78449784"/>
      <w:bookmarkStart w:id="192" w:name="_Toc407135198"/>
      <w:bookmarkStart w:id="193" w:name="_Toc389065262"/>
      <w:bookmarkStart w:id="194" w:name="_Toc24431861"/>
      <w:r>
        <w:rPr>
          <w:color w:val="auto"/>
          <w:highlight w:val="none"/>
        </w:rPr>
        <w:t xml:space="preserve">1.5 </w:t>
      </w:r>
      <w:r>
        <w:rPr>
          <w:rFonts w:hint="eastAsia" w:cs="黑体"/>
          <w:color w:val="auto"/>
          <w:highlight w:val="none"/>
        </w:rPr>
        <w:t>合同文件的优先顺序</w:t>
      </w:r>
      <w:bookmarkEnd w:id="188"/>
      <w:bookmarkEnd w:id="189"/>
      <w:bookmarkEnd w:id="190"/>
      <w:bookmarkEnd w:id="191"/>
      <w:bookmarkEnd w:id="192"/>
      <w:bookmarkEnd w:id="193"/>
      <w:bookmarkEnd w:id="194"/>
    </w:p>
    <w:p w14:paraId="0E6A07C7">
      <w:pPr>
        <w:pageBreakBefore w:val="0"/>
        <w:widowControl w:val="0"/>
        <w:kinsoku/>
        <w:wordWrap/>
        <w:overflowPunct/>
        <w:topLinePunct w:val="0"/>
        <w:bidi w:val="0"/>
        <w:spacing w:line="360" w:lineRule="auto"/>
        <w:ind w:firstLine="420" w:firstLineChars="200"/>
        <w:textAlignment w:val="auto"/>
        <w:rPr>
          <w:rFonts w:hint="eastAsia" w:hAnsi="宋体" w:cs="宋体"/>
          <w:color w:val="auto"/>
          <w:kern w:val="0"/>
          <w:highlight w:val="none"/>
        </w:rPr>
      </w:pPr>
      <w:r>
        <w:rPr>
          <w:rFonts w:hint="eastAsia" w:hAnsi="宋体" w:cs="宋体"/>
          <w:color w:val="auto"/>
          <w:highlight w:val="none"/>
        </w:rPr>
        <w:t>合同文件组成及优先顺序为：</w:t>
      </w:r>
    </w:p>
    <w:p w14:paraId="65FD7D8B">
      <w:pPr>
        <w:pageBreakBefore w:val="0"/>
        <w:widowControl w:val="0"/>
        <w:kinsoku/>
        <w:wordWrap/>
        <w:overflowPunct/>
        <w:topLinePunct w:val="0"/>
        <w:bidi w:val="0"/>
        <w:spacing w:line="360" w:lineRule="auto"/>
        <w:ind w:firstLine="420" w:firstLineChars="200"/>
        <w:textAlignment w:val="auto"/>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3FCCC8F9">
      <w:pPr>
        <w:pageBreakBefore w:val="0"/>
        <w:widowControl w:val="0"/>
        <w:kinsoku/>
        <w:wordWrap/>
        <w:overflowPunct/>
        <w:topLinePunct w:val="0"/>
        <w:bidi w:val="0"/>
        <w:spacing w:line="360" w:lineRule="auto"/>
        <w:ind w:firstLine="420" w:firstLineChars="200"/>
        <w:textAlignment w:val="auto"/>
        <w:rPr>
          <w:rFonts w:hint="eastAsia" w:ascii="Times New Roman" w:hAnsi="宋体" w:eastAsia="宋体" w:cs="宋体"/>
          <w:color w:val="auto"/>
          <w:kern w:val="0"/>
          <w:highlight w:val="none"/>
        </w:rPr>
      </w:pPr>
      <w:bookmarkStart w:id="195" w:name="bookmark916"/>
      <w:bookmarkEnd w:id="19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eastAsia="zh-CN"/>
        </w:rPr>
        <w:t>成交</w:t>
      </w:r>
      <w:r>
        <w:rPr>
          <w:rFonts w:hint="eastAsia" w:ascii="Times New Roman" w:hAnsi="宋体" w:eastAsia="宋体" w:cs="宋体"/>
          <w:color w:val="auto"/>
          <w:kern w:val="0"/>
          <w:highlight w:val="none"/>
        </w:rPr>
        <w:t>通知书；</w:t>
      </w:r>
    </w:p>
    <w:p w14:paraId="19F8D3FE">
      <w:pPr>
        <w:pageBreakBefore w:val="0"/>
        <w:widowControl w:val="0"/>
        <w:kinsoku/>
        <w:wordWrap/>
        <w:overflowPunct/>
        <w:topLinePunct w:val="0"/>
        <w:bidi w:val="0"/>
        <w:spacing w:line="360" w:lineRule="auto"/>
        <w:ind w:firstLineChars="200"/>
        <w:textAlignment w:val="auto"/>
        <w:rPr>
          <w:rFonts w:hint="eastAsia" w:ascii="Times New Roman" w:hAnsi="宋体" w:eastAsia="宋体" w:cs="宋体"/>
          <w:color w:val="auto"/>
          <w:kern w:val="0"/>
          <w:highlight w:val="none"/>
        </w:rPr>
      </w:pPr>
      <w:bookmarkStart w:id="196" w:name="bookmark917"/>
      <w:bookmarkEnd w:id="196"/>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eastAsia="zh-CN"/>
        </w:rPr>
        <w:t>竞标函及竞标函附录</w:t>
      </w:r>
      <w:r>
        <w:rPr>
          <w:rFonts w:hint="eastAsia" w:ascii="Times New Roman" w:hAnsi="宋体" w:eastAsia="宋体" w:cs="宋体"/>
          <w:color w:val="auto"/>
          <w:kern w:val="0"/>
          <w:highlight w:val="none"/>
        </w:rPr>
        <w:t>；</w:t>
      </w:r>
    </w:p>
    <w:p w14:paraId="2A5ABB14">
      <w:pPr>
        <w:pageBreakBefore w:val="0"/>
        <w:widowControl w:val="0"/>
        <w:kinsoku/>
        <w:wordWrap/>
        <w:overflowPunct/>
        <w:topLinePunct w:val="0"/>
        <w:bidi w:val="0"/>
        <w:spacing w:line="360" w:lineRule="auto"/>
        <w:ind w:firstLineChars="200"/>
        <w:textAlignment w:val="auto"/>
        <w:rPr>
          <w:rFonts w:hint="eastAsia" w:ascii="Times New Roman" w:hAnsi="宋体" w:eastAsia="宋体" w:cs="宋体"/>
          <w:color w:val="auto"/>
          <w:kern w:val="0"/>
          <w:highlight w:val="none"/>
        </w:rPr>
      </w:pPr>
      <w:bookmarkStart w:id="197" w:name="bookmark918"/>
      <w:bookmarkEnd w:id="197"/>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2FAF88FA">
      <w:pPr>
        <w:pageBreakBefore w:val="0"/>
        <w:widowControl w:val="0"/>
        <w:kinsoku/>
        <w:wordWrap/>
        <w:overflowPunct/>
        <w:topLinePunct w:val="0"/>
        <w:bidi w:val="0"/>
        <w:spacing w:line="360" w:lineRule="auto"/>
        <w:ind w:firstLineChars="200"/>
        <w:textAlignment w:val="auto"/>
        <w:rPr>
          <w:rFonts w:hint="eastAsia" w:ascii="Times New Roman" w:hAnsi="宋体" w:eastAsia="宋体" w:cs="宋体"/>
          <w:color w:val="auto"/>
          <w:kern w:val="0"/>
          <w:highlight w:val="none"/>
        </w:rPr>
      </w:pPr>
      <w:bookmarkStart w:id="198" w:name="bookmark919"/>
      <w:bookmarkEnd w:id="198"/>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28833E0C">
      <w:pPr>
        <w:pageBreakBefore w:val="0"/>
        <w:widowControl w:val="0"/>
        <w:kinsoku/>
        <w:wordWrap/>
        <w:overflowPunct/>
        <w:topLinePunct w:val="0"/>
        <w:bidi w:val="0"/>
        <w:spacing w:line="360" w:lineRule="auto"/>
        <w:ind w:firstLineChars="200"/>
        <w:textAlignment w:val="auto"/>
        <w:rPr>
          <w:rFonts w:hint="eastAsia" w:ascii="Times New Roman" w:hAnsi="宋体" w:eastAsia="宋体" w:cs="宋体"/>
          <w:color w:val="auto"/>
          <w:kern w:val="0"/>
          <w:highlight w:val="none"/>
        </w:rPr>
      </w:pPr>
      <w:bookmarkStart w:id="199" w:name="bookmark920"/>
      <w:bookmarkEnd w:id="199"/>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339BF083">
      <w:pPr>
        <w:pageBreakBefore w:val="0"/>
        <w:widowControl w:val="0"/>
        <w:kinsoku/>
        <w:wordWrap/>
        <w:overflowPunct/>
        <w:topLinePunct w:val="0"/>
        <w:bidi w:val="0"/>
        <w:spacing w:line="360" w:lineRule="auto"/>
        <w:ind w:firstLineChars="200"/>
        <w:textAlignment w:val="auto"/>
        <w:rPr>
          <w:rFonts w:hint="eastAsia" w:ascii="Times New Roman" w:hAnsi="宋体" w:eastAsia="宋体" w:cs="宋体"/>
          <w:color w:val="auto"/>
          <w:kern w:val="0"/>
          <w:highlight w:val="none"/>
        </w:rPr>
      </w:pPr>
      <w:bookmarkStart w:id="200" w:name="bookmark921"/>
      <w:bookmarkEnd w:id="200"/>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788EE402">
      <w:pPr>
        <w:pageBreakBefore w:val="0"/>
        <w:widowControl w:val="0"/>
        <w:kinsoku/>
        <w:wordWrap/>
        <w:overflowPunct/>
        <w:topLinePunct w:val="0"/>
        <w:bidi w:val="0"/>
        <w:spacing w:line="360" w:lineRule="auto"/>
        <w:ind w:firstLine="420" w:firstLineChars="200"/>
        <w:textAlignment w:val="auto"/>
        <w:rPr>
          <w:rFonts w:hint="eastAsia" w:ascii="Times New Roman" w:hAnsi="宋体" w:eastAsia="宋体" w:cs="宋体"/>
          <w:color w:val="auto"/>
          <w:kern w:val="0"/>
          <w:highlight w:val="none"/>
        </w:rPr>
      </w:pPr>
      <w:bookmarkStart w:id="201" w:name="bookmark922"/>
      <w:bookmarkEnd w:id="20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4E83C2C8">
      <w:pPr>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0369751C">
      <w:pPr>
        <w:pageBreakBefore w:val="0"/>
        <w:widowControl w:val="0"/>
        <w:kinsoku/>
        <w:wordWrap/>
        <w:overflowPunct/>
        <w:topLinePunct w:val="0"/>
        <w:bidi w:val="0"/>
        <w:spacing w:line="360" w:lineRule="auto"/>
        <w:ind w:firstLine="420" w:firstLineChars="200"/>
        <w:textAlignment w:val="auto"/>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1AE37AC4">
      <w:pPr>
        <w:pStyle w:val="4"/>
        <w:pageBreakBefore w:val="0"/>
        <w:widowControl w:val="0"/>
        <w:kinsoku/>
        <w:wordWrap/>
        <w:overflowPunct/>
        <w:topLinePunct w:val="0"/>
        <w:bidi w:val="0"/>
        <w:spacing w:before="0" w:after="0" w:line="360" w:lineRule="auto"/>
        <w:textAlignment w:val="auto"/>
        <w:rPr>
          <w:color w:val="auto"/>
          <w:highlight w:val="none"/>
        </w:rPr>
      </w:pPr>
      <w:bookmarkStart w:id="202" w:name="_Toc389065263"/>
      <w:bookmarkStart w:id="203" w:name="_Toc407135199"/>
      <w:bookmarkStart w:id="204" w:name="_Toc1537247101"/>
      <w:bookmarkStart w:id="205" w:name="_Toc1531480704"/>
      <w:bookmarkStart w:id="206" w:name="_Toc373227697"/>
      <w:bookmarkStart w:id="207" w:name="_Toc373478344"/>
      <w:bookmarkStart w:id="208" w:name="_Toc78449785"/>
      <w:r>
        <w:rPr>
          <w:color w:val="auto"/>
          <w:highlight w:val="none"/>
        </w:rPr>
        <w:t xml:space="preserve">1.6 </w:t>
      </w:r>
      <w:r>
        <w:rPr>
          <w:rFonts w:hint="eastAsia" w:cs="黑体"/>
          <w:color w:val="auto"/>
          <w:highlight w:val="none"/>
        </w:rPr>
        <w:t>图纸和承包人文件</w:t>
      </w:r>
      <w:bookmarkEnd w:id="202"/>
      <w:bookmarkEnd w:id="203"/>
      <w:bookmarkEnd w:id="204"/>
      <w:bookmarkEnd w:id="205"/>
      <w:bookmarkEnd w:id="206"/>
      <w:bookmarkEnd w:id="207"/>
      <w:bookmarkEnd w:id="208"/>
      <w:r>
        <w:rPr>
          <w:color w:val="auto"/>
          <w:highlight w:val="none"/>
        </w:rPr>
        <w:tab/>
      </w:r>
    </w:p>
    <w:p w14:paraId="1E1D4692">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1.6.1 </w:t>
      </w:r>
      <w:r>
        <w:rPr>
          <w:rFonts w:hint="eastAsia" w:hAnsi="宋体" w:cs="宋体"/>
          <w:color w:val="auto"/>
          <w:highlight w:val="none"/>
        </w:rPr>
        <w:t>图纸的提供</w:t>
      </w:r>
    </w:p>
    <w:p w14:paraId="6D94C511">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发包人向承包人提供图纸的期限：</w:t>
      </w:r>
      <w:r>
        <w:rPr>
          <w:rFonts w:hint="eastAsia"/>
          <w:color w:val="auto"/>
          <w:highlight w:val="none"/>
          <w:u w:val="single"/>
        </w:rPr>
        <w:t>合同签订之日起7个工作日内</w:t>
      </w:r>
      <w:r>
        <w:rPr>
          <w:rFonts w:hint="eastAsia" w:hAnsi="宋体" w:cs="宋体"/>
          <w:color w:val="auto"/>
          <w:highlight w:val="none"/>
        </w:rPr>
        <w:t>；</w:t>
      </w:r>
    </w:p>
    <w:p w14:paraId="6C453492">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val="en-US" w:eastAsia="zh-CN"/>
        </w:rPr>
        <w:t>2</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4F87F7E1">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发包人向承包人提供图纸的内容：</w:t>
      </w:r>
      <w:r>
        <w:rPr>
          <w:rFonts w:hint="eastAsia"/>
          <w:color w:val="auto"/>
          <w:highlight w:val="none"/>
          <w:u w:val="single"/>
        </w:rPr>
        <w:t>本合同发包内容中的全部图纸（含设计变更）</w:t>
      </w:r>
      <w:r>
        <w:rPr>
          <w:rFonts w:hint="eastAsia" w:hAnsi="宋体" w:cs="宋体"/>
          <w:color w:val="auto"/>
          <w:highlight w:val="none"/>
        </w:rPr>
        <w:t>。</w:t>
      </w:r>
    </w:p>
    <w:p w14:paraId="6C8A1E1C">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1.6.4 </w:t>
      </w:r>
      <w:r>
        <w:rPr>
          <w:rFonts w:hint="eastAsia" w:hAnsi="宋体" w:cs="宋体"/>
          <w:color w:val="auto"/>
          <w:highlight w:val="none"/>
        </w:rPr>
        <w:t>承包人文件</w:t>
      </w:r>
    </w:p>
    <w:p w14:paraId="2F5F4572">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需要由承包人提供的文件，包括：</w:t>
      </w:r>
      <w:r>
        <w:rPr>
          <w:rFonts w:hint="eastAsia"/>
          <w:color w:val="auto"/>
          <w:highlight w:val="none"/>
          <w:u w:val="single"/>
        </w:rPr>
        <w:t>实施性施工组织设计及方案；建设项目竣工验收前，承包人应根据合同工作内容要求，分别整理竣工验收资料（含竣工图），汇总为完整的建设项目竣工资料报发包人（费用由承包人负责）</w:t>
      </w:r>
      <w:r>
        <w:rPr>
          <w:rFonts w:hint="eastAsia" w:hAnsi="宋体" w:cs="宋体"/>
          <w:color w:val="auto"/>
          <w:highlight w:val="none"/>
        </w:rPr>
        <w:t>；</w:t>
      </w:r>
    </w:p>
    <w:p w14:paraId="4E636E85">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承包人提供的文件的期限为：</w:t>
      </w:r>
      <w:r>
        <w:rPr>
          <w:rFonts w:hint="eastAsia"/>
          <w:color w:val="auto"/>
          <w:highlight w:val="none"/>
          <w:u w:val="single"/>
        </w:rPr>
        <w:t>开工前及竣工验收正式通过后15天</w:t>
      </w:r>
      <w:r>
        <w:rPr>
          <w:rFonts w:hint="eastAsia" w:hAnsi="宋体" w:cs="宋体"/>
          <w:color w:val="auto"/>
          <w:highlight w:val="none"/>
        </w:rPr>
        <w:t>；</w:t>
      </w:r>
    </w:p>
    <w:p w14:paraId="21D8EAE7">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承包人提供的文件的数量为：</w:t>
      </w:r>
      <w:r>
        <w:rPr>
          <w:rFonts w:hint="eastAsia"/>
          <w:color w:val="auto"/>
          <w:highlight w:val="none"/>
          <w:u w:val="single"/>
        </w:rPr>
        <w:t>提供6套</w:t>
      </w:r>
      <w:r>
        <w:rPr>
          <w:rFonts w:hint="eastAsia" w:hAnsi="宋体" w:cs="宋体"/>
          <w:color w:val="auto"/>
          <w:highlight w:val="none"/>
        </w:rPr>
        <w:t>；</w:t>
      </w:r>
    </w:p>
    <w:p w14:paraId="43AC3D7A">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承包人提供的文件的形式为：</w:t>
      </w:r>
      <w:r>
        <w:rPr>
          <w:rFonts w:hint="eastAsia"/>
          <w:color w:val="auto"/>
          <w:highlight w:val="none"/>
          <w:u w:val="single"/>
        </w:rPr>
        <w:t>书面形式和电子版</w:t>
      </w:r>
      <w:r>
        <w:rPr>
          <w:rFonts w:hint="eastAsia" w:hAnsi="宋体" w:cs="宋体"/>
          <w:color w:val="auto"/>
          <w:highlight w:val="none"/>
        </w:rPr>
        <w:t>；</w:t>
      </w:r>
    </w:p>
    <w:p w14:paraId="2B3E1125">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发包人审批承包人文件的期限：</w:t>
      </w:r>
      <w:r>
        <w:rPr>
          <w:rFonts w:hint="eastAsia"/>
          <w:color w:val="auto"/>
          <w:highlight w:val="none"/>
          <w:u w:val="single"/>
        </w:rPr>
        <w:t>提交文件后14个工作日内</w:t>
      </w:r>
      <w:r>
        <w:rPr>
          <w:rFonts w:hint="eastAsia" w:hAnsi="宋体" w:cs="宋体"/>
          <w:color w:val="auto"/>
          <w:highlight w:val="none"/>
        </w:rPr>
        <w:t>。</w:t>
      </w:r>
    </w:p>
    <w:p w14:paraId="5CFE5173">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1.6.5 </w:t>
      </w:r>
      <w:r>
        <w:rPr>
          <w:rFonts w:hint="eastAsia" w:hAnsi="宋体" w:cs="宋体"/>
          <w:color w:val="auto"/>
          <w:highlight w:val="none"/>
        </w:rPr>
        <w:t>现场图纸准备</w:t>
      </w:r>
    </w:p>
    <w:p w14:paraId="28B1A3E1">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关于现场图纸准备的约定：</w:t>
      </w:r>
      <w:r>
        <w:rPr>
          <w:rFonts w:hint="eastAsia"/>
          <w:color w:val="auto"/>
          <w:highlight w:val="none"/>
          <w:u w:val="single"/>
        </w:rPr>
        <w:t>承包人在施工现场保留一套完整图纸和承包人文件，供发包人、监理人及有关人员进行工程检查时使用</w:t>
      </w:r>
      <w:r>
        <w:rPr>
          <w:rFonts w:hint="eastAsia" w:hAnsi="宋体" w:cs="宋体"/>
          <w:color w:val="auto"/>
          <w:highlight w:val="none"/>
        </w:rPr>
        <w:t>。</w:t>
      </w:r>
    </w:p>
    <w:p w14:paraId="30FA6F14">
      <w:pPr>
        <w:pStyle w:val="4"/>
        <w:pageBreakBefore w:val="0"/>
        <w:widowControl w:val="0"/>
        <w:kinsoku/>
        <w:wordWrap/>
        <w:overflowPunct/>
        <w:topLinePunct w:val="0"/>
        <w:bidi w:val="0"/>
        <w:spacing w:before="0" w:after="0" w:line="360" w:lineRule="auto"/>
        <w:textAlignment w:val="auto"/>
        <w:rPr>
          <w:color w:val="auto"/>
          <w:highlight w:val="none"/>
        </w:rPr>
      </w:pPr>
      <w:bookmarkStart w:id="209" w:name="_Toc389065264"/>
      <w:bookmarkStart w:id="210" w:name="_Toc1944260835"/>
      <w:bookmarkStart w:id="211" w:name="_Toc78449786"/>
      <w:bookmarkStart w:id="212" w:name="_Toc373227698"/>
      <w:bookmarkStart w:id="213" w:name="_Toc373478345"/>
      <w:bookmarkStart w:id="214" w:name="_Toc407135200"/>
      <w:bookmarkStart w:id="215" w:name="_Toc110523719"/>
      <w:r>
        <w:rPr>
          <w:color w:val="auto"/>
          <w:highlight w:val="none"/>
        </w:rPr>
        <w:t xml:space="preserve">1.7 </w:t>
      </w:r>
      <w:r>
        <w:rPr>
          <w:rFonts w:hint="eastAsia" w:hAnsi="宋体" w:cs="黑体"/>
          <w:color w:val="auto"/>
          <w:highlight w:val="none"/>
        </w:rPr>
        <w:t>联络</w:t>
      </w:r>
      <w:bookmarkEnd w:id="209"/>
      <w:bookmarkEnd w:id="210"/>
      <w:bookmarkEnd w:id="211"/>
      <w:bookmarkEnd w:id="212"/>
      <w:bookmarkEnd w:id="213"/>
      <w:bookmarkEnd w:id="214"/>
      <w:bookmarkEnd w:id="215"/>
    </w:p>
    <w:p w14:paraId="5F89EC3D">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6D47F150">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rFonts w:hint="eastAsia"/>
          <w:color w:val="auto"/>
          <w:highlight w:val="none"/>
          <w:u w:val="single"/>
        </w:rPr>
        <w:t>施工现场发包人办公室</w:t>
      </w:r>
      <w:r>
        <w:rPr>
          <w:rFonts w:hint="eastAsia" w:hAnsi="宋体" w:cs="宋体"/>
          <w:color w:val="auto"/>
          <w:kern w:val="0"/>
          <w:highlight w:val="none"/>
        </w:rPr>
        <w:t>；</w:t>
      </w:r>
    </w:p>
    <w:p w14:paraId="13890C4A">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发包人指定的接收人为：</w:t>
      </w:r>
      <w:r>
        <w:rPr>
          <w:rFonts w:hint="eastAsia"/>
          <w:color w:val="auto"/>
          <w:highlight w:val="none"/>
          <w:u w:val="single"/>
        </w:rPr>
        <w:t>业主代表（现场）</w:t>
      </w:r>
      <w:r>
        <w:rPr>
          <w:rFonts w:hint="eastAsia" w:hAnsi="宋体" w:cs="宋体"/>
          <w:color w:val="auto"/>
          <w:kern w:val="0"/>
          <w:highlight w:val="none"/>
        </w:rPr>
        <w:t>。</w:t>
      </w:r>
    </w:p>
    <w:p w14:paraId="03591649">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承包人接收文件的地点：</w:t>
      </w:r>
      <w:r>
        <w:rPr>
          <w:rFonts w:hint="eastAsia"/>
          <w:color w:val="auto"/>
          <w:highlight w:val="none"/>
          <w:u w:val="single"/>
        </w:rPr>
        <w:t>施工现场承包人办公室</w:t>
      </w:r>
      <w:r>
        <w:rPr>
          <w:rFonts w:hint="eastAsia" w:hAnsi="宋体" w:cs="宋体"/>
          <w:color w:val="auto"/>
          <w:kern w:val="0"/>
          <w:highlight w:val="none"/>
        </w:rPr>
        <w:t>；</w:t>
      </w:r>
    </w:p>
    <w:p w14:paraId="72D47827">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承包人指定的接收人为：</w:t>
      </w:r>
      <w:r>
        <w:rPr>
          <w:rFonts w:hint="eastAsia"/>
          <w:color w:val="auto"/>
          <w:highlight w:val="none"/>
          <w:u w:val="single"/>
        </w:rPr>
        <w:t>承包人项目经理</w:t>
      </w:r>
      <w:r>
        <w:rPr>
          <w:rFonts w:hint="eastAsia" w:hAnsi="宋体" w:cs="宋体"/>
          <w:color w:val="auto"/>
          <w:kern w:val="0"/>
          <w:highlight w:val="none"/>
        </w:rPr>
        <w:t>。</w:t>
      </w:r>
    </w:p>
    <w:p w14:paraId="0DCF6846">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监理人接收文件的地点：</w:t>
      </w:r>
      <w:r>
        <w:rPr>
          <w:rFonts w:hint="eastAsia"/>
          <w:color w:val="auto"/>
          <w:highlight w:val="none"/>
          <w:u w:val="single"/>
        </w:rPr>
        <w:t>施工现场监理人办公室</w:t>
      </w:r>
      <w:r>
        <w:rPr>
          <w:rFonts w:hint="eastAsia" w:hAnsi="宋体" w:cs="宋体"/>
          <w:color w:val="auto"/>
          <w:kern w:val="0"/>
          <w:highlight w:val="none"/>
        </w:rPr>
        <w:t>；</w:t>
      </w:r>
    </w:p>
    <w:p w14:paraId="3F00A901">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总监理工程师或总监代表</w:t>
      </w:r>
      <w:r>
        <w:rPr>
          <w:rFonts w:hint="eastAsia" w:hAnsi="宋体" w:cs="宋体"/>
          <w:color w:val="auto"/>
          <w:kern w:val="0"/>
          <w:highlight w:val="none"/>
        </w:rPr>
        <w:t>。</w:t>
      </w:r>
    </w:p>
    <w:p w14:paraId="5FBB4D42">
      <w:pPr>
        <w:pStyle w:val="4"/>
        <w:pageBreakBefore w:val="0"/>
        <w:widowControl w:val="0"/>
        <w:kinsoku/>
        <w:wordWrap/>
        <w:overflowPunct/>
        <w:topLinePunct w:val="0"/>
        <w:bidi w:val="0"/>
        <w:spacing w:before="0" w:after="0" w:line="360" w:lineRule="auto"/>
        <w:textAlignment w:val="auto"/>
        <w:rPr>
          <w:color w:val="auto"/>
          <w:highlight w:val="none"/>
        </w:rPr>
      </w:pPr>
      <w:bookmarkStart w:id="216" w:name="_Toc373478346"/>
      <w:bookmarkStart w:id="217" w:name="_Toc78449787"/>
      <w:bookmarkStart w:id="218" w:name="_Toc407135201"/>
      <w:bookmarkStart w:id="219" w:name="_Toc224348539"/>
      <w:bookmarkStart w:id="220" w:name="_Toc1387231545"/>
      <w:bookmarkStart w:id="221" w:name="_Toc373227699"/>
      <w:bookmarkStart w:id="222" w:name="_Toc389065265"/>
      <w:r>
        <w:rPr>
          <w:color w:val="auto"/>
          <w:highlight w:val="none"/>
        </w:rPr>
        <w:t xml:space="preserve">1.10 </w:t>
      </w:r>
      <w:r>
        <w:rPr>
          <w:rFonts w:hint="eastAsia" w:hAnsi="宋体" w:cs="黑体"/>
          <w:color w:val="auto"/>
          <w:highlight w:val="none"/>
        </w:rPr>
        <w:t>交通运输</w:t>
      </w:r>
      <w:bookmarkEnd w:id="216"/>
      <w:bookmarkEnd w:id="217"/>
      <w:bookmarkEnd w:id="218"/>
      <w:bookmarkEnd w:id="219"/>
      <w:bookmarkEnd w:id="220"/>
      <w:bookmarkEnd w:id="221"/>
      <w:bookmarkEnd w:id="222"/>
    </w:p>
    <w:p w14:paraId="374F519B">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1</w:t>
      </w:r>
      <w:bookmarkStart w:id="223" w:name="_Toc303539100"/>
      <w:bookmarkStart w:id="224" w:name="_Toc304295521"/>
      <w:bookmarkStart w:id="225" w:name="_Toc300934943"/>
      <w:bookmarkStart w:id="226" w:name="_Toc312677986"/>
      <w:bookmarkStart w:id="227" w:name="_Toc318581155"/>
      <w:r>
        <w:rPr>
          <w:color w:val="auto"/>
          <w:highlight w:val="none"/>
        </w:rPr>
        <w:t xml:space="preserve">.10.1 </w:t>
      </w:r>
      <w:r>
        <w:rPr>
          <w:rFonts w:hint="eastAsia" w:hAnsi="宋体" w:cs="宋体"/>
          <w:color w:val="auto"/>
          <w:highlight w:val="none"/>
        </w:rPr>
        <w:t>出入现场的权利</w:t>
      </w:r>
    </w:p>
    <w:p w14:paraId="56EA92D1">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关于出入现场的权利的约定：</w:t>
      </w:r>
      <w:r>
        <w:rPr>
          <w:rFonts w:hint="eastAsia"/>
          <w:color w:val="auto"/>
          <w:highlight w:val="none"/>
          <w:u w:val="single"/>
        </w:rPr>
        <w:t>承包人根据工程建设需要，负责施工场地范围内的照明、砖砌围墙设施、临时给排水敷设、施工道路硬化、施工场地硬化施工，并承担因此而发生的费用，同时负责安全保卫工作。发包人和监理人有权无偿使用承包人修建的临时道路和交通设施，不需要缴纳任何费用</w:t>
      </w:r>
      <w:r>
        <w:rPr>
          <w:rFonts w:hint="eastAsia" w:hAnsi="宋体" w:cs="宋体"/>
          <w:color w:val="auto"/>
          <w:highlight w:val="none"/>
        </w:rPr>
        <w:t>。</w:t>
      </w:r>
    </w:p>
    <w:bookmarkEnd w:id="223"/>
    <w:bookmarkEnd w:id="224"/>
    <w:bookmarkEnd w:id="225"/>
    <w:bookmarkEnd w:id="226"/>
    <w:bookmarkEnd w:id="227"/>
    <w:p w14:paraId="76C9B6A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w:t>
      </w:r>
      <w:bookmarkStart w:id="228" w:name="_Toc304295522"/>
      <w:bookmarkStart w:id="229" w:name="_Toc303539101"/>
      <w:bookmarkStart w:id="230" w:name="_Toc312677987"/>
      <w:bookmarkStart w:id="231" w:name="_Toc300934944"/>
      <w:bookmarkStart w:id="232" w:name="_Toc318581156"/>
      <w:r>
        <w:rPr>
          <w:color w:val="auto"/>
          <w:highlight w:val="none"/>
        </w:rPr>
        <w:t xml:space="preserve">.10.3 </w:t>
      </w:r>
      <w:r>
        <w:rPr>
          <w:rFonts w:hint="eastAsia" w:hAnsi="宋体" w:cs="宋体"/>
          <w:color w:val="auto"/>
          <w:highlight w:val="none"/>
        </w:rPr>
        <w:t>场内交通</w:t>
      </w:r>
    </w:p>
    <w:p w14:paraId="5E4FC26B">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关于场外交通和场内交通的边界的约定：</w:t>
      </w:r>
      <w:r>
        <w:rPr>
          <w:rFonts w:hint="eastAsia"/>
          <w:color w:val="auto"/>
          <w:highlight w:val="none"/>
          <w:u w:val="single"/>
        </w:rPr>
        <w:t>以工程用地红线界定</w:t>
      </w:r>
      <w:r>
        <w:rPr>
          <w:rFonts w:hint="eastAsia" w:hAnsi="宋体" w:cs="宋体"/>
          <w:color w:val="auto"/>
          <w:highlight w:val="none"/>
        </w:rPr>
        <w:t>。</w:t>
      </w:r>
    </w:p>
    <w:p w14:paraId="3D7BC934">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施工现场内临时道路由承包人负责建设及拆除并承担相关费用</w:t>
      </w:r>
      <w:r>
        <w:rPr>
          <w:rFonts w:hAnsi="宋体"/>
          <w:color w:val="auto"/>
          <w:highlight w:val="none"/>
        </w:rPr>
        <w:t>。</w:t>
      </w:r>
      <w:bookmarkEnd w:id="228"/>
      <w:bookmarkEnd w:id="229"/>
      <w:bookmarkEnd w:id="230"/>
      <w:bookmarkEnd w:id="231"/>
      <w:bookmarkEnd w:id="232"/>
      <w:bookmarkStart w:id="233" w:name="_Toc318581157"/>
    </w:p>
    <w:p w14:paraId="27FFA85F">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1.10.4 </w:t>
      </w:r>
      <w:r>
        <w:rPr>
          <w:rFonts w:hint="eastAsia" w:hAnsi="宋体" w:cs="宋体"/>
          <w:color w:val="auto"/>
          <w:highlight w:val="none"/>
        </w:rPr>
        <w:t>超大件和超重件的运输</w:t>
      </w:r>
    </w:p>
    <w:p w14:paraId="3F961977">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rPr>
        <w:t>承包人</w:t>
      </w:r>
      <w:r>
        <w:rPr>
          <w:rFonts w:hint="eastAsia"/>
          <w:color w:val="auto"/>
          <w:highlight w:val="none"/>
          <w:u w:val="single"/>
          <w:lang w:val="en-US" w:eastAsia="zh-CN"/>
        </w:rPr>
        <w:t xml:space="preserve"> </w:t>
      </w:r>
      <w:r>
        <w:rPr>
          <w:rFonts w:hint="eastAsia" w:hAnsi="宋体" w:cs="宋体"/>
          <w:color w:val="auto"/>
          <w:highlight w:val="none"/>
        </w:rPr>
        <w:t>承担。</w:t>
      </w:r>
    </w:p>
    <w:bookmarkEnd w:id="233"/>
    <w:p w14:paraId="49989E3A">
      <w:pPr>
        <w:pStyle w:val="4"/>
        <w:pageBreakBefore w:val="0"/>
        <w:widowControl w:val="0"/>
        <w:kinsoku/>
        <w:wordWrap/>
        <w:overflowPunct/>
        <w:topLinePunct w:val="0"/>
        <w:bidi w:val="0"/>
        <w:spacing w:before="0" w:after="0" w:line="360" w:lineRule="auto"/>
        <w:textAlignment w:val="auto"/>
        <w:rPr>
          <w:color w:val="auto"/>
          <w:highlight w:val="none"/>
        </w:rPr>
      </w:pPr>
      <w:bookmarkStart w:id="234" w:name="_Toc1495098807"/>
      <w:bookmarkStart w:id="235" w:name="_Toc78449788"/>
      <w:bookmarkStart w:id="236" w:name="_Toc512841653"/>
      <w:bookmarkStart w:id="237" w:name="_Toc373227700"/>
      <w:bookmarkStart w:id="238" w:name="_Toc373478347"/>
      <w:bookmarkStart w:id="239" w:name="_Toc389065266"/>
      <w:bookmarkStart w:id="240" w:name="_Toc407135202"/>
      <w:r>
        <w:rPr>
          <w:color w:val="auto"/>
          <w:highlight w:val="none"/>
        </w:rPr>
        <w:t xml:space="preserve">1.11 </w:t>
      </w:r>
      <w:r>
        <w:rPr>
          <w:rFonts w:hint="eastAsia" w:hAnsi="宋体" w:cs="黑体"/>
          <w:color w:val="auto"/>
          <w:highlight w:val="none"/>
        </w:rPr>
        <w:t>知识产权</w:t>
      </w:r>
      <w:bookmarkEnd w:id="234"/>
      <w:bookmarkEnd w:id="235"/>
      <w:bookmarkEnd w:id="236"/>
      <w:bookmarkEnd w:id="237"/>
      <w:bookmarkEnd w:id="238"/>
      <w:bookmarkEnd w:id="239"/>
      <w:bookmarkEnd w:id="240"/>
    </w:p>
    <w:p w14:paraId="4A4A935C">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hint="eastAsia"/>
          <w:color w:val="auto"/>
          <w:highlight w:val="none"/>
          <w:u w:val="single"/>
        </w:rPr>
        <w:t>按通用条款</w:t>
      </w:r>
      <w:r>
        <w:rPr>
          <w:rFonts w:hint="eastAsia" w:hAnsi="宋体" w:cs="宋体"/>
          <w:color w:val="auto"/>
          <w:highlight w:val="none"/>
        </w:rPr>
        <w:t>。</w:t>
      </w:r>
    </w:p>
    <w:p w14:paraId="5996C2DE">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关于发包人提供的上述文件的使用限制的要求：</w:t>
      </w:r>
      <w:r>
        <w:rPr>
          <w:rFonts w:hint="eastAsia"/>
          <w:color w:val="auto"/>
          <w:highlight w:val="none"/>
          <w:u w:val="single"/>
        </w:rPr>
        <w:t>仅限该项工程</w:t>
      </w:r>
      <w:r>
        <w:rPr>
          <w:rFonts w:hint="eastAsia" w:hAnsi="宋体" w:cs="宋体"/>
          <w:color w:val="auto"/>
          <w:highlight w:val="none"/>
        </w:rPr>
        <w:t>。</w:t>
      </w:r>
    </w:p>
    <w:p w14:paraId="370F5BBD">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rPr>
        <w:t>按通用条款</w:t>
      </w:r>
      <w:r>
        <w:rPr>
          <w:rFonts w:hint="eastAsia" w:hAnsi="宋体" w:cs="宋体"/>
          <w:color w:val="auto"/>
          <w:highlight w:val="none"/>
        </w:rPr>
        <w:t>。</w:t>
      </w:r>
    </w:p>
    <w:p w14:paraId="5F1DDB65">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关于承包人提供的上述文件的使用限制的要求：</w:t>
      </w:r>
      <w:r>
        <w:rPr>
          <w:rFonts w:hint="eastAsia"/>
          <w:color w:val="auto"/>
          <w:highlight w:val="none"/>
          <w:u w:val="single"/>
        </w:rPr>
        <w:t>按通用条款</w:t>
      </w:r>
      <w:r>
        <w:rPr>
          <w:rFonts w:hint="eastAsia" w:hAnsi="宋体" w:cs="宋体"/>
          <w:color w:val="auto"/>
          <w:highlight w:val="none"/>
        </w:rPr>
        <w:t>。</w:t>
      </w:r>
    </w:p>
    <w:p w14:paraId="4719812C">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color w:val="auto"/>
          <w:highlight w:val="none"/>
          <w:u w:val="single"/>
        </w:rPr>
        <w:t>由承包人负责</w:t>
      </w:r>
      <w:r>
        <w:rPr>
          <w:rFonts w:hint="eastAsia" w:hAnsi="宋体" w:cs="宋体"/>
          <w:color w:val="auto"/>
          <w:kern w:val="0"/>
          <w:highlight w:val="none"/>
        </w:rPr>
        <w:t>。</w:t>
      </w:r>
    </w:p>
    <w:p w14:paraId="4F23D6F5">
      <w:pPr>
        <w:pStyle w:val="4"/>
        <w:pageBreakBefore w:val="0"/>
        <w:widowControl w:val="0"/>
        <w:kinsoku/>
        <w:wordWrap/>
        <w:overflowPunct/>
        <w:topLinePunct w:val="0"/>
        <w:bidi w:val="0"/>
        <w:spacing w:before="0" w:after="0" w:line="360" w:lineRule="auto"/>
        <w:textAlignment w:val="auto"/>
        <w:rPr>
          <w:color w:val="auto"/>
          <w:highlight w:val="none"/>
        </w:rPr>
      </w:pPr>
      <w:bookmarkStart w:id="241" w:name="_Toc1194977599"/>
      <w:bookmarkStart w:id="242" w:name="_Toc373478348"/>
      <w:bookmarkStart w:id="243" w:name="_Toc373227701"/>
      <w:bookmarkStart w:id="244" w:name="_Toc407135203"/>
      <w:bookmarkStart w:id="245" w:name="_Toc267680563"/>
      <w:bookmarkStart w:id="246" w:name="_Toc389065267"/>
      <w:bookmarkStart w:id="247" w:name="_Toc78449789"/>
      <w:r>
        <w:rPr>
          <w:color w:val="auto"/>
          <w:highlight w:val="none"/>
        </w:rPr>
        <w:t>1.13</w:t>
      </w:r>
      <w:r>
        <w:rPr>
          <w:rFonts w:hint="eastAsia" w:cs="黑体"/>
          <w:color w:val="auto"/>
          <w:highlight w:val="none"/>
        </w:rPr>
        <w:t>工程量清单错误的修正</w:t>
      </w:r>
      <w:bookmarkEnd w:id="241"/>
      <w:bookmarkEnd w:id="242"/>
      <w:bookmarkEnd w:id="243"/>
      <w:bookmarkEnd w:id="244"/>
      <w:bookmarkEnd w:id="245"/>
      <w:bookmarkEnd w:id="246"/>
      <w:bookmarkEnd w:id="247"/>
    </w:p>
    <w:p w14:paraId="59A7090E">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14:paraId="74D71192">
      <w:pPr>
        <w:pageBreakBefore w:val="0"/>
        <w:widowControl w:val="0"/>
        <w:kinsoku/>
        <w:wordWrap/>
        <w:overflowPunct/>
        <w:topLinePunct w:val="0"/>
        <w:bidi w:val="0"/>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0F1B1848">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hAnsi="宋体" w:cs="宋体"/>
          <w:color w:val="auto"/>
          <w:kern w:val="0"/>
          <w:highlight w:val="none"/>
        </w:rPr>
        <w:t>。</w:t>
      </w:r>
    </w:p>
    <w:p w14:paraId="6EA6ACEA">
      <w:pPr>
        <w:pageBreakBefore w:val="0"/>
        <w:widowControl w:val="0"/>
        <w:kinsoku/>
        <w:wordWrap/>
        <w:overflowPunct/>
        <w:topLinePunct w:val="0"/>
        <w:bidi w:val="0"/>
        <w:spacing w:line="360" w:lineRule="auto"/>
        <w:ind w:firstLine="420" w:firstLineChars="200"/>
        <w:textAlignment w:val="auto"/>
        <w:rPr>
          <w:rFonts w:hint="eastAsia" w:hAnsi="宋体" w:cs="宋体"/>
          <w:color w:val="auto"/>
          <w:highlight w:val="none"/>
          <w:u w:val="single"/>
        </w:rPr>
      </w:pPr>
      <w:r>
        <w:rPr>
          <w:rFonts w:hint="eastAsia" w:ascii="宋体" w:hAnsi="宋体" w:cs="宋体"/>
          <w:color w:val="auto"/>
          <w:highlight w:val="none"/>
          <w:lang w:eastAsia="zh-CN"/>
        </w:rPr>
        <w:t>☑</w:t>
      </w:r>
      <w:r>
        <w:rPr>
          <w:rFonts w:hint="eastAsia" w:ascii="Calibri" w:hAnsi="宋体" w:cs="宋体"/>
          <w:color w:val="auto"/>
          <w:highlight w:val="none"/>
          <w:u w:val="single"/>
        </w:rPr>
        <w:t>承包人实际完成的某单项清单项目工程量与招标工程量清单工程量偏差超过</w:t>
      </w:r>
      <w:r>
        <w:rPr>
          <w:rFonts w:hint="eastAsia" w:ascii="Calibri" w:hAnsi="宋体" w:cs="宋体"/>
          <w:color w:val="auto"/>
          <w:highlight w:val="none"/>
          <w:u w:val="single"/>
          <w:lang w:val="en-US" w:eastAsia="zh-CN"/>
        </w:rPr>
        <w:t>15</w:t>
      </w:r>
      <w:r>
        <w:rPr>
          <w:rFonts w:hint="eastAsia" w:ascii="Calibri" w:hAnsi="宋体" w:cs="宋体"/>
          <w:color w:val="auto"/>
          <w:highlight w:val="none"/>
          <w:u w:val="single"/>
        </w:rPr>
        <w:t>%且该单项清单造价超过合同总价</w:t>
      </w:r>
      <w:r>
        <w:rPr>
          <w:rFonts w:hint="eastAsia" w:ascii="Calibri" w:hAnsi="宋体" w:cs="宋体"/>
          <w:color w:val="auto"/>
          <w:highlight w:val="none"/>
          <w:u w:val="single"/>
          <w:lang w:val="en-US" w:eastAsia="zh-CN"/>
        </w:rPr>
        <w:t>1</w:t>
      </w:r>
      <w:r>
        <w:rPr>
          <w:rFonts w:hint="eastAsia" w:ascii="Calibri" w:hAnsi="宋体" w:cs="宋体"/>
          <w:color w:val="auto"/>
          <w:highlight w:val="none"/>
          <w:u w:val="single"/>
        </w:rPr>
        <w:t>%以上的，超过后增加部分工程量或减少后剩余部分工程量的综合单价按以下方法调整：有定额的套定额计算，执行本采购文件工程计价参考依据，并乘以下浮系数（中标价/经审定的工程招标控制价）结算，其中材料价格有信息价的按施工期间信息价的算数平均价计取，无信息价的由发包人、监理单位及承包人根据市场价格协商议定</w:t>
      </w:r>
      <w:r>
        <w:rPr>
          <w:rFonts w:hint="eastAsia" w:ascii="Calibri" w:hAnsi="宋体" w:cs="宋体"/>
          <w:color w:val="auto"/>
          <w:highlight w:val="none"/>
          <w:u w:val="none"/>
        </w:rPr>
        <w:t>。</w:t>
      </w:r>
    </w:p>
    <w:p w14:paraId="2A5E3023">
      <w:pPr>
        <w:pStyle w:val="3"/>
        <w:pageBreakBefore w:val="0"/>
        <w:widowControl w:val="0"/>
        <w:kinsoku/>
        <w:wordWrap/>
        <w:overflowPunct/>
        <w:topLinePunct w:val="0"/>
        <w:bidi w:val="0"/>
        <w:spacing w:before="0" w:after="0" w:line="360" w:lineRule="auto"/>
        <w:textAlignment w:val="auto"/>
        <w:rPr>
          <w:color w:val="auto"/>
          <w:highlight w:val="none"/>
        </w:rPr>
      </w:pPr>
      <w:bookmarkStart w:id="248" w:name="_Toc351203634"/>
      <w:bookmarkStart w:id="249" w:name="_Toc373478349"/>
      <w:bookmarkStart w:id="250" w:name="_Toc373227702"/>
      <w:bookmarkStart w:id="251" w:name="_Toc389065268"/>
      <w:bookmarkStart w:id="252" w:name="_Toc1415467590"/>
      <w:bookmarkStart w:id="253" w:name="_Toc143780453"/>
      <w:bookmarkStart w:id="254" w:name="_Toc78449790"/>
      <w:bookmarkStart w:id="255" w:name="_Toc407135204"/>
      <w:r>
        <w:rPr>
          <w:color w:val="auto"/>
          <w:highlight w:val="none"/>
        </w:rPr>
        <w:t>2</w:t>
      </w:r>
      <w:bookmarkStart w:id="256" w:name="_Toc296503157"/>
      <w:bookmarkStart w:id="257" w:name="_Toc296347156"/>
      <w:bookmarkStart w:id="258" w:name="_Toc296346658"/>
      <w:bookmarkStart w:id="259" w:name="_Toc296891197"/>
      <w:bookmarkStart w:id="260" w:name="_Toc296944496"/>
      <w:bookmarkStart w:id="261" w:name="_Toc292559362"/>
      <w:bookmarkStart w:id="262" w:name="_Toc297048343"/>
      <w:bookmarkStart w:id="263" w:name="_Toc296890985"/>
      <w:bookmarkStart w:id="264" w:name="_Toc297120457"/>
      <w:bookmarkStart w:id="265" w:name="_Toc292559867"/>
      <w:r>
        <w:rPr>
          <w:color w:val="auto"/>
          <w:highlight w:val="none"/>
        </w:rPr>
        <w:t xml:space="preserve">. </w:t>
      </w:r>
      <w:r>
        <w:rPr>
          <w:rFonts w:hint="eastAsia" w:hAnsi="宋体" w:cs="黑体"/>
          <w:color w:val="auto"/>
          <w:highlight w:val="none"/>
        </w:rPr>
        <w:t>发包人</w:t>
      </w:r>
      <w:bookmarkEnd w:id="248"/>
      <w:bookmarkEnd w:id="249"/>
      <w:bookmarkEnd w:id="250"/>
      <w:bookmarkEnd w:id="251"/>
      <w:bookmarkEnd w:id="252"/>
      <w:bookmarkEnd w:id="253"/>
      <w:bookmarkEnd w:id="254"/>
      <w:bookmarkEnd w:id="255"/>
    </w:p>
    <w:bookmarkEnd w:id="256"/>
    <w:bookmarkEnd w:id="257"/>
    <w:bookmarkEnd w:id="258"/>
    <w:bookmarkEnd w:id="259"/>
    <w:bookmarkEnd w:id="260"/>
    <w:bookmarkEnd w:id="261"/>
    <w:bookmarkEnd w:id="262"/>
    <w:bookmarkEnd w:id="263"/>
    <w:bookmarkEnd w:id="264"/>
    <w:bookmarkEnd w:id="265"/>
    <w:p w14:paraId="3709A5FB">
      <w:pPr>
        <w:pStyle w:val="4"/>
        <w:pageBreakBefore w:val="0"/>
        <w:widowControl w:val="0"/>
        <w:kinsoku/>
        <w:wordWrap/>
        <w:overflowPunct/>
        <w:topLinePunct w:val="0"/>
        <w:bidi w:val="0"/>
        <w:spacing w:before="0" w:after="0" w:line="360" w:lineRule="auto"/>
        <w:textAlignment w:val="auto"/>
        <w:rPr>
          <w:color w:val="auto"/>
          <w:highlight w:val="none"/>
        </w:rPr>
      </w:pPr>
      <w:bookmarkStart w:id="266" w:name="_Toc373478350"/>
      <w:bookmarkStart w:id="267" w:name="_Toc407135205"/>
      <w:bookmarkStart w:id="268" w:name="_Toc373227703"/>
      <w:bookmarkStart w:id="269" w:name="_Toc78449791"/>
      <w:bookmarkStart w:id="270" w:name="_Toc547644210"/>
      <w:bookmarkStart w:id="271" w:name="_Toc971240048"/>
      <w:bookmarkStart w:id="272" w:name="_Toc389065269"/>
      <w:r>
        <w:rPr>
          <w:color w:val="auto"/>
          <w:highlight w:val="none"/>
        </w:rPr>
        <w:t xml:space="preserve">2.2 </w:t>
      </w:r>
      <w:r>
        <w:rPr>
          <w:rFonts w:hint="eastAsia" w:hAnsi="宋体" w:cs="黑体"/>
          <w:color w:val="auto"/>
          <w:highlight w:val="none"/>
        </w:rPr>
        <w:t>发包人代表</w:t>
      </w:r>
      <w:bookmarkEnd w:id="266"/>
      <w:bookmarkEnd w:id="267"/>
      <w:bookmarkEnd w:id="268"/>
      <w:bookmarkEnd w:id="269"/>
      <w:bookmarkEnd w:id="270"/>
      <w:bookmarkEnd w:id="271"/>
      <w:bookmarkEnd w:id="272"/>
    </w:p>
    <w:p w14:paraId="74FF2795">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发包人代表：</w:t>
      </w:r>
    </w:p>
    <w:p w14:paraId="6A3B439B">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84C8C30">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11C4C1D">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A5D6D76">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506DD8">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2904D5C">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3FF52CC">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发包人对发包人代表的授权范围如下：</w:t>
      </w:r>
      <w:r>
        <w:rPr>
          <w:rFonts w:hint="eastAsia"/>
          <w:color w:val="auto"/>
          <w:highlight w:val="none"/>
          <w:u w:val="single"/>
        </w:rPr>
        <w:t>代表发包人与监理工程师协调与本工程有关的事宜，并行使合同约定的发包人权利，履行合同约定发包人的职责。督促指导监理工程师行使职权，协调施工现场各方面的关系，协调工程质量，进度和安全文明施工中存在的问题，解决有关设计和技术签证，办理、签认现场经济技术签证，审核工程进度报表</w:t>
      </w:r>
      <w:r>
        <w:rPr>
          <w:rFonts w:hint="eastAsia" w:hAnsi="宋体" w:cs="宋体"/>
          <w:color w:val="auto"/>
          <w:highlight w:val="none"/>
        </w:rPr>
        <w:t>。</w:t>
      </w:r>
    </w:p>
    <w:p w14:paraId="60AA3B13">
      <w:pPr>
        <w:pStyle w:val="4"/>
        <w:pageBreakBefore w:val="0"/>
        <w:widowControl w:val="0"/>
        <w:kinsoku/>
        <w:wordWrap/>
        <w:overflowPunct/>
        <w:topLinePunct w:val="0"/>
        <w:bidi w:val="0"/>
        <w:spacing w:before="0" w:after="0" w:line="360" w:lineRule="auto"/>
        <w:textAlignment w:val="auto"/>
        <w:rPr>
          <w:color w:val="auto"/>
          <w:highlight w:val="none"/>
        </w:rPr>
      </w:pPr>
      <w:bookmarkStart w:id="273" w:name="_Toc373227704"/>
      <w:bookmarkStart w:id="274" w:name="_Toc2066513957"/>
      <w:bookmarkStart w:id="275" w:name="_Toc389065270"/>
      <w:bookmarkStart w:id="276" w:name="_Toc407135206"/>
      <w:bookmarkStart w:id="277" w:name="_Toc373478351"/>
      <w:bookmarkStart w:id="278" w:name="_Toc78449792"/>
      <w:bookmarkStart w:id="279" w:name="_Toc2077499244"/>
      <w:r>
        <w:rPr>
          <w:color w:val="auto"/>
          <w:highlight w:val="none"/>
        </w:rPr>
        <w:t xml:space="preserve">2.4 </w:t>
      </w:r>
      <w:r>
        <w:rPr>
          <w:rFonts w:hint="eastAsia" w:cs="黑体"/>
          <w:color w:val="auto"/>
          <w:highlight w:val="none"/>
        </w:rPr>
        <w:t>施工现场、施工条件和基础资料的提供</w:t>
      </w:r>
      <w:bookmarkEnd w:id="273"/>
      <w:bookmarkEnd w:id="274"/>
      <w:bookmarkEnd w:id="275"/>
      <w:bookmarkEnd w:id="276"/>
      <w:bookmarkEnd w:id="277"/>
      <w:bookmarkEnd w:id="278"/>
      <w:bookmarkEnd w:id="279"/>
    </w:p>
    <w:p w14:paraId="6E434F27">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2.4.1 </w:t>
      </w:r>
      <w:r>
        <w:rPr>
          <w:rFonts w:hint="eastAsia" w:hAnsi="宋体" w:cs="宋体"/>
          <w:color w:val="auto"/>
          <w:highlight w:val="none"/>
        </w:rPr>
        <w:t>提供施工现场</w:t>
      </w:r>
    </w:p>
    <w:p w14:paraId="791D103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开工前7天，满足工程进展要求。施工场地内的道路由承包人自行完成，施工场地内的道路及与市政道路接口路段的日常清洁与维护由承包人承担，费用由承包人承担</w:t>
      </w:r>
      <w:r>
        <w:rPr>
          <w:rFonts w:hint="eastAsia" w:hAnsi="宋体" w:cs="宋体"/>
          <w:color w:val="auto"/>
          <w:highlight w:val="none"/>
        </w:rPr>
        <w:t>。</w:t>
      </w:r>
    </w:p>
    <w:p w14:paraId="260F39B6">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2.4.2 </w:t>
      </w:r>
      <w:r>
        <w:rPr>
          <w:rFonts w:hint="eastAsia" w:hAnsi="宋体" w:cs="宋体"/>
          <w:color w:val="auto"/>
          <w:highlight w:val="none"/>
        </w:rPr>
        <w:t>提供施工条件</w:t>
      </w:r>
    </w:p>
    <w:p w14:paraId="14448AB4">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关于发包人应负责提供施工所需要的条件，包括：</w:t>
      </w:r>
      <w:r>
        <w:rPr>
          <w:rFonts w:hint="eastAsia"/>
          <w:color w:val="auto"/>
          <w:highlight w:val="none"/>
          <w:u w:val="single"/>
        </w:rPr>
        <w:t>施工所需电接入点和水接入点由发包人确定，由承包人负责接至施工现场并安装计量表，根据水电收费部门核定的费用、支付时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7天内由发包人组织承包人、设计、勘察和监理单位进行图纸会审和设计交底</w:t>
      </w:r>
      <w:r>
        <w:rPr>
          <w:rFonts w:hint="eastAsia" w:hAnsi="宋体" w:cs="宋体"/>
          <w:color w:val="auto"/>
          <w:highlight w:val="none"/>
        </w:rPr>
        <w:t>。</w:t>
      </w:r>
    </w:p>
    <w:p w14:paraId="65ECD777">
      <w:pPr>
        <w:pStyle w:val="4"/>
        <w:pageBreakBefore w:val="0"/>
        <w:widowControl w:val="0"/>
        <w:kinsoku/>
        <w:wordWrap/>
        <w:overflowPunct/>
        <w:topLinePunct w:val="0"/>
        <w:bidi w:val="0"/>
        <w:spacing w:before="0" w:after="0" w:line="360" w:lineRule="auto"/>
        <w:textAlignment w:val="auto"/>
        <w:rPr>
          <w:color w:val="auto"/>
          <w:highlight w:val="none"/>
        </w:rPr>
      </w:pPr>
      <w:bookmarkStart w:id="280" w:name="_Toc389065271"/>
      <w:bookmarkStart w:id="281" w:name="_Toc1238195908"/>
      <w:bookmarkStart w:id="282" w:name="_Toc373227705"/>
      <w:bookmarkStart w:id="283" w:name="_Toc78449793"/>
      <w:bookmarkStart w:id="284" w:name="_Toc407135207"/>
      <w:bookmarkStart w:id="285" w:name="_Toc672429943"/>
      <w:bookmarkStart w:id="286" w:name="_Toc373478352"/>
      <w:r>
        <w:rPr>
          <w:color w:val="auto"/>
          <w:highlight w:val="none"/>
        </w:rPr>
        <w:t xml:space="preserve">2.5 </w:t>
      </w:r>
      <w:r>
        <w:rPr>
          <w:rFonts w:hint="eastAsia" w:cs="黑体"/>
          <w:color w:val="auto"/>
          <w:highlight w:val="none"/>
        </w:rPr>
        <w:t>资金来源证明及支付担保</w:t>
      </w:r>
      <w:bookmarkEnd w:id="280"/>
      <w:bookmarkEnd w:id="281"/>
      <w:bookmarkEnd w:id="282"/>
      <w:bookmarkEnd w:id="283"/>
      <w:bookmarkEnd w:id="284"/>
      <w:bookmarkEnd w:id="285"/>
      <w:bookmarkEnd w:id="286"/>
    </w:p>
    <w:p w14:paraId="77F4E09D">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14:paraId="7AC7B274">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3260F60E">
      <w:pPr>
        <w:pageBreakBefore w:val="0"/>
        <w:widowControl w:val="0"/>
        <w:kinsoku/>
        <w:wordWrap/>
        <w:overflowPunct/>
        <w:topLinePunct w:val="0"/>
        <w:bidi w:val="0"/>
        <w:spacing w:line="360" w:lineRule="auto"/>
        <w:ind w:firstLine="420" w:firstLineChars="200"/>
        <w:textAlignment w:val="auto"/>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工程担保保证人应将出具的保函相关信息录入“广西建筑市场监管云”平台（http://gxjzsc.caihcloud.com），以实现保函查询及验真功能</w:t>
      </w:r>
      <w:r>
        <w:rPr>
          <w:rFonts w:hint="eastAsia" w:hAnsi="宋体" w:cs="宋体"/>
          <w:color w:val="auto"/>
          <w:highlight w:val="none"/>
          <w:lang w:val="en" w:eastAsia="zh-CN"/>
        </w:rPr>
        <w:t>。</w:t>
      </w:r>
    </w:p>
    <w:p w14:paraId="4583E4B2">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39174B2F">
      <w:pPr>
        <w:pStyle w:val="3"/>
        <w:pageBreakBefore w:val="0"/>
        <w:widowControl w:val="0"/>
        <w:kinsoku/>
        <w:wordWrap/>
        <w:overflowPunct/>
        <w:topLinePunct w:val="0"/>
        <w:bidi w:val="0"/>
        <w:spacing w:before="0" w:after="0" w:line="360" w:lineRule="auto"/>
        <w:textAlignment w:val="auto"/>
        <w:rPr>
          <w:color w:val="auto"/>
          <w:highlight w:val="none"/>
        </w:rPr>
      </w:pPr>
      <w:bookmarkStart w:id="287" w:name="_Toc729657770"/>
      <w:bookmarkStart w:id="288" w:name="_Toc389065272"/>
      <w:bookmarkStart w:id="289" w:name="_Toc373478353"/>
      <w:bookmarkStart w:id="290" w:name="_Toc351203635"/>
      <w:bookmarkStart w:id="291" w:name="_Toc407135208"/>
      <w:bookmarkStart w:id="292" w:name="_Toc78449794"/>
      <w:bookmarkStart w:id="293" w:name="_Toc373227706"/>
      <w:bookmarkStart w:id="294" w:name="_Toc1181400362"/>
      <w:r>
        <w:rPr>
          <w:color w:val="auto"/>
          <w:highlight w:val="none"/>
        </w:rPr>
        <w:t>3</w:t>
      </w:r>
      <w:bookmarkStart w:id="295" w:name="_Toc292559363"/>
      <w:bookmarkStart w:id="296" w:name="_Toc296347157"/>
      <w:bookmarkStart w:id="297" w:name="_Toc296503158"/>
      <w:bookmarkStart w:id="298" w:name="_Toc292559868"/>
      <w:bookmarkStart w:id="299" w:name="_Toc296890986"/>
      <w:bookmarkStart w:id="300" w:name="_Toc296891198"/>
      <w:bookmarkStart w:id="301" w:name="_Toc296944497"/>
      <w:bookmarkStart w:id="302" w:name="_Toc296346659"/>
      <w:bookmarkStart w:id="303" w:name="_Toc297048344"/>
      <w:bookmarkStart w:id="304" w:name="_Toc297120458"/>
      <w:r>
        <w:rPr>
          <w:color w:val="auto"/>
          <w:highlight w:val="none"/>
        </w:rPr>
        <w:t xml:space="preserve">. </w:t>
      </w:r>
      <w:r>
        <w:rPr>
          <w:rFonts w:hint="eastAsia" w:hAnsi="宋体" w:cs="黑体"/>
          <w:color w:val="auto"/>
          <w:highlight w:val="none"/>
        </w:rPr>
        <w:t>承包人</w:t>
      </w:r>
      <w:bookmarkEnd w:id="287"/>
      <w:bookmarkEnd w:id="288"/>
      <w:bookmarkEnd w:id="289"/>
      <w:bookmarkEnd w:id="290"/>
      <w:bookmarkEnd w:id="291"/>
      <w:bookmarkEnd w:id="292"/>
      <w:bookmarkEnd w:id="293"/>
      <w:bookmarkEnd w:id="294"/>
    </w:p>
    <w:bookmarkEnd w:id="295"/>
    <w:bookmarkEnd w:id="296"/>
    <w:bookmarkEnd w:id="297"/>
    <w:bookmarkEnd w:id="298"/>
    <w:bookmarkEnd w:id="299"/>
    <w:bookmarkEnd w:id="300"/>
    <w:bookmarkEnd w:id="301"/>
    <w:bookmarkEnd w:id="302"/>
    <w:bookmarkEnd w:id="303"/>
    <w:bookmarkEnd w:id="304"/>
    <w:p w14:paraId="089B456C">
      <w:pPr>
        <w:pStyle w:val="4"/>
        <w:pageBreakBefore w:val="0"/>
        <w:widowControl w:val="0"/>
        <w:kinsoku/>
        <w:wordWrap/>
        <w:overflowPunct/>
        <w:topLinePunct w:val="0"/>
        <w:bidi w:val="0"/>
        <w:spacing w:before="0" w:after="0" w:line="360" w:lineRule="auto"/>
        <w:textAlignment w:val="auto"/>
        <w:rPr>
          <w:color w:val="auto"/>
          <w:highlight w:val="none"/>
        </w:rPr>
      </w:pPr>
      <w:bookmarkStart w:id="305" w:name="_Toc373227707"/>
      <w:bookmarkStart w:id="306" w:name="_Toc389065273"/>
      <w:bookmarkStart w:id="307" w:name="_Toc407135209"/>
      <w:bookmarkStart w:id="308" w:name="_Toc1642190822"/>
      <w:bookmarkStart w:id="309" w:name="_Toc373478354"/>
      <w:bookmarkStart w:id="310" w:name="_Toc78449795"/>
      <w:bookmarkStart w:id="311" w:name="_Toc962678435"/>
      <w:r>
        <w:rPr>
          <w:color w:val="auto"/>
          <w:highlight w:val="none"/>
        </w:rPr>
        <w:t xml:space="preserve">3.1 </w:t>
      </w:r>
      <w:r>
        <w:rPr>
          <w:rFonts w:hint="eastAsia" w:cs="黑体"/>
          <w:color w:val="auto"/>
          <w:highlight w:val="none"/>
        </w:rPr>
        <w:t>承包人的一般义务</w:t>
      </w:r>
      <w:bookmarkEnd w:id="305"/>
      <w:bookmarkEnd w:id="306"/>
      <w:bookmarkEnd w:id="307"/>
      <w:bookmarkEnd w:id="308"/>
      <w:bookmarkEnd w:id="309"/>
      <w:bookmarkEnd w:id="310"/>
      <w:bookmarkEnd w:id="311"/>
    </w:p>
    <w:p w14:paraId="63B779D1">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color w:val="auto"/>
          <w:highlight w:val="none"/>
          <w:u w:val="single"/>
        </w:rPr>
        <w:t>按国家规范工程竣工验收有关规定，向发包人提供完整的（含现场隐蔽工程照片、录像）竣工资料一式陆套及竣工验收报告</w:t>
      </w:r>
      <w:r>
        <w:rPr>
          <w:rFonts w:hint="eastAsia" w:hAnsi="宋体" w:cs="宋体"/>
          <w:color w:val="auto"/>
          <w:highlight w:val="none"/>
        </w:rPr>
        <w:t>。</w:t>
      </w:r>
    </w:p>
    <w:p w14:paraId="1CA9A515">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承包人需要提交的竣工资料套数：</w:t>
      </w:r>
      <w:r>
        <w:rPr>
          <w:rFonts w:hint="eastAsia"/>
          <w:color w:val="auto"/>
          <w:highlight w:val="none"/>
          <w:u w:val="single"/>
        </w:rPr>
        <w:t>一式陆套</w:t>
      </w:r>
      <w:r>
        <w:rPr>
          <w:rFonts w:hint="eastAsia" w:hAnsi="宋体" w:cs="宋体"/>
          <w:color w:val="auto"/>
          <w:highlight w:val="none"/>
        </w:rPr>
        <w:t>。</w:t>
      </w:r>
    </w:p>
    <w:p w14:paraId="722ECE48">
      <w:pPr>
        <w:pageBreakBefore w:val="0"/>
        <w:widowControl w:val="0"/>
        <w:kinsoku/>
        <w:wordWrap/>
        <w:overflowPunct/>
        <w:topLinePunct w:val="0"/>
        <w:bidi w:val="0"/>
        <w:spacing w:line="360" w:lineRule="auto"/>
        <w:ind w:left="424" w:leftChars="202"/>
        <w:jc w:val="left"/>
        <w:textAlignment w:val="auto"/>
        <w:rPr>
          <w:color w:val="auto"/>
          <w:highlight w:val="none"/>
        </w:rPr>
      </w:pPr>
      <w:r>
        <w:rPr>
          <w:rFonts w:hint="eastAsia" w:hAnsi="宋体" w:cs="宋体"/>
          <w:color w:val="auto"/>
          <w:highlight w:val="none"/>
        </w:rPr>
        <w:t>承包人提交的竣工资料的费用承担：</w:t>
      </w:r>
      <w:r>
        <w:rPr>
          <w:rFonts w:hint="eastAsia"/>
          <w:color w:val="auto"/>
          <w:highlight w:val="none"/>
          <w:u w:val="single"/>
        </w:rPr>
        <w:t>费用由承包人承担</w:t>
      </w:r>
      <w:r>
        <w:rPr>
          <w:rFonts w:hint="eastAsia" w:hAnsi="宋体" w:cs="宋体"/>
          <w:color w:val="auto"/>
          <w:highlight w:val="none"/>
        </w:rPr>
        <w:t>。</w:t>
      </w:r>
    </w:p>
    <w:p w14:paraId="106CA5D4">
      <w:pPr>
        <w:pageBreakBefore w:val="0"/>
        <w:widowControl w:val="0"/>
        <w:kinsoku/>
        <w:wordWrap/>
        <w:overflowPunct/>
        <w:topLinePunct w:val="0"/>
        <w:bidi w:val="0"/>
        <w:spacing w:line="360" w:lineRule="auto"/>
        <w:ind w:left="424" w:leftChars="202"/>
        <w:jc w:val="left"/>
        <w:textAlignment w:val="auto"/>
        <w:rPr>
          <w:color w:val="auto"/>
          <w:highlight w:val="none"/>
        </w:rPr>
      </w:pPr>
      <w:r>
        <w:rPr>
          <w:rFonts w:hint="eastAsia" w:hAnsi="宋体" w:cs="宋体"/>
          <w:color w:val="auto"/>
          <w:highlight w:val="none"/>
        </w:rPr>
        <w:t>承包人提交的竣工资料移交时间：</w:t>
      </w:r>
      <w:r>
        <w:rPr>
          <w:rFonts w:hint="eastAsia"/>
          <w:color w:val="auto"/>
          <w:highlight w:val="none"/>
          <w:u w:val="single"/>
        </w:rPr>
        <w:t>竣工验收整改完成后15日内</w:t>
      </w:r>
      <w:r>
        <w:rPr>
          <w:rFonts w:hint="eastAsia" w:hAnsi="宋体" w:cs="宋体"/>
          <w:color w:val="auto"/>
          <w:highlight w:val="none"/>
        </w:rPr>
        <w:t>。</w:t>
      </w:r>
    </w:p>
    <w:p w14:paraId="5319CAD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承包人提交的竣工资料形式要求：</w:t>
      </w:r>
      <w:r>
        <w:rPr>
          <w:rFonts w:hint="eastAsia"/>
          <w:color w:val="auto"/>
          <w:highlight w:val="none"/>
          <w:u w:val="single"/>
        </w:rPr>
        <w:t>按当地建设行政主管部门和城市建设档案管理机构的相关要求，纸质及电子文档并装订成册</w:t>
      </w:r>
      <w:r>
        <w:rPr>
          <w:rFonts w:hint="eastAsia" w:hAnsi="宋体" w:cs="宋体"/>
          <w:color w:val="auto"/>
          <w:highlight w:val="none"/>
        </w:rPr>
        <w:t>。</w:t>
      </w:r>
    </w:p>
    <w:p w14:paraId="16AD78E9">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r>
        <w:rPr>
          <w:rFonts w:hint="eastAsia" w:hAnsi="宋体" w:cs="宋体"/>
          <w:color w:val="auto"/>
          <w:kern w:val="0"/>
          <w:highlight w:val="none"/>
          <w:u w:val="single"/>
        </w:rPr>
        <w:t xml:space="preserve">对开工的项目，须组建项目工会。 </w:t>
      </w:r>
      <w:r>
        <w:rPr>
          <w:rFonts w:hAnsi="宋体" w:cs="宋体"/>
          <w:color w:val="auto"/>
          <w:kern w:val="0"/>
          <w:highlight w:val="none"/>
          <w:u w:val="single"/>
        </w:rPr>
        <w:t xml:space="preserve">         </w:t>
      </w:r>
      <w:r>
        <w:rPr>
          <w:rFonts w:hint="eastAsia" w:hAnsi="宋体" w:cs="宋体"/>
          <w:color w:val="auto"/>
          <w:kern w:val="0"/>
          <w:highlight w:val="none"/>
        </w:rPr>
        <w:t>。</w:t>
      </w:r>
    </w:p>
    <w:p w14:paraId="6E83ACD5">
      <w:pPr>
        <w:pStyle w:val="4"/>
        <w:pageBreakBefore w:val="0"/>
        <w:widowControl w:val="0"/>
        <w:kinsoku/>
        <w:wordWrap/>
        <w:overflowPunct/>
        <w:topLinePunct w:val="0"/>
        <w:bidi w:val="0"/>
        <w:spacing w:before="0" w:after="0" w:line="360" w:lineRule="auto"/>
        <w:textAlignment w:val="auto"/>
        <w:rPr>
          <w:color w:val="auto"/>
          <w:highlight w:val="none"/>
        </w:rPr>
      </w:pPr>
      <w:bookmarkStart w:id="312" w:name="_Toc389065274"/>
      <w:bookmarkStart w:id="313" w:name="_Toc373478355"/>
      <w:bookmarkStart w:id="314" w:name="_Toc373227708"/>
      <w:bookmarkStart w:id="315" w:name="_Toc78449796"/>
      <w:bookmarkStart w:id="316" w:name="_Toc407135210"/>
      <w:bookmarkStart w:id="317" w:name="_Toc1659520837"/>
      <w:bookmarkStart w:id="318" w:name="_Toc501741485"/>
      <w:r>
        <w:rPr>
          <w:color w:val="auto"/>
          <w:highlight w:val="none"/>
        </w:rPr>
        <w:t xml:space="preserve">3.2 </w:t>
      </w:r>
      <w:r>
        <w:rPr>
          <w:rFonts w:hint="eastAsia" w:hAnsi="宋体" w:cs="黑体"/>
          <w:color w:val="auto"/>
          <w:highlight w:val="none"/>
        </w:rPr>
        <w:t>项目经理</w:t>
      </w:r>
      <w:bookmarkEnd w:id="312"/>
      <w:bookmarkEnd w:id="313"/>
      <w:bookmarkEnd w:id="314"/>
      <w:bookmarkEnd w:id="315"/>
      <w:bookmarkEnd w:id="316"/>
      <w:bookmarkEnd w:id="317"/>
      <w:bookmarkEnd w:id="318"/>
    </w:p>
    <w:p w14:paraId="349F5F64">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kern w:val="0"/>
          <w:highlight w:val="none"/>
        </w:rPr>
        <w:t xml:space="preserve">3.2.1 </w:t>
      </w:r>
      <w:r>
        <w:rPr>
          <w:rFonts w:hint="eastAsia" w:hAnsi="宋体" w:cs="宋体"/>
          <w:color w:val="auto"/>
          <w:highlight w:val="none"/>
        </w:rPr>
        <w:t>项目经理：</w:t>
      </w:r>
    </w:p>
    <w:p w14:paraId="5EEBA1E9">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79082D0">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6EDDBB5">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CE478C7">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B5D41D7">
      <w:pPr>
        <w:pageBreakBefore w:val="0"/>
        <w:widowControl w:val="0"/>
        <w:kinsoku/>
        <w:wordWrap/>
        <w:overflowPunct/>
        <w:topLinePunct w:val="0"/>
        <w:bidi w:val="0"/>
        <w:spacing w:line="360" w:lineRule="auto"/>
        <w:ind w:firstLine="420" w:firstLineChars="200"/>
        <w:textAlignment w:val="auto"/>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6DFC9DB">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489C329">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EF42E77">
      <w:pPr>
        <w:pageBreakBefore w:val="0"/>
        <w:widowControl w:val="0"/>
        <w:kinsoku/>
        <w:wordWrap/>
        <w:overflowPunct/>
        <w:topLinePunct w:val="0"/>
        <w:bidi w:val="0"/>
        <w:spacing w:line="360" w:lineRule="auto"/>
        <w:ind w:firstLine="420" w:firstLineChars="200"/>
        <w:textAlignment w:val="auto"/>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06E5D59">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承包人对项目经理的授权范围如下：</w:t>
      </w:r>
      <w:r>
        <w:rPr>
          <w:rFonts w:hint="eastAsia"/>
          <w:color w:val="auto"/>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hAnsi="宋体" w:cs="宋体"/>
          <w:color w:val="auto"/>
          <w:highlight w:val="none"/>
        </w:rPr>
        <w:t>。</w:t>
      </w:r>
    </w:p>
    <w:p w14:paraId="2B7738D5">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关于项目经理每月在施工现场的时间要求：</w:t>
      </w:r>
      <w:r>
        <w:rPr>
          <w:rFonts w:hint="eastAsia"/>
          <w:color w:val="auto"/>
          <w:highlight w:val="none"/>
          <w:u w:val="single"/>
        </w:rPr>
        <w:t>发包人对项目经理、项目总工、质量员、安全员等主要管理人员进行考勤，以上人员每月出勤必须在21天以上，每缺勤一日，应向发包人支付违约金1000元/人(人民币)</w:t>
      </w:r>
      <w:r>
        <w:rPr>
          <w:rFonts w:hint="eastAsia" w:hAnsi="宋体" w:cs="宋体"/>
          <w:color w:val="auto"/>
          <w:highlight w:val="none"/>
        </w:rPr>
        <w:t>。</w:t>
      </w:r>
    </w:p>
    <w:p w14:paraId="0895A66F">
      <w:pPr>
        <w:pageBreakBefore w:val="0"/>
        <w:widowControl w:val="0"/>
        <w:kinsoku/>
        <w:wordWrap/>
        <w:overflowPunct/>
        <w:topLinePunct w:val="0"/>
        <w:bidi w:val="0"/>
        <w:spacing w:line="360" w:lineRule="auto"/>
        <w:ind w:firstLine="420" w:firstLineChars="200"/>
        <w:textAlignment w:val="auto"/>
        <w:rPr>
          <w:color w:val="auto"/>
          <w:kern w:val="0"/>
          <w:highlight w:val="none"/>
        </w:rPr>
      </w:pPr>
      <w:r>
        <w:rPr>
          <w:rFonts w:hint="eastAsia" w:hAnsi="宋体" w:cs="宋体"/>
          <w:color w:val="auto"/>
          <w:kern w:val="0"/>
          <w:highlight w:val="none"/>
        </w:rPr>
        <w:t>承包人未提交劳动合同，以及没有为项目经理缴纳社会保险证明的违约责任：</w:t>
      </w:r>
      <w:r>
        <w:rPr>
          <w:rFonts w:hint="eastAsia"/>
          <w:color w:val="auto"/>
          <w:highlight w:val="none"/>
          <w:u w:val="single"/>
        </w:rPr>
        <w:t>视为承包人未能按照合同要求委派合格的项目经理并承担相应的违约责任</w:t>
      </w:r>
      <w:r>
        <w:rPr>
          <w:rFonts w:hint="eastAsia" w:hAnsi="宋体" w:cs="宋体"/>
          <w:color w:val="auto"/>
          <w:highlight w:val="none"/>
        </w:rPr>
        <w:t>。</w:t>
      </w:r>
    </w:p>
    <w:p w14:paraId="453D5166">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lang w:val="en-US" w:eastAsia="zh-CN"/>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ACAD733">
      <w:pPr>
        <w:pageBreakBefore w:val="0"/>
        <w:widowControl w:val="0"/>
        <w:kinsoku/>
        <w:wordWrap/>
        <w:overflowPunct/>
        <w:topLinePunct w:val="0"/>
        <w:bidi w:val="0"/>
        <w:adjustRightInd w:val="0"/>
        <w:snapToGrid w:val="0"/>
        <w:spacing w:line="360" w:lineRule="auto"/>
        <w:ind w:firstLine="0" w:firstLineChars="0"/>
        <w:jc w:val="left"/>
        <w:textAlignment w:val="auto"/>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hint="eastAsia" w:ascii="Times New Roman" w:hAnsi="Times New Roman" w:eastAsia="宋体" w:cs="Times New Roman"/>
          <w:color w:val="auto"/>
          <w:highlight w:val="none"/>
          <w:u w:val="single"/>
        </w:rPr>
        <w:t>300000</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4AF28545">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rPr>
        <w:t>20000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BD60C40">
      <w:pPr>
        <w:pStyle w:val="4"/>
        <w:pageBreakBefore w:val="0"/>
        <w:widowControl w:val="0"/>
        <w:kinsoku/>
        <w:wordWrap/>
        <w:overflowPunct/>
        <w:topLinePunct w:val="0"/>
        <w:bidi w:val="0"/>
        <w:spacing w:before="0" w:after="0" w:line="360" w:lineRule="auto"/>
        <w:textAlignment w:val="auto"/>
        <w:rPr>
          <w:color w:val="auto"/>
          <w:highlight w:val="none"/>
        </w:rPr>
      </w:pPr>
      <w:bookmarkStart w:id="319" w:name="_Toc389065275"/>
      <w:bookmarkStart w:id="320" w:name="_Toc373227709"/>
      <w:bookmarkStart w:id="321" w:name="_Toc407135211"/>
      <w:bookmarkStart w:id="322" w:name="_Toc78449797"/>
      <w:bookmarkStart w:id="323" w:name="_Toc373478356"/>
      <w:bookmarkStart w:id="324" w:name="_Toc1443830486"/>
      <w:bookmarkStart w:id="325" w:name="_Toc747710271"/>
      <w:r>
        <w:rPr>
          <w:color w:val="auto"/>
          <w:highlight w:val="none"/>
        </w:rPr>
        <w:t xml:space="preserve">3.3 </w:t>
      </w:r>
      <w:r>
        <w:rPr>
          <w:rFonts w:hint="eastAsia" w:hAnsi="宋体" w:cs="黑体"/>
          <w:color w:val="auto"/>
          <w:highlight w:val="none"/>
        </w:rPr>
        <w:t>承包人人员</w:t>
      </w:r>
      <w:bookmarkEnd w:id="319"/>
      <w:bookmarkEnd w:id="320"/>
      <w:bookmarkEnd w:id="321"/>
      <w:bookmarkEnd w:id="322"/>
      <w:bookmarkEnd w:id="323"/>
      <w:bookmarkEnd w:id="324"/>
      <w:bookmarkEnd w:id="325"/>
    </w:p>
    <w:p w14:paraId="3EDD81B0">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r>
        <w:rPr>
          <w:rFonts w:hint="eastAsia"/>
          <w:color w:val="auto"/>
          <w:highlight w:val="none"/>
          <w:u w:val="single"/>
        </w:rPr>
        <w:t>监理工程师下发开工令且工程开工前7天内</w:t>
      </w:r>
      <w:r>
        <w:rPr>
          <w:rFonts w:hint="eastAsia" w:hAnsi="宋体" w:cs="宋体"/>
          <w:color w:val="auto"/>
          <w:highlight w:val="none"/>
        </w:rPr>
        <w:t>。</w:t>
      </w:r>
    </w:p>
    <w:p w14:paraId="137363DE">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hAnsi="宋体" w:cs="宋体"/>
          <w:color w:val="auto"/>
          <w:highlight w:val="none"/>
        </w:rPr>
        <w:t>。</w:t>
      </w:r>
    </w:p>
    <w:p w14:paraId="6EE3EF48">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color w:val="auto"/>
          <w:highlight w:val="none"/>
          <w:u w:val="single"/>
        </w:rPr>
        <w:t>向发包人提出申请，并提供相关证明材料，须经监理单位和现场发包负责人同意后离开</w:t>
      </w:r>
      <w:r>
        <w:rPr>
          <w:rFonts w:hint="eastAsia" w:hAnsi="宋体" w:cs="宋体"/>
          <w:color w:val="auto"/>
          <w:highlight w:val="none"/>
        </w:rPr>
        <w:t>。</w:t>
      </w:r>
    </w:p>
    <w:p w14:paraId="49EEC23D">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50000元/人•次（人民币）违约金；擅自更换专职安全员处50000元/人•次（人民币）违约金；擅自更换其它在场管理人员处50000元/人•次（人民币）违约金</w:t>
      </w:r>
      <w:r>
        <w:rPr>
          <w:rFonts w:hint="eastAsia" w:hAnsi="宋体" w:cs="宋体"/>
          <w:color w:val="auto"/>
          <w:highlight w:val="none"/>
        </w:rPr>
        <w:t>。</w:t>
      </w:r>
    </w:p>
    <w:p w14:paraId="537BC146">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每个月连续缺勤7天，累计15天视为擅自离岗）的，视为承包人违约，发包人有权处违约金5000元/人•次（人民币）；未经发包人同意，专职安全员擅自离岗（每个月连续缺勤7天，累计15天视为擅自离岗）的，视为承包人违约，发包人有权处违约金50000元/人•次（人民币）；其它在场管理人员擅自离岗（每个月连续缺勤7天，累计15天视为擅自离岗）的，视为承包人违约，发包人有权处违约金50000元/人•次（人民币）</w:t>
      </w:r>
      <w:r>
        <w:rPr>
          <w:rFonts w:hint="eastAsia" w:hAnsi="宋体" w:cs="宋体"/>
          <w:color w:val="auto"/>
          <w:highlight w:val="none"/>
        </w:rPr>
        <w:t>。</w:t>
      </w:r>
    </w:p>
    <w:p w14:paraId="3EED0C14">
      <w:pPr>
        <w:pStyle w:val="4"/>
        <w:pageBreakBefore w:val="0"/>
        <w:widowControl w:val="0"/>
        <w:kinsoku/>
        <w:wordWrap/>
        <w:overflowPunct/>
        <w:topLinePunct w:val="0"/>
        <w:bidi w:val="0"/>
        <w:spacing w:before="0" w:after="0" w:line="360" w:lineRule="auto"/>
        <w:textAlignment w:val="auto"/>
        <w:rPr>
          <w:color w:val="auto"/>
          <w:highlight w:val="none"/>
        </w:rPr>
      </w:pPr>
      <w:bookmarkStart w:id="326" w:name="_Toc2025600126"/>
      <w:bookmarkStart w:id="327" w:name="_Toc389065276"/>
      <w:bookmarkStart w:id="328" w:name="_Toc2066279184"/>
      <w:bookmarkStart w:id="329" w:name="_Toc78449798"/>
      <w:bookmarkStart w:id="330" w:name="_Toc407135212"/>
      <w:bookmarkStart w:id="331" w:name="_Toc373227710"/>
      <w:bookmarkStart w:id="332" w:name="_Toc373478357"/>
      <w:r>
        <w:rPr>
          <w:color w:val="auto"/>
          <w:highlight w:val="none"/>
        </w:rPr>
        <w:t>3</w:t>
      </w:r>
      <w:bookmarkStart w:id="333" w:name="_Toc297048345"/>
      <w:bookmarkStart w:id="334" w:name="_Toc292559869"/>
      <w:bookmarkStart w:id="335" w:name="_Toc297216151"/>
      <w:bookmarkStart w:id="336" w:name="_Toc296944498"/>
      <w:bookmarkStart w:id="337" w:name="_Toc304295523"/>
      <w:bookmarkStart w:id="338" w:name="_Toc296346660"/>
      <w:bookmarkStart w:id="339" w:name="_Toc296503159"/>
      <w:bookmarkStart w:id="340" w:name="_Toc292559364"/>
      <w:bookmarkStart w:id="341" w:name="_Toc296347158"/>
      <w:bookmarkStart w:id="342" w:name="_Toc303539102"/>
      <w:bookmarkStart w:id="343" w:name="_Toc296890987"/>
      <w:bookmarkStart w:id="344" w:name="_Toc297123492"/>
      <w:bookmarkStart w:id="345" w:name="_Toc297120459"/>
      <w:bookmarkStart w:id="346" w:name="_Toc300934945"/>
      <w:bookmarkStart w:id="347" w:name="_Toc296891199"/>
      <w:bookmarkStart w:id="348" w:name="_Toc312677988"/>
      <w:r>
        <w:rPr>
          <w:color w:val="auto"/>
          <w:highlight w:val="none"/>
        </w:rPr>
        <w:t xml:space="preserve">.5 </w:t>
      </w:r>
      <w:r>
        <w:rPr>
          <w:rFonts w:hint="eastAsia" w:hAnsi="宋体" w:cs="黑体"/>
          <w:color w:val="auto"/>
          <w:highlight w:val="none"/>
        </w:rPr>
        <w:t>分包</w:t>
      </w:r>
      <w:bookmarkEnd w:id="326"/>
      <w:bookmarkEnd w:id="327"/>
      <w:bookmarkEnd w:id="328"/>
      <w:bookmarkEnd w:id="329"/>
      <w:bookmarkEnd w:id="330"/>
      <w:bookmarkEnd w:id="331"/>
      <w:bookmarkEnd w:id="332"/>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208C6518">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3</w:t>
      </w:r>
      <w:bookmarkStart w:id="349" w:name="_Toc304295524"/>
      <w:bookmarkStart w:id="350" w:name="_Toc300934946"/>
      <w:bookmarkStart w:id="351" w:name="_Toc297123493"/>
      <w:bookmarkStart w:id="352" w:name="_Toc312677989"/>
      <w:bookmarkStart w:id="353" w:name="_Toc297216152"/>
      <w:bookmarkStart w:id="354" w:name="_Toc318581158"/>
      <w:bookmarkStart w:id="355" w:name="_Toc292559870"/>
      <w:bookmarkStart w:id="356" w:name="_Toc296346661"/>
      <w:bookmarkStart w:id="357" w:name="_Toc303539103"/>
      <w:bookmarkStart w:id="358" w:name="_Toc297048346"/>
      <w:bookmarkStart w:id="359" w:name="_Toc296890988"/>
      <w:bookmarkStart w:id="360" w:name="_Toc297120460"/>
      <w:bookmarkStart w:id="361" w:name="_Toc296347159"/>
      <w:bookmarkStart w:id="362" w:name="_Toc296944499"/>
      <w:bookmarkStart w:id="363" w:name="_Toc296891200"/>
      <w:bookmarkStart w:id="364" w:name="_Toc292559365"/>
      <w:bookmarkStart w:id="365" w:name="_Toc296503160"/>
      <w:r>
        <w:rPr>
          <w:color w:val="auto"/>
          <w:highlight w:val="none"/>
        </w:rPr>
        <w:t xml:space="preserve">.5.1 </w:t>
      </w:r>
      <w:r>
        <w:rPr>
          <w:rFonts w:hint="eastAsia" w:hAnsi="宋体" w:cs="宋体"/>
          <w:color w:val="auto"/>
          <w:highlight w:val="none"/>
        </w:rPr>
        <w:t>分包的一般约定</w:t>
      </w:r>
    </w:p>
    <w:p w14:paraId="5CA7ADA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禁止分包的工程包括：</w:t>
      </w:r>
      <w:r>
        <w:rPr>
          <w:rFonts w:hint="eastAsia"/>
          <w:color w:val="auto"/>
          <w:highlight w:val="none"/>
          <w:u w:val="single"/>
        </w:rPr>
        <w:t>按通用条款</w:t>
      </w:r>
      <w:r>
        <w:rPr>
          <w:rFonts w:hint="eastAsia" w:hAnsi="宋体" w:cs="宋体"/>
          <w:color w:val="auto"/>
          <w:highlight w:val="none"/>
        </w:rPr>
        <w:t>。</w:t>
      </w:r>
    </w:p>
    <w:p w14:paraId="13506481">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主体结构、关键性工作的范围：</w:t>
      </w:r>
      <w:r>
        <w:rPr>
          <w:rFonts w:hint="eastAsia"/>
          <w:color w:val="auto"/>
          <w:highlight w:val="none"/>
          <w:u w:val="single"/>
        </w:rPr>
        <w:t>项目招标清单所列范围</w:t>
      </w:r>
      <w:r>
        <w:rPr>
          <w:rFonts w:hint="eastAsia" w:hAnsi="宋体" w:cs="宋体"/>
          <w:color w:val="auto"/>
          <w:highlight w:val="none"/>
        </w:rPr>
        <w: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95AD964">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3</w:t>
      </w:r>
      <w:bookmarkStart w:id="366" w:name="_Toc312677990"/>
      <w:bookmarkStart w:id="367" w:name="_Toc318581159"/>
      <w:r>
        <w:rPr>
          <w:color w:val="auto"/>
          <w:highlight w:val="none"/>
        </w:rPr>
        <w:t xml:space="preserve">.5.2 </w:t>
      </w:r>
      <w:r>
        <w:rPr>
          <w:rFonts w:hint="eastAsia" w:hAnsi="宋体" w:cs="宋体"/>
          <w:color w:val="auto"/>
          <w:highlight w:val="none"/>
        </w:rPr>
        <w:t>分包的确定</w:t>
      </w:r>
    </w:p>
    <w:p w14:paraId="1CB80649">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允许分包的专业工程包括：</w:t>
      </w:r>
      <w:r>
        <w:rPr>
          <w:rFonts w:hint="eastAsia"/>
          <w:color w:val="auto"/>
          <w:highlight w:val="none"/>
          <w:u w:val="single"/>
        </w:rPr>
        <w:t>无</w:t>
      </w:r>
      <w:r>
        <w:rPr>
          <w:rFonts w:hint="eastAsia" w:hAnsi="宋体" w:cs="宋体"/>
          <w:color w:val="auto"/>
          <w:highlight w:val="none"/>
        </w:rPr>
        <w:t>。</w:t>
      </w:r>
    </w:p>
    <w:p w14:paraId="214F2483">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其他关于分包的约定：</w:t>
      </w:r>
    </w:p>
    <w:p w14:paraId="66FF43EB">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14656C2A">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0E26D3A9">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6B27CE8C">
      <w:pPr>
        <w:pStyle w:val="24"/>
        <w:pageBreakBefore w:val="0"/>
        <w:widowControl w:val="0"/>
        <w:kinsoku/>
        <w:wordWrap/>
        <w:overflowPunct/>
        <w:topLinePunct w:val="0"/>
        <w:bidi w:val="0"/>
        <w:spacing w:line="360" w:lineRule="auto"/>
        <w:ind w:firstLine="420" w:firstLineChars="200"/>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1EBED34F">
      <w:pPr>
        <w:pStyle w:val="24"/>
        <w:pageBreakBefore w:val="0"/>
        <w:widowControl w:val="0"/>
        <w:kinsoku/>
        <w:wordWrap/>
        <w:overflowPunct/>
        <w:topLinePunct w:val="0"/>
        <w:bidi w:val="0"/>
        <w:spacing w:line="360" w:lineRule="auto"/>
        <w:ind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1A2376A9">
      <w:pPr>
        <w:pStyle w:val="24"/>
        <w:pageBreakBefore w:val="0"/>
        <w:widowControl w:val="0"/>
        <w:kinsoku/>
        <w:wordWrap/>
        <w:overflowPunct/>
        <w:topLinePunct w:val="0"/>
        <w:bidi w:val="0"/>
        <w:spacing w:line="360" w:lineRule="auto"/>
        <w:ind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1522EF77">
      <w:pPr>
        <w:pStyle w:val="24"/>
        <w:pageBreakBefore w:val="0"/>
        <w:widowControl w:val="0"/>
        <w:kinsoku/>
        <w:wordWrap/>
        <w:overflowPunct/>
        <w:topLinePunct w:val="0"/>
        <w:bidi w:val="0"/>
        <w:spacing w:line="360" w:lineRule="auto"/>
        <w:ind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164EDD6E">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E48DDF6">
      <w:pPr>
        <w:pageBreakBefore w:val="0"/>
        <w:widowControl w:val="0"/>
        <w:kinsoku/>
        <w:wordWrap/>
        <w:overflowPunct/>
        <w:topLinePunct w:val="0"/>
        <w:bidi w:val="0"/>
        <w:spacing w:line="360" w:lineRule="auto"/>
        <w:ind w:firstLine="420" w:firstLineChars="200"/>
        <w:textAlignment w:val="auto"/>
        <w:rPr>
          <w:color w:val="auto"/>
          <w:highlight w:val="none"/>
        </w:rPr>
      </w:pPr>
      <w:r>
        <w:rPr>
          <w:color w:val="auto"/>
          <w:highlight w:val="none"/>
        </w:rPr>
        <w:t xml:space="preserve">3.5.4 </w:t>
      </w:r>
      <w:r>
        <w:rPr>
          <w:rFonts w:hint="eastAsia" w:hAnsi="宋体" w:cs="宋体"/>
          <w:color w:val="auto"/>
          <w:highlight w:val="none"/>
        </w:rPr>
        <w:t>分包合同价款</w:t>
      </w:r>
    </w:p>
    <w:bookmarkEnd w:id="366"/>
    <w:bookmarkEnd w:id="367"/>
    <w:p w14:paraId="711D8EF0">
      <w:pPr>
        <w:pageBreakBefore w:val="0"/>
        <w:widowControl w:val="0"/>
        <w:kinsoku/>
        <w:wordWrap/>
        <w:overflowPunct/>
        <w:topLinePunct w:val="0"/>
        <w:bidi w:val="0"/>
        <w:spacing w:line="360" w:lineRule="auto"/>
        <w:ind w:firstLine="420" w:firstLineChars="200"/>
        <w:textAlignment w:val="auto"/>
        <w:rPr>
          <w:color w:val="auto"/>
          <w:highlight w:val="none"/>
        </w:rPr>
      </w:pPr>
      <w:bookmarkStart w:id="368" w:name="_Toc373227711"/>
      <w:bookmarkStart w:id="369" w:name="_Toc373478358"/>
      <w:bookmarkStart w:id="370" w:name="_Toc389065277"/>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6DAE8E1E">
      <w:pPr>
        <w:pStyle w:val="4"/>
        <w:pageBreakBefore w:val="0"/>
        <w:widowControl w:val="0"/>
        <w:kinsoku/>
        <w:wordWrap/>
        <w:overflowPunct/>
        <w:topLinePunct w:val="0"/>
        <w:bidi w:val="0"/>
        <w:spacing w:before="0" w:after="0" w:line="360" w:lineRule="auto"/>
        <w:textAlignment w:val="auto"/>
        <w:rPr>
          <w:color w:val="auto"/>
          <w:highlight w:val="none"/>
        </w:rPr>
      </w:pPr>
      <w:bookmarkStart w:id="371" w:name="_Toc78449799"/>
      <w:bookmarkStart w:id="372" w:name="_Toc407135213"/>
      <w:bookmarkStart w:id="373" w:name="_Toc57329529"/>
      <w:bookmarkStart w:id="374" w:name="_Toc101808609"/>
      <w:r>
        <w:rPr>
          <w:color w:val="auto"/>
          <w:highlight w:val="none"/>
        </w:rPr>
        <w:t xml:space="preserve">3.6 </w:t>
      </w:r>
      <w:r>
        <w:rPr>
          <w:rFonts w:hint="eastAsia" w:cs="黑体"/>
          <w:color w:val="auto"/>
          <w:highlight w:val="none"/>
        </w:rPr>
        <w:t>工程照管与成品、半成品保护</w:t>
      </w:r>
      <w:bookmarkEnd w:id="368"/>
      <w:bookmarkEnd w:id="369"/>
      <w:bookmarkEnd w:id="370"/>
      <w:bookmarkEnd w:id="371"/>
      <w:bookmarkEnd w:id="372"/>
      <w:bookmarkEnd w:id="373"/>
      <w:bookmarkEnd w:id="374"/>
    </w:p>
    <w:p w14:paraId="4E3802F1">
      <w:pPr>
        <w:pageBreakBefore w:val="0"/>
        <w:widowControl w:val="0"/>
        <w:kinsoku/>
        <w:wordWrap/>
        <w:overflowPunct/>
        <w:topLinePunct w:val="0"/>
        <w:bidi w:val="0"/>
        <w:spacing w:line="360" w:lineRule="auto"/>
        <w:ind w:firstLine="420" w:firstLineChars="200"/>
        <w:textAlignment w:val="auto"/>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w:t>
      </w:r>
    </w:p>
    <w:p w14:paraId="1DD2C6BF">
      <w:pPr>
        <w:pStyle w:val="4"/>
        <w:pageBreakBefore w:val="0"/>
        <w:widowControl w:val="0"/>
        <w:kinsoku/>
        <w:wordWrap/>
        <w:overflowPunct/>
        <w:topLinePunct w:val="0"/>
        <w:bidi w:val="0"/>
        <w:spacing w:before="0" w:after="0" w:line="360" w:lineRule="auto"/>
        <w:textAlignment w:val="auto"/>
        <w:rPr>
          <w:color w:val="auto"/>
          <w:highlight w:val="none"/>
        </w:rPr>
      </w:pPr>
      <w:bookmarkStart w:id="375" w:name="_Toc389065278"/>
      <w:bookmarkStart w:id="376" w:name="_Toc373227712"/>
      <w:bookmarkStart w:id="377" w:name="_Toc373478359"/>
      <w:bookmarkStart w:id="378" w:name="_Toc1649716734"/>
      <w:bookmarkStart w:id="379" w:name="_Toc78449800"/>
      <w:bookmarkStart w:id="380" w:name="_Toc1042049436"/>
      <w:bookmarkStart w:id="381" w:name="_Toc407135214"/>
      <w:r>
        <w:rPr>
          <w:color w:val="auto"/>
          <w:highlight w:val="none"/>
        </w:rPr>
        <w:t xml:space="preserve">3.7 </w:t>
      </w:r>
      <w:r>
        <w:rPr>
          <w:rFonts w:hint="eastAsia" w:hAnsi="宋体" w:cs="黑体"/>
          <w:color w:val="auto"/>
          <w:highlight w:val="none"/>
        </w:rPr>
        <w:t>履约</w:t>
      </w:r>
      <w:bookmarkEnd w:id="375"/>
      <w:bookmarkEnd w:id="376"/>
      <w:bookmarkEnd w:id="377"/>
      <w:r>
        <w:rPr>
          <w:rFonts w:hint="eastAsia" w:hAnsi="宋体" w:cs="黑体"/>
          <w:color w:val="auto"/>
          <w:highlight w:val="none"/>
        </w:rPr>
        <w:t>保证金</w:t>
      </w:r>
      <w:bookmarkEnd w:id="378"/>
      <w:bookmarkEnd w:id="379"/>
      <w:bookmarkEnd w:id="380"/>
      <w:bookmarkEnd w:id="381"/>
    </w:p>
    <w:p w14:paraId="4BF1D163">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u w:val="single"/>
        </w:rPr>
      </w:pPr>
      <w:bookmarkStart w:id="382" w:name="_Toc351203636"/>
      <w:bookmarkStart w:id="383" w:name="_Toc373227713"/>
      <w:bookmarkStart w:id="384" w:name="_Toc389065279"/>
      <w:bookmarkStart w:id="385" w:name="_Toc373478360"/>
      <w:r>
        <w:rPr>
          <w:rFonts w:hint="eastAsia" w:hAnsi="宋体" w:cs="宋体"/>
          <w:color w:val="auto"/>
          <w:highlight w:val="none"/>
        </w:rPr>
        <w:t>承包人提供履约担保的形式、金额及期限的：</w:t>
      </w:r>
      <w:r>
        <w:rPr>
          <w:rFonts w:hint="eastAsia" w:hAnsi="宋体" w:cs="宋体"/>
          <w:color w:val="auto"/>
          <w:highlight w:val="none"/>
          <w:u w:val="single"/>
        </w:rPr>
        <w:t>承包人在收到</w:t>
      </w:r>
      <w:r>
        <w:rPr>
          <w:rFonts w:hint="eastAsia" w:hAnsi="宋体" w:cs="宋体"/>
          <w:color w:val="auto"/>
          <w:highlight w:val="none"/>
          <w:u w:val="single"/>
          <w:lang w:eastAsia="zh-CN"/>
        </w:rPr>
        <w:t>成交通知书</w:t>
      </w:r>
      <w:r>
        <w:rPr>
          <w:rFonts w:hint="eastAsia" w:hAnsi="宋体" w:cs="宋体"/>
          <w:color w:val="auto"/>
          <w:highlight w:val="none"/>
          <w:u w:val="single"/>
        </w:rPr>
        <w:t>后，须在</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u w:val="single"/>
        </w:rPr>
        <w:t>日内向发包人提交合同价款扣除发包人材料设备价款、暂估专业工程、暂列金额后的</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u w:val="single"/>
        </w:rPr>
        <w:t>的履约担保（格式见合同附件</w:t>
      </w:r>
      <w:r>
        <w:rPr>
          <w:rFonts w:hint="eastAsia" w:hAnsi="宋体"/>
          <w:color w:val="auto"/>
          <w:highlight w:val="none"/>
          <w:u w:val="single"/>
        </w:rPr>
        <w:t>7</w:t>
      </w:r>
      <w:r>
        <w:rPr>
          <w:rFonts w:hint="eastAsia" w:hAnsi="宋体" w:cs="宋体"/>
          <w:color w:val="auto"/>
          <w:highlight w:val="none"/>
          <w:u w:val="single"/>
        </w:rPr>
        <w:t>）。履约担保的有效期应当自本合同生效之日起至发包人签认并由监理人向承包人出具</w:t>
      </w:r>
      <w:r>
        <w:rPr>
          <w:color w:val="auto"/>
          <w:highlight w:val="none"/>
          <w:u w:val="single"/>
        </w:rPr>
        <w:t xml:space="preserve">        </w:t>
      </w:r>
      <w:r>
        <w:rPr>
          <w:rFonts w:hint="eastAsia" w:hAnsi="宋体" w:cs="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s="宋体"/>
          <w:color w:val="auto"/>
          <w:highlight w:val="none"/>
          <w:u w:val="single"/>
        </w:rPr>
        <w:t>变更工程竣工日期的，保证期间按照变更后的竣工日期做相应调整</w:t>
      </w:r>
      <w:r>
        <w:rPr>
          <w:color w:val="auto"/>
          <w:highlight w:val="none"/>
          <w:u w:val="single"/>
        </w:rPr>
        <w:t>”</w:t>
      </w:r>
      <w:r>
        <w:rPr>
          <w:rFonts w:hint="eastAsia" w:hAnsi="宋体" w:cs="宋体"/>
          <w:color w:val="auto"/>
          <w:highlight w:val="none"/>
          <w:u w:val="single"/>
        </w:rPr>
        <w:t>或类似约定的条款。</w:t>
      </w:r>
    </w:p>
    <w:p w14:paraId="69A338F5">
      <w:pPr>
        <w:pageBreakBefore w:val="0"/>
        <w:widowControl w:val="0"/>
        <w:kinsoku/>
        <w:wordWrap/>
        <w:overflowPunct/>
        <w:topLinePunct w:val="0"/>
        <w:bidi w:val="0"/>
        <w:spacing w:line="360" w:lineRule="auto"/>
        <w:ind w:firstLine="420" w:firstLineChars="200"/>
        <w:jc w:val="left"/>
        <w:textAlignment w:val="auto"/>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工程担保保证人应将出具的保函相关信息录入“广西建筑市场监管云”平台（http://gxjzsc.caihcloud.com），以实现保函查询及验真功能</w:t>
      </w:r>
      <w:r>
        <w:rPr>
          <w:rFonts w:hint="eastAsia" w:hAnsi="宋体" w:cs="宋体"/>
          <w:color w:val="auto"/>
          <w:highlight w:val="none"/>
          <w:u w:val="single"/>
          <w:lang w:eastAsia="zh-CN"/>
        </w:rPr>
        <w:t>。</w:t>
      </w:r>
    </w:p>
    <w:p w14:paraId="0B1A708B">
      <w:pPr>
        <w:pageBreakBefore w:val="0"/>
        <w:widowControl w:val="0"/>
        <w:kinsoku/>
        <w:wordWrap/>
        <w:overflowPunct/>
        <w:topLinePunct w:val="0"/>
        <w:bidi w:val="0"/>
        <w:spacing w:line="360" w:lineRule="auto"/>
        <w:ind w:firstLine="420" w:firstLineChars="200"/>
        <w:textAlignment w:val="auto"/>
        <w:rPr>
          <w:color w:val="auto"/>
          <w:highlight w:val="none"/>
          <w:u w:val="single"/>
        </w:rPr>
      </w:pPr>
      <w:r>
        <w:rPr>
          <w:rFonts w:hint="eastAsia" w:hAnsi="宋体" w:cs="宋体"/>
          <w:color w:val="auto"/>
          <w:highlight w:val="none"/>
          <w:u w:val="single"/>
        </w:rPr>
        <w:t>工程竣工验收合格并对验收发现的问题完成整改后的</w:t>
      </w:r>
      <w:r>
        <w:rPr>
          <w:color w:val="auto"/>
          <w:highlight w:val="none"/>
          <w:u w:val="single"/>
        </w:rPr>
        <w:t>7</w:t>
      </w:r>
      <w:r>
        <w:rPr>
          <w:rFonts w:hint="eastAsia" w:hAnsi="宋体" w:cs="宋体"/>
          <w:color w:val="auto"/>
          <w:highlight w:val="none"/>
          <w:u w:val="single"/>
        </w:rPr>
        <w:t>个日历天内，发包人支付履约保证金的</w:t>
      </w:r>
      <w:r>
        <w:rPr>
          <w:color w:val="auto"/>
          <w:highlight w:val="none"/>
          <w:u w:val="single"/>
        </w:rPr>
        <w:t>50%</w:t>
      </w:r>
      <w:r>
        <w:rPr>
          <w:rFonts w:hint="eastAsia" w:hAnsi="宋体" w:cs="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s="宋体"/>
          <w:color w:val="auto"/>
          <w:highlight w:val="none"/>
          <w:u w:val="single"/>
        </w:rPr>
        <w:t>个日历天内扣减承包人赔偿金和其他应从承包人扣回的款项后，将履约保证金的余额退还给承包人。</w:t>
      </w:r>
    </w:p>
    <w:p w14:paraId="151AFCF5">
      <w:pPr>
        <w:pStyle w:val="3"/>
        <w:pageBreakBefore w:val="0"/>
        <w:widowControl w:val="0"/>
        <w:kinsoku/>
        <w:wordWrap/>
        <w:overflowPunct/>
        <w:topLinePunct w:val="0"/>
        <w:bidi w:val="0"/>
        <w:spacing w:before="0" w:after="0" w:line="360" w:lineRule="auto"/>
        <w:textAlignment w:val="auto"/>
        <w:rPr>
          <w:color w:val="auto"/>
          <w:highlight w:val="none"/>
        </w:rPr>
      </w:pPr>
      <w:bookmarkStart w:id="386" w:name="_Toc907912356"/>
      <w:bookmarkStart w:id="387" w:name="_Toc407135215"/>
      <w:bookmarkStart w:id="388" w:name="_Toc78449801"/>
      <w:bookmarkStart w:id="389" w:name="_Toc931514330"/>
      <w:r>
        <w:rPr>
          <w:color w:val="auto"/>
          <w:highlight w:val="none"/>
        </w:rPr>
        <w:t>4</w:t>
      </w:r>
      <w:bookmarkStart w:id="390" w:name="_Toc297120462"/>
      <w:bookmarkStart w:id="391" w:name="_Toc296890990"/>
      <w:bookmarkStart w:id="392" w:name="_Toc296347161"/>
      <w:bookmarkStart w:id="393" w:name="_Toc296944501"/>
      <w:bookmarkStart w:id="394" w:name="_Toc292559871"/>
      <w:bookmarkStart w:id="395" w:name="_Toc292559366"/>
      <w:bookmarkStart w:id="396" w:name="_Toc296891202"/>
      <w:bookmarkStart w:id="397" w:name="_Toc296503162"/>
      <w:bookmarkStart w:id="398" w:name="_Toc296346663"/>
      <w:bookmarkStart w:id="399" w:name="_Toc267251413"/>
      <w:bookmarkStart w:id="400" w:name="_Toc297048348"/>
      <w:r>
        <w:rPr>
          <w:color w:val="auto"/>
          <w:highlight w:val="none"/>
        </w:rPr>
        <w:t xml:space="preserve">. </w:t>
      </w:r>
      <w:r>
        <w:rPr>
          <w:rFonts w:hint="eastAsia" w:hAnsi="宋体" w:cs="黑体"/>
          <w:color w:val="auto"/>
          <w:highlight w:val="none"/>
        </w:rPr>
        <w:t>监</w:t>
      </w:r>
      <w:bookmarkEnd w:id="390"/>
      <w:bookmarkEnd w:id="391"/>
      <w:bookmarkEnd w:id="392"/>
      <w:bookmarkEnd w:id="393"/>
      <w:bookmarkEnd w:id="394"/>
      <w:bookmarkEnd w:id="395"/>
      <w:bookmarkEnd w:id="396"/>
      <w:bookmarkEnd w:id="397"/>
      <w:bookmarkEnd w:id="398"/>
      <w:bookmarkEnd w:id="399"/>
      <w:bookmarkEnd w:id="400"/>
      <w:r>
        <w:rPr>
          <w:rFonts w:hint="eastAsia" w:hAnsi="宋体" w:cs="黑体"/>
          <w:color w:val="auto"/>
          <w:highlight w:val="none"/>
        </w:rPr>
        <w:t>理人</w:t>
      </w:r>
      <w:bookmarkEnd w:id="382"/>
      <w:bookmarkEnd w:id="383"/>
      <w:bookmarkEnd w:id="384"/>
      <w:bookmarkEnd w:id="385"/>
      <w:bookmarkEnd w:id="386"/>
      <w:bookmarkEnd w:id="387"/>
      <w:bookmarkEnd w:id="388"/>
      <w:bookmarkEnd w:id="389"/>
    </w:p>
    <w:p w14:paraId="3188149C">
      <w:pPr>
        <w:pStyle w:val="4"/>
        <w:pageBreakBefore w:val="0"/>
        <w:widowControl w:val="0"/>
        <w:kinsoku/>
        <w:wordWrap/>
        <w:overflowPunct/>
        <w:topLinePunct w:val="0"/>
        <w:bidi w:val="0"/>
        <w:spacing w:before="0" w:after="0" w:line="360" w:lineRule="auto"/>
        <w:textAlignment w:val="auto"/>
        <w:rPr>
          <w:color w:val="auto"/>
          <w:highlight w:val="none"/>
        </w:rPr>
      </w:pPr>
      <w:bookmarkStart w:id="401" w:name="_Toc1008304989"/>
      <w:bookmarkStart w:id="402" w:name="_Toc1595043148"/>
      <w:bookmarkStart w:id="403" w:name="_Toc373227714"/>
      <w:bookmarkStart w:id="404" w:name="_Toc373478361"/>
      <w:bookmarkStart w:id="405" w:name="_Toc407135216"/>
      <w:bookmarkStart w:id="406" w:name="_Toc389065280"/>
      <w:bookmarkStart w:id="407" w:name="_Toc78449802"/>
      <w:r>
        <w:rPr>
          <w:color w:val="auto"/>
          <w:highlight w:val="none"/>
        </w:rPr>
        <w:t xml:space="preserve">4.1 </w:t>
      </w:r>
      <w:r>
        <w:rPr>
          <w:rFonts w:hint="eastAsia" w:cs="黑体"/>
          <w:color w:val="auto"/>
          <w:highlight w:val="none"/>
        </w:rPr>
        <w:t>监理人的一般规定</w:t>
      </w:r>
      <w:bookmarkEnd w:id="401"/>
      <w:bookmarkEnd w:id="402"/>
      <w:bookmarkEnd w:id="403"/>
      <w:bookmarkEnd w:id="404"/>
      <w:bookmarkEnd w:id="405"/>
      <w:bookmarkEnd w:id="406"/>
      <w:bookmarkEnd w:id="407"/>
    </w:p>
    <w:p w14:paraId="1721CCB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关于监理人的监理内容：</w:t>
      </w:r>
      <w:r>
        <w:rPr>
          <w:rFonts w:hint="eastAsia"/>
          <w:color w:val="auto"/>
          <w:highlight w:val="none"/>
          <w:u w:val="single"/>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w:t>
      </w:r>
      <w:r>
        <w:rPr>
          <w:rFonts w:hint="eastAsia" w:hAnsi="宋体" w:cs="宋体"/>
          <w:color w:val="auto"/>
          <w:highlight w:val="none"/>
        </w:rPr>
        <w:t>。</w:t>
      </w:r>
    </w:p>
    <w:p w14:paraId="5EB27C5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关于监理人的监理权限：</w:t>
      </w:r>
      <w:r>
        <w:rPr>
          <w:rFonts w:hint="eastAsia"/>
          <w:color w:val="auto"/>
          <w:highlight w:val="none"/>
          <w:u w:val="single"/>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hint="eastAsia" w:hAnsi="宋体" w:cs="宋体"/>
          <w:color w:val="auto"/>
          <w:highlight w:val="none"/>
        </w:rPr>
        <w:t>。</w:t>
      </w:r>
      <w:r>
        <w:rPr>
          <w:color w:val="auto"/>
          <w:highlight w:val="none"/>
        </w:rPr>
        <w:t xml:space="preserve"> </w:t>
      </w:r>
    </w:p>
    <w:p w14:paraId="5BFF9AEA">
      <w:pPr>
        <w:pageBreakBefore w:val="0"/>
        <w:widowControl w:val="0"/>
        <w:kinsoku/>
        <w:wordWrap/>
        <w:overflowPunct/>
        <w:topLinePunct w:val="0"/>
        <w:bidi w:val="0"/>
        <w:spacing w:line="360" w:lineRule="auto"/>
        <w:textAlignment w:val="auto"/>
        <w:rPr>
          <w:color w:val="auto"/>
          <w:highlight w:val="none"/>
        </w:rPr>
      </w:pPr>
      <w:r>
        <w:rPr>
          <w:rFonts w:hint="eastAsia" w:hAnsi="宋体" w:cs="宋体"/>
          <w:color w:val="auto"/>
          <w:highlight w:val="none"/>
        </w:rPr>
        <w:t>关于监理人在施工现场的办公场所、生活场所的提供和费用承担的约定：</w:t>
      </w:r>
      <w:r>
        <w:rPr>
          <w:rFonts w:hint="eastAsia"/>
          <w:color w:val="auto"/>
          <w:highlight w:val="none"/>
          <w:u w:val="single"/>
        </w:rPr>
        <w:t>由监理人自行承担</w:t>
      </w:r>
      <w:r>
        <w:rPr>
          <w:rFonts w:hint="eastAsia" w:hAnsi="宋体" w:cs="宋体"/>
          <w:color w:val="auto"/>
          <w:highlight w:val="none"/>
        </w:rPr>
        <w:t>。</w:t>
      </w:r>
    </w:p>
    <w:p w14:paraId="1D2F7895">
      <w:pPr>
        <w:pStyle w:val="4"/>
        <w:pageBreakBefore w:val="0"/>
        <w:widowControl w:val="0"/>
        <w:kinsoku/>
        <w:wordWrap/>
        <w:overflowPunct/>
        <w:topLinePunct w:val="0"/>
        <w:bidi w:val="0"/>
        <w:spacing w:before="0" w:after="0" w:line="360" w:lineRule="auto"/>
        <w:textAlignment w:val="auto"/>
        <w:rPr>
          <w:color w:val="auto"/>
          <w:highlight w:val="none"/>
        </w:rPr>
      </w:pPr>
      <w:bookmarkStart w:id="408" w:name="_Toc389065281"/>
      <w:bookmarkStart w:id="409" w:name="_Toc386397261"/>
      <w:bookmarkStart w:id="410" w:name="_Toc78449803"/>
      <w:bookmarkStart w:id="411" w:name="_Toc373478362"/>
      <w:bookmarkStart w:id="412" w:name="_Toc1350458461"/>
      <w:bookmarkStart w:id="413" w:name="_Toc407135217"/>
      <w:bookmarkStart w:id="414" w:name="_Toc373227715"/>
      <w:r>
        <w:rPr>
          <w:color w:val="auto"/>
          <w:highlight w:val="none"/>
        </w:rPr>
        <w:t xml:space="preserve">4.2 </w:t>
      </w:r>
      <w:r>
        <w:rPr>
          <w:rFonts w:hint="eastAsia" w:hAnsi="宋体" w:cs="黑体"/>
          <w:color w:val="auto"/>
          <w:highlight w:val="none"/>
        </w:rPr>
        <w:t>监理人员</w:t>
      </w:r>
      <w:bookmarkEnd w:id="408"/>
      <w:bookmarkEnd w:id="409"/>
      <w:bookmarkEnd w:id="410"/>
      <w:bookmarkEnd w:id="411"/>
      <w:bookmarkEnd w:id="412"/>
      <w:bookmarkEnd w:id="413"/>
      <w:bookmarkEnd w:id="414"/>
    </w:p>
    <w:p w14:paraId="36421459">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总监理工程师：</w:t>
      </w:r>
    </w:p>
    <w:p w14:paraId="43F649BB">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3655A3A">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2B84B10">
      <w:pPr>
        <w:pageBreakBefore w:val="0"/>
        <w:widowControl w:val="0"/>
        <w:kinsoku/>
        <w:wordWrap/>
        <w:overflowPunct/>
        <w:topLinePunct w:val="0"/>
        <w:bidi w:val="0"/>
        <w:spacing w:line="360" w:lineRule="auto"/>
        <w:ind w:firstLine="420" w:firstLineChars="200"/>
        <w:textAlignment w:val="auto"/>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5A418DEC">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70AC90A">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F14CEA3">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77CAD7A">
      <w:pPr>
        <w:pageBreakBefore w:val="0"/>
        <w:widowControl w:val="0"/>
        <w:kinsoku/>
        <w:wordWrap/>
        <w:overflowPunct/>
        <w:topLinePunct w:val="0"/>
        <w:bidi w:val="0"/>
        <w:spacing w:line="360" w:lineRule="auto"/>
        <w:ind w:firstLine="420" w:firstLineChars="200"/>
        <w:textAlignment w:val="auto"/>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D9A15B8">
      <w:pPr>
        <w:pStyle w:val="4"/>
        <w:pageBreakBefore w:val="0"/>
        <w:widowControl w:val="0"/>
        <w:kinsoku/>
        <w:wordWrap/>
        <w:overflowPunct/>
        <w:topLinePunct w:val="0"/>
        <w:bidi w:val="0"/>
        <w:spacing w:before="0" w:after="0" w:line="360" w:lineRule="auto"/>
        <w:textAlignment w:val="auto"/>
        <w:rPr>
          <w:color w:val="auto"/>
          <w:highlight w:val="none"/>
        </w:rPr>
      </w:pPr>
      <w:bookmarkStart w:id="415" w:name="_Toc407135218"/>
      <w:bookmarkStart w:id="416" w:name="_Toc389065282"/>
      <w:bookmarkStart w:id="417" w:name="_Toc373227716"/>
      <w:bookmarkStart w:id="418" w:name="_Toc373478363"/>
      <w:bookmarkStart w:id="419" w:name="_Toc539923186"/>
      <w:bookmarkStart w:id="420" w:name="_Toc78449804"/>
      <w:bookmarkStart w:id="421" w:name="_Toc941562442"/>
      <w:r>
        <w:rPr>
          <w:color w:val="auto"/>
          <w:highlight w:val="none"/>
        </w:rPr>
        <w:t xml:space="preserve">4.4 </w:t>
      </w:r>
      <w:r>
        <w:rPr>
          <w:rFonts w:hint="eastAsia" w:hAnsi="宋体" w:cs="黑体"/>
          <w:color w:val="auto"/>
          <w:highlight w:val="none"/>
        </w:rPr>
        <w:t>商定或确定</w:t>
      </w:r>
      <w:bookmarkEnd w:id="415"/>
      <w:bookmarkEnd w:id="416"/>
      <w:bookmarkEnd w:id="417"/>
      <w:bookmarkEnd w:id="418"/>
      <w:bookmarkEnd w:id="419"/>
      <w:bookmarkEnd w:id="420"/>
      <w:bookmarkEnd w:id="421"/>
    </w:p>
    <w:p w14:paraId="42162C5E">
      <w:pPr>
        <w:pageBreakBefore w:val="0"/>
        <w:widowControl w:val="0"/>
        <w:kinsoku/>
        <w:wordWrap/>
        <w:overflowPunct/>
        <w:topLinePunct w:val="0"/>
        <w:bidi w:val="0"/>
        <w:spacing w:line="360" w:lineRule="auto"/>
        <w:ind w:firstLine="420" w:firstLineChars="200"/>
        <w:textAlignment w:val="auto"/>
        <w:rPr>
          <w:color w:val="auto"/>
          <w:highlight w:val="none"/>
        </w:rPr>
      </w:pPr>
      <w:bookmarkStart w:id="422" w:name="_Toc267251418"/>
      <w:r>
        <w:rPr>
          <w:rFonts w:hint="eastAsia" w:hAnsi="宋体" w:cs="宋体"/>
          <w:color w:val="auto"/>
          <w:highlight w:val="none"/>
        </w:rPr>
        <w:t>在发包人和承包人不能通过协商达成一致意见时，发包人授权监理人对以下事项进行确定：</w:t>
      </w:r>
    </w:p>
    <w:p w14:paraId="06AA817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2A8C832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6BDC194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0B28B1CA">
      <w:pPr>
        <w:pStyle w:val="3"/>
        <w:pageBreakBefore w:val="0"/>
        <w:widowControl w:val="0"/>
        <w:kinsoku/>
        <w:wordWrap/>
        <w:overflowPunct/>
        <w:topLinePunct w:val="0"/>
        <w:bidi w:val="0"/>
        <w:spacing w:before="0" w:after="0" w:line="360" w:lineRule="auto"/>
        <w:textAlignment w:val="auto"/>
        <w:rPr>
          <w:color w:val="auto"/>
          <w:highlight w:val="none"/>
        </w:rPr>
      </w:pPr>
      <w:bookmarkStart w:id="423" w:name="_Toc389065283"/>
      <w:bookmarkStart w:id="424" w:name="_Toc373478364"/>
      <w:bookmarkStart w:id="425" w:name="_Toc1687297496"/>
      <w:bookmarkStart w:id="426" w:name="_Toc1603077308"/>
      <w:bookmarkStart w:id="427" w:name="_Toc373227717"/>
      <w:bookmarkStart w:id="428" w:name="_Toc78449805"/>
      <w:bookmarkStart w:id="429" w:name="_Toc351203637"/>
      <w:bookmarkStart w:id="430" w:name="_Toc407135219"/>
      <w:r>
        <w:rPr>
          <w:color w:val="auto"/>
          <w:highlight w:val="none"/>
        </w:rPr>
        <w:t>5</w:t>
      </w:r>
      <w:bookmarkEnd w:id="422"/>
      <w:bookmarkStart w:id="431" w:name="_Toc296347162"/>
      <w:bookmarkStart w:id="432" w:name="_Toc297048349"/>
      <w:bookmarkStart w:id="433" w:name="_Toc297120463"/>
      <w:bookmarkStart w:id="434" w:name="_Toc296503163"/>
      <w:bookmarkStart w:id="435" w:name="_Toc292559872"/>
      <w:bookmarkStart w:id="436" w:name="_Toc296891203"/>
      <w:bookmarkStart w:id="437" w:name="_Toc296944502"/>
      <w:bookmarkStart w:id="438" w:name="_Toc296346664"/>
      <w:bookmarkStart w:id="439" w:name="_Toc296890991"/>
      <w:bookmarkStart w:id="440" w:name="_Toc292559367"/>
      <w:r>
        <w:rPr>
          <w:color w:val="auto"/>
          <w:highlight w:val="none"/>
        </w:rPr>
        <w:t xml:space="preserve">. </w:t>
      </w:r>
      <w:r>
        <w:rPr>
          <w:rFonts w:hint="eastAsia" w:hAnsi="宋体" w:cs="黑体"/>
          <w:color w:val="auto"/>
          <w:highlight w:val="none"/>
        </w:rPr>
        <w:t>工程质量</w:t>
      </w:r>
      <w:bookmarkEnd w:id="423"/>
      <w:bookmarkEnd w:id="424"/>
      <w:bookmarkEnd w:id="425"/>
      <w:bookmarkEnd w:id="426"/>
      <w:bookmarkEnd w:id="427"/>
      <w:bookmarkEnd w:id="428"/>
      <w:bookmarkEnd w:id="429"/>
      <w:bookmarkEnd w:id="430"/>
    </w:p>
    <w:p w14:paraId="14243D93">
      <w:pPr>
        <w:pStyle w:val="4"/>
        <w:pageBreakBefore w:val="0"/>
        <w:widowControl w:val="0"/>
        <w:kinsoku/>
        <w:wordWrap/>
        <w:overflowPunct/>
        <w:topLinePunct w:val="0"/>
        <w:bidi w:val="0"/>
        <w:spacing w:before="0" w:after="0" w:line="360" w:lineRule="auto"/>
        <w:textAlignment w:val="auto"/>
        <w:rPr>
          <w:color w:val="auto"/>
          <w:highlight w:val="none"/>
        </w:rPr>
      </w:pPr>
      <w:bookmarkStart w:id="441" w:name="_Toc1952042622"/>
      <w:bookmarkStart w:id="442" w:name="_Toc389065284"/>
      <w:bookmarkStart w:id="443" w:name="_Toc373478365"/>
      <w:bookmarkStart w:id="444" w:name="_Toc1835421345"/>
      <w:bookmarkStart w:id="445" w:name="_Toc407135220"/>
      <w:bookmarkStart w:id="446" w:name="_Toc373227718"/>
      <w:bookmarkStart w:id="447" w:name="_Toc78449806"/>
      <w:r>
        <w:rPr>
          <w:color w:val="auto"/>
          <w:highlight w:val="none"/>
        </w:rPr>
        <w:t xml:space="preserve">5.1 </w:t>
      </w:r>
      <w:r>
        <w:rPr>
          <w:rFonts w:hint="eastAsia" w:hAnsi="宋体" w:cs="黑体"/>
          <w:color w:val="auto"/>
          <w:highlight w:val="none"/>
        </w:rPr>
        <w:t>质量要求</w:t>
      </w:r>
      <w:bookmarkEnd w:id="441"/>
      <w:bookmarkEnd w:id="442"/>
      <w:bookmarkEnd w:id="443"/>
      <w:bookmarkEnd w:id="444"/>
      <w:bookmarkEnd w:id="445"/>
      <w:bookmarkEnd w:id="446"/>
      <w:bookmarkEnd w:id="447"/>
    </w:p>
    <w:p w14:paraId="5806E608">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color w:val="auto"/>
          <w:highlight w:val="none"/>
        </w:rPr>
        <w:t>5</w:t>
      </w:r>
      <w:bookmarkStart w:id="448" w:name="_Toc300934949"/>
      <w:bookmarkStart w:id="449" w:name="_Toc312677997"/>
      <w:bookmarkStart w:id="450" w:name="_Toc297216155"/>
      <w:bookmarkStart w:id="451" w:name="_Toc304295527"/>
      <w:bookmarkStart w:id="452" w:name="_Toc303539106"/>
      <w:bookmarkStart w:id="453" w:name="_Toc318581164"/>
      <w:bookmarkStart w:id="454" w:name="_Toc297123496"/>
      <w:r>
        <w:rPr>
          <w:color w:val="auto"/>
          <w:highlight w:val="none"/>
        </w:rPr>
        <w:t xml:space="preserve">.1.1 </w:t>
      </w:r>
      <w:r>
        <w:rPr>
          <w:rFonts w:hint="eastAsia" w:hAnsi="宋体" w:cs="宋体"/>
          <w:color w:val="auto"/>
          <w:highlight w:val="none"/>
        </w:rPr>
        <w:t>特殊质量标准和要求：</w:t>
      </w:r>
      <w:r>
        <w:rPr>
          <w:rFonts w:hint="eastAsia"/>
          <w:color w:val="auto"/>
          <w:highlight w:val="none"/>
          <w:u w:val="single"/>
        </w:rPr>
        <w:t>严格执行广西壮族自治区住房和城乡建设厅《关于严格实行房屋建筑和市政基础设施工程质量终身责任承诺、永久性质量责任标牌、终身责任信息档案等制度的通知》(桂建管[2014]96号)要求，落实建设工程质量终身责任</w:t>
      </w:r>
      <w:r>
        <w:rPr>
          <w:rFonts w:hint="eastAsia" w:hAnsi="宋体" w:cs="宋体"/>
          <w:color w:val="auto"/>
          <w:highlight w:val="none"/>
        </w:rPr>
        <w:t>。</w:t>
      </w:r>
    </w:p>
    <w:p w14:paraId="7DF8A7B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。（建设单位创建优质工程的，鼓励在招标控制价和预算中按我区工程建设定额规定计列工程优质费，并在招标文件中明确工程优质费不可竞争。）</w:t>
      </w:r>
    </w:p>
    <w:p w14:paraId="760F3C3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5.3 </w:t>
      </w:r>
      <w:r>
        <w:rPr>
          <w:rFonts w:hint="eastAsia" w:hAnsi="宋体" w:cs="宋体"/>
          <w:color w:val="auto"/>
          <w:highlight w:val="none"/>
        </w:rPr>
        <w:t>隐蔽工程检查</w:t>
      </w:r>
    </w:p>
    <w:p w14:paraId="26717E6E">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21D0E7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小时提交书面延期要求。</w:t>
      </w:r>
    </w:p>
    <w:p w14:paraId="5AE8F81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w:t>
      </w:r>
    </w:p>
    <w:p w14:paraId="1BCF8438">
      <w:pPr>
        <w:pStyle w:val="3"/>
        <w:pageBreakBefore w:val="0"/>
        <w:widowControl w:val="0"/>
        <w:kinsoku/>
        <w:wordWrap/>
        <w:overflowPunct/>
        <w:topLinePunct w:val="0"/>
        <w:bidi w:val="0"/>
        <w:spacing w:before="0" w:after="0" w:line="360" w:lineRule="auto"/>
        <w:textAlignment w:val="auto"/>
        <w:rPr>
          <w:color w:val="auto"/>
          <w:highlight w:val="none"/>
        </w:rPr>
      </w:pPr>
      <w:bookmarkStart w:id="455" w:name="_Toc1259019817"/>
      <w:bookmarkStart w:id="456" w:name="_Toc373227719"/>
      <w:bookmarkStart w:id="457" w:name="_Toc703841976"/>
      <w:bookmarkStart w:id="458" w:name="_Toc407135221"/>
      <w:bookmarkStart w:id="459" w:name="_Toc373478366"/>
      <w:bookmarkStart w:id="460" w:name="_Toc389065285"/>
      <w:bookmarkStart w:id="461" w:name="_Toc351203638"/>
      <w:bookmarkStart w:id="462" w:name="_Toc78449807"/>
      <w:r>
        <w:rPr>
          <w:color w:val="auto"/>
          <w:highlight w:val="none"/>
        </w:rPr>
        <w:t xml:space="preserve">6. </w:t>
      </w:r>
      <w:r>
        <w:rPr>
          <w:rFonts w:hint="eastAsia" w:cs="黑体"/>
          <w:color w:val="auto"/>
          <w:highlight w:val="none"/>
        </w:rPr>
        <w:t>安全文明施工与环境保护</w:t>
      </w:r>
      <w:bookmarkEnd w:id="455"/>
      <w:bookmarkEnd w:id="456"/>
      <w:bookmarkEnd w:id="457"/>
      <w:bookmarkEnd w:id="458"/>
      <w:bookmarkEnd w:id="459"/>
      <w:bookmarkEnd w:id="460"/>
      <w:bookmarkEnd w:id="461"/>
      <w:bookmarkEnd w:id="462"/>
    </w:p>
    <w:p w14:paraId="18DD51AD">
      <w:pPr>
        <w:pStyle w:val="4"/>
        <w:pageBreakBefore w:val="0"/>
        <w:widowControl w:val="0"/>
        <w:kinsoku/>
        <w:wordWrap/>
        <w:overflowPunct/>
        <w:topLinePunct w:val="0"/>
        <w:bidi w:val="0"/>
        <w:spacing w:before="0" w:after="0" w:line="360" w:lineRule="auto"/>
        <w:textAlignment w:val="auto"/>
        <w:rPr>
          <w:color w:val="auto"/>
          <w:highlight w:val="none"/>
        </w:rPr>
      </w:pPr>
      <w:bookmarkStart w:id="463" w:name="_Toc1296292062"/>
      <w:bookmarkStart w:id="464" w:name="_Toc373478367"/>
      <w:bookmarkStart w:id="465" w:name="_Toc78449808"/>
      <w:bookmarkStart w:id="466" w:name="_Toc389065286"/>
      <w:bookmarkStart w:id="467" w:name="_Toc373227720"/>
      <w:bookmarkStart w:id="468" w:name="_Toc180514231"/>
      <w:bookmarkStart w:id="469" w:name="_Toc407135222"/>
      <w:r>
        <w:rPr>
          <w:color w:val="auto"/>
          <w:highlight w:val="none"/>
        </w:rPr>
        <w:t xml:space="preserve">6.1 </w:t>
      </w:r>
      <w:r>
        <w:rPr>
          <w:rFonts w:hint="eastAsia" w:cs="黑体"/>
          <w:color w:val="auto"/>
          <w:highlight w:val="none"/>
        </w:rPr>
        <w:t>安全文明施工</w:t>
      </w:r>
      <w:bookmarkEnd w:id="463"/>
      <w:bookmarkEnd w:id="464"/>
      <w:bookmarkEnd w:id="465"/>
      <w:bookmarkEnd w:id="466"/>
      <w:bookmarkEnd w:id="467"/>
      <w:bookmarkEnd w:id="468"/>
      <w:bookmarkEnd w:id="469"/>
    </w:p>
    <w:p w14:paraId="2488073F">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color w:val="auto"/>
          <w:highlight w:val="none"/>
          <w:u w:val="single"/>
        </w:rPr>
        <w:t>承包人负责，所发生费用由承包人承担。承包人的施工安全防护和文明施工措施，应执行《中华人民共和国安全生产法》的有关要求，施工中必须遵守国家颁布的《建设工程安全生产管理条件》、广西壮族自治区关于安全施工的法律法规和有关标准和规范。要求达到《建筑施工安全检查标准》（JGJ59-2011）的标准和符合《广西安全文明施工费使用管理细则》桂建质[2015]16号文的要求</w:t>
      </w:r>
      <w:r>
        <w:rPr>
          <w:rFonts w:hint="eastAsia" w:hAnsi="宋体" w:cs="宋体"/>
          <w:color w:val="auto"/>
          <w:highlight w:val="none"/>
        </w:rPr>
        <w:t>。</w:t>
      </w:r>
    </w:p>
    <w:p w14:paraId="066CD1A1">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关于安全文明施工奖项的约定：</w:t>
      </w:r>
      <w:r>
        <w:rPr>
          <w:rFonts w:hint="eastAsia"/>
          <w:color w:val="auto"/>
          <w:highlight w:val="none"/>
          <w:u w:val="single"/>
        </w:rPr>
        <w:t>无</w:t>
      </w:r>
      <w:r>
        <w:rPr>
          <w:rFonts w:hint="eastAsia" w:hAnsi="宋体" w:cs="宋体"/>
          <w:color w:val="auto"/>
          <w:highlight w:val="none"/>
        </w:rPr>
        <w:t>。</w:t>
      </w:r>
    </w:p>
    <w:p w14:paraId="27CA0B60">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89A9A5B">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关于编制施工场地治安管理计划的约定：</w:t>
      </w:r>
      <w:r>
        <w:rPr>
          <w:rFonts w:hint="eastAsia"/>
          <w:color w:val="auto"/>
          <w:highlight w:val="none"/>
          <w:u w:val="single"/>
        </w:rPr>
        <w:t>承包人负责，所发生费用由承包人承担.。承包人于开工前提供施工场地治安管理计划</w:t>
      </w:r>
      <w:r>
        <w:rPr>
          <w:rFonts w:hint="eastAsia" w:hAnsi="宋体" w:cs="宋体"/>
          <w:color w:val="auto"/>
          <w:highlight w:val="none"/>
        </w:rPr>
        <w:t>。</w:t>
      </w:r>
    </w:p>
    <w:p w14:paraId="2D7B6D8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6.1.5 </w:t>
      </w:r>
      <w:r>
        <w:rPr>
          <w:rFonts w:hint="eastAsia" w:hAnsi="宋体" w:cs="宋体"/>
          <w:color w:val="auto"/>
          <w:highlight w:val="none"/>
        </w:rPr>
        <w:t>文明施工</w:t>
      </w:r>
    </w:p>
    <w:p w14:paraId="0DBC302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合同当事人对文明施工的要求：</w:t>
      </w:r>
      <w:r>
        <w:rPr>
          <w:rFonts w:hint="eastAsia"/>
          <w:color w:val="auto"/>
          <w:highlight w:val="none"/>
          <w:u w:val="single"/>
        </w:rPr>
        <w:t>严格执行《大气污染防治法》（主席令第三十一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cs="宋体"/>
          <w:color w:val="auto"/>
          <w:highlight w:val="none"/>
        </w:rPr>
        <w:t>。</w:t>
      </w:r>
    </w:p>
    <w:p w14:paraId="5D9FE758">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082A7250">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14:paraId="4C449A09">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lang w:eastAsia="zh-CN"/>
        </w:rPr>
        <w:t>崇左</w:t>
      </w:r>
      <w:r>
        <w:rPr>
          <w:rFonts w:hAnsi="宋体"/>
          <w:color w:val="auto"/>
          <w:kern w:val="0"/>
          <w:highlight w:val="none"/>
          <w:u w:val="single"/>
        </w:rPr>
        <w:t xml:space="preserve"> </w:t>
      </w:r>
      <w:r>
        <w:rPr>
          <w:rFonts w:hint="eastAsia" w:hAnsi="宋体" w:cs="宋体"/>
          <w:color w:val="auto"/>
          <w:kern w:val="0"/>
          <w:highlight w:val="none"/>
        </w:rPr>
        <w:t>市相关规定执行。</w:t>
      </w:r>
    </w:p>
    <w:p w14:paraId="2ABAB11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u w:val="single"/>
        </w:rPr>
        <w:t xml:space="preserve">    </w:t>
      </w:r>
      <w:r>
        <w:rPr>
          <w:rFonts w:hint="eastAsia" w:cs="宋体"/>
          <w:color w:val="auto"/>
          <w:kern w:val="0"/>
          <w:highlight w:val="none"/>
        </w:rPr>
        <w:t>个工作日内，预付安全文明施工费总额的</w:t>
      </w:r>
      <w:r>
        <w:rPr>
          <w:rFonts w:hint="eastAsia" w:cs="宋体"/>
          <w:color w:val="auto"/>
          <w:kern w:val="0"/>
          <w:highlight w:val="none"/>
          <w:u w:val="single"/>
        </w:rPr>
        <w:t xml:space="preserve">   </w:t>
      </w:r>
      <w:r>
        <w:rPr>
          <w:rFonts w:hint="eastAsia" w:cs="宋体"/>
          <w:color w:val="auto"/>
          <w:kern w:val="0"/>
          <w:highlight w:val="none"/>
        </w:rPr>
        <w:t>%，其余部分与进度款同期支付，安全文明施工费预付款在工程进度款累计金额超过合同价的</w:t>
      </w:r>
      <w:r>
        <w:rPr>
          <w:rFonts w:hint="eastAsia" w:cs="宋体"/>
          <w:color w:val="auto"/>
          <w:kern w:val="0"/>
          <w:highlight w:val="none"/>
          <w:u w:val="single"/>
        </w:rPr>
        <w:t xml:space="preserve">   </w:t>
      </w:r>
      <w:r>
        <w:rPr>
          <w:rFonts w:hint="eastAsia" w:cs="宋体"/>
          <w:color w:val="auto"/>
          <w:kern w:val="0"/>
          <w:highlight w:val="none"/>
        </w:rPr>
        <w:t>%时开始起扣，每月从支付给承包商的工程款内按安全文明预付款占合同总价的同一百分比扣回</w:t>
      </w:r>
      <w:r>
        <w:rPr>
          <w:rFonts w:hint="eastAsia" w:hAnsi="宋体" w:cs="宋体"/>
          <w:color w:val="auto"/>
          <w:kern w:val="0"/>
          <w:highlight w:val="none"/>
        </w:rPr>
        <w:t>。</w:t>
      </w:r>
    </w:p>
    <w:p w14:paraId="693C991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543B8E0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3365F9D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6D35D8F2">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5254CAB6">
      <w:pPr>
        <w:pStyle w:val="4"/>
        <w:pageBreakBefore w:val="0"/>
        <w:widowControl w:val="0"/>
        <w:kinsoku/>
        <w:wordWrap/>
        <w:overflowPunct/>
        <w:topLinePunct w:val="0"/>
        <w:bidi w:val="0"/>
        <w:spacing w:before="0" w:after="0" w:line="360" w:lineRule="auto"/>
        <w:textAlignment w:val="auto"/>
        <w:rPr>
          <w:color w:val="auto"/>
          <w:highlight w:val="none"/>
        </w:rPr>
      </w:pPr>
      <w:bookmarkStart w:id="470" w:name="_Toc373478368"/>
      <w:bookmarkStart w:id="471" w:name="_Toc1922268668"/>
      <w:bookmarkStart w:id="472" w:name="_Toc373227721"/>
      <w:bookmarkStart w:id="473" w:name="_Toc78449809"/>
      <w:bookmarkStart w:id="474" w:name="_Toc407135223"/>
      <w:bookmarkStart w:id="475" w:name="_Toc389065287"/>
      <w:bookmarkStart w:id="476" w:name="_Toc1519050792"/>
      <w:r>
        <w:rPr>
          <w:color w:val="auto"/>
          <w:highlight w:val="none"/>
        </w:rPr>
        <w:t xml:space="preserve">6.3 </w:t>
      </w:r>
      <w:r>
        <w:rPr>
          <w:rFonts w:hint="eastAsia" w:hAnsi="宋体" w:cs="黑体"/>
          <w:color w:val="auto"/>
          <w:highlight w:val="none"/>
        </w:rPr>
        <w:t>环境保护</w:t>
      </w:r>
      <w:bookmarkEnd w:id="470"/>
      <w:bookmarkEnd w:id="471"/>
      <w:bookmarkEnd w:id="472"/>
      <w:bookmarkEnd w:id="473"/>
      <w:bookmarkEnd w:id="474"/>
      <w:bookmarkEnd w:id="475"/>
      <w:bookmarkEnd w:id="476"/>
    </w:p>
    <w:p w14:paraId="3AA2B646">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398C0F74">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448"/>
    <w:bookmarkEnd w:id="449"/>
    <w:bookmarkEnd w:id="450"/>
    <w:bookmarkEnd w:id="451"/>
    <w:bookmarkEnd w:id="452"/>
    <w:bookmarkEnd w:id="453"/>
    <w:bookmarkEnd w:id="454"/>
    <w:p w14:paraId="624AE78D">
      <w:pPr>
        <w:pStyle w:val="3"/>
        <w:pageBreakBefore w:val="0"/>
        <w:widowControl w:val="0"/>
        <w:kinsoku/>
        <w:wordWrap/>
        <w:overflowPunct/>
        <w:topLinePunct w:val="0"/>
        <w:bidi w:val="0"/>
        <w:spacing w:before="0" w:after="0" w:line="360" w:lineRule="auto"/>
        <w:textAlignment w:val="auto"/>
        <w:rPr>
          <w:color w:val="auto"/>
          <w:highlight w:val="none"/>
        </w:rPr>
      </w:pPr>
      <w:bookmarkStart w:id="477" w:name="_Toc407135224"/>
      <w:bookmarkStart w:id="478" w:name="_Toc1408286886"/>
      <w:bookmarkStart w:id="479" w:name="_Toc315674767"/>
      <w:bookmarkStart w:id="480" w:name="_Toc78449810"/>
      <w:bookmarkStart w:id="481" w:name="_Toc373227722"/>
      <w:bookmarkStart w:id="482" w:name="_Toc351203639"/>
      <w:bookmarkStart w:id="483" w:name="_Toc389065288"/>
      <w:bookmarkStart w:id="484" w:name="_Toc373478369"/>
      <w:r>
        <w:rPr>
          <w:color w:val="auto"/>
          <w:highlight w:val="none"/>
        </w:rPr>
        <w:t xml:space="preserve">7. </w:t>
      </w:r>
      <w:r>
        <w:rPr>
          <w:rFonts w:hint="eastAsia" w:cs="黑体"/>
          <w:color w:val="auto"/>
          <w:highlight w:val="none"/>
        </w:rPr>
        <w:t>工期和进度</w:t>
      </w:r>
      <w:bookmarkEnd w:id="477"/>
      <w:bookmarkEnd w:id="478"/>
      <w:bookmarkEnd w:id="479"/>
      <w:bookmarkEnd w:id="480"/>
      <w:bookmarkEnd w:id="481"/>
      <w:bookmarkEnd w:id="482"/>
      <w:bookmarkEnd w:id="483"/>
      <w:bookmarkEnd w:id="484"/>
    </w:p>
    <w:p w14:paraId="1F6B39FC">
      <w:pPr>
        <w:pStyle w:val="4"/>
        <w:pageBreakBefore w:val="0"/>
        <w:widowControl w:val="0"/>
        <w:kinsoku/>
        <w:wordWrap/>
        <w:overflowPunct/>
        <w:topLinePunct w:val="0"/>
        <w:bidi w:val="0"/>
        <w:spacing w:before="0" w:after="0" w:line="360" w:lineRule="auto"/>
        <w:textAlignment w:val="auto"/>
        <w:rPr>
          <w:color w:val="auto"/>
          <w:highlight w:val="none"/>
        </w:rPr>
      </w:pPr>
      <w:bookmarkStart w:id="485" w:name="_Toc389065289"/>
      <w:bookmarkStart w:id="486" w:name="_Toc373227723"/>
      <w:bookmarkStart w:id="487" w:name="_Toc664905709"/>
      <w:bookmarkStart w:id="488" w:name="_Toc373478370"/>
      <w:bookmarkStart w:id="489" w:name="_Toc1194482517"/>
      <w:bookmarkStart w:id="490" w:name="_Toc407135225"/>
      <w:bookmarkStart w:id="491" w:name="_Toc78449811"/>
      <w:r>
        <w:rPr>
          <w:color w:val="auto"/>
          <w:highlight w:val="none"/>
        </w:rPr>
        <w:t xml:space="preserve">7.1 </w:t>
      </w:r>
      <w:r>
        <w:rPr>
          <w:rFonts w:hint="eastAsia" w:cs="黑体"/>
          <w:color w:val="auto"/>
          <w:highlight w:val="none"/>
        </w:rPr>
        <w:t>施工组织设计</w:t>
      </w:r>
      <w:bookmarkEnd w:id="485"/>
      <w:bookmarkEnd w:id="486"/>
      <w:bookmarkEnd w:id="487"/>
      <w:bookmarkEnd w:id="488"/>
      <w:bookmarkEnd w:id="489"/>
      <w:bookmarkEnd w:id="490"/>
      <w:bookmarkEnd w:id="491"/>
    </w:p>
    <w:p w14:paraId="5D11FA39">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color w:val="auto"/>
          <w:highlight w:val="none"/>
          <w:u w:val="single"/>
        </w:rPr>
        <w:t>施工进度计划包括总进度计划、分阶段和分项进度计划、设备材料人员进场计划；施工方案说明包括分部、分项工程或工程部位的名称及施工顺序和方法</w:t>
      </w:r>
      <w:r>
        <w:rPr>
          <w:rFonts w:hint="eastAsia" w:hAnsi="宋体" w:cs="宋体"/>
          <w:color w:val="auto"/>
          <w:highlight w:val="none"/>
        </w:rPr>
        <w:t>。</w:t>
      </w:r>
    </w:p>
    <w:p w14:paraId="32251868">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13A441B2">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承包人提交详细施工组织设计的期限的约定：</w:t>
      </w:r>
      <w:r>
        <w:rPr>
          <w:rFonts w:hint="eastAsia"/>
          <w:color w:val="auto"/>
          <w:highlight w:val="none"/>
          <w:u w:val="single"/>
        </w:rPr>
        <w:t>承包人应在开工前7日内，提交详细的施工组织设计，并报送监理人和发包人</w:t>
      </w:r>
      <w:r>
        <w:rPr>
          <w:rFonts w:hint="eastAsia" w:hAnsi="宋体" w:cs="宋体"/>
          <w:color w:val="auto"/>
          <w:highlight w:val="none"/>
        </w:rPr>
        <w:t>。</w:t>
      </w:r>
    </w:p>
    <w:p w14:paraId="29A05481">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color w:val="auto"/>
          <w:highlight w:val="none"/>
          <w:u w:val="single"/>
        </w:rPr>
        <w:t>收到详细施工组织设计后14天内确定或提出修改意见。对监理人和发包人提出合理意见和要求，承包人应自行修改完善</w:t>
      </w:r>
      <w:r>
        <w:rPr>
          <w:rFonts w:hint="eastAsia" w:hAnsi="宋体" w:cs="宋体"/>
          <w:color w:val="auto"/>
          <w:highlight w:val="none"/>
        </w:rPr>
        <w:t>。</w:t>
      </w:r>
    </w:p>
    <w:p w14:paraId="4CB0ECED">
      <w:pPr>
        <w:pStyle w:val="4"/>
        <w:pageBreakBefore w:val="0"/>
        <w:widowControl w:val="0"/>
        <w:kinsoku/>
        <w:wordWrap/>
        <w:overflowPunct/>
        <w:topLinePunct w:val="0"/>
        <w:bidi w:val="0"/>
        <w:spacing w:before="0" w:after="0" w:line="360" w:lineRule="auto"/>
        <w:textAlignment w:val="auto"/>
        <w:rPr>
          <w:color w:val="auto"/>
          <w:highlight w:val="none"/>
        </w:rPr>
      </w:pPr>
      <w:bookmarkStart w:id="492" w:name="_Toc407135226"/>
      <w:bookmarkStart w:id="493" w:name="_Toc78449812"/>
      <w:bookmarkStart w:id="494" w:name="_Toc1393005721"/>
      <w:bookmarkStart w:id="495" w:name="_Toc389065290"/>
      <w:bookmarkStart w:id="496" w:name="_Toc373227724"/>
      <w:bookmarkStart w:id="497" w:name="_Toc1674747833"/>
      <w:bookmarkStart w:id="498" w:name="_Toc373478371"/>
      <w:r>
        <w:rPr>
          <w:color w:val="auto"/>
          <w:highlight w:val="none"/>
        </w:rPr>
        <w:t>7</w:t>
      </w:r>
      <w:bookmarkStart w:id="499" w:name="_Toc297216173"/>
      <w:bookmarkStart w:id="500" w:name="_Toc303539123"/>
      <w:bookmarkStart w:id="501" w:name="_Toc312677479"/>
      <w:bookmarkStart w:id="502" w:name="_Toc300934966"/>
      <w:bookmarkStart w:id="503" w:name="_Toc312678005"/>
      <w:bookmarkStart w:id="504" w:name="_Toc297123514"/>
      <w:bookmarkStart w:id="505" w:name="_Toc304295541"/>
      <w:r>
        <w:rPr>
          <w:color w:val="auto"/>
          <w:highlight w:val="none"/>
        </w:rPr>
        <w:t xml:space="preserve">.2 </w:t>
      </w:r>
      <w:r>
        <w:rPr>
          <w:rFonts w:hint="eastAsia" w:cs="黑体"/>
          <w:color w:val="auto"/>
          <w:highlight w:val="none"/>
        </w:rPr>
        <w:t>施工进度计划</w:t>
      </w:r>
      <w:bookmarkEnd w:id="492"/>
      <w:bookmarkEnd w:id="493"/>
      <w:bookmarkEnd w:id="494"/>
      <w:bookmarkEnd w:id="495"/>
      <w:bookmarkEnd w:id="496"/>
      <w:bookmarkEnd w:id="497"/>
      <w:bookmarkEnd w:id="498"/>
    </w:p>
    <w:p w14:paraId="0EF25B1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7.2.2 </w:t>
      </w:r>
      <w:r>
        <w:rPr>
          <w:rFonts w:hint="eastAsia" w:hAnsi="宋体" w:cs="宋体"/>
          <w:color w:val="auto"/>
          <w:highlight w:val="none"/>
        </w:rPr>
        <w:t>施工进度计划的修订</w:t>
      </w:r>
    </w:p>
    <w:p w14:paraId="157990E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发包人和监理人在收到修订的施工进度计划后确认或提出修改意见的期限：</w:t>
      </w:r>
      <w:r>
        <w:rPr>
          <w:rFonts w:hint="eastAsia"/>
          <w:color w:val="auto"/>
          <w:highlight w:val="none"/>
          <w:u w:val="single"/>
        </w:rPr>
        <w:t>承包人应在开工前7日编制详细的施工进度计划和施工方案说明报送监理人和发包人，其内容包括：施工组织设计、专项方案、项目人员配备表等。监理人和发包人应在14天内批复或提出修改意见，否则该进度计划视为已得到批准。经监理人和发包人批准的施工进度计划称施工进度计划，是控制合同工程进度的依据。承包人还应根据合同进度计划，编制更为详细的分阶段或分项进度计划，报监理人和发包人审批</w:t>
      </w:r>
      <w:r>
        <w:rPr>
          <w:rFonts w:hint="eastAsia" w:hAnsi="宋体" w:cs="宋体"/>
          <w:color w:val="auto"/>
          <w:highlight w:val="none"/>
        </w:rPr>
        <w:t>。</w:t>
      </w:r>
    </w:p>
    <w:p w14:paraId="5F070480">
      <w:pPr>
        <w:pStyle w:val="4"/>
        <w:pageBreakBefore w:val="0"/>
        <w:widowControl w:val="0"/>
        <w:kinsoku/>
        <w:wordWrap/>
        <w:overflowPunct/>
        <w:topLinePunct w:val="0"/>
        <w:bidi w:val="0"/>
        <w:spacing w:before="0" w:after="0" w:line="360" w:lineRule="auto"/>
        <w:textAlignment w:val="auto"/>
        <w:rPr>
          <w:color w:val="auto"/>
          <w:highlight w:val="none"/>
        </w:rPr>
      </w:pPr>
      <w:bookmarkStart w:id="506" w:name="_Toc1498273563"/>
      <w:bookmarkStart w:id="507" w:name="_Toc389065291"/>
      <w:bookmarkStart w:id="508" w:name="_Toc423062567"/>
      <w:bookmarkStart w:id="509" w:name="_Toc373227725"/>
      <w:bookmarkStart w:id="510" w:name="_Toc407135227"/>
      <w:bookmarkStart w:id="511" w:name="_Toc78449813"/>
      <w:bookmarkStart w:id="512" w:name="_Toc373478372"/>
      <w:r>
        <w:rPr>
          <w:color w:val="auto"/>
          <w:highlight w:val="none"/>
        </w:rPr>
        <w:t xml:space="preserve">7.3 </w:t>
      </w:r>
      <w:r>
        <w:rPr>
          <w:rFonts w:hint="eastAsia" w:cs="黑体"/>
          <w:color w:val="auto"/>
          <w:highlight w:val="none"/>
        </w:rPr>
        <w:t>开工</w:t>
      </w:r>
      <w:bookmarkEnd w:id="506"/>
      <w:bookmarkEnd w:id="507"/>
      <w:bookmarkEnd w:id="508"/>
      <w:bookmarkEnd w:id="509"/>
      <w:bookmarkEnd w:id="510"/>
      <w:bookmarkEnd w:id="511"/>
      <w:bookmarkEnd w:id="512"/>
    </w:p>
    <w:p w14:paraId="357511EB">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7.3.1 </w:t>
      </w:r>
      <w:r>
        <w:rPr>
          <w:rFonts w:hint="eastAsia" w:hAnsi="宋体" w:cs="宋体"/>
          <w:color w:val="auto"/>
          <w:highlight w:val="none"/>
        </w:rPr>
        <w:t>开工准备</w:t>
      </w:r>
    </w:p>
    <w:p w14:paraId="6C462DDC">
      <w:pPr>
        <w:pageBreakBefore w:val="0"/>
        <w:widowControl w:val="0"/>
        <w:kinsoku/>
        <w:wordWrap/>
        <w:overflowPunct/>
        <w:topLinePunct w:val="0"/>
        <w:bidi w:val="0"/>
        <w:spacing w:line="360" w:lineRule="auto"/>
        <w:ind w:firstLine="426"/>
        <w:jc w:val="left"/>
        <w:textAlignment w:val="auto"/>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rFonts w:hint="eastAsia"/>
          <w:color w:val="auto"/>
          <w:highlight w:val="none"/>
          <w:u w:val="single"/>
        </w:rPr>
        <w:t>按审批的施工组织设计约定的期限</w:t>
      </w:r>
      <w:r>
        <w:rPr>
          <w:rFonts w:hint="eastAsia" w:hAnsi="宋体" w:cs="宋体"/>
          <w:color w:val="auto"/>
          <w:highlight w:val="none"/>
        </w:rPr>
        <w:t>。</w:t>
      </w:r>
    </w:p>
    <w:p w14:paraId="0F2547D8">
      <w:pPr>
        <w:pageBreakBefore w:val="0"/>
        <w:widowControl w:val="0"/>
        <w:kinsoku/>
        <w:wordWrap/>
        <w:overflowPunct/>
        <w:topLinePunct w:val="0"/>
        <w:bidi w:val="0"/>
        <w:spacing w:line="360" w:lineRule="auto"/>
        <w:ind w:firstLine="426"/>
        <w:jc w:val="left"/>
        <w:textAlignment w:val="auto"/>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①开工前14天完成施工现场“三通一平”工作，并满足施工要求；②开工前7天内发包人确定施工用水、用电接入点；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Pr>
          <w:rFonts w:hint="eastAsia" w:hAnsi="宋体" w:cs="宋体"/>
          <w:color w:val="auto"/>
          <w:highlight w:val="none"/>
        </w:rPr>
        <w:t>。</w:t>
      </w:r>
    </w:p>
    <w:p w14:paraId="4B2DF467">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开工前7天</w:t>
      </w:r>
      <w:r>
        <w:rPr>
          <w:rFonts w:hint="eastAsia" w:hAnsi="宋体" w:cs="宋体"/>
          <w:color w:val="auto"/>
          <w:highlight w:val="none"/>
        </w:rPr>
        <w:t>。</w:t>
      </w:r>
    </w:p>
    <w:p w14:paraId="771622D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7.3.2 </w:t>
      </w:r>
      <w:r>
        <w:rPr>
          <w:rFonts w:hint="eastAsia" w:hAnsi="宋体" w:cs="宋体"/>
          <w:color w:val="auto"/>
          <w:highlight w:val="none"/>
        </w:rPr>
        <w:t>开工通知</w:t>
      </w:r>
    </w:p>
    <w:p w14:paraId="0B6009BD">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499"/>
    <w:bookmarkEnd w:id="500"/>
    <w:bookmarkEnd w:id="501"/>
    <w:bookmarkEnd w:id="502"/>
    <w:bookmarkEnd w:id="503"/>
    <w:bookmarkEnd w:id="504"/>
    <w:bookmarkEnd w:id="505"/>
    <w:p w14:paraId="42BBA4EE">
      <w:pPr>
        <w:pStyle w:val="4"/>
        <w:pageBreakBefore w:val="0"/>
        <w:widowControl w:val="0"/>
        <w:kinsoku/>
        <w:wordWrap/>
        <w:overflowPunct/>
        <w:topLinePunct w:val="0"/>
        <w:bidi w:val="0"/>
        <w:spacing w:before="0" w:after="0" w:line="360" w:lineRule="auto"/>
        <w:textAlignment w:val="auto"/>
        <w:rPr>
          <w:color w:val="auto"/>
          <w:highlight w:val="none"/>
        </w:rPr>
      </w:pPr>
      <w:bookmarkStart w:id="513" w:name="_Toc389065292"/>
      <w:bookmarkStart w:id="514" w:name="_Toc86855608"/>
      <w:bookmarkStart w:id="515" w:name="_Toc741356765"/>
      <w:bookmarkStart w:id="516" w:name="_Toc407135228"/>
      <w:bookmarkStart w:id="517" w:name="_Toc373227726"/>
      <w:bookmarkStart w:id="518" w:name="_Toc373478373"/>
      <w:bookmarkStart w:id="519" w:name="_Toc78449814"/>
      <w:r>
        <w:rPr>
          <w:color w:val="auto"/>
          <w:highlight w:val="none"/>
        </w:rPr>
        <w:t xml:space="preserve">7.4 </w:t>
      </w:r>
      <w:r>
        <w:rPr>
          <w:rFonts w:hint="eastAsia" w:hAnsi="宋体" w:cs="黑体"/>
          <w:color w:val="auto"/>
          <w:highlight w:val="none"/>
        </w:rPr>
        <w:t>测量放线</w:t>
      </w:r>
      <w:bookmarkEnd w:id="513"/>
      <w:bookmarkEnd w:id="514"/>
      <w:bookmarkEnd w:id="515"/>
      <w:bookmarkEnd w:id="516"/>
      <w:bookmarkEnd w:id="517"/>
      <w:bookmarkEnd w:id="518"/>
      <w:bookmarkEnd w:id="519"/>
    </w:p>
    <w:p w14:paraId="2017AF03">
      <w:pPr>
        <w:pageBreakBefore w:val="0"/>
        <w:widowControl w:val="0"/>
        <w:kinsoku/>
        <w:wordWrap/>
        <w:overflowPunct/>
        <w:topLinePunct w:val="0"/>
        <w:bidi w:val="0"/>
        <w:spacing w:line="360" w:lineRule="auto"/>
        <w:jc w:val="left"/>
        <w:textAlignment w:val="auto"/>
        <w:rPr>
          <w:color w:val="auto"/>
          <w:highlight w:val="none"/>
          <w:u w:val="singl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r>
        <w:rPr>
          <w:rFonts w:hint="eastAsia" w:hAnsi="宋体"/>
          <w:color w:val="auto"/>
          <w:highlight w:val="none"/>
          <w:u w:val="single"/>
        </w:rPr>
        <w:t>开工前7天，发包人用书面形式交给承包人。承包人应根据国家测绘基准、测绘系统和工程测量技术规范，按上述基准点（线）以及合同工程精度要求，测设施工控制网，并在7个工作日期限内，将施工控制网资料报送监理人审批</w:t>
      </w:r>
      <w:r>
        <w:rPr>
          <w:rFonts w:hint="eastAsia" w:hAnsi="宋体" w:cs="宋体"/>
          <w:color w:val="auto"/>
          <w:highlight w:val="none"/>
        </w:rPr>
        <w:t>。</w:t>
      </w:r>
    </w:p>
    <w:p w14:paraId="3C266FCF">
      <w:pPr>
        <w:pStyle w:val="4"/>
        <w:pageBreakBefore w:val="0"/>
        <w:widowControl w:val="0"/>
        <w:kinsoku/>
        <w:wordWrap/>
        <w:overflowPunct/>
        <w:topLinePunct w:val="0"/>
        <w:bidi w:val="0"/>
        <w:spacing w:before="0" w:after="0" w:line="360" w:lineRule="auto"/>
        <w:textAlignment w:val="auto"/>
        <w:rPr>
          <w:color w:val="auto"/>
          <w:highlight w:val="none"/>
        </w:rPr>
      </w:pPr>
      <w:bookmarkStart w:id="520" w:name="_Toc1863025072"/>
      <w:bookmarkStart w:id="521" w:name="_Toc407135229"/>
      <w:bookmarkStart w:id="522" w:name="_Toc78449815"/>
      <w:bookmarkStart w:id="523" w:name="_Toc389065293"/>
      <w:bookmarkStart w:id="524" w:name="_Toc373227727"/>
      <w:bookmarkStart w:id="525" w:name="_Toc1417437583"/>
      <w:bookmarkStart w:id="526" w:name="_Toc373478374"/>
      <w:r>
        <w:rPr>
          <w:color w:val="auto"/>
          <w:highlight w:val="none"/>
        </w:rPr>
        <w:t>7</w:t>
      </w:r>
      <w:bookmarkStart w:id="527" w:name="_Toc297216175"/>
      <w:bookmarkStart w:id="528" w:name="_Toc304295546"/>
      <w:bookmarkStart w:id="529" w:name="_Toc303539125"/>
      <w:bookmarkStart w:id="530" w:name="_Toc312677484"/>
      <w:bookmarkStart w:id="531" w:name="_Toc297123516"/>
      <w:bookmarkStart w:id="532" w:name="_Toc312678010"/>
      <w:bookmarkStart w:id="533" w:name="_Toc300934968"/>
      <w:r>
        <w:rPr>
          <w:color w:val="auto"/>
          <w:highlight w:val="none"/>
        </w:rPr>
        <w:t xml:space="preserve">.5 </w:t>
      </w:r>
      <w:r>
        <w:rPr>
          <w:rFonts w:hint="eastAsia" w:hAnsi="宋体" w:cs="黑体"/>
          <w:color w:val="auto"/>
          <w:highlight w:val="none"/>
        </w:rPr>
        <w:t>工期延误</w:t>
      </w:r>
      <w:bookmarkEnd w:id="520"/>
      <w:bookmarkEnd w:id="521"/>
      <w:bookmarkEnd w:id="522"/>
      <w:bookmarkEnd w:id="523"/>
      <w:bookmarkEnd w:id="524"/>
      <w:bookmarkEnd w:id="525"/>
      <w:bookmarkEnd w:id="526"/>
    </w:p>
    <w:bookmarkEnd w:id="527"/>
    <w:bookmarkEnd w:id="528"/>
    <w:bookmarkEnd w:id="529"/>
    <w:bookmarkEnd w:id="530"/>
    <w:bookmarkEnd w:id="531"/>
    <w:bookmarkEnd w:id="532"/>
    <w:bookmarkEnd w:id="533"/>
    <w:p w14:paraId="46DB1BA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0A8DABA5">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14:paraId="023B8FDB">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7</w:t>
      </w:r>
      <w:bookmarkStart w:id="534" w:name="_Toc312677486"/>
      <w:bookmarkStart w:id="535" w:name="_Toc318581169"/>
      <w:bookmarkStart w:id="536" w:name="_Toc312678012"/>
      <w:bookmarkStart w:id="537" w:name="_Toc300934970"/>
      <w:bookmarkStart w:id="538" w:name="_Toc297216177"/>
      <w:bookmarkStart w:id="539" w:name="_Toc303539127"/>
      <w:bookmarkStart w:id="540" w:name="_Toc297123518"/>
      <w:bookmarkStart w:id="541" w:name="_Toc304295548"/>
      <w:r>
        <w:rPr>
          <w:color w:val="auto"/>
          <w:highlight w:val="none"/>
        </w:rPr>
        <w:t xml:space="preserve">.5.2 </w:t>
      </w:r>
      <w:r>
        <w:rPr>
          <w:rFonts w:hint="eastAsia" w:hAnsi="宋体" w:cs="宋体"/>
          <w:color w:val="auto"/>
          <w:highlight w:val="none"/>
        </w:rPr>
        <w:t>因承包人原因导致工期延误</w:t>
      </w:r>
    </w:p>
    <w:bookmarkEnd w:id="534"/>
    <w:bookmarkEnd w:id="535"/>
    <w:bookmarkEnd w:id="536"/>
    <w:p w14:paraId="3155503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双方约定经监理工程师确认，工期相应顺延的情况：</w:t>
      </w:r>
      <w:r>
        <w:rPr>
          <w:rFonts w:hint="eastAsia"/>
          <w:color w:val="auto"/>
          <w:highlight w:val="none"/>
          <w:u w:val="single"/>
        </w:rPr>
        <w:t>不可抗力的原因</w:t>
      </w:r>
      <w:r>
        <w:rPr>
          <w:rFonts w:hint="eastAsia" w:hAnsi="宋体" w:cs="宋体"/>
          <w:color w:val="auto"/>
          <w:highlight w:val="none"/>
        </w:rPr>
        <w:t>。</w:t>
      </w:r>
    </w:p>
    <w:p w14:paraId="151DC987">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因</w:t>
      </w:r>
      <w:bookmarkStart w:id="542" w:name="_Toc312678013"/>
      <w:bookmarkStart w:id="543" w:name="_Toc318581170"/>
      <w:bookmarkStart w:id="544" w:name="_Toc312677487"/>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537"/>
      <w:bookmarkEnd w:id="538"/>
      <w:bookmarkEnd w:id="539"/>
      <w:bookmarkEnd w:id="540"/>
      <w:bookmarkEnd w:id="541"/>
      <w:bookmarkEnd w:id="542"/>
      <w:bookmarkEnd w:id="543"/>
      <w:bookmarkEnd w:id="544"/>
      <w:r>
        <w:rPr>
          <w:rFonts w:hint="eastAsia" w:hAnsi="宋体" w:cs="宋体"/>
          <w:color w:val="auto"/>
          <w:highlight w:val="none"/>
        </w:rPr>
        <w:t>因承包人原因造成工期延误，逾</w:t>
      </w:r>
      <w:bookmarkStart w:id="545" w:name="_Toc318581171"/>
      <w:bookmarkStart w:id="546"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color w:val="auto"/>
          <w:highlight w:val="none"/>
          <w:u w:val="single"/>
        </w:rPr>
        <w:t xml:space="preserve">    %</w:t>
      </w:r>
      <w:r>
        <w:rPr>
          <w:rFonts w:hint="eastAsia" w:hAnsi="宋体" w:cs="宋体"/>
          <w:color w:val="auto"/>
          <w:highlight w:val="none"/>
        </w:rPr>
        <w:t>。</w:t>
      </w:r>
    </w:p>
    <w:bookmarkEnd w:id="545"/>
    <w:bookmarkEnd w:id="546"/>
    <w:p w14:paraId="2E6A10D2">
      <w:pPr>
        <w:pStyle w:val="4"/>
        <w:pageBreakBefore w:val="0"/>
        <w:widowControl w:val="0"/>
        <w:kinsoku/>
        <w:wordWrap/>
        <w:overflowPunct/>
        <w:topLinePunct w:val="0"/>
        <w:bidi w:val="0"/>
        <w:spacing w:before="0" w:after="0" w:line="360" w:lineRule="auto"/>
        <w:textAlignment w:val="auto"/>
        <w:rPr>
          <w:color w:val="auto"/>
          <w:highlight w:val="none"/>
        </w:rPr>
      </w:pPr>
      <w:bookmarkStart w:id="547" w:name="_Toc373227728"/>
      <w:bookmarkStart w:id="548" w:name="_Toc1954543271"/>
      <w:bookmarkStart w:id="549" w:name="_Toc888037017"/>
      <w:bookmarkStart w:id="550" w:name="_Toc373478375"/>
      <w:bookmarkStart w:id="551" w:name="_Toc78449816"/>
      <w:bookmarkStart w:id="552" w:name="_Toc389065294"/>
      <w:bookmarkStart w:id="553" w:name="_Toc407135230"/>
      <w:r>
        <w:rPr>
          <w:color w:val="auto"/>
          <w:highlight w:val="none"/>
        </w:rPr>
        <w:t>7</w:t>
      </w:r>
      <w:bookmarkStart w:id="554" w:name="_Toc297123519"/>
      <w:bookmarkStart w:id="555" w:name="_Toc312678015"/>
      <w:bookmarkStart w:id="556" w:name="_Toc297216178"/>
      <w:bookmarkStart w:id="557" w:name="_Toc304295549"/>
      <w:bookmarkStart w:id="558" w:name="_Toc300934971"/>
      <w:bookmarkStart w:id="559" w:name="_Toc303539128"/>
      <w:r>
        <w:rPr>
          <w:color w:val="auto"/>
          <w:highlight w:val="none"/>
        </w:rPr>
        <w:t xml:space="preserve">.6 </w:t>
      </w:r>
      <w:r>
        <w:rPr>
          <w:rFonts w:hint="eastAsia" w:cs="黑体"/>
          <w:color w:val="auto"/>
          <w:highlight w:val="none"/>
        </w:rPr>
        <w:t>不</w:t>
      </w:r>
      <w:bookmarkEnd w:id="554"/>
      <w:bookmarkEnd w:id="555"/>
      <w:bookmarkEnd w:id="556"/>
      <w:bookmarkEnd w:id="557"/>
      <w:bookmarkEnd w:id="558"/>
      <w:bookmarkEnd w:id="559"/>
      <w:r>
        <w:rPr>
          <w:rFonts w:hint="eastAsia" w:cs="黑体"/>
          <w:color w:val="auto"/>
          <w:highlight w:val="none"/>
        </w:rPr>
        <w:t>利物质条件</w:t>
      </w:r>
      <w:bookmarkEnd w:id="547"/>
      <w:bookmarkEnd w:id="548"/>
      <w:bookmarkEnd w:id="549"/>
      <w:bookmarkEnd w:id="550"/>
      <w:bookmarkEnd w:id="551"/>
      <w:bookmarkEnd w:id="552"/>
      <w:bookmarkEnd w:id="553"/>
    </w:p>
    <w:p w14:paraId="55069CF2">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bookmarkStart w:id="560" w:name="_Toc318581172"/>
      <w:bookmarkStart w:id="561" w:name="_Toc297216179"/>
      <w:bookmarkStart w:id="562" w:name="_Toc300934972"/>
      <w:bookmarkStart w:id="563" w:name="_Toc312678016"/>
      <w:bookmarkStart w:id="564" w:name="_Toc304295550"/>
      <w:bookmarkStart w:id="565" w:name="_Toc297123520"/>
      <w:bookmarkStart w:id="566" w:name="_Toc303539129"/>
      <w:r>
        <w:rPr>
          <w:rFonts w:hint="eastAsia" w:hAnsi="宋体" w:cs="宋体"/>
          <w:color w:val="auto"/>
          <w:highlight w:val="none"/>
        </w:rPr>
        <w:t>不利物质条件的其他情形和有关约定：</w:t>
      </w:r>
      <w:r>
        <w:rPr>
          <w:rFonts w:hint="eastAsia"/>
          <w:color w:val="auto"/>
          <w:highlight w:val="none"/>
          <w:u w:val="single"/>
        </w:rPr>
        <w:t>因不利物质条件的原因导致承包人暂停施工的，由监理方确认是否给予工期顺延或费用补偿</w:t>
      </w:r>
      <w:r>
        <w:rPr>
          <w:rFonts w:hint="eastAsia" w:hAnsi="宋体" w:cs="宋体"/>
          <w:color w:val="auto"/>
          <w:highlight w:val="none"/>
        </w:rPr>
        <w:t>。</w:t>
      </w:r>
    </w:p>
    <w:bookmarkEnd w:id="560"/>
    <w:bookmarkEnd w:id="561"/>
    <w:bookmarkEnd w:id="562"/>
    <w:bookmarkEnd w:id="563"/>
    <w:bookmarkEnd w:id="564"/>
    <w:bookmarkEnd w:id="565"/>
    <w:bookmarkEnd w:id="566"/>
    <w:p w14:paraId="1113F234">
      <w:pPr>
        <w:pStyle w:val="4"/>
        <w:pageBreakBefore w:val="0"/>
        <w:widowControl w:val="0"/>
        <w:kinsoku/>
        <w:wordWrap/>
        <w:overflowPunct/>
        <w:topLinePunct w:val="0"/>
        <w:bidi w:val="0"/>
        <w:spacing w:before="0" w:after="0" w:line="360" w:lineRule="auto"/>
        <w:textAlignment w:val="auto"/>
        <w:rPr>
          <w:color w:val="auto"/>
          <w:highlight w:val="none"/>
        </w:rPr>
      </w:pPr>
      <w:bookmarkStart w:id="567" w:name="_Toc78449817"/>
      <w:bookmarkStart w:id="568" w:name="_Toc373478376"/>
      <w:bookmarkStart w:id="569" w:name="_Toc373227729"/>
      <w:bookmarkStart w:id="570" w:name="_Toc2031116443"/>
      <w:bookmarkStart w:id="571" w:name="_Toc407135231"/>
      <w:bookmarkStart w:id="572" w:name="_Toc851880484"/>
      <w:bookmarkStart w:id="573" w:name="_Toc389065295"/>
      <w:r>
        <w:rPr>
          <w:color w:val="auto"/>
          <w:highlight w:val="none"/>
        </w:rPr>
        <w:t>7</w:t>
      </w:r>
      <w:bookmarkStart w:id="574" w:name="_Toc304295551"/>
      <w:bookmarkStart w:id="575" w:name="_Toc300934973"/>
      <w:bookmarkStart w:id="576" w:name="_Toc312678017"/>
      <w:bookmarkStart w:id="577" w:name="_Toc297123521"/>
      <w:bookmarkStart w:id="578" w:name="_Toc303539130"/>
      <w:bookmarkStart w:id="579" w:name="_Toc297216180"/>
      <w:r>
        <w:rPr>
          <w:color w:val="auto"/>
          <w:highlight w:val="none"/>
        </w:rPr>
        <w:t xml:space="preserve">.7 </w:t>
      </w:r>
      <w:r>
        <w:rPr>
          <w:rFonts w:hint="eastAsia" w:cs="黑体"/>
          <w:color w:val="auto"/>
          <w:highlight w:val="none"/>
        </w:rPr>
        <w:t>异常恶劣的气候条件</w:t>
      </w:r>
      <w:bookmarkEnd w:id="567"/>
      <w:bookmarkEnd w:id="568"/>
      <w:bookmarkEnd w:id="569"/>
      <w:bookmarkEnd w:id="570"/>
      <w:bookmarkEnd w:id="571"/>
      <w:bookmarkEnd w:id="572"/>
      <w:bookmarkEnd w:id="573"/>
    </w:p>
    <w:bookmarkEnd w:id="574"/>
    <w:bookmarkEnd w:id="575"/>
    <w:bookmarkEnd w:id="576"/>
    <w:bookmarkEnd w:id="577"/>
    <w:bookmarkEnd w:id="578"/>
    <w:bookmarkEnd w:id="579"/>
    <w:p w14:paraId="6419CAF7">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发包人和承包人同意以下情形视为异常恶劣的气候条件：</w:t>
      </w:r>
    </w:p>
    <w:p w14:paraId="222078C8">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（1）5级以上的地震；</w:t>
      </w:r>
    </w:p>
    <w:p w14:paraId="328EF1E9">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（2）6级以上的大风；</w:t>
      </w:r>
    </w:p>
    <w:p w14:paraId="646A99A7">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（3）60mm以上持续4小时及以上的大雨；</w:t>
      </w:r>
    </w:p>
    <w:p w14:paraId="4EDA1FA7">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（4）日最高温度40℃以上的高温天气；</w:t>
      </w:r>
    </w:p>
    <w:p w14:paraId="24A34FB8">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（5）50年以上未发生过的严寒天气；</w:t>
      </w:r>
    </w:p>
    <w:p w14:paraId="3F493D7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（6）50年以上未发生过的洪水。</w:t>
      </w:r>
    </w:p>
    <w:p w14:paraId="509D401C">
      <w:pPr>
        <w:pStyle w:val="4"/>
        <w:pageBreakBefore w:val="0"/>
        <w:widowControl w:val="0"/>
        <w:kinsoku/>
        <w:wordWrap/>
        <w:overflowPunct/>
        <w:topLinePunct w:val="0"/>
        <w:bidi w:val="0"/>
        <w:spacing w:before="0" w:after="0" w:line="360" w:lineRule="auto"/>
        <w:textAlignment w:val="auto"/>
        <w:rPr>
          <w:color w:val="auto"/>
          <w:highlight w:val="none"/>
          <w:lang w:val="en-US"/>
        </w:rPr>
      </w:pPr>
      <w:bookmarkStart w:id="580" w:name="_Toc657185480"/>
      <w:bookmarkStart w:id="581" w:name="_Toc373227730"/>
      <w:bookmarkStart w:id="582" w:name="_Toc407135232"/>
      <w:bookmarkStart w:id="583" w:name="_Toc373478377"/>
      <w:bookmarkStart w:id="584" w:name="_Toc389065296"/>
      <w:bookmarkStart w:id="585" w:name="_Toc2087373611"/>
      <w:bookmarkStart w:id="586" w:name="_Toc78449818"/>
      <w:r>
        <w:rPr>
          <w:color w:val="auto"/>
          <w:highlight w:val="none"/>
          <w:lang w:val="en-US"/>
        </w:rPr>
        <w:t xml:space="preserve">7.9 </w:t>
      </w:r>
      <w:r>
        <w:rPr>
          <w:rFonts w:hint="eastAsia" w:hAnsi="宋体" w:cs="黑体"/>
          <w:color w:val="auto"/>
          <w:highlight w:val="none"/>
        </w:rPr>
        <w:t>提前竣工</w:t>
      </w:r>
      <w:bookmarkEnd w:id="580"/>
      <w:bookmarkEnd w:id="581"/>
      <w:bookmarkEnd w:id="582"/>
      <w:bookmarkEnd w:id="583"/>
      <w:bookmarkEnd w:id="584"/>
      <w:bookmarkEnd w:id="585"/>
      <w:bookmarkEnd w:id="586"/>
    </w:p>
    <w:p w14:paraId="1EE5B06C">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hint="eastAsia"/>
          <w:color w:val="auto"/>
          <w:highlight w:val="none"/>
          <w:u w:val="single"/>
        </w:rPr>
        <w:t>无</w:t>
      </w:r>
      <w:r>
        <w:rPr>
          <w:rFonts w:hint="eastAsia" w:hAnsi="宋体" w:cs="宋体"/>
          <w:color w:val="auto"/>
          <w:highlight w:val="none"/>
        </w:rPr>
        <w:t>。</w:t>
      </w:r>
    </w:p>
    <w:p w14:paraId="1A45C497">
      <w:pPr>
        <w:pStyle w:val="3"/>
        <w:pageBreakBefore w:val="0"/>
        <w:widowControl w:val="0"/>
        <w:kinsoku/>
        <w:wordWrap/>
        <w:overflowPunct/>
        <w:topLinePunct w:val="0"/>
        <w:bidi w:val="0"/>
        <w:spacing w:before="0" w:after="0" w:line="360" w:lineRule="auto"/>
        <w:textAlignment w:val="auto"/>
        <w:rPr>
          <w:color w:val="auto"/>
          <w:highlight w:val="none"/>
        </w:rPr>
      </w:pPr>
      <w:bookmarkStart w:id="587" w:name="_Toc407135233"/>
      <w:bookmarkStart w:id="588" w:name="_Toc1302158431"/>
      <w:bookmarkStart w:id="589" w:name="_Toc1400878670"/>
      <w:bookmarkStart w:id="590" w:name="_Toc351203640"/>
      <w:bookmarkStart w:id="591" w:name="_Toc389065297"/>
      <w:bookmarkStart w:id="592" w:name="_Toc78449819"/>
      <w:bookmarkStart w:id="593" w:name="_Toc373227731"/>
      <w:bookmarkStart w:id="594" w:name="_Toc373478378"/>
      <w:r>
        <w:rPr>
          <w:color w:val="auto"/>
          <w:highlight w:val="none"/>
        </w:rPr>
        <w:t xml:space="preserve">8. </w:t>
      </w:r>
      <w:r>
        <w:rPr>
          <w:rFonts w:hint="eastAsia" w:cs="黑体"/>
          <w:color w:val="auto"/>
          <w:highlight w:val="none"/>
        </w:rPr>
        <w:t>材料与设备</w:t>
      </w:r>
      <w:bookmarkEnd w:id="587"/>
      <w:bookmarkEnd w:id="588"/>
      <w:bookmarkEnd w:id="589"/>
      <w:bookmarkEnd w:id="590"/>
      <w:bookmarkEnd w:id="591"/>
      <w:bookmarkEnd w:id="592"/>
      <w:bookmarkEnd w:id="593"/>
      <w:bookmarkEnd w:id="594"/>
    </w:p>
    <w:bookmarkEnd w:id="431"/>
    <w:bookmarkEnd w:id="432"/>
    <w:bookmarkEnd w:id="433"/>
    <w:bookmarkEnd w:id="434"/>
    <w:bookmarkEnd w:id="435"/>
    <w:bookmarkEnd w:id="436"/>
    <w:bookmarkEnd w:id="437"/>
    <w:bookmarkEnd w:id="438"/>
    <w:bookmarkEnd w:id="439"/>
    <w:bookmarkEnd w:id="440"/>
    <w:p w14:paraId="351FD5F6">
      <w:pPr>
        <w:pStyle w:val="4"/>
        <w:pageBreakBefore w:val="0"/>
        <w:widowControl w:val="0"/>
        <w:kinsoku/>
        <w:wordWrap/>
        <w:overflowPunct/>
        <w:topLinePunct w:val="0"/>
        <w:bidi w:val="0"/>
        <w:spacing w:before="0" w:after="0" w:line="360" w:lineRule="auto"/>
        <w:textAlignment w:val="auto"/>
        <w:rPr>
          <w:color w:val="auto"/>
          <w:highlight w:val="none"/>
        </w:rPr>
      </w:pPr>
      <w:bookmarkStart w:id="595" w:name="_Toc1078610395"/>
      <w:bookmarkStart w:id="596" w:name="_Toc373478379"/>
      <w:bookmarkStart w:id="597" w:name="_Toc373227732"/>
      <w:bookmarkStart w:id="598" w:name="_Toc407135234"/>
      <w:bookmarkStart w:id="599" w:name="_Toc389065298"/>
      <w:bookmarkStart w:id="600" w:name="_Toc1119561048"/>
      <w:bookmarkStart w:id="601" w:name="_Toc78449820"/>
      <w:r>
        <w:rPr>
          <w:color w:val="auto"/>
          <w:highlight w:val="none"/>
        </w:rPr>
        <w:t xml:space="preserve">8.2 </w:t>
      </w:r>
      <w:r>
        <w:rPr>
          <w:rFonts w:hint="eastAsia" w:cs="黑体"/>
          <w:color w:val="auto"/>
          <w:highlight w:val="none"/>
        </w:rPr>
        <w:t>承包人采购材料与工程设备</w:t>
      </w:r>
      <w:bookmarkEnd w:id="595"/>
      <w:bookmarkEnd w:id="596"/>
      <w:bookmarkEnd w:id="597"/>
      <w:bookmarkEnd w:id="598"/>
      <w:bookmarkEnd w:id="599"/>
      <w:bookmarkEnd w:id="600"/>
      <w:bookmarkEnd w:id="601"/>
    </w:p>
    <w:p w14:paraId="28D2CD8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602" w:name="_Toc373227733"/>
      <w:bookmarkStart w:id="603" w:name="_Toc389065299"/>
      <w:bookmarkStart w:id="604" w:name="_Toc373478380"/>
    </w:p>
    <w:p w14:paraId="4C093C3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768CA997">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highlight w:val="none"/>
        </w:rPr>
      </w:pPr>
      <w:r>
        <w:rPr>
          <w:rFonts w:hint="eastAsia"/>
          <w:color w:val="auto"/>
          <w:highlight w:val="none"/>
        </w:rPr>
        <w:t>禁止使用松木、松木包装材料设备、种子、苗木、花卉及繁殖材料。</w:t>
      </w:r>
    </w:p>
    <w:p w14:paraId="240839A4">
      <w:pPr>
        <w:pStyle w:val="4"/>
        <w:pageBreakBefore w:val="0"/>
        <w:widowControl w:val="0"/>
        <w:kinsoku/>
        <w:wordWrap/>
        <w:overflowPunct/>
        <w:topLinePunct w:val="0"/>
        <w:bidi w:val="0"/>
        <w:spacing w:before="0" w:after="0" w:line="360" w:lineRule="auto"/>
        <w:textAlignment w:val="auto"/>
        <w:rPr>
          <w:color w:val="auto"/>
          <w:highlight w:val="none"/>
        </w:rPr>
      </w:pPr>
      <w:bookmarkStart w:id="605" w:name="_Toc78449821"/>
      <w:bookmarkStart w:id="606" w:name="_Toc1355357553"/>
      <w:bookmarkStart w:id="607" w:name="_Toc800965933"/>
      <w:bookmarkStart w:id="608" w:name="_Toc407135235"/>
      <w:r>
        <w:rPr>
          <w:color w:val="auto"/>
          <w:highlight w:val="none"/>
        </w:rPr>
        <w:t>8</w:t>
      </w:r>
      <w:bookmarkStart w:id="609" w:name="_Toc296503167"/>
      <w:bookmarkStart w:id="610" w:name="_Toc303539136"/>
      <w:bookmarkStart w:id="611" w:name="_Toc292559877"/>
      <w:bookmarkStart w:id="612" w:name="_Toc292559372"/>
      <w:bookmarkStart w:id="613" w:name="_Toc312678019"/>
      <w:bookmarkStart w:id="614" w:name="_Toc297123527"/>
      <w:bookmarkStart w:id="615" w:name="_Toc304295556"/>
      <w:bookmarkStart w:id="616" w:name="_Toc297048353"/>
      <w:bookmarkStart w:id="617" w:name="_Toc312677493"/>
      <w:bookmarkStart w:id="618" w:name="_Toc296346668"/>
      <w:bookmarkStart w:id="619" w:name="_Toc296890995"/>
      <w:bookmarkStart w:id="620" w:name="_Toc280868654"/>
      <w:bookmarkStart w:id="621" w:name="_Toc296891207"/>
      <w:bookmarkStart w:id="622" w:name="_Toc297216186"/>
      <w:bookmarkStart w:id="623" w:name="_Toc296347166"/>
      <w:bookmarkStart w:id="624" w:name="_Toc296944506"/>
      <w:bookmarkStart w:id="625" w:name="_Toc300934979"/>
      <w:bookmarkStart w:id="626" w:name="_Toc297120467"/>
      <w:bookmarkStart w:id="627" w:name="_Toc280868656"/>
      <w:bookmarkStart w:id="628" w:name="_Toc280868655"/>
      <w:bookmarkStart w:id="629" w:name="_Toc267251424"/>
      <w:r>
        <w:rPr>
          <w:color w:val="auto"/>
          <w:highlight w:val="none"/>
        </w:rPr>
        <w:t xml:space="preserve">.4 </w:t>
      </w:r>
      <w:r>
        <w:rPr>
          <w:rFonts w:hint="eastAsia" w:cs="黑体"/>
          <w:color w:val="auto"/>
          <w:highlight w:val="none"/>
        </w:rPr>
        <w:t>材料与工程设备的保管与使用</w:t>
      </w:r>
      <w:bookmarkEnd w:id="602"/>
      <w:bookmarkEnd w:id="603"/>
      <w:bookmarkEnd w:id="604"/>
      <w:bookmarkEnd w:id="605"/>
      <w:bookmarkEnd w:id="606"/>
      <w:bookmarkEnd w:id="607"/>
      <w:bookmarkEnd w:id="608"/>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4E1D6963">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color w:val="auto"/>
          <w:highlight w:val="none"/>
        </w:rPr>
        <w:t>8</w:t>
      </w:r>
      <w:bookmarkStart w:id="630" w:name="_Toc292559878"/>
      <w:bookmarkStart w:id="631" w:name="_Toc292559373"/>
      <w:bookmarkStart w:id="632" w:name="_Toc318581173"/>
      <w:bookmarkStart w:id="633" w:name="_Toc297123528"/>
      <w:bookmarkStart w:id="634" w:name="_Toc296346669"/>
      <w:bookmarkStart w:id="635" w:name="_Toc296890996"/>
      <w:bookmarkStart w:id="636" w:name="_Toc300934980"/>
      <w:bookmarkStart w:id="637" w:name="_Toc303539137"/>
      <w:bookmarkStart w:id="638" w:name="_Toc297120468"/>
      <w:bookmarkStart w:id="639" w:name="_Toc304295557"/>
      <w:bookmarkStart w:id="640" w:name="_Toc297048354"/>
      <w:bookmarkStart w:id="641" w:name="_Toc312677494"/>
      <w:bookmarkStart w:id="642" w:name="_Toc296891208"/>
      <w:bookmarkStart w:id="643" w:name="_Toc296347167"/>
      <w:bookmarkStart w:id="644" w:name="_Toc312678020"/>
      <w:bookmarkStart w:id="645" w:name="_Toc296944507"/>
      <w:bookmarkStart w:id="646" w:name="_Toc297216187"/>
      <w:bookmarkStart w:id="647" w:name="_Toc296503168"/>
      <w:r>
        <w:rPr>
          <w:color w:val="auto"/>
          <w:highlight w:val="none"/>
        </w:rPr>
        <w:t>.4.1</w:t>
      </w:r>
      <w:r>
        <w:rPr>
          <w:rFonts w:hint="eastAsia" w:hAnsi="宋体" w:cs="宋体"/>
          <w:color w:val="auto"/>
          <w:highlight w:val="none"/>
        </w:rPr>
        <w:t>发包人供应的材料设备的保管费用的承担：</w:t>
      </w:r>
      <w:r>
        <w:rPr>
          <w:rFonts w:hint="eastAsia"/>
          <w:color w:val="auto"/>
          <w:highlight w:val="none"/>
          <w:u w:val="single"/>
        </w:rPr>
        <w:t>由发包人供应给承包人施工使用的材料、设备，保管费由承包人承担</w:t>
      </w:r>
      <w:r>
        <w:rPr>
          <w:rFonts w:hint="eastAsia" w:hAnsi="宋体" w:cs="宋体"/>
          <w:color w:val="auto"/>
          <w:highlight w:val="none"/>
        </w:rPr>
        <w:t>。</w:t>
      </w:r>
    </w:p>
    <w:bookmarkEnd w:id="630"/>
    <w:bookmarkEnd w:id="631"/>
    <w:p w14:paraId="4753B7C6">
      <w:pPr>
        <w:pStyle w:val="4"/>
        <w:pageBreakBefore w:val="0"/>
        <w:widowControl w:val="0"/>
        <w:kinsoku/>
        <w:wordWrap/>
        <w:overflowPunct/>
        <w:topLinePunct w:val="0"/>
        <w:bidi w:val="0"/>
        <w:spacing w:before="0" w:after="0" w:line="360" w:lineRule="auto"/>
        <w:textAlignment w:val="auto"/>
        <w:rPr>
          <w:color w:val="auto"/>
          <w:highlight w:val="none"/>
        </w:rPr>
      </w:pPr>
      <w:bookmarkStart w:id="648" w:name="_Toc78449822"/>
      <w:bookmarkStart w:id="649" w:name="_Toc373478381"/>
      <w:bookmarkStart w:id="650" w:name="_Toc373227734"/>
      <w:bookmarkStart w:id="651" w:name="_Toc125914831"/>
      <w:bookmarkStart w:id="652" w:name="_Toc1948522881"/>
      <w:bookmarkStart w:id="653" w:name="_Toc407135236"/>
      <w:bookmarkStart w:id="654" w:name="_Toc389065300"/>
      <w:r>
        <w:rPr>
          <w:color w:val="auto"/>
          <w:highlight w:val="none"/>
        </w:rPr>
        <w:t xml:space="preserve">8.6 </w:t>
      </w:r>
      <w:r>
        <w:rPr>
          <w:rFonts w:hint="eastAsia" w:hAnsi="宋体" w:cs="黑体"/>
          <w:color w:val="auto"/>
          <w:highlight w:val="none"/>
        </w:rPr>
        <w:t>样品</w:t>
      </w:r>
      <w:bookmarkEnd w:id="648"/>
      <w:bookmarkEnd w:id="649"/>
      <w:bookmarkEnd w:id="650"/>
      <w:bookmarkEnd w:id="651"/>
      <w:bookmarkEnd w:id="652"/>
      <w:bookmarkEnd w:id="653"/>
      <w:bookmarkEnd w:id="654"/>
    </w:p>
    <w:p w14:paraId="67DA3A5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1CFF0CD8">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439866C5">
      <w:pPr>
        <w:pStyle w:val="4"/>
        <w:pageBreakBefore w:val="0"/>
        <w:widowControl w:val="0"/>
        <w:kinsoku/>
        <w:wordWrap/>
        <w:overflowPunct/>
        <w:topLinePunct w:val="0"/>
        <w:bidi w:val="0"/>
        <w:spacing w:before="0" w:after="0" w:line="360" w:lineRule="auto"/>
        <w:textAlignment w:val="auto"/>
        <w:rPr>
          <w:color w:val="auto"/>
          <w:highlight w:val="none"/>
        </w:rPr>
      </w:pPr>
      <w:bookmarkStart w:id="655" w:name="_Toc407135237"/>
      <w:bookmarkStart w:id="656" w:name="_Toc373478382"/>
      <w:bookmarkStart w:id="657" w:name="_Toc997640704"/>
      <w:bookmarkStart w:id="658" w:name="_Toc1049576644"/>
      <w:bookmarkStart w:id="659" w:name="_Toc78449823"/>
      <w:bookmarkStart w:id="660" w:name="_Toc373227735"/>
      <w:bookmarkStart w:id="661" w:name="_Toc389065301"/>
      <w:r>
        <w:rPr>
          <w:color w:val="auto"/>
          <w:highlight w:val="none"/>
        </w:rPr>
        <w:t xml:space="preserve">8.8 </w:t>
      </w:r>
      <w:r>
        <w:rPr>
          <w:rFonts w:hint="eastAsia" w:cs="黑体"/>
          <w:color w:val="auto"/>
          <w:highlight w:val="none"/>
        </w:rPr>
        <w:t>施工设备和临时设施</w:t>
      </w:r>
      <w:bookmarkEnd w:id="655"/>
      <w:bookmarkEnd w:id="656"/>
      <w:bookmarkEnd w:id="657"/>
      <w:bookmarkEnd w:id="658"/>
      <w:bookmarkEnd w:id="659"/>
      <w:bookmarkEnd w:id="660"/>
      <w:bookmarkEnd w:id="661"/>
    </w:p>
    <w:p w14:paraId="3F24DF0B">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104B1510">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2A2BC052">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rFonts w:hint="eastAsia" w:hAnsi="宋体" w:cs="宋体"/>
          <w:color w:val="auto"/>
          <w:highlight w:val="none"/>
        </w:rPr>
        <w:t>关于修建临时设施费用承担的约定：</w:t>
      </w:r>
    </w:p>
    <w:p w14:paraId="203A0B20">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olor w:val="auto"/>
          <w:highlight w:val="none"/>
          <w:u w:val="single"/>
        </w:rPr>
      </w:pPr>
      <w:r>
        <w:rPr>
          <w:rFonts w:hint="eastAsia" w:hAnsi="宋体"/>
          <w:color w:val="auto"/>
          <w:highlight w:val="none"/>
          <w:u w:val="single"/>
        </w:rPr>
        <w:t>（1）除专用合同条款另有约定外，承包人的临时用地（含项目部驻地等）租用费（含拆迁补偿）、临时用地的环保、恢复、临时用地的青苗补偿及地面附着物拆除等费用均由承包人负责，费用在投标报价中综合考虑。</w:t>
      </w:r>
    </w:p>
    <w:p w14:paraId="7720DFD8">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olor w:val="auto"/>
          <w:highlight w:val="none"/>
          <w:u w:val="single"/>
        </w:rPr>
      </w:pPr>
      <w:r>
        <w:rPr>
          <w:rFonts w:hint="eastAsia" w:hAnsi="宋体"/>
          <w:color w:val="auto"/>
          <w:highlight w:val="none"/>
          <w:u w:val="single"/>
        </w:rPr>
        <w:t>（2）承包人负责合同实施期间其合同段内临时交通道路（含场内外连接公共交通道路）和交通设施的修建、维修、养护和交通管理工作，并承担一切费用。</w:t>
      </w:r>
    </w:p>
    <w:p w14:paraId="6E07D726">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eastAsia="宋体"/>
          <w:color w:val="auto"/>
          <w:highlight w:val="none"/>
          <w:u w:val="single"/>
          <w:lang w:eastAsia="zh-CN"/>
        </w:rPr>
      </w:pPr>
      <w:r>
        <w:rPr>
          <w:rFonts w:hint="eastAsia" w:hAnsi="宋体"/>
          <w:color w:val="auto"/>
          <w:highlight w:val="none"/>
          <w:u w:val="single"/>
        </w:rPr>
        <w:t>（3）承包人修建的临时道路和交通设施，应免费提供给发包人、监理人和其他合同段的承包人使用，如共同使用的路基损坏严重，发包人或监理人将负责通知有关承包人共同出资修复，若使用频率相差悬殊，则按比例分摊</w:t>
      </w:r>
      <w:r>
        <w:rPr>
          <w:rFonts w:hint="eastAsia" w:hAnsi="宋体"/>
          <w:color w:val="auto"/>
          <w:highlight w:val="none"/>
          <w:u w:val="single"/>
          <w:lang w:eastAsia="zh-CN"/>
        </w:rPr>
        <w:t>。</w:t>
      </w:r>
    </w:p>
    <w:p w14:paraId="115B88B7">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5F3BB79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rFonts w:hint="eastAsia" w:hAnsi="宋体" w:cs="宋体"/>
          <w:color w:val="auto"/>
          <w:highlight w:val="none"/>
        </w:rPr>
        <w:t>发包人提供的施工设备和临时设施：</w:t>
      </w:r>
      <w:r>
        <w:rPr>
          <w:rFonts w:hint="eastAsia"/>
          <w:color w:val="auto"/>
          <w:highlight w:val="none"/>
          <w:u w:val="single"/>
        </w:rPr>
        <w:t>除专用合同条款另有约定的其他独立承包人和监理人指示的他人提供条件外，承包人运入施工场地的所有施工设备以及在施工场地建设的临时设施仅限于用本合同工程，塔吊和井架免费提供给发包人监理工程师用于本工程项目相关配套工程</w:t>
      </w:r>
      <w:r>
        <w:rPr>
          <w:rFonts w:hint="eastAsia" w:hAnsi="宋体" w:cs="宋体"/>
          <w:color w:val="auto"/>
          <w:highlight w:val="none"/>
        </w:rPr>
        <w:t>。</w:t>
      </w:r>
    </w:p>
    <w:p w14:paraId="11DE79E2">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rPr>
      </w:pPr>
      <w:r>
        <w:rPr>
          <w:rFonts w:hint="eastAsia" w:hAnsi="宋体" w:cs="宋体"/>
          <w:color w:val="auto"/>
          <w:highlight w:val="none"/>
        </w:rPr>
        <w:t>发包人提供的施工设备和临时设施的运行、维护、拆除、清运费用的承担人：</w:t>
      </w:r>
      <w:r>
        <w:rPr>
          <w:rFonts w:hint="eastAsia"/>
          <w:color w:val="auto"/>
          <w:highlight w:val="none"/>
          <w:u w:val="single"/>
        </w:rPr>
        <w:t>承包人</w:t>
      </w:r>
      <w:r>
        <w:rPr>
          <w:rFonts w:hint="eastAsia" w:hAnsi="宋体" w:cs="宋体"/>
          <w:color w:val="auto"/>
          <w:highlight w:val="none"/>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541805FB">
      <w:pPr>
        <w:pStyle w:val="3"/>
        <w:pageBreakBefore w:val="0"/>
        <w:widowControl w:val="0"/>
        <w:kinsoku/>
        <w:wordWrap/>
        <w:overflowPunct/>
        <w:topLinePunct w:val="0"/>
        <w:bidi w:val="0"/>
        <w:spacing w:before="0" w:after="0" w:line="360" w:lineRule="auto"/>
        <w:textAlignment w:val="auto"/>
        <w:rPr>
          <w:color w:val="auto"/>
          <w:highlight w:val="none"/>
        </w:rPr>
      </w:pPr>
      <w:bookmarkStart w:id="662" w:name="_Toc2027787496"/>
      <w:bookmarkStart w:id="663" w:name="_Toc2039161841"/>
      <w:bookmarkStart w:id="664" w:name="_Toc389065302"/>
      <w:bookmarkStart w:id="665" w:name="_Toc351203641"/>
      <w:bookmarkStart w:id="666" w:name="_Toc373227736"/>
      <w:bookmarkStart w:id="667" w:name="_Toc407135238"/>
      <w:bookmarkStart w:id="668" w:name="_Toc373478383"/>
      <w:bookmarkStart w:id="669" w:name="_Toc78449824"/>
      <w:r>
        <w:rPr>
          <w:color w:val="auto"/>
          <w:highlight w:val="none"/>
        </w:rPr>
        <w:t>9</w:t>
      </w:r>
      <w:bookmarkEnd w:id="627"/>
      <w:bookmarkEnd w:id="628"/>
      <w:bookmarkEnd w:id="629"/>
      <w:bookmarkStart w:id="670" w:name="_Toc297216192"/>
      <w:bookmarkStart w:id="671" w:name="_Toc303539139"/>
      <w:bookmarkStart w:id="672" w:name="_Toc312678021"/>
      <w:bookmarkStart w:id="673" w:name="_Toc312677495"/>
      <w:bookmarkStart w:id="674" w:name="_Toc300934982"/>
      <w:bookmarkStart w:id="675" w:name="_Toc297123533"/>
      <w:bookmarkStart w:id="676" w:name="_Toc304295559"/>
      <w:bookmarkStart w:id="677" w:name="_Toc292559883"/>
      <w:bookmarkStart w:id="678" w:name="_Toc267251428"/>
      <w:bookmarkStart w:id="679" w:name="_Toc296891213"/>
      <w:bookmarkStart w:id="680" w:name="_Toc296346674"/>
      <w:bookmarkStart w:id="681" w:name="_Toc292559378"/>
      <w:bookmarkStart w:id="682" w:name="_Toc267251427"/>
      <w:bookmarkStart w:id="683" w:name="_Toc296503173"/>
      <w:bookmarkStart w:id="684" w:name="_Toc296347172"/>
      <w:bookmarkStart w:id="685" w:name="_Toc296944512"/>
      <w:bookmarkStart w:id="686" w:name="_Toc297048359"/>
      <w:bookmarkStart w:id="687" w:name="_Toc297120473"/>
      <w:bookmarkStart w:id="688" w:name="_Toc296891001"/>
      <w:r>
        <w:rPr>
          <w:color w:val="auto"/>
          <w:highlight w:val="none"/>
        </w:rPr>
        <w:t xml:space="preserve">. </w:t>
      </w:r>
      <w:r>
        <w:rPr>
          <w:rFonts w:hint="eastAsia" w:cs="黑体"/>
          <w:color w:val="auto"/>
          <w:highlight w:val="none"/>
        </w:rPr>
        <w:t>试验与检验</w:t>
      </w:r>
      <w:bookmarkEnd w:id="662"/>
      <w:bookmarkEnd w:id="663"/>
      <w:bookmarkEnd w:id="664"/>
      <w:bookmarkEnd w:id="665"/>
      <w:bookmarkEnd w:id="666"/>
      <w:bookmarkEnd w:id="667"/>
      <w:bookmarkEnd w:id="668"/>
      <w:bookmarkEnd w:id="669"/>
    </w:p>
    <w:bookmarkEnd w:id="670"/>
    <w:bookmarkEnd w:id="671"/>
    <w:bookmarkEnd w:id="672"/>
    <w:bookmarkEnd w:id="673"/>
    <w:bookmarkEnd w:id="674"/>
    <w:bookmarkEnd w:id="675"/>
    <w:bookmarkEnd w:id="676"/>
    <w:p w14:paraId="0CB94E9F">
      <w:pPr>
        <w:pStyle w:val="4"/>
        <w:pageBreakBefore w:val="0"/>
        <w:widowControl w:val="0"/>
        <w:kinsoku/>
        <w:wordWrap/>
        <w:overflowPunct/>
        <w:topLinePunct w:val="0"/>
        <w:bidi w:val="0"/>
        <w:spacing w:before="0" w:after="0" w:line="360" w:lineRule="auto"/>
        <w:textAlignment w:val="auto"/>
        <w:rPr>
          <w:color w:val="auto"/>
          <w:highlight w:val="none"/>
        </w:rPr>
      </w:pPr>
      <w:bookmarkStart w:id="689" w:name="_Toc389065303"/>
      <w:bookmarkStart w:id="690" w:name="_Toc78449825"/>
      <w:bookmarkStart w:id="691" w:name="_Toc373227737"/>
      <w:bookmarkStart w:id="692" w:name="_Toc1307315193"/>
      <w:bookmarkStart w:id="693" w:name="_Toc530697003"/>
      <w:bookmarkStart w:id="694" w:name="_Toc373478384"/>
      <w:bookmarkStart w:id="695" w:name="_Toc407135239"/>
      <w:r>
        <w:rPr>
          <w:color w:val="auto"/>
          <w:highlight w:val="none"/>
        </w:rPr>
        <w:t>9</w:t>
      </w:r>
      <w:bookmarkStart w:id="696" w:name="_Toc304295560"/>
      <w:bookmarkStart w:id="697" w:name="_Toc297123534"/>
      <w:bookmarkStart w:id="698" w:name="_Toc312677496"/>
      <w:bookmarkStart w:id="699" w:name="_Toc297216193"/>
      <w:bookmarkStart w:id="700" w:name="_Toc303539140"/>
      <w:bookmarkStart w:id="701" w:name="_Toc300934983"/>
      <w:bookmarkStart w:id="702" w:name="_Toc312678022"/>
      <w:r>
        <w:rPr>
          <w:color w:val="auto"/>
          <w:highlight w:val="none"/>
        </w:rPr>
        <w:t xml:space="preserve">.1 </w:t>
      </w:r>
      <w:r>
        <w:rPr>
          <w:rFonts w:hint="eastAsia" w:cs="黑体"/>
          <w:color w:val="auto"/>
          <w:highlight w:val="none"/>
        </w:rPr>
        <w:t>试验设备与试验人员</w:t>
      </w:r>
      <w:bookmarkEnd w:id="689"/>
      <w:bookmarkEnd w:id="690"/>
      <w:bookmarkEnd w:id="691"/>
      <w:bookmarkEnd w:id="692"/>
      <w:bookmarkEnd w:id="693"/>
      <w:bookmarkEnd w:id="694"/>
      <w:bookmarkEnd w:id="695"/>
    </w:p>
    <w:bookmarkEnd w:id="696"/>
    <w:bookmarkEnd w:id="697"/>
    <w:bookmarkEnd w:id="698"/>
    <w:bookmarkEnd w:id="699"/>
    <w:bookmarkEnd w:id="700"/>
    <w:bookmarkEnd w:id="701"/>
    <w:bookmarkEnd w:id="702"/>
    <w:p w14:paraId="6A1E7F77">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9</w:t>
      </w:r>
      <w:bookmarkStart w:id="703" w:name="_Toc312677497"/>
      <w:bookmarkStart w:id="704" w:name="_Toc297216194"/>
      <w:bookmarkStart w:id="705" w:name="_Toc304295561"/>
      <w:bookmarkStart w:id="706" w:name="_Toc312678023"/>
      <w:bookmarkStart w:id="707" w:name="_Toc303539141"/>
      <w:bookmarkStart w:id="708" w:name="_Toc300934984"/>
      <w:bookmarkStart w:id="709" w:name="_Toc297123535"/>
      <w:bookmarkStart w:id="710" w:name="_Toc318581174"/>
      <w:r>
        <w:rPr>
          <w:color w:val="auto"/>
          <w:highlight w:val="none"/>
        </w:rPr>
        <w:t xml:space="preserve">.1.2 </w:t>
      </w:r>
      <w:r>
        <w:rPr>
          <w:rFonts w:hint="eastAsia" w:hAnsi="宋体" w:cs="宋体"/>
          <w:color w:val="auto"/>
          <w:highlight w:val="none"/>
        </w:rPr>
        <w:t>试验设备</w:t>
      </w:r>
    </w:p>
    <w:p w14:paraId="49E466AC">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施工现场需要配置的试验场所：</w:t>
      </w:r>
      <w:bookmarkEnd w:id="703"/>
      <w:bookmarkEnd w:id="704"/>
      <w:bookmarkEnd w:id="705"/>
      <w:bookmarkEnd w:id="706"/>
      <w:bookmarkEnd w:id="707"/>
      <w:bookmarkEnd w:id="708"/>
      <w:bookmarkEnd w:id="709"/>
      <w:bookmarkStart w:id="711" w:name="_Toc300934985"/>
      <w:bookmarkStart w:id="712" w:name="_Toc303539142"/>
      <w:bookmarkStart w:id="713" w:name="_Toc304295562"/>
      <w:bookmarkStart w:id="714" w:name="_Toc312677498"/>
      <w:bookmarkStart w:id="715" w:name="_Toc297216195"/>
      <w:bookmarkStart w:id="716" w:name="_Toc297123536"/>
      <w:bookmarkStart w:id="717" w:name="_Toc312678024"/>
      <w:r>
        <w:rPr>
          <w:rFonts w:hint="eastAsia"/>
          <w:color w:val="auto"/>
          <w:highlight w:val="none"/>
          <w:u w:val="single"/>
        </w:rPr>
        <w:t>按有关规定执行，其余均按本合同《通用条款》第 9.1.2款规定执行</w:t>
      </w:r>
      <w:r>
        <w:rPr>
          <w:rFonts w:hint="eastAsia" w:hAnsi="宋体" w:cs="宋体"/>
          <w:color w:val="auto"/>
          <w:highlight w:val="none"/>
        </w:rPr>
        <w:t>。</w:t>
      </w:r>
    </w:p>
    <w:p w14:paraId="67361462">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施工现场需要配备的试验设备：</w:t>
      </w:r>
      <w:r>
        <w:rPr>
          <w:rFonts w:hint="eastAsia"/>
          <w:color w:val="auto"/>
          <w:highlight w:val="none"/>
          <w:u w:val="single"/>
        </w:rPr>
        <w:t>按有关规定执行，其余均按本合同《通用条款》第 9.1.2款规定执行</w:t>
      </w:r>
      <w:r>
        <w:rPr>
          <w:rFonts w:hint="eastAsia" w:hAnsi="宋体" w:cs="宋体"/>
          <w:color w:val="auto"/>
          <w:highlight w:val="none"/>
        </w:rPr>
        <w:t>。</w:t>
      </w:r>
    </w:p>
    <w:p w14:paraId="78C6337B">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施工现场需要具备的其他试验条件：</w:t>
      </w:r>
      <w:r>
        <w:rPr>
          <w:rFonts w:hint="eastAsia"/>
          <w:color w:val="auto"/>
          <w:highlight w:val="none"/>
          <w:u w:val="single"/>
        </w:rPr>
        <w:t>按有关规定执行，其余均按本合同《通用条款》第 9.1.2款规定执行</w:t>
      </w:r>
      <w:r>
        <w:rPr>
          <w:rFonts w:hint="eastAsia" w:hAnsi="宋体" w:cs="宋体"/>
          <w:color w:val="auto"/>
          <w:highlight w:val="none"/>
        </w:rPr>
        <w:t>。</w:t>
      </w:r>
    </w:p>
    <w:p w14:paraId="208EF1A8">
      <w:pPr>
        <w:pStyle w:val="4"/>
        <w:pageBreakBefore w:val="0"/>
        <w:widowControl w:val="0"/>
        <w:kinsoku/>
        <w:wordWrap/>
        <w:overflowPunct/>
        <w:topLinePunct w:val="0"/>
        <w:bidi w:val="0"/>
        <w:spacing w:before="0" w:after="0" w:line="360" w:lineRule="auto"/>
        <w:textAlignment w:val="auto"/>
        <w:rPr>
          <w:color w:val="auto"/>
          <w:highlight w:val="none"/>
        </w:rPr>
      </w:pPr>
      <w:bookmarkStart w:id="718" w:name="_Toc389065304"/>
      <w:bookmarkStart w:id="719" w:name="_Toc2012255079"/>
      <w:bookmarkStart w:id="720" w:name="_Toc78449826"/>
      <w:bookmarkStart w:id="721" w:name="_Toc492347879"/>
      <w:bookmarkStart w:id="722" w:name="_Toc407135240"/>
      <w:bookmarkStart w:id="723" w:name="_Toc373478385"/>
      <w:bookmarkStart w:id="724" w:name="_Toc373227738"/>
      <w:r>
        <w:rPr>
          <w:color w:val="auto"/>
          <w:highlight w:val="none"/>
        </w:rPr>
        <w:t xml:space="preserve">9.4 </w:t>
      </w:r>
      <w:r>
        <w:rPr>
          <w:rFonts w:hint="eastAsia" w:hAnsi="宋体" w:cs="黑体"/>
          <w:color w:val="auto"/>
          <w:highlight w:val="none"/>
        </w:rPr>
        <w:t>现场工艺试验</w:t>
      </w:r>
      <w:bookmarkEnd w:id="718"/>
      <w:bookmarkEnd w:id="719"/>
      <w:bookmarkEnd w:id="720"/>
      <w:bookmarkEnd w:id="721"/>
      <w:bookmarkEnd w:id="722"/>
      <w:bookmarkEnd w:id="723"/>
      <w:bookmarkEnd w:id="724"/>
      <w:r>
        <w:rPr>
          <w:color w:val="auto"/>
          <w:highlight w:val="none"/>
        </w:rPr>
        <w:t xml:space="preserve"> </w:t>
      </w:r>
    </w:p>
    <w:p w14:paraId="43381745">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现场工艺试验的有关约定：</w:t>
      </w:r>
      <w:r>
        <w:rPr>
          <w:rFonts w:hint="eastAsia"/>
          <w:color w:val="auto"/>
          <w:highlight w:val="none"/>
          <w:u w:val="single"/>
        </w:rPr>
        <w:t>按照通用条款执行</w:t>
      </w:r>
      <w:r>
        <w:rPr>
          <w:rFonts w:hint="eastAsia" w:hAnsi="宋体" w:cs="宋体"/>
          <w:color w:val="auto"/>
          <w:highlight w:val="none"/>
        </w:rPr>
        <w:t>。</w:t>
      </w:r>
    </w:p>
    <w:p w14:paraId="23C00164">
      <w:pPr>
        <w:pStyle w:val="4"/>
        <w:pageBreakBefore w:val="0"/>
        <w:widowControl w:val="0"/>
        <w:kinsoku/>
        <w:wordWrap/>
        <w:overflowPunct/>
        <w:topLinePunct w:val="0"/>
        <w:bidi w:val="0"/>
        <w:spacing w:before="0" w:after="0" w:line="360" w:lineRule="auto"/>
        <w:textAlignment w:val="auto"/>
        <w:rPr>
          <w:color w:val="auto"/>
          <w:highlight w:val="none"/>
        </w:rPr>
      </w:pPr>
      <w:bookmarkStart w:id="725" w:name="_Toc407135241"/>
      <w:bookmarkStart w:id="726" w:name="_Toc1539824686"/>
      <w:bookmarkStart w:id="727" w:name="_Toc393419678"/>
      <w:bookmarkStart w:id="728" w:name="_Toc78449827"/>
      <w:bookmarkStart w:id="729" w:name="OLE_LINK1"/>
      <w:r>
        <w:rPr>
          <w:color w:val="auto"/>
          <w:highlight w:val="none"/>
        </w:rPr>
        <w:t xml:space="preserve">9.5 </w:t>
      </w:r>
      <w:r>
        <w:rPr>
          <w:rFonts w:hint="eastAsia" w:hAnsi="宋体" w:cs="黑体"/>
          <w:color w:val="auto"/>
          <w:highlight w:val="none"/>
        </w:rPr>
        <w:t>检验费用</w:t>
      </w:r>
      <w:bookmarkEnd w:id="725"/>
      <w:bookmarkEnd w:id="726"/>
      <w:bookmarkEnd w:id="727"/>
      <w:bookmarkEnd w:id="728"/>
    </w:p>
    <w:p w14:paraId="4C942866">
      <w:pPr>
        <w:pageBreakBefore w:val="0"/>
        <w:widowControl w:val="0"/>
        <w:kinsoku/>
        <w:wordWrap/>
        <w:overflowPunct/>
        <w:topLinePunct w:val="0"/>
        <w:bidi w:val="0"/>
        <w:spacing w:line="360" w:lineRule="auto"/>
        <w:ind w:firstLine="411" w:firstLineChars="196"/>
        <w:textAlignment w:val="auto"/>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710"/>
    <w:bookmarkEnd w:id="711"/>
    <w:bookmarkEnd w:id="712"/>
    <w:bookmarkEnd w:id="713"/>
    <w:bookmarkEnd w:id="714"/>
    <w:bookmarkEnd w:id="715"/>
    <w:bookmarkEnd w:id="716"/>
    <w:bookmarkEnd w:id="717"/>
    <w:bookmarkEnd w:id="729"/>
    <w:p w14:paraId="1421D76E">
      <w:pPr>
        <w:pStyle w:val="3"/>
        <w:pageBreakBefore w:val="0"/>
        <w:widowControl w:val="0"/>
        <w:kinsoku/>
        <w:wordWrap/>
        <w:overflowPunct/>
        <w:topLinePunct w:val="0"/>
        <w:bidi w:val="0"/>
        <w:spacing w:before="0" w:after="0" w:line="360" w:lineRule="auto"/>
        <w:textAlignment w:val="auto"/>
        <w:rPr>
          <w:color w:val="auto"/>
          <w:highlight w:val="none"/>
        </w:rPr>
      </w:pPr>
      <w:bookmarkStart w:id="730" w:name="_Toc1278407274"/>
      <w:bookmarkStart w:id="731" w:name="_Toc603662032"/>
      <w:bookmarkStart w:id="732" w:name="_Toc373478386"/>
      <w:bookmarkStart w:id="733" w:name="_Toc407135242"/>
      <w:bookmarkStart w:id="734" w:name="_Toc373227739"/>
      <w:bookmarkStart w:id="735" w:name="_Toc78449828"/>
      <w:bookmarkStart w:id="736" w:name="_Toc351203642"/>
      <w:bookmarkStart w:id="737" w:name="_Toc389065305"/>
      <w:r>
        <w:rPr>
          <w:color w:val="auto"/>
          <w:highlight w:val="none"/>
        </w:rPr>
        <w:t>1</w:t>
      </w:r>
      <w:bookmarkEnd w:id="677"/>
      <w:bookmarkEnd w:id="678"/>
      <w:bookmarkEnd w:id="679"/>
      <w:bookmarkEnd w:id="680"/>
      <w:bookmarkEnd w:id="681"/>
      <w:bookmarkEnd w:id="682"/>
      <w:bookmarkEnd w:id="683"/>
      <w:bookmarkEnd w:id="684"/>
      <w:bookmarkEnd w:id="685"/>
      <w:bookmarkEnd w:id="686"/>
      <w:bookmarkEnd w:id="687"/>
      <w:bookmarkEnd w:id="688"/>
      <w:bookmarkStart w:id="738" w:name="_Toc296347192"/>
      <w:bookmarkStart w:id="739" w:name="_Toc296891233"/>
      <w:bookmarkStart w:id="740" w:name="_Toc292559398"/>
      <w:bookmarkStart w:id="741" w:name="_Toc300934989"/>
      <w:bookmarkStart w:id="742" w:name="_Toc297048379"/>
      <w:bookmarkStart w:id="743" w:name="_Toc304295566"/>
      <w:bookmarkStart w:id="744" w:name="_Toc296944532"/>
      <w:bookmarkStart w:id="745" w:name="_Toc296346694"/>
      <w:bookmarkStart w:id="746" w:name="_Toc296891021"/>
      <w:bookmarkStart w:id="747" w:name="_Toc297123540"/>
      <w:bookmarkStart w:id="748" w:name="_Toc303539146"/>
      <w:bookmarkStart w:id="749" w:name="_Toc296503193"/>
      <w:bookmarkStart w:id="750" w:name="_Toc297120493"/>
      <w:bookmarkStart w:id="751" w:name="_Toc297216199"/>
      <w:bookmarkStart w:id="752" w:name="_Toc292559903"/>
      <w:bookmarkStart w:id="753" w:name="_Toc312677499"/>
      <w:bookmarkStart w:id="754" w:name="_Toc312678025"/>
      <w:bookmarkStart w:id="755" w:name="_Toc267251433"/>
      <w:bookmarkStart w:id="756" w:name="_Toc267251439"/>
      <w:bookmarkStart w:id="757" w:name="_Toc267251435"/>
      <w:bookmarkStart w:id="758" w:name="_Toc267251440"/>
      <w:bookmarkStart w:id="759" w:name="_Toc267251441"/>
      <w:bookmarkStart w:id="760" w:name="_Toc267251437"/>
      <w:bookmarkStart w:id="761" w:name="_Toc267251442"/>
      <w:r>
        <w:rPr>
          <w:color w:val="auto"/>
          <w:highlight w:val="none"/>
        </w:rPr>
        <w:t xml:space="preserve">0. </w:t>
      </w:r>
      <w:r>
        <w:rPr>
          <w:rFonts w:hint="eastAsia" w:hAnsi="宋体" w:cs="黑体"/>
          <w:color w:val="auto"/>
          <w:highlight w:val="none"/>
        </w:rPr>
        <w:t>变更</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bookmarkEnd w:id="753"/>
    <w:bookmarkEnd w:id="754"/>
    <w:p w14:paraId="1342E65E">
      <w:pPr>
        <w:pStyle w:val="4"/>
        <w:pageBreakBefore w:val="0"/>
        <w:widowControl w:val="0"/>
        <w:kinsoku/>
        <w:wordWrap/>
        <w:overflowPunct/>
        <w:topLinePunct w:val="0"/>
        <w:bidi w:val="0"/>
        <w:spacing w:before="0" w:after="0" w:line="360" w:lineRule="auto"/>
        <w:textAlignment w:val="auto"/>
        <w:rPr>
          <w:color w:val="auto"/>
          <w:highlight w:val="none"/>
        </w:rPr>
      </w:pPr>
      <w:bookmarkStart w:id="762" w:name="_Toc411143415"/>
      <w:bookmarkStart w:id="763" w:name="_Toc1890371558"/>
      <w:bookmarkStart w:id="764" w:name="_Toc78449829"/>
      <w:bookmarkStart w:id="765" w:name="_Toc373478387"/>
      <w:bookmarkStart w:id="766" w:name="_Toc389065306"/>
      <w:bookmarkStart w:id="767" w:name="_Toc373227740"/>
      <w:bookmarkStart w:id="768" w:name="_Toc407135243"/>
      <w:r>
        <w:rPr>
          <w:color w:val="auto"/>
          <w:highlight w:val="none"/>
        </w:rPr>
        <w:t>1</w:t>
      </w:r>
      <w:bookmarkStart w:id="769" w:name="_Toc296891234"/>
      <w:bookmarkStart w:id="770" w:name="_Toc296944533"/>
      <w:bookmarkStart w:id="771" w:name="_Toc312677500"/>
      <w:bookmarkStart w:id="772" w:name="_Toc304295567"/>
      <w:bookmarkStart w:id="773" w:name="_Toc296347193"/>
      <w:bookmarkStart w:id="774" w:name="_Toc292559399"/>
      <w:bookmarkStart w:id="775" w:name="_Toc297123541"/>
      <w:bookmarkStart w:id="776" w:name="_Toc297120494"/>
      <w:bookmarkStart w:id="777" w:name="_Toc297216200"/>
      <w:bookmarkStart w:id="778" w:name="_Toc312678026"/>
      <w:bookmarkStart w:id="779" w:name="_Toc296346695"/>
      <w:bookmarkStart w:id="780" w:name="_Toc292559904"/>
      <w:bookmarkStart w:id="781" w:name="_Toc296503194"/>
      <w:bookmarkStart w:id="782" w:name="_Toc297048380"/>
      <w:bookmarkStart w:id="783" w:name="_Toc296891022"/>
      <w:bookmarkStart w:id="784" w:name="_Toc303539147"/>
      <w:bookmarkStart w:id="785" w:name="_Toc300934990"/>
      <w:r>
        <w:rPr>
          <w:color w:val="auto"/>
          <w:highlight w:val="none"/>
        </w:rPr>
        <w:t xml:space="preserve">0.1 </w:t>
      </w:r>
      <w:r>
        <w:rPr>
          <w:rFonts w:hint="eastAsia" w:hAnsi="宋体" w:cs="黑体"/>
          <w:color w:val="auto"/>
          <w:highlight w:val="none"/>
        </w:rPr>
        <w:t>变更的范围</w:t>
      </w:r>
      <w:bookmarkEnd w:id="762"/>
      <w:bookmarkEnd w:id="763"/>
      <w:bookmarkEnd w:id="764"/>
      <w:bookmarkEnd w:id="765"/>
      <w:bookmarkEnd w:id="766"/>
      <w:bookmarkEnd w:id="767"/>
      <w:bookmarkEnd w:id="768"/>
    </w:p>
    <w:p w14:paraId="6F181E05">
      <w:pPr>
        <w:pageBreakBefore w:val="0"/>
        <w:widowControl w:val="0"/>
        <w:kinsoku/>
        <w:wordWrap/>
        <w:overflowPunct/>
        <w:topLinePunct w:val="0"/>
        <w:bidi w:val="0"/>
        <w:spacing w:line="360" w:lineRule="auto"/>
        <w:ind w:firstLine="426"/>
        <w:jc w:val="left"/>
        <w:textAlignment w:val="auto"/>
        <w:rPr>
          <w:color w:val="auto"/>
          <w:highlight w:val="none"/>
        </w:rPr>
      </w:pPr>
      <w:r>
        <w:rPr>
          <w:rFonts w:hint="eastAsia" w:hAnsi="宋体" w:cs="宋体"/>
          <w:color w:val="auto"/>
          <w:highlight w:val="none"/>
        </w:rPr>
        <w:t>关于变更的范围的约定：</w:t>
      </w:r>
      <w:r>
        <w:rPr>
          <w:rFonts w:hint="eastAsia"/>
          <w:color w:val="auto"/>
          <w:highlight w:val="none"/>
          <w:u w:val="single"/>
        </w:rPr>
        <w:t>按照通用条款执行</w:t>
      </w:r>
      <w:r>
        <w:rPr>
          <w:rFonts w:hint="eastAsia" w:hAnsi="宋体" w:cs="宋体"/>
          <w:color w:val="auto"/>
          <w:highlight w:val="none"/>
        </w:rPr>
        <w:t>。</w:t>
      </w:r>
    </w:p>
    <w:p w14:paraId="43146B8D">
      <w:pPr>
        <w:pStyle w:val="4"/>
        <w:pageBreakBefore w:val="0"/>
        <w:widowControl w:val="0"/>
        <w:kinsoku/>
        <w:wordWrap/>
        <w:overflowPunct/>
        <w:topLinePunct w:val="0"/>
        <w:bidi w:val="0"/>
        <w:spacing w:before="0" w:after="0" w:line="360" w:lineRule="auto"/>
        <w:textAlignment w:val="auto"/>
        <w:rPr>
          <w:color w:val="auto"/>
          <w:highlight w:val="none"/>
        </w:rPr>
      </w:pPr>
      <w:bookmarkStart w:id="786" w:name="_Toc373227741"/>
      <w:bookmarkStart w:id="787" w:name="_Toc373478388"/>
      <w:bookmarkStart w:id="788" w:name="_Toc389065307"/>
      <w:bookmarkStart w:id="789" w:name="_Toc1641633295"/>
      <w:bookmarkStart w:id="790" w:name="_Toc78449830"/>
      <w:bookmarkStart w:id="791" w:name="_Toc450749207"/>
      <w:bookmarkStart w:id="792" w:name="_Toc407135244"/>
      <w:r>
        <w:rPr>
          <w:color w:val="auto"/>
          <w:highlight w:val="none"/>
        </w:rPr>
        <w:t xml:space="preserve">10.3 </w:t>
      </w:r>
      <w:r>
        <w:rPr>
          <w:rFonts w:hint="eastAsia" w:hAnsi="宋体" w:cs="黑体"/>
          <w:color w:val="auto"/>
          <w:highlight w:val="none"/>
        </w:rPr>
        <w:t>变更程序</w:t>
      </w:r>
      <w:bookmarkEnd w:id="786"/>
      <w:bookmarkEnd w:id="787"/>
      <w:bookmarkEnd w:id="788"/>
      <w:bookmarkEnd w:id="789"/>
      <w:bookmarkEnd w:id="790"/>
      <w:bookmarkEnd w:id="791"/>
      <w:bookmarkEnd w:id="792"/>
    </w:p>
    <w:p w14:paraId="6B27C3B9">
      <w:pPr>
        <w:pStyle w:val="24"/>
        <w:pageBreakBefore w:val="0"/>
        <w:widowControl w:val="0"/>
        <w:kinsoku/>
        <w:wordWrap/>
        <w:overflowPunct/>
        <w:topLinePunct w:val="0"/>
        <w:bidi w:val="0"/>
        <w:spacing w:line="360" w:lineRule="auto"/>
        <w:ind w:firstLine="441" w:firstLineChars="21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497CE12B">
      <w:pPr>
        <w:pStyle w:val="24"/>
        <w:pageBreakBefore w:val="0"/>
        <w:widowControl w:val="0"/>
        <w:kinsoku/>
        <w:wordWrap/>
        <w:overflowPunct/>
        <w:topLinePunct w:val="0"/>
        <w:bidi w:val="0"/>
        <w:spacing w:line="360" w:lineRule="auto"/>
        <w:ind w:firstLine="441" w:firstLineChars="210"/>
        <w:textAlignment w:val="auto"/>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46EDD94F">
      <w:pPr>
        <w:pStyle w:val="24"/>
        <w:pageBreakBefore w:val="0"/>
        <w:widowControl w:val="0"/>
        <w:kinsoku/>
        <w:wordWrap/>
        <w:overflowPunct/>
        <w:topLinePunct w:val="0"/>
        <w:bidi w:val="0"/>
        <w:spacing w:line="360" w:lineRule="auto"/>
        <w:ind w:firstLine="441" w:firstLineChars="210"/>
        <w:textAlignment w:val="auto"/>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3599ADD7">
      <w:pPr>
        <w:pStyle w:val="24"/>
        <w:pageBreakBefore w:val="0"/>
        <w:widowControl w:val="0"/>
        <w:kinsoku/>
        <w:wordWrap/>
        <w:overflowPunct/>
        <w:topLinePunct w:val="0"/>
        <w:bidi w:val="0"/>
        <w:spacing w:line="360" w:lineRule="auto"/>
        <w:ind w:firstLine="441" w:firstLineChars="210"/>
        <w:textAlignment w:val="auto"/>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4B8B22E1">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u w:val="single"/>
        </w:rPr>
        <w:t xml:space="preserve"> </w:t>
      </w:r>
      <w:r>
        <w:rPr>
          <w:rFonts w:hint="eastAsia"/>
          <w:color w:val="auto"/>
          <w:highlight w:val="none"/>
          <w:u w:val="single"/>
          <w:lang w:val="en-US" w:eastAsia="zh-CN"/>
        </w:rPr>
        <w:t xml:space="preserve">/ </w:t>
      </w:r>
      <w:r>
        <w:rPr>
          <w:rFonts w:hint="eastAsia" w:hAnsi="宋体" w:cs="宋体"/>
          <w:color w:val="auto"/>
          <w:highlight w:val="none"/>
        </w:rPr>
        <w:t>。</w:t>
      </w:r>
    </w:p>
    <w:p w14:paraId="3FE8F4E5">
      <w:pPr>
        <w:pStyle w:val="4"/>
        <w:pageBreakBefore w:val="0"/>
        <w:widowControl w:val="0"/>
        <w:kinsoku/>
        <w:wordWrap/>
        <w:overflowPunct/>
        <w:topLinePunct w:val="0"/>
        <w:bidi w:val="0"/>
        <w:spacing w:before="0" w:after="0" w:line="360" w:lineRule="auto"/>
        <w:textAlignment w:val="auto"/>
        <w:rPr>
          <w:color w:val="auto"/>
          <w:highlight w:val="none"/>
        </w:rPr>
      </w:pPr>
      <w:bookmarkStart w:id="793" w:name="_Toc389065308"/>
      <w:bookmarkStart w:id="794" w:name="_Toc373478389"/>
      <w:bookmarkStart w:id="795" w:name="_Toc1645711468"/>
      <w:bookmarkStart w:id="796" w:name="_Toc780640360"/>
      <w:bookmarkStart w:id="797" w:name="_Toc407135245"/>
      <w:bookmarkStart w:id="798" w:name="_Toc373227742"/>
      <w:bookmarkStart w:id="799" w:name="_Toc78449831"/>
      <w:r>
        <w:rPr>
          <w:color w:val="auto"/>
          <w:highlight w:val="none"/>
        </w:rPr>
        <w:t xml:space="preserve">10.4 </w:t>
      </w:r>
      <w:r>
        <w:rPr>
          <w:rFonts w:hint="eastAsia" w:hAnsi="宋体" w:cs="黑体"/>
          <w:color w:val="auto"/>
          <w:highlight w:val="none"/>
        </w:rPr>
        <w:t>变更估价</w:t>
      </w:r>
      <w:bookmarkEnd w:id="793"/>
      <w:bookmarkEnd w:id="794"/>
      <w:bookmarkEnd w:id="795"/>
      <w:bookmarkEnd w:id="796"/>
      <w:bookmarkEnd w:id="797"/>
      <w:bookmarkEnd w:id="798"/>
      <w:bookmarkEnd w:id="799"/>
    </w:p>
    <w:p w14:paraId="19DF5DB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10.4.1 </w:t>
      </w:r>
      <w:r>
        <w:rPr>
          <w:rFonts w:hint="eastAsia" w:hAnsi="宋体" w:cs="宋体"/>
          <w:color w:val="auto"/>
          <w:highlight w:val="none"/>
        </w:rPr>
        <w:t>变更估价原则</w:t>
      </w:r>
    </w:p>
    <w:p w14:paraId="7221EAAA">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800"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color w:val="auto"/>
          <w:highlight w:val="none"/>
          <w:u w:val="single"/>
        </w:rPr>
        <w:t xml:space="preserve">    </w:t>
      </w:r>
      <w:r>
        <w:rPr>
          <w:rFonts w:hint="eastAsia" w:hAnsi="宋体" w:cs="宋体"/>
          <w:color w:val="auto"/>
          <w:highlight w:val="none"/>
          <w:u w:val="single"/>
        </w:rPr>
        <w:t>市建设工程造价信息》相应信息价的加权平均值计算，《</w:t>
      </w:r>
      <w:r>
        <w:rPr>
          <w:color w:val="auto"/>
          <w:highlight w:val="none"/>
          <w:u w:val="single"/>
        </w:rPr>
        <w:t xml:space="preserve">    </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800"/>
      <w:r>
        <w:rPr>
          <w:rFonts w:hint="eastAsia" w:hAnsi="宋体" w:cs="宋体"/>
          <w:color w:val="auto"/>
          <w:highlight w:val="none"/>
        </w:rPr>
        <w:t>。以上约定同时适用于招标工程量清单缺项以及工程量清单项目特征与图纸不符时的价款确定。</w:t>
      </w:r>
    </w:p>
    <w:p w14:paraId="4FD1FB9C">
      <w:pPr>
        <w:pageBreakBefore w:val="0"/>
        <w:widowControl w:val="0"/>
        <w:kinsoku/>
        <w:wordWrap/>
        <w:overflowPunct/>
        <w:topLinePunct w:val="0"/>
        <w:bidi w:val="0"/>
        <w:spacing w:line="360" w:lineRule="auto"/>
        <w:ind w:firstLine="420" w:firstLineChars="200"/>
        <w:jc w:val="left"/>
        <w:textAlignment w:val="auto"/>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319EE857">
      <w:pPr>
        <w:pStyle w:val="4"/>
        <w:pageBreakBefore w:val="0"/>
        <w:widowControl w:val="0"/>
        <w:kinsoku/>
        <w:wordWrap/>
        <w:overflowPunct/>
        <w:topLinePunct w:val="0"/>
        <w:bidi w:val="0"/>
        <w:spacing w:before="0" w:after="0" w:line="360" w:lineRule="auto"/>
        <w:textAlignment w:val="auto"/>
        <w:rPr>
          <w:color w:val="auto"/>
          <w:highlight w:val="none"/>
        </w:rPr>
      </w:pPr>
      <w:bookmarkStart w:id="801" w:name="_Toc78449832"/>
      <w:bookmarkStart w:id="802" w:name="_Toc407135246"/>
      <w:bookmarkStart w:id="803" w:name="_Toc373227743"/>
      <w:bookmarkStart w:id="804" w:name="_Toc650800266"/>
      <w:bookmarkStart w:id="805" w:name="_Toc1342657745"/>
      <w:bookmarkStart w:id="806" w:name="_Toc373478390"/>
      <w:bookmarkStart w:id="807" w:name="_Toc389065309"/>
      <w:r>
        <w:rPr>
          <w:color w:val="auto"/>
          <w:highlight w:val="none"/>
        </w:rPr>
        <w:t>1</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808" w:name="_Toc296944536"/>
      <w:bookmarkStart w:id="809" w:name="_Toc292559402"/>
      <w:bookmarkStart w:id="810" w:name="_Toc297120497"/>
      <w:bookmarkStart w:id="811" w:name="_Toc303539150"/>
      <w:bookmarkStart w:id="812" w:name="_Toc296891025"/>
      <w:bookmarkStart w:id="813" w:name="_Toc296503197"/>
      <w:bookmarkStart w:id="814" w:name="_Toc296346698"/>
      <w:bookmarkStart w:id="815" w:name="_Toc297216203"/>
      <w:bookmarkStart w:id="816" w:name="_Toc296891237"/>
      <w:bookmarkStart w:id="817" w:name="_Toc300934993"/>
      <w:bookmarkStart w:id="818" w:name="_Toc296347196"/>
      <w:bookmarkStart w:id="819" w:name="_Toc297048383"/>
      <w:bookmarkStart w:id="820" w:name="_Toc292559907"/>
      <w:bookmarkStart w:id="821" w:name="_Toc297123544"/>
      <w:bookmarkStart w:id="822" w:name="_Toc312678029"/>
      <w:bookmarkStart w:id="823" w:name="_Toc312677503"/>
      <w:bookmarkStart w:id="824" w:name="_Toc304295570"/>
      <w:r>
        <w:rPr>
          <w:color w:val="auto"/>
          <w:highlight w:val="none"/>
        </w:rPr>
        <w:t xml:space="preserve">0.5 </w:t>
      </w:r>
      <w:r>
        <w:rPr>
          <w:rFonts w:hint="eastAsia" w:cs="黑体"/>
          <w:color w:val="auto"/>
          <w:highlight w:val="none"/>
        </w:rPr>
        <w:t>承</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Start w:id="825" w:name="_Toc296891243"/>
      <w:bookmarkStart w:id="826" w:name="_Toc296346704"/>
      <w:bookmarkStart w:id="827" w:name="_Toc297123545"/>
      <w:bookmarkStart w:id="828" w:name="_Toc300934994"/>
      <w:bookmarkStart w:id="829" w:name="_Toc296891031"/>
      <w:bookmarkStart w:id="830" w:name="_Toc297216204"/>
      <w:bookmarkStart w:id="831" w:name="_Toc303539151"/>
      <w:bookmarkStart w:id="832" w:name="_Toc296347202"/>
      <w:bookmarkStart w:id="833" w:name="_Toc297048389"/>
      <w:bookmarkStart w:id="834" w:name="_Toc292559913"/>
      <w:bookmarkStart w:id="835" w:name="_Toc296944542"/>
      <w:bookmarkStart w:id="836" w:name="_Toc297120503"/>
      <w:bookmarkStart w:id="837" w:name="_Toc296503203"/>
      <w:bookmarkStart w:id="838" w:name="_Toc292559408"/>
      <w:r>
        <w:rPr>
          <w:rFonts w:hint="eastAsia" w:cs="黑体"/>
          <w:color w:val="auto"/>
          <w:highlight w:val="none"/>
        </w:rPr>
        <w:t>包人的合理化建议</w:t>
      </w:r>
      <w:bookmarkEnd w:id="801"/>
      <w:bookmarkEnd w:id="802"/>
      <w:bookmarkEnd w:id="803"/>
      <w:bookmarkEnd w:id="804"/>
      <w:bookmarkEnd w:id="805"/>
      <w:bookmarkEnd w:id="806"/>
      <w:bookmarkEnd w:id="807"/>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38F2E424">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监理人审查承包人合理化建议的期限：</w:t>
      </w:r>
      <w:r>
        <w:rPr>
          <w:rFonts w:hint="eastAsia"/>
          <w:color w:val="auto"/>
          <w:highlight w:val="none"/>
          <w:u w:val="single"/>
        </w:rPr>
        <w:t>监理人应在收到承包人提交的合理化建议后7天内审查完毕并报送发包人，发现其中存在技术上的缺陷，应通知承包人修改</w:t>
      </w:r>
      <w:r>
        <w:rPr>
          <w:rFonts w:hint="eastAsia" w:hAnsi="宋体" w:cs="宋体"/>
          <w:color w:val="auto"/>
          <w:highlight w:val="none"/>
        </w:rPr>
        <w:t>。</w:t>
      </w:r>
    </w:p>
    <w:p w14:paraId="00FF5E6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发包人审批承包人合理化建议的期限：</w:t>
      </w:r>
      <w:r>
        <w:rPr>
          <w:rFonts w:hint="eastAsia"/>
          <w:color w:val="auto"/>
          <w:highlight w:val="none"/>
          <w:u w:val="single"/>
        </w:rPr>
        <w:t>发包人应在收到监理人报送的合理化建议后15日审批完毕</w:t>
      </w:r>
      <w:r>
        <w:rPr>
          <w:rFonts w:hint="eastAsia" w:hAnsi="宋体" w:cs="宋体"/>
          <w:color w:val="auto"/>
          <w:highlight w:val="none"/>
        </w:rPr>
        <w:t>。</w:t>
      </w:r>
    </w:p>
    <w:p w14:paraId="118586C3">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承</w:t>
      </w:r>
      <w:bookmarkStart w:id="839" w:name="_Toc296944543"/>
      <w:bookmarkStart w:id="840" w:name="_Toc297123546"/>
      <w:bookmarkStart w:id="841" w:name="_Toc296891244"/>
      <w:bookmarkStart w:id="842" w:name="_Toc296346705"/>
      <w:bookmarkStart w:id="843" w:name="_Toc312678030"/>
      <w:bookmarkStart w:id="844" w:name="_Toc297120504"/>
      <w:bookmarkStart w:id="845" w:name="_Toc318581175"/>
      <w:bookmarkStart w:id="846" w:name="_Toc296347203"/>
      <w:bookmarkStart w:id="847" w:name="_Toc297216205"/>
      <w:bookmarkStart w:id="848" w:name="_Toc300934995"/>
      <w:bookmarkStart w:id="849" w:name="_Toc296503204"/>
      <w:bookmarkStart w:id="850" w:name="_Toc312677504"/>
      <w:bookmarkStart w:id="851" w:name="_Toc304295571"/>
      <w:bookmarkStart w:id="852" w:name="_Toc303539152"/>
      <w:bookmarkStart w:id="853" w:name="_Toc296891032"/>
      <w:bookmarkStart w:id="854" w:name="_Toc292559914"/>
      <w:bookmarkStart w:id="855" w:name="_Toc297048390"/>
      <w:bookmarkStart w:id="856" w:name="_Toc292559409"/>
      <w:r>
        <w:rPr>
          <w:rFonts w:hint="eastAsia" w:hAnsi="宋体" w:cs="宋体"/>
          <w:color w:val="auto"/>
          <w:highlight w:val="none"/>
        </w:rPr>
        <w:t>包人提出的合理化建议降低了合同价格或者提高了工程经济效益的奖励的方法和金额为：</w:t>
      </w:r>
      <w:r>
        <w:rPr>
          <w:rFonts w:hint="eastAsia"/>
          <w:color w:val="auto"/>
          <w:highlight w:val="none"/>
          <w:u w:val="single"/>
        </w:rPr>
        <w:t>无</w:t>
      </w:r>
      <w:r>
        <w:rPr>
          <w:rFonts w:hint="eastAsia" w:hAnsi="宋体" w:cs="宋体"/>
          <w:color w:val="auto"/>
          <w:highlight w:val="none"/>
        </w:rPr>
        <w:t>。</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14:paraId="47D2A431">
      <w:pPr>
        <w:pStyle w:val="4"/>
        <w:pageBreakBefore w:val="0"/>
        <w:widowControl w:val="0"/>
        <w:kinsoku/>
        <w:wordWrap/>
        <w:overflowPunct/>
        <w:topLinePunct w:val="0"/>
        <w:bidi w:val="0"/>
        <w:spacing w:before="0" w:after="0" w:line="360" w:lineRule="auto"/>
        <w:textAlignment w:val="auto"/>
        <w:rPr>
          <w:color w:val="auto"/>
          <w:highlight w:val="none"/>
        </w:rPr>
      </w:pPr>
      <w:bookmarkStart w:id="857" w:name="_Toc502454636"/>
      <w:bookmarkStart w:id="858" w:name="_Toc373227744"/>
      <w:bookmarkStart w:id="859" w:name="_Toc78449833"/>
      <w:bookmarkStart w:id="860" w:name="_Toc2045792355"/>
      <w:bookmarkStart w:id="861" w:name="_Toc389065310"/>
      <w:bookmarkStart w:id="862" w:name="_Toc407135247"/>
      <w:bookmarkStart w:id="863" w:name="_Toc373478391"/>
      <w:r>
        <w:rPr>
          <w:color w:val="auto"/>
          <w:highlight w:val="none"/>
        </w:rPr>
        <w:t>1</w:t>
      </w:r>
      <w:bookmarkStart w:id="864" w:name="_Toc303539154"/>
      <w:bookmarkStart w:id="865" w:name="_Toc296347198"/>
      <w:bookmarkStart w:id="866" w:name="_Toc297216207"/>
      <w:bookmarkStart w:id="867" w:name="_Toc296944538"/>
      <w:bookmarkStart w:id="868" w:name="_Toc304295574"/>
      <w:bookmarkStart w:id="869" w:name="_Toc312677507"/>
      <w:bookmarkStart w:id="870" w:name="_Toc312678033"/>
      <w:bookmarkStart w:id="871" w:name="_Toc296891239"/>
      <w:bookmarkStart w:id="872" w:name="_Toc300934997"/>
      <w:bookmarkStart w:id="873" w:name="_Toc297123548"/>
      <w:bookmarkStart w:id="874" w:name="_Toc297120499"/>
      <w:bookmarkStart w:id="875" w:name="_Toc296503199"/>
      <w:bookmarkStart w:id="876" w:name="_Toc296346700"/>
      <w:bookmarkStart w:id="877" w:name="_Toc296891027"/>
      <w:bookmarkStart w:id="878" w:name="_Toc292559404"/>
      <w:bookmarkStart w:id="879" w:name="_Toc297048385"/>
      <w:bookmarkStart w:id="880" w:name="_Toc292559909"/>
      <w:r>
        <w:rPr>
          <w:color w:val="auto"/>
          <w:highlight w:val="none"/>
        </w:rPr>
        <w:t xml:space="preserve">0.7 </w:t>
      </w:r>
      <w:r>
        <w:rPr>
          <w:rFonts w:hint="eastAsia" w:hAnsi="宋体" w:cs="黑体"/>
          <w:color w:val="auto"/>
          <w:highlight w:val="none"/>
        </w:rPr>
        <w:t>暂估价</w:t>
      </w:r>
      <w:bookmarkEnd w:id="857"/>
      <w:bookmarkEnd w:id="858"/>
      <w:bookmarkEnd w:id="859"/>
      <w:bookmarkEnd w:id="860"/>
      <w:bookmarkEnd w:id="861"/>
      <w:bookmarkEnd w:id="862"/>
      <w:bookmarkEnd w:id="863"/>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14:paraId="2513FB0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kern w:val="0"/>
          <w:highlight w:val="none"/>
        </w:rPr>
        <w:t>暂</w:t>
      </w:r>
      <w:bookmarkStart w:id="881" w:name="_Toc318581176"/>
      <w:bookmarkStart w:id="882" w:name="_Toc312678034"/>
      <w:bookmarkStart w:id="883"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881"/>
    <w:bookmarkEnd w:id="882"/>
    <w:bookmarkEnd w:id="883"/>
    <w:p w14:paraId="19EB6904">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w:t>
      </w:r>
      <w:bookmarkStart w:id="884" w:name="_Toc312677509"/>
      <w:bookmarkStart w:id="885" w:name="_Toc318581177"/>
      <w:bookmarkStart w:id="886" w:name="_Toc312678035"/>
      <w:r>
        <w:rPr>
          <w:color w:val="auto"/>
          <w:highlight w:val="none"/>
        </w:rPr>
        <w:t xml:space="preserve">0.7.1 </w:t>
      </w:r>
      <w:r>
        <w:rPr>
          <w:rFonts w:hint="eastAsia" w:hAnsi="宋体" w:cs="宋体"/>
          <w:color w:val="auto"/>
          <w:highlight w:val="none"/>
        </w:rPr>
        <w:t>依法必须招标的暂估价项目</w:t>
      </w:r>
    </w:p>
    <w:bookmarkEnd w:id="884"/>
    <w:bookmarkEnd w:id="885"/>
    <w:bookmarkEnd w:id="886"/>
    <w:p w14:paraId="0836439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hAnsi="宋体" w:cs="宋体"/>
          <w:color w:val="auto"/>
          <w:highlight w:val="none"/>
        </w:rPr>
        <w:t>种方式确定。</w:t>
      </w:r>
    </w:p>
    <w:p w14:paraId="0FB0D74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339CAFF8">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种方式确定。</w:t>
      </w:r>
    </w:p>
    <w:p w14:paraId="11FA915F">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599C8E5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承包人直接实施的暂估价项目的约定：</w:t>
      </w:r>
      <w:r>
        <w:rPr>
          <w:rFonts w:hint="eastAsia"/>
          <w:color w:val="auto"/>
          <w:highlight w:val="none"/>
          <w:u w:val="single"/>
          <w:lang w:val="en-US" w:eastAsia="zh-CN"/>
        </w:rPr>
        <w:t xml:space="preserve">          </w:t>
      </w:r>
      <w:r>
        <w:rPr>
          <w:rFonts w:hint="eastAsia" w:hAnsi="宋体" w:cs="宋体"/>
          <w:color w:val="auto"/>
          <w:highlight w:val="none"/>
        </w:rPr>
        <w:t>。</w:t>
      </w:r>
    </w:p>
    <w:p w14:paraId="15A79264">
      <w:pPr>
        <w:pStyle w:val="4"/>
        <w:pageBreakBefore w:val="0"/>
        <w:widowControl w:val="0"/>
        <w:kinsoku/>
        <w:wordWrap/>
        <w:overflowPunct/>
        <w:topLinePunct w:val="0"/>
        <w:bidi w:val="0"/>
        <w:spacing w:before="0" w:after="0" w:line="360" w:lineRule="auto"/>
        <w:textAlignment w:val="auto"/>
        <w:rPr>
          <w:color w:val="auto"/>
          <w:highlight w:val="none"/>
        </w:rPr>
      </w:pPr>
      <w:bookmarkStart w:id="887" w:name="_Toc407135248"/>
      <w:bookmarkStart w:id="888" w:name="_Toc2032108729"/>
      <w:bookmarkStart w:id="889" w:name="_Toc2131098822"/>
      <w:bookmarkStart w:id="890" w:name="_Toc78449834"/>
      <w:bookmarkStart w:id="891" w:name="_Toc389065311"/>
      <w:bookmarkStart w:id="892" w:name="_Toc373478392"/>
      <w:bookmarkStart w:id="893" w:name="_Toc373227745"/>
      <w:r>
        <w:rPr>
          <w:color w:val="auto"/>
          <w:highlight w:val="none"/>
        </w:rPr>
        <w:t xml:space="preserve">10.8 </w:t>
      </w:r>
      <w:r>
        <w:rPr>
          <w:rFonts w:hint="eastAsia" w:hAnsi="宋体" w:cs="黑体"/>
          <w:color w:val="auto"/>
          <w:highlight w:val="none"/>
        </w:rPr>
        <w:t>暂列金额</w:t>
      </w:r>
      <w:bookmarkEnd w:id="887"/>
      <w:bookmarkEnd w:id="888"/>
      <w:bookmarkEnd w:id="889"/>
      <w:bookmarkEnd w:id="890"/>
      <w:bookmarkEnd w:id="891"/>
      <w:bookmarkEnd w:id="892"/>
      <w:bookmarkEnd w:id="893"/>
    </w:p>
    <w:p w14:paraId="4DD28365">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合同当事人关于暂列金额使用的约定：</w:t>
      </w:r>
      <w:r>
        <w:rPr>
          <w:rFonts w:hint="eastAsia"/>
          <w:color w:val="auto"/>
          <w:highlight w:val="none"/>
          <w:u w:val="single"/>
        </w:rPr>
        <w:t>无</w:t>
      </w:r>
      <w:r>
        <w:rPr>
          <w:rFonts w:hint="eastAsia" w:hAnsi="宋体" w:cs="宋体"/>
          <w:color w:val="auto"/>
          <w:kern w:val="0"/>
          <w:highlight w:val="none"/>
        </w:rPr>
        <w:t>。</w:t>
      </w:r>
    </w:p>
    <w:p w14:paraId="04795412">
      <w:pPr>
        <w:pStyle w:val="3"/>
        <w:pageBreakBefore w:val="0"/>
        <w:widowControl w:val="0"/>
        <w:numPr>
          <w:ilvl w:val="0"/>
          <w:numId w:val="3"/>
        </w:numPr>
        <w:kinsoku/>
        <w:wordWrap/>
        <w:overflowPunct/>
        <w:topLinePunct w:val="0"/>
        <w:bidi w:val="0"/>
        <w:spacing w:before="0" w:after="0" w:line="360" w:lineRule="auto"/>
        <w:textAlignment w:val="auto"/>
        <w:rPr>
          <w:color w:val="auto"/>
          <w:highlight w:val="none"/>
        </w:rPr>
      </w:pPr>
      <w:bookmarkStart w:id="894" w:name="_Toc136736539"/>
      <w:bookmarkStart w:id="895" w:name="_Toc407135249"/>
      <w:bookmarkStart w:id="896" w:name="_Toc78449835"/>
      <w:bookmarkStart w:id="897" w:name="_Toc1190723452"/>
      <w:bookmarkStart w:id="898" w:name="_Toc373478393"/>
      <w:bookmarkStart w:id="899" w:name="_Toc389065312"/>
      <w:bookmarkStart w:id="900" w:name="_Toc351203643"/>
      <w:bookmarkStart w:id="901" w:name="_Toc373227746"/>
      <w:r>
        <w:rPr>
          <w:rFonts w:hint="eastAsia" w:hAnsi="宋体" w:cs="黑体"/>
          <w:color w:val="auto"/>
          <w:highlight w:val="none"/>
        </w:rPr>
        <w:t>价格调整</w:t>
      </w:r>
      <w:bookmarkEnd w:id="894"/>
      <w:bookmarkEnd w:id="895"/>
      <w:bookmarkEnd w:id="896"/>
      <w:bookmarkEnd w:id="897"/>
      <w:bookmarkEnd w:id="898"/>
      <w:bookmarkEnd w:id="899"/>
      <w:bookmarkEnd w:id="900"/>
      <w:bookmarkEnd w:id="901"/>
    </w:p>
    <w:p w14:paraId="5D14EED9">
      <w:pPr>
        <w:pStyle w:val="4"/>
        <w:pageBreakBefore w:val="0"/>
        <w:widowControl w:val="0"/>
        <w:kinsoku/>
        <w:wordWrap/>
        <w:overflowPunct/>
        <w:topLinePunct w:val="0"/>
        <w:bidi w:val="0"/>
        <w:spacing w:before="0" w:after="0" w:line="360" w:lineRule="auto"/>
        <w:textAlignment w:val="auto"/>
        <w:rPr>
          <w:color w:val="auto"/>
          <w:highlight w:val="none"/>
        </w:rPr>
      </w:pPr>
      <w:bookmarkStart w:id="902" w:name="_Toc78449836"/>
      <w:bookmarkStart w:id="903" w:name="_Toc373478394"/>
      <w:bookmarkStart w:id="904" w:name="_Toc407135250"/>
      <w:bookmarkStart w:id="905" w:name="_Toc373227747"/>
      <w:bookmarkStart w:id="906" w:name="_Toc42268484"/>
      <w:bookmarkStart w:id="907" w:name="_Toc1501386015"/>
      <w:bookmarkStart w:id="908" w:name="_Toc389065313"/>
      <w:bookmarkStart w:id="909" w:name="_Toc297120501"/>
      <w:bookmarkStart w:id="910" w:name="_Toc296944540"/>
      <w:bookmarkStart w:id="911" w:name="_Toc292559406"/>
      <w:bookmarkStart w:id="912" w:name="_Toc304295577"/>
      <w:bookmarkStart w:id="913" w:name="_Toc296347200"/>
      <w:bookmarkStart w:id="914" w:name="_Toc296503201"/>
      <w:bookmarkStart w:id="915" w:name="_Toc297048387"/>
      <w:bookmarkStart w:id="916" w:name="_Toc296346702"/>
      <w:bookmarkStart w:id="917" w:name="_Toc292559911"/>
      <w:bookmarkStart w:id="918" w:name="_Toc297123550"/>
      <w:bookmarkStart w:id="919" w:name="_Toc300935000"/>
      <w:bookmarkStart w:id="920" w:name="_Toc297216209"/>
      <w:bookmarkStart w:id="921" w:name="_Toc312678039"/>
      <w:bookmarkStart w:id="922" w:name="_Toc303539157"/>
      <w:bookmarkStart w:id="923" w:name="_Toc296891029"/>
      <w:bookmarkStart w:id="924" w:name="_Toc296891241"/>
      <w:r>
        <w:rPr>
          <w:color w:val="auto"/>
          <w:highlight w:val="none"/>
        </w:rPr>
        <w:t xml:space="preserve">11.1 </w:t>
      </w:r>
      <w:r>
        <w:rPr>
          <w:rFonts w:hint="eastAsia" w:cs="黑体"/>
          <w:color w:val="auto"/>
          <w:highlight w:val="none"/>
        </w:rPr>
        <w:t>市场价格波动引起的调整</w:t>
      </w:r>
      <w:bookmarkEnd w:id="902"/>
      <w:bookmarkEnd w:id="903"/>
      <w:bookmarkEnd w:id="904"/>
      <w:bookmarkEnd w:id="905"/>
      <w:bookmarkEnd w:id="906"/>
      <w:bookmarkEnd w:id="907"/>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6192783B">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14:paraId="5C63CCA8">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hAnsi="宋体" w:cs="宋体"/>
          <w:color w:val="auto"/>
          <w:highlight w:val="none"/>
        </w:rPr>
        <w:t>种方式对合同价格进行调整：</w:t>
      </w:r>
    </w:p>
    <w:p w14:paraId="3593CA6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5A204C2B">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7505F7CE">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2C58E18A">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17A31FF7">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设备确认价：</w:t>
      </w:r>
    </w:p>
    <w:p w14:paraId="78DE07AF">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0B01596D">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5728E06C">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538D1350">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8FA136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54BC22E1">
      <w:pPr>
        <w:pageBreakBefore w:val="0"/>
        <w:widowControl w:val="0"/>
        <w:kinsoku/>
        <w:wordWrap/>
        <w:overflowPunct/>
        <w:topLinePunct w:val="0"/>
        <w:bidi w:val="0"/>
        <w:spacing w:line="360" w:lineRule="auto"/>
        <w:ind w:firstLine="645"/>
        <w:jc w:val="left"/>
        <w:textAlignment w:val="auto"/>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755"/>
    <w:bookmarkEnd w:id="756"/>
    <w:bookmarkEnd w:id="757"/>
    <w:bookmarkEnd w:id="758"/>
    <w:bookmarkEnd w:id="759"/>
    <w:bookmarkEnd w:id="760"/>
    <w:p w14:paraId="19FC21F7">
      <w:pPr>
        <w:pStyle w:val="3"/>
        <w:pageBreakBefore w:val="0"/>
        <w:widowControl w:val="0"/>
        <w:kinsoku/>
        <w:wordWrap/>
        <w:overflowPunct/>
        <w:topLinePunct w:val="0"/>
        <w:bidi w:val="0"/>
        <w:spacing w:before="0" w:after="0" w:line="360" w:lineRule="auto"/>
        <w:textAlignment w:val="auto"/>
        <w:rPr>
          <w:color w:val="auto"/>
          <w:highlight w:val="none"/>
        </w:rPr>
      </w:pPr>
      <w:bookmarkStart w:id="925" w:name="_Toc296503205"/>
      <w:bookmarkStart w:id="926" w:name="_Toc292559915"/>
      <w:bookmarkStart w:id="927" w:name="_Toc296891245"/>
      <w:bookmarkStart w:id="928" w:name="_Toc296347204"/>
      <w:bookmarkStart w:id="929" w:name="_Toc297048391"/>
      <w:bookmarkStart w:id="930" w:name="_Toc296944544"/>
      <w:bookmarkStart w:id="931" w:name="_Toc296891033"/>
      <w:bookmarkStart w:id="932" w:name="_Toc297120505"/>
      <w:bookmarkStart w:id="933" w:name="_Toc296346706"/>
      <w:bookmarkStart w:id="934" w:name="_Toc292559410"/>
      <w:bookmarkStart w:id="935" w:name="_Toc407135251"/>
      <w:bookmarkStart w:id="936" w:name="_Toc373478395"/>
      <w:bookmarkStart w:id="937" w:name="_Toc373227748"/>
      <w:bookmarkStart w:id="938" w:name="_Toc78449837"/>
      <w:bookmarkStart w:id="939" w:name="_Toc1935657796"/>
      <w:bookmarkStart w:id="940" w:name="_Toc351203644"/>
      <w:bookmarkStart w:id="941" w:name="_Toc1720046426"/>
      <w:bookmarkStart w:id="942" w:name="_Toc300935002"/>
      <w:bookmarkStart w:id="943" w:name="_Toc304295579"/>
      <w:bookmarkStart w:id="944" w:name="_Toc303539159"/>
      <w:bookmarkStart w:id="945" w:name="_Toc297123552"/>
      <w:bookmarkStart w:id="946" w:name="_Toc297216211"/>
      <w:bookmarkStart w:id="947" w:name="_Toc312678040"/>
      <w:r>
        <w:rPr>
          <w:color w:val="auto"/>
          <w:highlight w:val="none"/>
        </w:rPr>
        <w:t xml:space="preserve">12. </w:t>
      </w:r>
      <w:bookmarkEnd w:id="925"/>
      <w:bookmarkEnd w:id="926"/>
      <w:bookmarkEnd w:id="927"/>
      <w:bookmarkEnd w:id="928"/>
      <w:bookmarkEnd w:id="929"/>
      <w:bookmarkEnd w:id="930"/>
      <w:bookmarkEnd w:id="931"/>
      <w:bookmarkEnd w:id="932"/>
      <w:bookmarkEnd w:id="933"/>
      <w:bookmarkEnd w:id="934"/>
      <w:r>
        <w:rPr>
          <w:rFonts w:hint="eastAsia" w:cs="黑体"/>
          <w:color w:val="auto"/>
          <w:highlight w:val="none"/>
        </w:rPr>
        <w:t>合同价格、计量与支付</w:t>
      </w:r>
      <w:bookmarkEnd w:id="935"/>
      <w:bookmarkEnd w:id="936"/>
      <w:bookmarkEnd w:id="937"/>
      <w:bookmarkEnd w:id="938"/>
      <w:bookmarkEnd w:id="939"/>
      <w:bookmarkEnd w:id="940"/>
      <w:bookmarkEnd w:id="941"/>
    </w:p>
    <w:bookmarkEnd w:id="942"/>
    <w:bookmarkEnd w:id="943"/>
    <w:bookmarkEnd w:id="944"/>
    <w:bookmarkEnd w:id="945"/>
    <w:bookmarkEnd w:id="946"/>
    <w:bookmarkEnd w:id="947"/>
    <w:p w14:paraId="4C2DB161">
      <w:pPr>
        <w:pStyle w:val="4"/>
        <w:pageBreakBefore w:val="0"/>
        <w:widowControl w:val="0"/>
        <w:kinsoku/>
        <w:wordWrap/>
        <w:overflowPunct/>
        <w:topLinePunct w:val="0"/>
        <w:bidi w:val="0"/>
        <w:spacing w:before="0" w:after="0" w:line="360" w:lineRule="auto"/>
        <w:textAlignment w:val="auto"/>
        <w:rPr>
          <w:color w:val="auto"/>
          <w:highlight w:val="none"/>
        </w:rPr>
      </w:pPr>
      <w:bookmarkStart w:id="948" w:name="_Toc267251461"/>
      <w:bookmarkStart w:id="949" w:name="_Toc292559916"/>
      <w:bookmarkStart w:id="950" w:name="_Toc292559411"/>
      <w:bookmarkStart w:id="951" w:name="_Toc296891246"/>
      <w:bookmarkStart w:id="952" w:name="_Toc297120506"/>
      <w:bookmarkStart w:id="953" w:name="_Toc296346707"/>
      <w:bookmarkStart w:id="954" w:name="_Toc297048392"/>
      <w:bookmarkStart w:id="955" w:name="_Toc296944545"/>
      <w:bookmarkStart w:id="956" w:name="_Toc296503206"/>
      <w:bookmarkStart w:id="957" w:name="_Toc296347205"/>
      <w:bookmarkStart w:id="958" w:name="_Toc296891034"/>
      <w:bookmarkStart w:id="959" w:name="_Toc389065314"/>
      <w:bookmarkStart w:id="960" w:name="_Toc373478396"/>
      <w:bookmarkStart w:id="961" w:name="_Toc1395756356"/>
      <w:bookmarkStart w:id="962" w:name="_Toc78449838"/>
      <w:bookmarkStart w:id="963" w:name="_Toc407135252"/>
      <w:bookmarkStart w:id="964" w:name="_Toc373227749"/>
      <w:bookmarkStart w:id="965" w:name="_Toc1894565429"/>
      <w:bookmarkStart w:id="966" w:name="_Toc304295580"/>
      <w:bookmarkStart w:id="967" w:name="_Toc297123553"/>
      <w:bookmarkStart w:id="968" w:name="_Toc312678041"/>
      <w:bookmarkStart w:id="969" w:name="_Toc297216212"/>
      <w:bookmarkStart w:id="970" w:name="_Toc303539160"/>
      <w:bookmarkStart w:id="971" w:name="_Toc300935003"/>
      <w:r>
        <w:rPr>
          <w:color w:val="auto"/>
          <w:highlight w:val="none"/>
        </w:rPr>
        <w:t xml:space="preserve">12.1 </w:t>
      </w:r>
      <w:r>
        <w:rPr>
          <w:rFonts w:hint="eastAsia" w:hAnsi="宋体" w:cs="黑体"/>
          <w:color w:val="auto"/>
          <w:highlight w:val="none"/>
        </w:rPr>
        <w:t>合</w:t>
      </w:r>
      <w:bookmarkEnd w:id="948"/>
      <w:bookmarkEnd w:id="949"/>
      <w:bookmarkEnd w:id="950"/>
      <w:r>
        <w:rPr>
          <w:rFonts w:hint="eastAsia" w:hAnsi="宋体" w:cs="黑体"/>
          <w:color w:val="auto"/>
          <w:highlight w:val="none"/>
        </w:rPr>
        <w:t>同价</w:t>
      </w:r>
      <w:bookmarkEnd w:id="951"/>
      <w:bookmarkEnd w:id="952"/>
      <w:bookmarkEnd w:id="953"/>
      <w:bookmarkEnd w:id="954"/>
      <w:bookmarkEnd w:id="955"/>
      <w:bookmarkEnd w:id="956"/>
      <w:bookmarkEnd w:id="957"/>
      <w:bookmarkEnd w:id="958"/>
      <w:r>
        <w:rPr>
          <w:rFonts w:hint="eastAsia" w:hAnsi="宋体" w:cs="黑体"/>
          <w:color w:val="auto"/>
          <w:highlight w:val="none"/>
        </w:rPr>
        <w:t>格形式</w:t>
      </w:r>
      <w:bookmarkEnd w:id="959"/>
      <w:bookmarkEnd w:id="960"/>
      <w:bookmarkEnd w:id="961"/>
      <w:bookmarkEnd w:id="962"/>
      <w:bookmarkEnd w:id="963"/>
      <w:bookmarkEnd w:id="964"/>
      <w:bookmarkEnd w:id="965"/>
    </w:p>
    <w:bookmarkEnd w:id="966"/>
    <w:bookmarkEnd w:id="967"/>
    <w:bookmarkEnd w:id="968"/>
    <w:bookmarkEnd w:id="969"/>
    <w:bookmarkEnd w:id="970"/>
    <w:bookmarkEnd w:id="971"/>
    <w:p w14:paraId="1700C542">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bookmarkStart w:id="972" w:name="_Toc389065315"/>
      <w:bookmarkStart w:id="973" w:name="_Toc373478397"/>
      <w:bookmarkStart w:id="974" w:name="_Toc373227750"/>
      <w:bookmarkStart w:id="975" w:name="_Toc300935004"/>
      <w:bookmarkStart w:id="976" w:name="_Toc297123554"/>
      <w:bookmarkStart w:id="977" w:name="_Toc297216213"/>
      <w:bookmarkStart w:id="978" w:name="_Toc304295581"/>
      <w:bookmarkStart w:id="979" w:name="_Toc303539161"/>
      <w:bookmarkStart w:id="980" w:name="_Toc312678042"/>
      <w:bookmarkStart w:id="981" w:name="_Toc296503207"/>
      <w:bookmarkStart w:id="982" w:name="_Toc297120507"/>
      <w:bookmarkStart w:id="983" w:name="_Toc297048393"/>
      <w:bookmarkStart w:id="984" w:name="_Toc296891247"/>
      <w:bookmarkStart w:id="985" w:name="_Toc296891035"/>
      <w:bookmarkStart w:id="986" w:name="_Toc296944546"/>
      <w:bookmarkStart w:id="987" w:name="_Toc296346708"/>
      <w:bookmarkStart w:id="988" w:name="_Toc296347206"/>
      <w:bookmarkStart w:id="989" w:name="_Toc292559917"/>
      <w:bookmarkStart w:id="990" w:name="_Toc292559412"/>
      <w:r>
        <w:rPr>
          <w:rFonts w:hint="eastAsia" w:hAnsi="宋体" w:cs="宋体"/>
          <w:color w:val="auto"/>
          <w:highlight w:val="none"/>
        </w:rPr>
        <w:t>本工程采用</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14:paraId="293242F5">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181D6118">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0C2AA408">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p>
    <w:p w14:paraId="74FA2DFD">
      <w:pPr>
        <w:pageBreakBefore w:val="0"/>
        <w:widowControl w:val="0"/>
        <w:kinsoku/>
        <w:wordWrap/>
        <w:overflowPunct/>
        <w:topLinePunct w:val="0"/>
        <w:bidi w:val="0"/>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风险范围以外合同价格的调整方法：</w:t>
      </w:r>
    </w:p>
    <w:p w14:paraId="2831D690">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2D1818D7">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4411E826">
      <w:pPr>
        <w:pageBreakBefore w:val="0"/>
        <w:widowControl w:val="0"/>
        <w:kinsoku/>
        <w:wordWrap/>
        <w:overflowPunct/>
        <w:topLinePunct w:val="0"/>
        <w:bidi w:val="0"/>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21C8E7DD">
      <w:pPr>
        <w:pageBreakBefore w:val="0"/>
        <w:widowControl w:val="0"/>
        <w:kinsoku/>
        <w:wordWrap/>
        <w:overflowPunct/>
        <w:topLinePunct w:val="0"/>
        <w:bidi w:val="0"/>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45852ED0">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s="宋体"/>
          <w:color w:val="auto"/>
          <w:highlight w:val="none"/>
        </w:rPr>
        <w:t>。</w:t>
      </w:r>
    </w:p>
    <w:p w14:paraId="4DF48649">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194EC5F5">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14:paraId="62EC20D6">
      <w:pPr>
        <w:pageBreakBefore w:val="0"/>
        <w:widowControl w:val="0"/>
        <w:kinsoku/>
        <w:wordWrap/>
        <w:overflowPunct/>
        <w:topLinePunct w:val="0"/>
        <w:bidi w:val="0"/>
        <w:spacing w:line="360" w:lineRule="auto"/>
        <w:ind w:firstLine="420" w:firstLineChars="200"/>
        <w:jc w:val="left"/>
        <w:textAlignment w:val="auto"/>
        <w:rPr>
          <w:rFonts w:hint="eastAsia" w:cs="宋体"/>
          <w:color w:val="auto"/>
          <w:highlight w:val="none"/>
        </w:rPr>
      </w:pPr>
      <w:r>
        <w:rPr>
          <w:rFonts w:hint="eastAsia" w:cs="宋体"/>
          <w:color w:val="auto"/>
          <w:highlight w:val="none"/>
        </w:rPr>
        <w:t>风险范围以外合同价格的调整方法：</w:t>
      </w:r>
    </w:p>
    <w:p w14:paraId="20A5FEEA">
      <w:pPr>
        <w:pageBreakBefore w:val="0"/>
        <w:widowControl w:val="0"/>
        <w:numPr>
          <w:ilvl w:val="0"/>
          <w:numId w:val="4"/>
        </w:numPr>
        <w:kinsoku/>
        <w:wordWrap/>
        <w:overflowPunct/>
        <w:topLinePunct w:val="0"/>
        <w:bidi w:val="0"/>
        <w:spacing w:line="360" w:lineRule="auto"/>
        <w:ind w:firstLine="420" w:firstLineChars="0"/>
        <w:jc w:val="left"/>
        <w:textAlignment w:val="auto"/>
        <w:rPr>
          <w:rFonts w:hint="eastAsia" w:hAnsi="宋体" w:cs="宋体"/>
          <w:color w:val="auto"/>
          <w:highlight w:val="none"/>
        </w:rPr>
      </w:pPr>
      <w:r>
        <w:rPr>
          <w:rFonts w:hint="eastAsia" w:hAnsi="宋体" w:cs="宋体"/>
          <w:color w:val="auto"/>
          <w:highlight w:val="none"/>
        </w:rPr>
        <w:t>工程变更：按</w:t>
      </w:r>
      <w:r>
        <w:rPr>
          <w:rFonts w:hAnsi="宋体" w:cs="宋体"/>
          <w:color w:val="auto"/>
          <w:highlight w:val="none"/>
        </w:rPr>
        <w:t>10.4.1</w:t>
      </w:r>
      <w:r>
        <w:rPr>
          <w:rFonts w:hint="eastAsia" w:hAnsi="宋体" w:cs="宋体"/>
          <w:color w:val="auto"/>
          <w:highlight w:val="none"/>
        </w:rPr>
        <w:t>变更估价原则的约定调整。</w:t>
      </w:r>
    </w:p>
    <w:p w14:paraId="2023D5B9">
      <w:pPr>
        <w:pageBreakBefore w:val="0"/>
        <w:widowControl w:val="0"/>
        <w:kinsoku/>
        <w:wordWrap/>
        <w:overflowPunct/>
        <w:topLinePunct w:val="0"/>
        <w:bidi w:val="0"/>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59DF58ED">
      <w:pPr>
        <w:pageBreakBefore w:val="0"/>
        <w:widowControl w:val="0"/>
        <w:kinsoku/>
        <w:wordWrap/>
        <w:overflowPunct/>
        <w:topLinePunct w:val="0"/>
        <w:bidi w:val="0"/>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3D746A78">
      <w:pPr>
        <w:pageBreakBefore w:val="0"/>
        <w:widowControl w:val="0"/>
        <w:kinsoku/>
        <w:wordWrap/>
        <w:overflowPunct/>
        <w:topLinePunct w:val="0"/>
        <w:bidi w:val="0"/>
        <w:spacing w:line="360" w:lineRule="auto"/>
        <w:ind w:firstLine="420" w:firstLineChars="200"/>
        <w:jc w:val="left"/>
        <w:textAlignment w:val="auto"/>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s="宋体"/>
          <w:color w:val="auto"/>
          <w:highlight w:val="none"/>
        </w:rPr>
        <w:t>。</w:t>
      </w:r>
    </w:p>
    <w:p w14:paraId="7A74402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s="宋体"/>
          <w:color w:val="auto"/>
          <w:highlight w:val="none"/>
        </w:rPr>
        <w:t>。</w:t>
      </w:r>
    </w:p>
    <w:p w14:paraId="24AF8CEB">
      <w:pPr>
        <w:pStyle w:val="4"/>
        <w:pageBreakBefore w:val="0"/>
        <w:widowControl w:val="0"/>
        <w:kinsoku/>
        <w:wordWrap/>
        <w:overflowPunct/>
        <w:topLinePunct w:val="0"/>
        <w:bidi w:val="0"/>
        <w:spacing w:before="0" w:after="0" w:line="360" w:lineRule="auto"/>
        <w:textAlignment w:val="auto"/>
        <w:rPr>
          <w:color w:val="auto"/>
          <w:highlight w:val="none"/>
        </w:rPr>
      </w:pPr>
      <w:bookmarkStart w:id="991" w:name="_Toc1681900246"/>
      <w:bookmarkStart w:id="992" w:name="_Toc78449839"/>
      <w:bookmarkStart w:id="993" w:name="_Toc407135253"/>
      <w:bookmarkStart w:id="994" w:name="_Toc1338560546"/>
      <w:r>
        <w:rPr>
          <w:color w:val="auto"/>
          <w:highlight w:val="none"/>
        </w:rPr>
        <w:t xml:space="preserve">12.2 </w:t>
      </w:r>
      <w:r>
        <w:rPr>
          <w:rFonts w:hint="eastAsia" w:hAnsi="宋体" w:cs="黑体"/>
          <w:color w:val="auto"/>
          <w:highlight w:val="none"/>
        </w:rPr>
        <w:t>预付款</w:t>
      </w:r>
      <w:bookmarkEnd w:id="972"/>
      <w:bookmarkEnd w:id="973"/>
      <w:bookmarkEnd w:id="974"/>
      <w:bookmarkEnd w:id="991"/>
      <w:bookmarkEnd w:id="992"/>
      <w:bookmarkEnd w:id="993"/>
      <w:bookmarkEnd w:id="994"/>
    </w:p>
    <w:bookmarkEnd w:id="975"/>
    <w:bookmarkEnd w:id="976"/>
    <w:bookmarkEnd w:id="977"/>
    <w:bookmarkEnd w:id="978"/>
    <w:bookmarkEnd w:id="979"/>
    <w:bookmarkEnd w:id="980"/>
    <w:p w14:paraId="0004882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12.2.1 </w:t>
      </w:r>
      <w:r>
        <w:rPr>
          <w:rFonts w:hint="eastAsia" w:hAnsi="宋体" w:cs="宋体"/>
          <w:color w:val="auto"/>
          <w:highlight w:val="none"/>
        </w:rPr>
        <w:t>预付款的支付</w:t>
      </w:r>
    </w:p>
    <w:p w14:paraId="76DDB9EF">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预付款支付比例或金额：</w:t>
      </w:r>
      <w:r>
        <w:rPr>
          <w:color w:val="auto"/>
          <w:highlight w:val="none"/>
          <w:u w:val="single"/>
        </w:rPr>
        <w:t xml:space="preserve"> </w:t>
      </w:r>
      <w:r>
        <w:rPr>
          <w:rFonts w:hint="eastAsia"/>
          <w:color w:val="auto"/>
          <w:highlight w:val="none"/>
          <w:u w:val="single"/>
        </w:rPr>
        <w:t>合同总价（扣除暂列金额）的</w:t>
      </w:r>
      <w:r>
        <w:rPr>
          <w:rFonts w:hint="eastAsia"/>
          <w:color w:val="auto"/>
          <w:highlight w:val="none"/>
          <w:u w:val="single"/>
          <w:lang w:val="en-US" w:eastAsia="zh-CN"/>
        </w:rPr>
        <w:t>3</w:t>
      </w:r>
      <w:r>
        <w:rPr>
          <w:rFonts w:hint="eastAsia"/>
          <w:color w:val="auto"/>
          <w:highlight w:val="none"/>
          <w:u w:val="single"/>
        </w:rPr>
        <w:t>0%</w:t>
      </w:r>
      <w:r>
        <w:rPr>
          <w:rFonts w:hint="eastAsia" w:hAnsi="宋体" w:cs="宋体"/>
          <w:color w:val="auto"/>
          <w:highlight w:val="none"/>
          <w:u w:val="single"/>
        </w:rPr>
        <w:t>【备注：政府投资项目应严格执行工程预付款制度，工程预付款应不低于合同总价（扣除暂列金额）的10%（最高不超过30%，并与工程进度款分期按约定比例抵扣）】</w:t>
      </w:r>
      <w:r>
        <w:rPr>
          <w:rFonts w:hint="eastAsia" w:hAnsi="宋体" w:cs="宋体"/>
          <w:color w:val="auto"/>
          <w:highlight w:val="none"/>
        </w:rPr>
        <w:t>。</w:t>
      </w:r>
    </w:p>
    <w:p w14:paraId="0825058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rPr>
        <w:t>签订合同后，项目主要设备、材料进场具备开工条件后7日内（承包人向发包人提交申请，申请支付本项目的预付款）</w:t>
      </w:r>
      <w:r>
        <w:rPr>
          <w:rFonts w:hint="eastAsia"/>
          <w:color w:val="auto"/>
          <w:highlight w:val="none"/>
          <w:u w:val="single"/>
          <w:lang w:eastAsia="zh-CN"/>
        </w:rPr>
        <w:t>，承包人开出发票后</w:t>
      </w:r>
      <w:r>
        <w:rPr>
          <w:rFonts w:hint="eastAsia" w:hAnsi="宋体" w:cs="宋体"/>
          <w:color w:val="auto"/>
          <w:highlight w:val="none"/>
        </w:rPr>
        <w:t>。</w:t>
      </w:r>
    </w:p>
    <w:p w14:paraId="319DD001">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w:t>
      </w:r>
      <w:r>
        <w:rPr>
          <w:rFonts w:hint="eastAsia"/>
          <w:color w:val="auto"/>
          <w:highlight w:val="none"/>
          <w:u w:val="single"/>
          <w:lang w:val="en-US" w:eastAsia="zh-CN"/>
        </w:rPr>
        <w:t>30</w:t>
      </w:r>
      <w:r>
        <w:rPr>
          <w:rFonts w:hint="eastAsia"/>
          <w:color w:val="auto"/>
          <w:highlight w:val="none"/>
          <w:u w:val="single"/>
        </w:rPr>
        <w:t>%作为预付款起扣点，从此之后的每个月进度款中按预付款支付比例扣回</w:t>
      </w:r>
      <w:r>
        <w:rPr>
          <w:rFonts w:hint="eastAsia"/>
          <w:color w:val="auto"/>
          <w:highlight w:val="none"/>
          <w:u w:val="single"/>
          <w:lang w:eastAsia="zh-CN"/>
        </w:rPr>
        <w:t>，全部金额在进度付款证书的累计金额达到签约合同价的80％时扣完</w:t>
      </w:r>
      <w:r>
        <w:rPr>
          <w:rFonts w:hint="eastAsia" w:hAnsi="宋体" w:cs="宋体"/>
          <w:color w:val="auto"/>
          <w:highlight w:val="none"/>
        </w:rPr>
        <w:t>。</w:t>
      </w:r>
    </w:p>
    <w:p w14:paraId="700B2865">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12.2.2 </w:t>
      </w:r>
      <w:r>
        <w:rPr>
          <w:rFonts w:hint="eastAsia" w:hAnsi="宋体" w:cs="宋体"/>
          <w:color w:val="auto"/>
          <w:highlight w:val="none"/>
        </w:rPr>
        <w:t>预付款担保</w:t>
      </w:r>
    </w:p>
    <w:p w14:paraId="5E7D6AC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hAnsi="宋体" w:cs="宋体"/>
          <w:color w:val="auto"/>
          <w:highlight w:val="none"/>
        </w:rPr>
        <w:t>。</w:t>
      </w:r>
    </w:p>
    <w:p w14:paraId="40598B75">
      <w:pPr>
        <w:pageBreakBefore w:val="0"/>
        <w:widowControl w:val="0"/>
        <w:kinsoku/>
        <w:wordWrap/>
        <w:overflowPunct/>
        <w:topLinePunct w:val="0"/>
        <w:bidi w:val="0"/>
        <w:spacing w:line="360" w:lineRule="auto"/>
        <w:ind w:firstLine="420" w:firstLineChars="200"/>
        <w:jc w:val="left"/>
        <w:textAlignment w:val="auto"/>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s="宋体"/>
          <w:color w:val="auto"/>
          <w:highlight w:val="none"/>
          <w:lang w:eastAsia="zh-CN"/>
        </w:rPr>
        <w:t>。</w:t>
      </w:r>
    </w:p>
    <w:p w14:paraId="1B9D8135">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ascii="宋体" w:hAnsi="宋体" w:cs="宋体"/>
          <w:color w:val="auto"/>
          <w:highlight w:val="none"/>
        </w:rPr>
        <w:t>预付款担保格式见合同附件8。预付款支付申请（核准）表见合同附件10</w:t>
      </w:r>
    </w:p>
    <w:bookmarkEnd w:id="981"/>
    <w:bookmarkEnd w:id="982"/>
    <w:bookmarkEnd w:id="983"/>
    <w:bookmarkEnd w:id="984"/>
    <w:bookmarkEnd w:id="985"/>
    <w:bookmarkEnd w:id="986"/>
    <w:bookmarkEnd w:id="987"/>
    <w:bookmarkEnd w:id="988"/>
    <w:bookmarkEnd w:id="989"/>
    <w:bookmarkEnd w:id="990"/>
    <w:p w14:paraId="3EAFF99B">
      <w:pPr>
        <w:pStyle w:val="4"/>
        <w:pageBreakBefore w:val="0"/>
        <w:widowControl w:val="0"/>
        <w:kinsoku/>
        <w:wordWrap/>
        <w:overflowPunct/>
        <w:topLinePunct w:val="0"/>
        <w:bidi w:val="0"/>
        <w:spacing w:before="0" w:after="0" w:line="360" w:lineRule="auto"/>
        <w:textAlignment w:val="auto"/>
        <w:rPr>
          <w:color w:val="auto"/>
          <w:highlight w:val="none"/>
        </w:rPr>
      </w:pPr>
      <w:bookmarkStart w:id="995" w:name="_Toc407135254"/>
      <w:bookmarkStart w:id="996" w:name="_Toc1307224940"/>
      <w:bookmarkStart w:id="997" w:name="_Toc373227751"/>
      <w:bookmarkStart w:id="998" w:name="_Toc78449840"/>
      <w:bookmarkStart w:id="999" w:name="_Toc1494831447"/>
      <w:bookmarkStart w:id="1000" w:name="_Toc389065316"/>
      <w:bookmarkStart w:id="1001" w:name="_Toc373478398"/>
      <w:r>
        <w:rPr>
          <w:color w:val="auto"/>
          <w:highlight w:val="none"/>
        </w:rPr>
        <w:t xml:space="preserve">12.3 </w:t>
      </w:r>
      <w:r>
        <w:rPr>
          <w:rFonts w:hint="eastAsia" w:hAnsi="宋体" w:cs="黑体"/>
          <w:color w:val="auto"/>
          <w:highlight w:val="none"/>
        </w:rPr>
        <w:t>计量</w:t>
      </w:r>
      <w:bookmarkEnd w:id="995"/>
      <w:bookmarkEnd w:id="996"/>
      <w:bookmarkEnd w:id="997"/>
      <w:bookmarkEnd w:id="998"/>
      <w:bookmarkEnd w:id="999"/>
      <w:bookmarkEnd w:id="1000"/>
      <w:bookmarkEnd w:id="1001"/>
    </w:p>
    <w:p w14:paraId="52142F6F">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12.3.1 </w:t>
      </w:r>
      <w:r>
        <w:rPr>
          <w:rFonts w:hint="eastAsia" w:hAnsi="宋体" w:cs="宋体"/>
          <w:color w:val="auto"/>
          <w:highlight w:val="none"/>
        </w:rPr>
        <w:t>计量原则</w:t>
      </w:r>
    </w:p>
    <w:p w14:paraId="74B4551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5D614154">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12.3.2 </w:t>
      </w:r>
      <w:r>
        <w:rPr>
          <w:rFonts w:hint="eastAsia" w:hAnsi="宋体" w:cs="宋体"/>
          <w:color w:val="auto"/>
          <w:highlight w:val="none"/>
        </w:rPr>
        <w:t>计量周期</w:t>
      </w:r>
    </w:p>
    <w:p w14:paraId="404BB57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065914B4">
      <w:pPr>
        <w:pageBreakBefore w:val="0"/>
        <w:widowControl w:val="0"/>
        <w:kinsoku/>
        <w:wordWrap/>
        <w:overflowPunct/>
        <w:topLinePunct w:val="0"/>
        <w:bidi w:val="0"/>
        <w:spacing w:line="360" w:lineRule="auto"/>
        <w:ind w:firstLine="420" w:firstLineChars="200"/>
        <w:jc w:val="left"/>
        <w:textAlignment w:val="auto"/>
        <w:outlineLvl w:val="0"/>
        <w:rPr>
          <w:color w:val="auto"/>
          <w:highlight w:val="none"/>
        </w:rPr>
      </w:pPr>
      <w:r>
        <w:rPr>
          <w:color w:val="auto"/>
          <w:highlight w:val="none"/>
        </w:rPr>
        <w:t xml:space="preserve">12.3.3 </w:t>
      </w:r>
      <w:r>
        <w:rPr>
          <w:rFonts w:hint="eastAsia" w:hAnsi="宋体" w:cs="宋体"/>
          <w:color w:val="auto"/>
          <w:highlight w:val="none"/>
        </w:rPr>
        <w:t>单价合同的计量</w:t>
      </w:r>
    </w:p>
    <w:p w14:paraId="5D1C7B3E">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关于单价合同计量的约定：</w:t>
      </w:r>
    </w:p>
    <w:p w14:paraId="594D2954">
      <w:pPr>
        <w:pageBreakBefore w:val="0"/>
        <w:widowControl w:val="0"/>
        <w:kinsoku/>
        <w:wordWrap/>
        <w:overflowPunct/>
        <w:topLinePunct w:val="0"/>
        <w:bidi w:val="0"/>
        <w:spacing w:line="360" w:lineRule="auto"/>
        <w:ind w:firstLine="441" w:firstLineChars="210"/>
        <w:textAlignment w:val="auto"/>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544AA86A">
      <w:pPr>
        <w:pageBreakBefore w:val="0"/>
        <w:widowControl w:val="0"/>
        <w:kinsoku/>
        <w:wordWrap/>
        <w:overflowPunct/>
        <w:topLinePunct w:val="0"/>
        <w:bidi w:val="0"/>
        <w:spacing w:line="360" w:lineRule="auto"/>
        <w:ind w:firstLine="441" w:firstLineChars="210"/>
        <w:textAlignment w:val="auto"/>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19FF75B6">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12.3.4 </w:t>
      </w:r>
      <w:r>
        <w:rPr>
          <w:rFonts w:hint="eastAsia" w:hAnsi="宋体" w:cs="宋体"/>
          <w:color w:val="auto"/>
          <w:highlight w:val="none"/>
        </w:rPr>
        <w:t>总价合同的计量</w:t>
      </w:r>
    </w:p>
    <w:p w14:paraId="211D5C8F">
      <w:pPr>
        <w:pageBreakBefore w:val="0"/>
        <w:widowControl w:val="0"/>
        <w:kinsoku/>
        <w:wordWrap/>
        <w:overflowPunct/>
        <w:topLinePunct w:val="0"/>
        <w:bidi w:val="0"/>
        <w:spacing w:line="360" w:lineRule="auto"/>
        <w:ind w:firstLine="420" w:firstLineChars="200"/>
        <w:jc w:val="left"/>
        <w:textAlignment w:val="auto"/>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3006F05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4805E9A1">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hAnsi="宋体" w:cs="宋体"/>
          <w:color w:val="auto"/>
          <w:highlight w:val="none"/>
        </w:rPr>
        <w:t>。</w:t>
      </w:r>
    </w:p>
    <w:p w14:paraId="7AD7A26F">
      <w:pPr>
        <w:pStyle w:val="4"/>
        <w:pageBreakBefore w:val="0"/>
        <w:widowControl w:val="0"/>
        <w:kinsoku/>
        <w:wordWrap/>
        <w:overflowPunct/>
        <w:topLinePunct w:val="0"/>
        <w:bidi w:val="0"/>
        <w:spacing w:before="0" w:after="0" w:line="360" w:lineRule="auto"/>
        <w:textAlignment w:val="auto"/>
        <w:rPr>
          <w:color w:val="auto"/>
          <w:highlight w:val="none"/>
        </w:rPr>
      </w:pPr>
      <w:bookmarkStart w:id="1002" w:name="_Toc373227752"/>
      <w:bookmarkStart w:id="1003" w:name="_Toc1155368667"/>
      <w:bookmarkStart w:id="1004" w:name="_Toc389065317"/>
      <w:bookmarkStart w:id="1005" w:name="_Toc1711431123"/>
      <w:bookmarkStart w:id="1006" w:name="_Toc78449841"/>
      <w:bookmarkStart w:id="1007" w:name="_Toc407135255"/>
      <w:bookmarkStart w:id="1008" w:name="_Toc373478399"/>
      <w:r>
        <w:rPr>
          <w:color w:val="auto"/>
          <w:highlight w:val="none"/>
        </w:rPr>
        <w:t xml:space="preserve">12.4 </w:t>
      </w:r>
      <w:r>
        <w:rPr>
          <w:rFonts w:hint="eastAsia" w:cs="黑体"/>
          <w:color w:val="auto"/>
          <w:highlight w:val="none"/>
        </w:rPr>
        <w:t>工程进度款支付</w:t>
      </w:r>
      <w:bookmarkEnd w:id="1002"/>
      <w:bookmarkEnd w:id="1003"/>
      <w:bookmarkEnd w:id="1004"/>
      <w:bookmarkEnd w:id="1005"/>
      <w:bookmarkEnd w:id="1006"/>
      <w:bookmarkEnd w:id="1007"/>
      <w:bookmarkEnd w:id="1008"/>
    </w:p>
    <w:p w14:paraId="5A380C2F">
      <w:pPr>
        <w:pageBreakBefore w:val="0"/>
        <w:widowControl w:val="0"/>
        <w:kinsoku/>
        <w:wordWrap/>
        <w:overflowPunct/>
        <w:topLinePunct w:val="0"/>
        <w:bidi w:val="0"/>
        <w:spacing w:line="360" w:lineRule="auto"/>
        <w:ind w:firstLine="440" w:firstLineChars="200"/>
        <w:jc w:val="left"/>
        <w:textAlignment w:val="auto"/>
        <w:rPr>
          <w:color w:val="auto"/>
          <w:highlight w:val="none"/>
        </w:rPr>
      </w:pPr>
      <w:bookmarkStart w:id="1009" w:name="_Toc292559416"/>
      <w:bookmarkStart w:id="1010" w:name="_Toc296944550"/>
      <w:bookmarkStart w:id="1011" w:name="_Toc297216215"/>
      <w:bookmarkStart w:id="1012" w:name="_Toc296346712"/>
      <w:bookmarkStart w:id="1013" w:name="_Toc297123556"/>
      <w:bookmarkStart w:id="1014" w:name="_Toc296503211"/>
      <w:bookmarkStart w:id="1015" w:name="_Toc296347210"/>
      <w:bookmarkStart w:id="1016" w:name="_Toc292559921"/>
      <w:bookmarkStart w:id="1017" w:name="_Toc297048397"/>
      <w:bookmarkStart w:id="1018" w:name="_Toc303539163"/>
      <w:bookmarkStart w:id="1019" w:name="_Toc300935006"/>
      <w:bookmarkStart w:id="1020" w:name="_Toc297120511"/>
      <w:bookmarkStart w:id="1021" w:name="_Toc296891251"/>
      <w:bookmarkStart w:id="1022" w:name="_Toc296891039"/>
      <w:r>
        <w:rPr>
          <w:rFonts w:ascii="宋体" w:hAnsi="宋体" w:eastAsia="宋体" w:cs="宋体"/>
          <w:kern w:val="0"/>
          <w:sz w:val="22"/>
          <w:szCs w:val="22"/>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宋体" w:hAnsi="宋体" w:eastAsia="宋体" w:cs="宋体"/>
          <w:kern w:val="0"/>
          <w:sz w:val="22"/>
          <w:szCs w:val="22"/>
          <w:lang w:val="en-US" w:eastAsia="zh-CN" w:bidi="ar"/>
        </w:rPr>
        <w:t>。</w:t>
      </w:r>
    </w:p>
    <w:p w14:paraId="4C938D3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12.4.1 </w:t>
      </w:r>
      <w:r>
        <w:rPr>
          <w:rFonts w:hint="eastAsia" w:hAnsi="宋体" w:cs="宋体"/>
          <w:color w:val="auto"/>
          <w:highlight w:val="none"/>
        </w:rPr>
        <w:t>付款周期</w:t>
      </w:r>
    </w:p>
    <w:p w14:paraId="7BA4AB0D">
      <w:pPr>
        <w:pageBreakBefore w:val="0"/>
        <w:widowControl w:val="0"/>
        <w:kinsoku/>
        <w:wordWrap/>
        <w:overflowPunct/>
        <w:topLinePunct w:val="0"/>
        <w:bidi w:val="0"/>
        <w:spacing w:line="360" w:lineRule="auto"/>
        <w:ind w:firstLine="420" w:firstLineChars="200"/>
        <w:jc w:val="left"/>
        <w:textAlignment w:val="auto"/>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u w:val="single"/>
        </w:rPr>
        <w:t>资金拨付按月进度款实际支付金额为监理和发包人审定当月实际完成合同工程量的80%[其中经审定的当月实际完成合同工程量的25%须支付至承包人农民工工资专户（银行代发）]，竣工验收合格后支付至合同总价的80%，工程竣工验收并且结算送审后，以审计结算价为准支付至结算总价的97%，采购人按工程价款结算总额的3%预留工程质量保修金，在质保期结束后一个月内付清(不计利息)。</w:t>
      </w:r>
    </w:p>
    <w:p w14:paraId="5B4B923A">
      <w:pPr>
        <w:pageBreakBefore w:val="0"/>
        <w:widowControl w:val="0"/>
        <w:kinsoku/>
        <w:wordWrap/>
        <w:overflowPunct/>
        <w:topLinePunct w:val="0"/>
        <w:bidi w:val="0"/>
        <w:spacing w:line="360" w:lineRule="auto"/>
        <w:ind w:firstLine="420" w:firstLineChars="200"/>
        <w:jc w:val="left"/>
        <w:textAlignment w:val="auto"/>
        <w:rPr>
          <w:rFonts w:hint="eastAsia"/>
          <w:color w:val="auto"/>
          <w:highlight w:val="none"/>
        </w:rPr>
      </w:pPr>
      <w:r>
        <w:rPr>
          <w:rFonts w:hAnsi="宋体" w:cs="宋体"/>
          <w:color w:val="auto"/>
          <w:highlight w:val="none"/>
          <w:u w:val="single"/>
        </w:rPr>
        <w:fldChar w:fldCharType="begin"/>
      </w:r>
      <w:r>
        <w:rPr>
          <w:rFonts w:hAnsi="宋体" w:cs="宋体"/>
          <w:color w:val="auto"/>
          <w:highlight w:val="none"/>
          <w:u w:val="single"/>
        </w:rPr>
        <w:instrText xml:space="preserve"> </w:instrText>
      </w:r>
      <w:r>
        <w:rPr>
          <w:rFonts w:hint="eastAsia" w:hAnsi="宋体" w:cs="宋体"/>
          <w:color w:val="auto"/>
          <w:highlight w:val="none"/>
          <w:u w:val="single"/>
        </w:rPr>
        <w:instrText xml:space="preserve">= 2 \* GB3</w:instrText>
      </w:r>
      <w:r>
        <w:rPr>
          <w:rFonts w:hAnsi="宋体" w:cs="宋体"/>
          <w:color w:val="auto"/>
          <w:highlight w:val="none"/>
          <w:u w:val="single"/>
        </w:rPr>
        <w:instrText xml:space="preserve"> </w:instrText>
      </w:r>
      <w:r>
        <w:rPr>
          <w:rFonts w:hAnsi="宋体" w:cs="宋体"/>
          <w:color w:val="auto"/>
          <w:highlight w:val="none"/>
          <w:u w:val="single"/>
        </w:rPr>
        <w:fldChar w:fldCharType="separate"/>
      </w:r>
      <w:r>
        <w:rPr>
          <w:rFonts w:hint="eastAsia" w:hAnsi="宋体" w:cs="宋体"/>
          <w:color w:val="auto"/>
          <w:highlight w:val="none"/>
          <w:u w:val="single"/>
        </w:rPr>
        <w:t>②</w:t>
      </w:r>
      <w:r>
        <w:rPr>
          <w:rFonts w:hAnsi="宋体" w:cs="宋体"/>
          <w:color w:val="auto"/>
          <w:highlight w:val="none"/>
          <w:u w:val="single"/>
        </w:rPr>
        <w:fldChar w:fldCharType="end"/>
      </w:r>
      <w:r>
        <w:rPr>
          <w:rFonts w:hint="eastAsia" w:hAnsi="宋体" w:cs="宋体"/>
          <w:color w:val="auto"/>
          <w:highlight w:val="none"/>
          <w:u w:val="single"/>
        </w:rPr>
        <w:t>合同约定的工程质量缺陷责任期（最长不超过2年）满后由承包人向发包人提出返还保证金的申请，</w:t>
      </w:r>
      <w:r>
        <w:rPr>
          <w:rFonts w:hAnsi="宋体" w:cs="宋体"/>
          <w:color w:val="auto"/>
          <w:highlight w:val="none"/>
          <w:u w:val="single"/>
        </w:rPr>
        <w:t>发包人</w:t>
      </w:r>
      <w:r>
        <w:rPr>
          <w:rFonts w:hint="eastAsia" w:hAnsi="宋体" w:cs="宋体"/>
          <w:color w:val="auto"/>
          <w:highlight w:val="none"/>
          <w:u w:val="single"/>
        </w:rPr>
        <w:t>在</w:t>
      </w:r>
      <w:r>
        <w:rPr>
          <w:rFonts w:hAnsi="宋体" w:cs="宋体"/>
          <w:color w:val="auto"/>
          <w:highlight w:val="none"/>
          <w:u w:val="single"/>
        </w:rPr>
        <w:t>接到承包人返还保证金申请后，于</w:t>
      </w:r>
      <w:r>
        <w:rPr>
          <w:rFonts w:hint="eastAsia" w:hAnsi="宋体" w:cs="宋体"/>
          <w:color w:val="auto"/>
          <w:highlight w:val="none"/>
          <w:u w:val="single"/>
        </w:rPr>
        <w:t>14天</w:t>
      </w:r>
      <w:r>
        <w:rPr>
          <w:rFonts w:hAnsi="宋体" w:cs="宋体"/>
          <w:color w:val="auto"/>
          <w:highlight w:val="none"/>
          <w:u w:val="single"/>
        </w:rPr>
        <w:t>内会同承包人按照合同约定的内容进行核实。如</w:t>
      </w:r>
      <w:r>
        <w:rPr>
          <w:rFonts w:hint="eastAsia" w:hAnsi="宋体" w:cs="宋体"/>
          <w:color w:val="auto"/>
          <w:highlight w:val="none"/>
          <w:u w:val="single"/>
        </w:rPr>
        <w:t>无异</w:t>
      </w:r>
      <w:r>
        <w:rPr>
          <w:rFonts w:hAnsi="宋体" w:cs="宋体"/>
          <w:color w:val="auto"/>
          <w:highlight w:val="none"/>
          <w:u w:val="single"/>
        </w:rPr>
        <w:t>议，发包人在核实后</w:t>
      </w:r>
      <w:r>
        <w:rPr>
          <w:rFonts w:hint="eastAsia" w:hAnsi="宋体" w:cs="宋体"/>
          <w:color w:val="auto"/>
          <w:highlight w:val="none"/>
          <w:u w:val="single"/>
        </w:rPr>
        <w:t>14天</w:t>
      </w:r>
      <w:r>
        <w:rPr>
          <w:rFonts w:hAnsi="宋体" w:cs="宋体"/>
          <w:color w:val="auto"/>
          <w:highlight w:val="none"/>
          <w:u w:val="single"/>
        </w:rPr>
        <w:t>内将保证金</w:t>
      </w:r>
      <w:r>
        <w:rPr>
          <w:rFonts w:hint="eastAsia" w:hAnsi="宋体" w:cs="宋体"/>
          <w:color w:val="auto"/>
          <w:highlight w:val="none"/>
          <w:u w:val="single"/>
        </w:rPr>
        <w:t>返还承包</w:t>
      </w:r>
      <w:r>
        <w:rPr>
          <w:rFonts w:hAnsi="宋体" w:cs="宋体"/>
          <w:color w:val="auto"/>
          <w:highlight w:val="none"/>
          <w:u w:val="single"/>
        </w:rPr>
        <w:t>人，逾期未返还的，依法承</w:t>
      </w:r>
      <w:r>
        <w:rPr>
          <w:rFonts w:hint="eastAsia" w:hAnsi="宋体" w:cs="宋体"/>
          <w:color w:val="auto"/>
          <w:highlight w:val="none"/>
          <w:u w:val="single"/>
        </w:rPr>
        <w:t>担</w:t>
      </w:r>
      <w:r>
        <w:rPr>
          <w:rFonts w:hAnsi="宋体" w:cs="宋体"/>
          <w:color w:val="auto"/>
          <w:highlight w:val="none"/>
          <w:u w:val="single"/>
        </w:rPr>
        <w:t>违约责任</w:t>
      </w:r>
      <w:r>
        <w:rPr>
          <w:rFonts w:hint="eastAsia" w:hAnsi="宋体" w:cs="宋体"/>
          <w:color w:val="auto"/>
          <w:highlight w:val="none"/>
          <w:u w:val="single"/>
        </w:rPr>
        <w:t>。发</w:t>
      </w:r>
      <w:r>
        <w:rPr>
          <w:rFonts w:hAnsi="宋体" w:cs="宋体"/>
          <w:color w:val="auto"/>
          <w:highlight w:val="none"/>
          <w:u w:val="single"/>
        </w:rPr>
        <w:t>包人在接到承包人返还保证金申请后</w:t>
      </w:r>
      <w:r>
        <w:rPr>
          <w:rFonts w:hint="eastAsia" w:hAnsi="宋体" w:cs="宋体"/>
          <w:color w:val="auto"/>
          <w:highlight w:val="none"/>
          <w:u w:val="single"/>
        </w:rPr>
        <w:t>14天</w:t>
      </w:r>
      <w:r>
        <w:rPr>
          <w:rFonts w:hAnsi="宋体" w:cs="宋体"/>
          <w:color w:val="auto"/>
          <w:highlight w:val="none"/>
          <w:u w:val="single"/>
        </w:rPr>
        <w:t>内不予答复，经催告后</w:t>
      </w:r>
      <w:r>
        <w:rPr>
          <w:rFonts w:hint="eastAsia" w:hAnsi="宋体" w:cs="宋体"/>
          <w:color w:val="auto"/>
          <w:highlight w:val="none"/>
          <w:u w:val="single"/>
        </w:rPr>
        <w:t>14天</w:t>
      </w:r>
      <w:r>
        <w:rPr>
          <w:rFonts w:hAnsi="宋体" w:cs="宋体"/>
          <w:color w:val="auto"/>
          <w:highlight w:val="none"/>
          <w:u w:val="single"/>
        </w:rPr>
        <w:t>内仍不</w:t>
      </w:r>
      <w:r>
        <w:rPr>
          <w:rFonts w:hint="eastAsia" w:hAnsi="宋体" w:cs="宋体"/>
          <w:color w:val="auto"/>
          <w:highlight w:val="none"/>
          <w:u w:val="single"/>
        </w:rPr>
        <w:t>予</w:t>
      </w:r>
      <w:r>
        <w:rPr>
          <w:rFonts w:hAnsi="宋体" w:cs="宋体"/>
          <w:color w:val="auto"/>
          <w:highlight w:val="none"/>
          <w:u w:val="single"/>
        </w:rPr>
        <w:t>答复，</w:t>
      </w:r>
      <w:r>
        <w:rPr>
          <w:rFonts w:hint="eastAsia" w:hAnsi="宋体" w:cs="宋体"/>
          <w:color w:val="auto"/>
          <w:highlight w:val="none"/>
          <w:u w:val="single"/>
        </w:rPr>
        <w:t>视</w:t>
      </w:r>
      <w:r>
        <w:rPr>
          <w:rFonts w:hAnsi="宋体" w:cs="宋体"/>
          <w:color w:val="auto"/>
          <w:highlight w:val="none"/>
          <w:u w:val="single"/>
        </w:rPr>
        <w:t>同认可承包人的返还保证金申请。</w:t>
      </w:r>
    </w:p>
    <w:p w14:paraId="1F8E6F50">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12.4.2 </w:t>
      </w:r>
      <w:r>
        <w:rPr>
          <w:rFonts w:hint="eastAsia" w:hAnsi="宋体" w:cs="宋体"/>
          <w:color w:val="auto"/>
          <w:highlight w:val="none"/>
        </w:rPr>
        <w:t>进度付款申请单的编制</w:t>
      </w:r>
    </w:p>
    <w:p w14:paraId="5790ED6E">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hAnsi="宋体" w:cs="宋体"/>
          <w:color w:val="auto"/>
          <w:highlight w:val="none"/>
        </w:rPr>
        <w:t>。</w:t>
      </w:r>
    </w:p>
    <w:p w14:paraId="69CAC68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color w:val="auto"/>
          <w:highlight w:val="none"/>
        </w:rPr>
        <w:t xml:space="preserve">2.4.3 </w:t>
      </w:r>
      <w:r>
        <w:rPr>
          <w:rFonts w:hint="eastAsia" w:hAnsi="宋体" w:cs="宋体"/>
          <w:color w:val="auto"/>
          <w:highlight w:val="none"/>
        </w:rPr>
        <w:t>进度付款申请单的提交</w:t>
      </w:r>
    </w:p>
    <w:p w14:paraId="22C8353D">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color w:val="auto"/>
          <w:highlight w:val="none"/>
          <w:u w:val="single"/>
        </w:rPr>
        <w:t xml:space="preserve">                                 </w:t>
      </w:r>
      <w:r>
        <w:rPr>
          <w:rFonts w:hint="eastAsia" w:hAnsi="宋体" w:cs="宋体"/>
          <w:color w:val="auto"/>
          <w:highlight w:val="none"/>
        </w:rPr>
        <w:t>。</w:t>
      </w:r>
    </w:p>
    <w:p w14:paraId="30B29DF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hAnsi="宋体" w:cs="宋体"/>
          <w:color w:val="auto"/>
          <w:highlight w:val="none"/>
        </w:rPr>
        <w:t>。</w:t>
      </w:r>
    </w:p>
    <w:p w14:paraId="1C0B3CAC">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hAnsi="宋体" w:cs="宋体"/>
          <w:color w:val="auto"/>
          <w:highlight w:val="none"/>
        </w:rPr>
        <w:t>。</w:t>
      </w:r>
    </w:p>
    <w:p w14:paraId="59ACFD40">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 xml:space="preserve">12.4.4 </w:t>
      </w:r>
      <w:r>
        <w:rPr>
          <w:rFonts w:hint="eastAsia" w:hAnsi="宋体" w:cs="宋体"/>
          <w:color w:val="auto"/>
          <w:highlight w:val="none"/>
        </w:rPr>
        <w:t>进度款审核和支付</w:t>
      </w:r>
    </w:p>
    <w:p w14:paraId="6F32B3EF">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color w:val="auto"/>
          <w:highlight w:val="none"/>
          <w:u w:val="single"/>
        </w:rPr>
        <w:t xml:space="preserve">                  </w:t>
      </w:r>
      <w:r>
        <w:rPr>
          <w:rFonts w:hint="eastAsia" w:hAnsi="宋体" w:cs="宋体"/>
          <w:color w:val="auto"/>
          <w:highlight w:val="none"/>
        </w:rPr>
        <w:t>。</w:t>
      </w:r>
    </w:p>
    <w:p w14:paraId="089F7877">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hAnsi="宋体" w:cs="宋体"/>
          <w:color w:val="auto"/>
          <w:highlight w:val="none"/>
        </w:rPr>
        <w:t>。</w:t>
      </w:r>
    </w:p>
    <w:p w14:paraId="2D89B813">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hAnsi="宋体" w:cs="宋体"/>
          <w:color w:val="auto"/>
          <w:highlight w:val="none"/>
        </w:rPr>
        <w:t>。</w:t>
      </w:r>
    </w:p>
    <w:p w14:paraId="4375AD51">
      <w:pPr>
        <w:pageBreakBefore w:val="0"/>
        <w:widowControl w:val="0"/>
        <w:kinsoku/>
        <w:wordWrap/>
        <w:overflowPunct/>
        <w:topLinePunct w:val="0"/>
        <w:bidi w:val="0"/>
        <w:spacing w:line="360" w:lineRule="auto"/>
        <w:ind w:firstLine="525" w:firstLineChars="250"/>
        <w:jc w:val="left"/>
        <w:textAlignment w:val="auto"/>
        <w:rPr>
          <w:color w:val="auto"/>
          <w:highlight w:val="none"/>
        </w:rPr>
      </w:pPr>
      <w:r>
        <w:rPr>
          <w:rFonts w:hint="eastAsia" w:hAnsi="宋体" w:cs="宋体"/>
          <w:color w:val="auto"/>
          <w:highlight w:val="none"/>
        </w:rPr>
        <w:t>发包人逾期支付进度款的违约金的计算方式：</w:t>
      </w:r>
      <w:r>
        <w:rPr>
          <w:color w:val="auto"/>
          <w:highlight w:val="none"/>
          <w:u w:val="single"/>
        </w:rPr>
        <w:t xml:space="preserve">                                   </w:t>
      </w:r>
      <w:r>
        <w:rPr>
          <w:rFonts w:hint="eastAsia" w:hAnsi="宋体" w:cs="宋体"/>
          <w:color w:val="auto"/>
          <w:highlight w:val="none"/>
        </w:rPr>
        <w:t>。</w:t>
      </w:r>
    </w:p>
    <w:p w14:paraId="16FACACF">
      <w:pPr>
        <w:pageBreakBefore w:val="0"/>
        <w:widowControl w:val="0"/>
        <w:kinsoku/>
        <w:wordWrap/>
        <w:overflowPunct/>
        <w:topLinePunct w:val="0"/>
        <w:bidi w:val="0"/>
        <w:spacing w:line="360" w:lineRule="auto"/>
        <w:ind w:firstLine="630" w:firstLineChars="300"/>
        <w:textAlignment w:val="auto"/>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7CDD5E89">
      <w:pPr>
        <w:pageBreakBefore w:val="0"/>
        <w:widowControl w:val="0"/>
        <w:kinsoku/>
        <w:wordWrap/>
        <w:overflowPunct/>
        <w:topLinePunct w:val="0"/>
        <w:bidi w:val="0"/>
        <w:spacing w:line="360" w:lineRule="auto"/>
        <w:ind w:firstLine="525" w:firstLineChars="250"/>
        <w:jc w:val="left"/>
        <w:textAlignment w:val="auto"/>
        <w:rPr>
          <w:rFonts w:hint="eastAsia" w:hAnsi="宋体"/>
          <w:color w:val="auto"/>
          <w:highlight w:val="none"/>
        </w:rPr>
      </w:pPr>
      <w:r>
        <w:rPr>
          <w:rFonts w:hint="eastAsia" w:hAnsi="宋体"/>
          <w:color w:val="auto"/>
          <w:highlight w:val="none"/>
        </w:rPr>
        <w:t>（3） 农民工工资支付</w:t>
      </w:r>
    </w:p>
    <w:p w14:paraId="40219A80">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1AFE9C64">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6F12A994">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3）发包人依据工程进度，审核承包人申报的工程进度款，按照与承包人约定的人工费支付比例     %</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5F5539B8">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B2BCE27">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07364953">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22EB04E8">
      <w:pPr>
        <w:pageBreakBefore w:val="0"/>
        <w:widowControl w:val="0"/>
        <w:kinsoku/>
        <w:wordWrap/>
        <w:overflowPunct/>
        <w:topLinePunct w:val="0"/>
        <w:bidi w:val="0"/>
        <w:spacing w:line="360" w:lineRule="auto"/>
        <w:ind w:firstLine="525" w:firstLineChars="250"/>
        <w:jc w:val="left"/>
        <w:textAlignment w:val="auto"/>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0D6EF88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rPr>
        <w:t>。</w:t>
      </w:r>
    </w:p>
    <w:p w14:paraId="68BD3BD4">
      <w:pPr>
        <w:pageBreakBefore w:val="0"/>
        <w:widowControl w:val="0"/>
        <w:kinsoku/>
        <w:wordWrap/>
        <w:overflowPunct/>
        <w:topLinePunct w:val="0"/>
        <w:bidi w:val="0"/>
        <w:spacing w:line="360" w:lineRule="auto"/>
        <w:ind w:firstLine="525" w:firstLineChars="250"/>
        <w:jc w:val="left"/>
        <w:textAlignment w:val="auto"/>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78300963">
      <w:pPr>
        <w:pageBreakBefore w:val="0"/>
        <w:widowControl w:val="0"/>
        <w:kinsoku/>
        <w:wordWrap/>
        <w:overflowPunct/>
        <w:topLinePunct w:val="0"/>
        <w:bidi w:val="0"/>
        <w:spacing w:line="360" w:lineRule="auto"/>
        <w:ind w:firstLine="525" w:firstLineChars="250"/>
        <w:jc w:val="left"/>
        <w:textAlignment w:val="auto"/>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24C58EFE">
      <w:pPr>
        <w:pageBreakBefore w:val="0"/>
        <w:widowControl w:val="0"/>
        <w:kinsoku/>
        <w:wordWrap/>
        <w:overflowPunct/>
        <w:topLinePunct w:val="0"/>
        <w:bidi w:val="0"/>
        <w:spacing w:line="360" w:lineRule="auto"/>
        <w:ind w:firstLine="525" w:firstLineChars="250"/>
        <w:jc w:val="left"/>
        <w:textAlignment w:val="auto"/>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761"/>
    <w:p w14:paraId="1B699C8B">
      <w:pPr>
        <w:pStyle w:val="3"/>
        <w:pageBreakBefore w:val="0"/>
        <w:widowControl w:val="0"/>
        <w:kinsoku/>
        <w:wordWrap/>
        <w:overflowPunct/>
        <w:topLinePunct w:val="0"/>
        <w:bidi w:val="0"/>
        <w:spacing w:before="0" w:after="0" w:line="360" w:lineRule="auto"/>
        <w:textAlignment w:val="auto"/>
        <w:rPr>
          <w:color w:val="auto"/>
          <w:highlight w:val="none"/>
        </w:rPr>
      </w:pPr>
      <w:bookmarkStart w:id="1023" w:name="_Toc373227753"/>
      <w:bookmarkStart w:id="1024" w:name="_Toc2003466256"/>
      <w:bookmarkStart w:id="1025" w:name="_Toc78449842"/>
      <w:bookmarkStart w:id="1026" w:name="_Toc389065318"/>
      <w:bookmarkStart w:id="1027" w:name="_Toc351203645"/>
      <w:bookmarkStart w:id="1028" w:name="_Toc728899116"/>
      <w:bookmarkStart w:id="1029" w:name="_Toc373478400"/>
      <w:bookmarkStart w:id="1030" w:name="_Toc407135256"/>
      <w:bookmarkStart w:id="1031" w:name="_Toc312678053"/>
      <w:bookmarkStart w:id="1032" w:name="_Toc296346720"/>
      <w:bookmarkStart w:id="1033" w:name="_Toc296891259"/>
      <w:bookmarkStart w:id="1034" w:name="_Toc300935015"/>
      <w:bookmarkStart w:id="1035" w:name="_Toc303539172"/>
      <w:bookmarkStart w:id="1036" w:name="_Toc297216223"/>
      <w:bookmarkStart w:id="1037" w:name="_Toc296944558"/>
      <w:bookmarkStart w:id="1038" w:name="_Toc297120519"/>
      <w:bookmarkStart w:id="1039" w:name="_Toc292559929"/>
      <w:bookmarkStart w:id="1040" w:name="_Toc296891047"/>
      <w:bookmarkStart w:id="1041" w:name="_Toc304295593"/>
      <w:bookmarkStart w:id="1042" w:name="_Toc296503219"/>
      <w:bookmarkStart w:id="1043" w:name="_Toc297123564"/>
      <w:bookmarkStart w:id="1044" w:name="_Toc297048405"/>
      <w:bookmarkStart w:id="1045" w:name="_Toc292559424"/>
      <w:bookmarkStart w:id="1046" w:name="_Toc296347218"/>
      <w:r>
        <w:rPr>
          <w:color w:val="auto"/>
          <w:highlight w:val="none"/>
        </w:rPr>
        <w:t xml:space="preserve">13. </w:t>
      </w:r>
      <w:r>
        <w:rPr>
          <w:rFonts w:hint="eastAsia" w:cs="黑体"/>
          <w:color w:val="auto"/>
          <w:highlight w:val="none"/>
        </w:rPr>
        <w:t>验收和工程试车</w:t>
      </w:r>
      <w:bookmarkEnd w:id="1023"/>
      <w:bookmarkEnd w:id="1024"/>
      <w:bookmarkEnd w:id="1025"/>
      <w:bookmarkEnd w:id="1026"/>
      <w:bookmarkEnd w:id="1027"/>
      <w:bookmarkEnd w:id="1028"/>
      <w:bookmarkEnd w:id="1029"/>
      <w:bookmarkEnd w:id="1030"/>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14:paraId="3DED9C29">
      <w:pPr>
        <w:pStyle w:val="4"/>
        <w:pageBreakBefore w:val="0"/>
        <w:widowControl w:val="0"/>
        <w:kinsoku/>
        <w:wordWrap/>
        <w:overflowPunct/>
        <w:topLinePunct w:val="0"/>
        <w:bidi w:val="0"/>
        <w:spacing w:before="0" w:after="0" w:line="360" w:lineRule="auto"/>
        <w:textAlignment w:val="auto"/>
        <w:rPr>
          <w:color w:val="auto"/>
          <w:highlight w:val="none"/>
        </w:rPr>
      </w:pPr>
      <w:bookmarkStart w:id="1047" w:name="_Toc834489126"/>
      <w:bookmarkStart w:id="1048" w:name="_Toc373478401"/>
      <w:bookmarkStart w:id="1049" w:name="_Toc78449843"/>
      <w:bookmarkStart w:id="1050" w:name="_Toc407135257"/>
      <w:bookmarkStart w:id="1051" w:name="_Toc740353520"/>
      <w:bookmarkStart w:id="1052" w:name="_Toc373227754"/>
      <w:bookmarkStart w:id="1053" w:name="_Toc389065319"/>
      <w:r>
        <w:rPr>
          <w:color w:val="auto"/>
          <w:highlight w:val="none"/>
        </w:rPr>
        <w:t xml:space="preserve">13.1 </w:t>
      </w:r>
      <w:r>
        <w:rPr>
          <w:rFonts w:hint="eastAsia" w:cs="黑体"/>
          <w:color w:val="auto"/>
          <w:highlight w:val="none"/>
        </w:rPr>
        <w:t>分部分项工程验收</w:t>
      </w:r>
      <w:bookmarkEnd w:id="1047"/>
      <w:bookmarkEnd w:id="1048"/>
      <w:bookmarkEnd w:id="1049"/>
      <w:bookmarkEnd w:id="1050"/>
      <w:bookmarkEnd w:id="1051"/>
      <w:bookmarkEnd w:id="1052"/>
      <w:bookmarkEnd w:id="1053"/>
    </w:p>
    <w:p w14:paraId="5D611E42">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hAnsi="宋体" w:cs="宋体"/>
          <w:color w:val="auto"/>
          <w:highlight w:val="none"/>
        </w:rPr>
        <w:t>小时提交书面延期要求。</w:t>
      </w:r>
    </w:p>
    <w:p w14:paraId="25518F28">
      <w:pPr>
        <w:pageBreakBefore w:val="0"/>
        <w:widowControl w:val="0"/>
        <w:kinsoku/>
        <w:wordWrap/>
        <w:overflowPunct/>
        <w:topLinePunct w:val="0"/>
        <w:bidi w:val="0"/>
        <w:spacing w:line="360" w:lineRule="auto"/>
        <w:ind w:firstLine="420" w:firstLineChars="200"/>
        <w:jc w:val="left"/>
        <w:textAlignment w:val="auto"/>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3AF5133F">
      <w:pPr>
        <w:pStyle w:val="4"/>
        <w:pageBreakBefore w:val="0"/>
        <w:widowControl w:val="0"/>
        <w:kinsoku/>
        <w:wordWrap/>
        <w:overflowPunct/>
        <w:topLinePunct w:val="0"/>
        <w:bidi w:val="0"/>
        <w:spacing w:before="0" w:after="0" w:line="360" w:lineRule="auto"/>
        <w:textAlignment w:val="auto"/>
        <w:rPr>
          <w:color w:val="auto"/>
          <w:highlight w:val="none"/>
        </w:rPr>
      </w:pPr>
      <w:bookmarkStart w:id="1054" w:name="_Toc389065320"/>
      <w:bookmarkStart w:id="1055" w:name="_Toc373478402"/>
      <w:bookmarkStart w:id="1056" w:name="_Toc1578431234"/>
      <w:bookmarkStart w:id="1057" w:name="_Toc1062221039"/>
      <w:bookmarkStart w:id="1058" w:name="_Toc407135258"/>
      <w:bookmarkStart w:id="1059" w:name="_Toc373227755"/>
      <w:bookmarkStart w:id="1060" w:name="_Toc78449844"/>
      <w:bookmarkStart w:id="1061" w:name="_Toc296503223"/>
      <w:bookmarkStart w:id="1062" w:name="_Toc292559428"/>
      <w:bookmarkStart w:id="1063" w:name="_Toc296346724"/>
      <w:bookmarkStart w:id="1064" w:name="_Toc312678056"/>
      <w:bookmarkStart w:id="1065" w:name="_Toc296891263"/>
      <w:bookmarkStart w:id="1066" w:name="_Toc292559933"/>
      <w:bookmarkStart w:id="1067" w:name="_Toc297216224"/>
      <w:bookmarkStart w:id="1068" w:name="_Toc296891051"/>
      <w:bookmarkStart w:id="1069" w:name="_Toc303539173"/>
      <w:bookmarkStart w:id="1070" w:name="_Toc297048409"/>
      <w:bookmarkStart w:id="1071" w:name="_Toc300935016"/>
      <w:bookmarkStart w:id="1072" w:name="_Toc296347222"/>
      <w:bookmarkStart w:id="1073" w:name="_Toc297123565"/>
      <w:bookmarkStart w:id="1074" w:name="_Toc304295596"/>
      <w:bookmarkStart w:id="1075" w:name="_Toc296944562"/>
      <w:bookmarkStart w:id="1076" w:name="_Toc297120523"/>
      <w:bookmarkStart w:id="1077" w:name="_Toc267251473"/>
      <w:bookmarkStart w:id="1078" w:name="_Toc267251470"/>
      <w:bookmarkStart w:id="1079" w:name="_Toc267251471"/>
      <w:bookmarkStart w:id="1080" w:name="_Toc267251474"/>
      <w:bookmarkStart w:id="1081" w:name="_Toc267251475"/>
      <w:bookmarkStart w:id="1082" w:name="_Toc267251476"/>
      <w:bookmarkStart w:id="1083" w:name="_Toc267251472"/>
      <w:r>
        <w:rPr>
          <w:color w:val="auto"/>
          <w:highlight w:val="none"/>
        </w:rPr>
        <w:t xml:space="preserve">13.2 </w:t>
      </w:r>
      <w:r>
        <w:rPr>
          <w:rFonts w:hint="eastAsia" w:hAnsi="宋体" w:cs="黑体"/>
          <w:color w:val="auto"/>
          <w:highlight w:val="none"/>
        </w:rPr>
        <w:t>竣工验收</w:t>
      </w:r>
      <w:bookmarkEnd w:id="1054"/>
      <w:bookmarkEnd w:id="1055"/>
      <w:bookmarkEnd w:id="1056"/>
      <w:bookmarkEnd w:id="1057"/>
      <w:bookmarkEnd w:id="1058"/>
      <w:bookmarkEnd w:id="1059"/>
      <w:bookmarkEnd w:id="1060"/>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14:paraId="41F785EC">
      <w:pPr>
        <w:pageBreakBefore w:val="0"/>
        <w:widowControl w:val="0"/>
        <w:kinsoku/>
        <w:wordWrap/>
        <w:overflowPunct/>
        <w:topLinePunct w:val="0"/>
        <w:bidi w:val="0"/>
        <w:spacing w:line="360" w:lineRule="auto"/>
        <w:ind w:firstLine="420" w:firstLineChars="200"/>
        <w:jc w:val="left"/>
        <w:textAlignment w:val="auto"/>
        <w:rPr>
          <w:color w:val="auto"/>
          <w:highlight w:val="none"/>
        </w:rPr>
      </w:pPr>
      <w:bookmarkStart w:id="1084" w:name="_Toc280868704"/>
      <w:bookmarkStart w:id="1085" w:name="_Toc280868705"/>
      <w:bookmarkStart w:id="1086" w:name="_Toc280868706"/>
      <w:bookmarkStart w:id="1087" w:name="_Toc280868707"/>
      <w:bookmarkStart w:id="1088" w:name="_Toc280868708"/>
      <w:bookmarkStart w:id="1089" w:name="_Toc280868709"/>
      <w:r>
        <w:rPr>
          <w:color w:val="auto"/>
          <w:highlight w:val="none"/>
        </w:rPr>
        <w:t>13.2.1</w:t>
      </w:r>
      <w:r>
        <w:rPr>
          <w:rFonts w:hint="eastAsia" w:hAnsi="宋体" w:cs="宋体"/>
          <w:color w:val="auto"/>
          <w:highlight w:val="none"/>
        </w:rPr>
        <w:t>竣工验收条件</w:t>
      </w:r>
    </w:p>
    <w:p w14:paraId="4B598844">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w:t>
      </w:r>
      <w:r>
        <w:rPr>
          <w:rFonts w:hint="eastAsia" w:hAnsi="宋体" w:cs="宋体"/>
          <w:color w:val="auto"/>
          <w:highlight w:val="none"/>
        </w:rPr>
        <w:t>。</w:t>
      </w:r>
    </w:p>
    <w:p w14:paraId="3A6B1298">
      <w:pPr>
        <w:pageBreakBefore w:val="0"/>
        <w:widowControl w:val="0"/>
        <w:kinsoku/>
        <w:wordWrap/>
        <w:overflowPunct/>
        <w:topLinePunct w:val="0"/>
        <w:bidi w:val="0"/>
        <w:spacing w:line="360" w:lineRule="auto"/>
        <w:ind w:firstLine="420" w:firstLineChars="200"/>
        <w:textAlignment w:val="auto"/>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hAnsi="宋体" w:cs="宋体"/>
          <w:color w:val="auto"/>
          <w:highlight w:val="none"/>
        </w:rPr>
        <w:t>。</w:t>
      </w:r>
    </w:p>
    <w:p w14:paraId="3A7E17FF">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14:paraId="299F6F35">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13.2.2</w:t>
      </w:r>
      <w:r>
        <w:rPr>
          <w:rFonts w:hint="eastAsia" w:hAnsi="宋体" w:cs="宋体"/>
          <w:color w:val="auto"/>
          <w:highlight w:val="none"/>
        </w:rPr>
        <w:t>竣工验收程序</w:t>
      </w:r>
    </w:p>
    <w:bookmarkEnd w:id="1084"/>
    <w:p w14:paraId="7B3B6356">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hAnsi="宋体" w:cs="宋体"/>
          <w:color w:val="auto"/>
          <w:highlight w:val="none"/>
        </w:rPr>
        <w:t>。</w:t>
      </w:r>
    </w:p>
    <w:p w14:paraId="21FD9006">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p>
    <w:p w14:paraId="2C4F50BD">
      <w:pPr>
        <w:pageBreakBefore w:val="0"/>
        <w:widowControl w:val="0"/>
        <w:kinsoku/>
        <w:wordWrap/>
        <w:overflowPunct/>
        <w:topLinePunct w:val="0"/>
        <w:bidi w:val="0"/>
        <w:spacing w:line="360" w:lineRule="auto"/>
        <w:jc w:val="left"/>
        <w:textAlignment w:val="auto"/>
        <w:rPr>
          <w:color w:val="auto"/>
          <w:highlight w:val="none"/>
        </w:rPr>
      </w:pPr>
      <w:r>
        <w:rPr>
          <w:color w:val="auto"/>
          <w:highlight w:val="none"/>
          <w:u w:val="single"/>
        </w:rPr>
        <w:t xml:space="preserve">                                                                                </w:t>
      </w:r>
      <w:r>
        <w:rPr>
          <w:rFonts w:hint="eastAsia" w:hAnsi="宋体" w:cs="宋体"/>
          <w:color w:val="auto"/>
          <w:highlight w:val="none"/>
        </w:rPr>
        <w:t>。</w:t>
      </w:r>
    </w:p>
    <w:bookmarkEnd w:id="1085"/>
    <w:p w14:paraId="4655664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color w:val="auto"/>
          <w:highlight w:val="none"/>
        </w:rPr>
        <w:t>13.2.5</w:t>
      </w:r>
      <w:r>
        <w:rPr>
          <w:rFonts w:hint="eastAsia" w:hAnsi="宋体" w:cs="宋体"/>
          <w:color w:val="auto"/>
          <w:highlight w:val="none"/>
        </w:rPr>
        <w:t>移交、接收全部与部分工程</w:t>
      </w:r>
    </w:p>
    <w:bookmarkEnd w:id="1086"/>
    <w:p w14:paraId="58ED3268">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hAnsi="宋体" w:cs="宋体"/>
          <w:color w:val="auto"/>
          <w:highlight w:val="none"/>
        </w:rPr>
        <w:t>。</w:t>
      </w:r>
    </w:p>
    <w:p w14:paraId="10594D28">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发包人未按本合同约定接收全部或部分工程的，违约金的计算方法为：</w:t>
      </w:r>
      <w:r>
        <w:rPr>
          <w:color w:val="auto"/>
          <w:highlight w:val="none"/>
          <w:u w:val="single"/>
        </w:rPr>
        <w:t xml:space="preserve">              </w:t>
      </w:r>
      <w:r>
        <w:rPr>
          <w:rFonts w:hint="eastAsia" w:hAnsi="宋体" w:cs="宋体"/>
          <w:color w:val="auto"/>
          <w:highlight w:val="none"/>
        </w:rPr>
        <w:t>。</w:t>
      </w:r>
    </w:p>
    <w:bookmarkEnd w:id="1087"/>
    <w:p w14:paraId="78929D24">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hAnsi="宋体" w:cs="宋体"/>
          <w:color w:val="auto"/>
          <w:highlight w:val="none"/>
        </w:rPr>
        <w:t>。</w:t>
      </w:r>
    </w:p>
    <w:p w14:paraId="17C2AB95">
      <w:pPr>
        <w:pStyle w:val="4"/>
        <w:pageBreakBefore w:val="0"/>
        <w:widowControl w:val="0"/>
        <w:kinsoku/>
        <w:wordWrap/>
        <w:overflowPunct/>
        <w:topLinePunct w:val="0"/>
        <w:bidi w:val="0"/>
        <w:spacing w:before="0" w:after="0" w:line="360" w:lineRule="auto"/>
        <w:textAlignment w:val="auto"/>
        <w:rPr>
          <w:color w:val="auto"/>
          <w:highlight w:val="none"/>
        </w:rPr>
      </w:pPr>
      <w:bookmarkStart w:id="1090" w:name="_Toc373478403"/>
      <w:bookmarkStart w:id="1091" w:name="_Toc407135259"/>
      <w:bookmarkStart w:id="1092" w:name="_Toc2090321864"/>
      <w:bookmarkStart w:id="1093" w:name="_Toc373227756"/>
      <w:bookmarkStart w:id="1094" w:name="_Toc78449845"/>
      <w:bookmarkStart w:id="1095" w:name="_Toc389065321"/>
      <w:bookmarkStart w:id="1096" w:name="_Toc1470255881"/>
      <w:r>
        <w:rPr>
          <w:color w:val="auto"/>
          <w:highlight w:val="none"/>
        </w:rPr>
        <w:t xml:space="preserve">13.3 </w:t>
      </w:r>
      <w:r>
        <w:rPr>
          <w:rFonts w:hint="eastAsia" w:hAnsi="宋体" w:cs="黑体"/>
          <w:color w:val="auto"/>
          <w:highlight w:val="none"/>
        </w:rPr>
        <w:t>工程试车</w:t>
      </w:r>
      <w:bookmarkEnd w:id="1090"/>
      <w:bookmarkEnd w:id="1091"/>
      <w:bookmarkEnd w:id="1092"/>
      <w:bookmarkEnd w:id="1093"/>
      <w:bookmarkEnd w:id="1094"/>
      <w:bookmarkEnd w:id="1095"/>
      <w:bookmarkEnd w:id="1096"/>
    </w:p>
    <w:bookmarkEnd w:id="1088"/>
    <w:p w14:paraId="3B515A9E">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59238916">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hAnsi="宋体" w:cs="宋体"/>
          <w:color w:val="auto"/>
          <w:highlight w:val="none"/>
        </w:rPr>
        <w:t>。</w:t>
      </w:r>
    </w:p>
    <w:p w14:paraId="49E3E4B9">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hAnsi="宋体" w:cs="宋体"/>
          <w:color w:val="auto"/>
          <w:kern w:val="0"/>
          <w:highlight w:val="none"/>
        </w:rPr>
        <w:t>承担；</w:t>
      </w:r>
    </w:p>
    <w:p w14:paraId="7B6E876C">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hAnsi="宋体" w:cs="宋体"/>
          <w:color w:val="auto"/>
          <w:kern w:val="0"/>
          <w:highlight w:val="none"/>
        </w:rPr>
        <w:t>承担。</w:t>
      </w:r>
    </w:p>
    <w:p w14:paraId="04D15202">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161F87F5">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hAnsi="宋体" w:cs="宋体"/>
          <w:color w:val="auto"/>
          <w:highlight w:val="none"/>
        </w:rPr>
        <w:t>。</w:t>
      </w:r>
    </w:p>
    <w:p w14:paraId="2D2DE116">
      <w:pPr>
        <w:pStyle w:val="4"/>
        <w:pageBreakBefore w:val="0"/>
        <w:widowControl w:val="0"/>
        <w:kinsoku/>
        <w:wordWrap/>
        <w:overflowPunct/>
        <w:topLinePunct w:val="0"/>
        <w:bidi w:val="0"/>
        <w:spacing w:before="0" w:after="0" w:line="360" w:lineRule="auto"/>
        <w:textAlignment w:val="auto"/>
        <w:rPr>
          <w:color w:val="auto"/>
          <w:highlight w:val="none"/>
        </w:rPr>
      </w:pPr>
      <w:bookmarkStart w:id="1097" w:name="_Toc373478404"/>
      <w:bookmarkStart w:id="1098" w:name="_Toc373227757"/>
      <w:bookmarkStart w:id="1099" w:name="_Toc550030550"/>
      <w:bookmarkStart w:id="1100" w:name="_Toc389065322"/>
      <w:bookmarkStart w:id="1101" w:name="_Toc10307455"/>
      <w:bookmarkStart w:id="1102" w:name="_Toc407135260"/>
      <w:bookmarkStart w:id="1103" w:name="_Toc78449846"/>
      <w:r>
        <w:rPr>
          <w:color w:val="auto"/>
          <w:highlight w:val="none"/>
        </w:rPr>
        <w:t xml:space="preserve">13.6 </w:t>
      </w:r>
      <w:r>
        <w:rPr>
          <w:rFonts w:hint="eastAsia" w:hAnsi="宋体" w:cs="黑体"/>
          <w:color w:val="auto"/>
          <w:highlight w:val="none"/>
        </w:rPr>
        <w:t>竣工退场</w:t>
      </w:r>
      <w:bookmarkEnd w:id="1097"/>
      <w:bookmarkEnd w:id="1098"/>
      <w:bookmarkEnd w:id="1099"/>
      <w:bookmarkEnd w:id="1100"/>
      <w:bookmarkEnd w:id="1101"/>
      <w:bookmarkEnd w:id="1102"/>
      <w:bookmarkEnd w:id="1103"/>
    </w:p>
    <w:p w14:paraId="4C6E59E7">
      <w:pPr>
        <w:pageBreakBefore w:val="0"/>
        <w:widowControl w:val="0"/>
        <w:kinsoku/>
        <w:wordWrap/>
        <w:overflowPunct/>
        <w:topLinePunct w:val="0"/>
        <w:bidi w:val="0"/>
        <w:spacing w:line="360" w:lineRule="auto"/>
        <w:ind w:firstLine="420" w:firstLineChars="200"/>
        <w:jc w:val="left"/>
        <w:textAlignment w:val="auto"/>
        <w:outlineLvl w:val="0"/>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14:paraId="34DE6342">
      <w:pPr>
        <w:pageBreakBefore w:val="0"/>
        <w:widowControl w:val="0"/>
        <w:kinsoku/>
        <w:wordWrap/>
        <w:overflowPunct/>
        <w:topLinePunct w:val="0"/>
        <w:bidi w:val="0"/>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hAnsi="宋体" w:cs="宋体"/>
          <w:color w:val="auto"/>
          <w:kern w:val="0"/>
          <w:highlight w:val="none"/>
        </w:rPr>
        <w:t>。</w:t>
      </w:r>
    </w:p>
    <w:p w14:paraId="55993E5B">
      <w:pPr>
        <w:pStyle w:val="3"/>
        <w:pageBreakBefore w:val="0"/>
        <w:widowControl w:val="0"/>
        <w:kinsoku/>
        <w:wordWrap/>
        <w:overflowPunct/>
        <w:topLinePunct w:val="0"/>
        <w:bidi w:val="0"/>
        <w:spacing w:before="0" w:after="0" w:line="360" w:lineRule="auto"/>
        <w:textAlignment w:val="auto"/>
        <w:rPr>
          <w:color w:val="auto"/>
          <w:highlight w:val="none"/>
        </w:rPr>
      </w:pPr>
      <w:bookmarkStart w:id="1104" w:name="_Toc407135261"/>
      <w:bookmarkStart w:id="1105" w:name="_Toc373227758"/>
      <w:bookmarkStart w:id="1106" w:name="_Toc1950258056"/>
      <w:bookmarkStart w:id="1107" w:name="_Toc351203646"/>
      <w:bookmarkStart w:id="1108" w:name="_Toc389065323"/>
      <w:bookmarkStart w:id="1109" w:name="_Toc78449847"/>
      <w:bookmarkStart w:id="1110" w:name="_Toc373478405"/>
      <w:bookmarkStart w:id="1111" w:name="_Toc1385490858"/>
      <w:r>
        <w:rPr>
          <w:color w:val="auto"/>
          <w:highlight w:val="none"/>
        </w:rPr>
        <w:t xml:space="preserve">14. </w:t>
      </w:r>
      <w:r>
        <w:rPr>
          <w:rFonts w:hint="eastAsia" w:hAnsi="宋体" w:cs="黑体"/>
          <w:color w:val="auto"/>
          <w:highlight w:val="none"/>
        </w:rPr>
        <w:t>竣工结算</w:t>
      </w:r>
      <w:bookmarkEnd w:id="1104"/>
      <w:bookmarkEnd w:id="1105"/>
      <w:bookmarkEnd w:id="1106"/>
      <w:bookmarkEnd w:id="1107"/>
      <w:bookmarkEnd w:id="1108"/>
      <w:bookmarkEnd w:id="1109"/>
      <w:bookmarkEnd w:id="1110"/>
      <w:bookmarkEnd w:id="1111"/>
    </w:p>
    <w:p w14:paraId="43ECA369">
      <w:pPr>
        <w:pStyle w:val="4"/>
        <w:pageBreakBefore w:val="0"/>
        <w:widowControl w:val="0"/>
        <w:kinsoku/>
        <w:wordWrap/>
        <w:overflowPunct/>
        <w:topLinePunct w:val="0"/>
        <w:bidi w:val="0"/>
        <w:spacing w:before="0" w:after="0" w:line="360" w:lineRule="auto"/>
        <w:textAlignment w:val="auto"/>
        <w:rPr>
          <w:color w:val="auto"/>
          <w:highlight w:val="none"/>
        </w:rPr>
      </w:pPr>
      <w:bookmarkStart w:id="1112" w:name="_Toc389065324"/>
      <w:bookmarkStart w:id="1113" w:name="_Toc373478406"/>
      <w:bookmarkStart w:id="1114" w:name="_Toc78449848"/>
      <w:bookmarkStart w:id="1115" w:name="_Toc407135262"/>
      <w:bookmarkStart w:id="1116" w:name="_Toc373227759"/>
      <w:bookmarkStart w:id="1117" w:name="_Toc1973954660"/>
      <w:bookmarkStart w:id="1118" w:name="_Toc174652718"/>
      <w:r>
        <w:rPr>
          <w:color w:val="auto"/>
          <w:highlight w:val="none"/>
        </w:rPr>
        <w:t xml:space="preserve">14.1 </w:t>
      </w:r>
      <w:r>
        <w:rPr>
          <w:rFonts w:hint="eastAsia" w:hAnsi="宋体" w:cs="黑体"/>
          <w:color w:val="auto"/>
          <w:highlight w:val="none"/>
        </w:rPr>
        <w:t>竣工付款申请</w:t>
      </w:r>
      <w:bookmarkEnd w:id="1112"/>
      <w:bookmarkEnd w:id="1113"/>
      <w:bookmarkEnd w:id="1114"/>
      <w:bookmarkEnd w:id="1115"/>
      <w:bookmarkEnd w:id="1116"/>
      <w:bookmarkEnd w:id="1117"/>
      <w:bookmarkEnd w:id="1118"/>
    </w:p>
    <w:p w14:paraId="17E706EC">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hAnsi="宋体" w:cs="宋体"/>
          <w:color w:val="auto"/>
          <w:highlight w:val="none"/>
        </w:rPr>
        <w:t>。</w:t>
      </w:r>
    </w:p>
    <w:p w14:paraId="0B7E149E">
      <w:pPr>
        <w:pageBreakBefore w:val="0"/>
        <w:widowControl w:val="0"/>
        <w:kinsoku/>
        <w:wordWrap/>
        <w:overflowPunct/>
        <w:topLinePunct w:val="0"/>
        <w:bidi w:val="0"/>
        <w:spacing w:line="360" w:lineRule="auto"/>
        <w:ind w:firstLine="420" w:firstLineChars="200"/>
        <w:jc w:val="left"/>
        <w:textAlignment w:val="auto"/>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hAnsi="宋体" w:cs="宋体"/>
          <w:color w:val="auto"/>
          <w:highlight w:val="none"/>
        </w:rPr>
        <w:t>。竣工结算款支付申请（核准）表见合同附件12。</w:t>
      </w:r>
    </w:p>
    <w:p w14:paraId="1180439C">
      <w:pPr>
        <w:pStyle w:val="4"/>
        <w:pageBreakBefore w:val="0"/>
        <w:widowControl w:val="0"/>
        <w:kinsoku/>
        <w:wordWrap/>
        <w:overflowPunct/>
        <w:topLinePunct w:val="0"/>
        <w:bidi w:val="0"/>
        <w:spacing w:before="0" w:after="0" w:line="360" w:lineRule="auto"/>
        <w:textAlignment w:val="auto"/>
        <w:rPr>
          <w:color w:val="auto"/>
          <w:highlight w:val="none"/>
        </w:rPr>
      </w:pPr>
      <w:bookmarkStart w:id="1119" w:name="_Toc373478407"/>
      <w:bookmarkStart w:id="1120" w:name="_Toc667492935"/>
      <w:bookmarkStart w:id="1121" w:name="_Toc489920513"/>
      <w:bookmarkStart w:id="1122" w:name="_Toc78449849"/>
      <w:bookmarkStart w:id="1123" w:name="_Toc389065325"/>
      <w:bookmarkStart w:id="1124" w:name="_Toc373227760"/>
      <w:bookmarkStart w:id="1125" w:name="_Toc407135263"/>
      <w:r>
        <w:rPr>
          <w:color w:val="auto"/>
          <w:highlight w:val="none"/>
        </w:rPr>
        <w:t xml:space="preserve">14.2 </w:t>
      </w:r>
      <w:r>
        <w:rPr>
          <w:rFonts w:hint="eastAsia" w:hAnsi="宋体" w:cs="黑体"/>
          <w:color w:val="auto"/>
          <w:highlight w:val="none"/>
        </w:rPr>
        <w:t>竣工结算审核</w:t>
      </w:r>
      <w:bookmarkEnd w:id="1119"/>
      <w:bookmarkEnd w:id="1120"/>
      <w:bookmarkEnd w:id="1121"/>
      <w:bookmarkEnd w:id="1122"/>
      <w:bookmarkEnd w:id="1123"/>
      <w:bookmarkEnd w:id="1124"/>
      <w:bookmarkEnd w:id="1125"/>
    </w:p>
    <w:p w14:paraId="77ABD9B9">
      <w:pPr>
        <w:pageBreakBefore w:val="0"/>
        <w:widowControl w:val="0"/>
        <w:kinsoku/>
        <w:wordWrap/>
        <w:overflowPunct/>
        <w:topLinePunct w:val="0"/>
        <w:bidi w:val="0"/>
        <w:spacing w:line="360" w:lineRule="auto"/>
        <w:ind w:firstLine="420" w:firstLineChars="200"/>
        <w:jc w:val="left"/>
        <w:textAlignment w:val="auto"/>
        <w:rPr>
          <w:color w:val="auto"/>
          <w:highlight w:val="none"/>
        </w:rPr>
      </w:pPr>
      <w:r>
        <w:rPr>
          <w:rFonts w:hint="eastAsia" w:hAnsi="宋体" w:cs="宋体"/>
          <w:color w:val="auto"/>
          <w:highlight w:val="none"/>
        </w:rPr>
        <w:t>发包人审批竣工付款申请单的期限：</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1BBB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7650701">
            <w:pPr>
              <w:spacing w:line="360" w:lineRule="auto"/>
              <w:rPr>
                <w:color w:val="auto"/>
                <w:highlight w:val="none"/>
              </w:rPr>
            </w:pPr>
          </w:p>
        </w:tc>
        <w:tc>
          <w:tcPr>
            <w:tcW w:w="2466" w:type="dxa"/>
            <w:noWrap w:val="0"/>
            <w:vAlign w:val="center"/>
          </w:tcPr>
          <w:p w14:paraId="25BB99F8">
            <w:pPr>
              <w:spacing w:line="360" w:lineRule="auto"/>
              <w:ind w:firstLine="27" w:firstLineChars="13"/>
              <w:jc w:val="center"/>
              <w:rPr>
                <w:color w:val="auto"/>
                <w:highlight w:val="none"/>
              </w:rPr>
            </w:pPr>
            <w:r>
              <w:rPr>
                <w:rFonts w:hint="eastAsia" w:hAnsi="宋体" w:cs="宋体"/>
                <w:color w:val="auto"/>
                <w:highlight w:val="none"/>
              </w:rPr>
              <w:t>工程竣工结算报告金额</w:t>
            </w:r>
          </w:p>
        </w:tc>
        <w:tc>
          <w:tcPr>
            <w:tcW w:w="5967" w:type="dxa"/>
            <w:noWrap w:val="0"/>
            <w:vAlign w:val="center"/>
          </w:tcPr>
          <w:p w14:paraId="3D1BB116">
            <w:pPr>
              <w:spacing w:line="360" w:lineRule="auto"/>
              <w:ind w:firstLine="441" w:firstLineChars="210"/>
              <w:jc w:val="center"/>
              <w:rPr>
                <w:color w:val="auto"/>
                <w:highlight w:val="none"/>
              </w:rPr>
            </w:pPr>
            <w:r>
              <w:rPr>
                <w:rFonts w:hint="eastAsia" w:hAnsi="宋体" w:cs="宋体"/>
                <w:color w:val="auto"/>
                <w:highlight w:val="none"/>
              </w:rPr>
              <w:t>发包人审查时间</w:t>
            </w:r>
          </w:p>
        </w:tc>
      </w:tr>
      <w:tr w14:paraId="6A67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61FE20B">
            <w:pPr>
              <w:spacing w:line="360" w:lineRule="auto"/>
              <w:jc w:val="center"/>
              <w:rPr>
                <w:color w:val="auto"/>
                <w:highlight w:val="none"/>
              </w:rPr>
            </w:pPr>
            <w:r>
              <w:rPr>
                <w:color w:val="auto"/>
                <w:highlight w:val="none"/>
              </w:rPr>
              <w:t>1</w:t>
            </w:r>
          </w:p>
        </w:tc>
        <w:tc>
          <w:tcPr>
            <w:tcW w:w="2466" w:type="dxa"/>
            <w:noWrap w:val="0"/>
            <w:vAlign w:val="center"/>
          </w:tcPr>
          <w:p w14:paraId="50292BB2">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6447B1D1">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61E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8944E83">
            <w:pPr>
              <w:spacing w:line="360" w:lineRule="auto"/>
              <w:jc w:val="center"/>
              <w:rPr>
                <w:color w:val="auto"/>
                <w:highlight w:val="none"/>
              </w:rPr>
            </w:pPr>
            <w:r>
              <w:rPr>
                <w:color w:val="auto"/>
                <w:highlight w:val="none"/>
              </w:rPr>
              <w:t>2</w:t>
            </w:r>
          </w:p>
        </w:tc>
        <w:tc>
          <w:tcPr>
            <w:tcW w:w="2466" w:type="dxa"/>
            <w:noWrap w:val="0"/>
            <w:vAlign w:val="center"/>
          </w:tcPr>
          <w:p w14:paraId="09D52307">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63B9CC41">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652D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93A3C15">
            <w:pPr>
              <w:spacing w:line="360" w:lineRule="auto"/>
              <w:jc w:val="center"/>
              <w:rPr>
                <w:color w:val="auto"/>
                <w:highlight w:val="none"/>
              </w:rPr>
            </w:pPr>
            <w:r>
              <w:rPr>
                <w:color w:val="auto"/>
                <w:highlight w:val="none"/>
              </w:rPr>
              <w:t>3</w:t>
            </w:r>
          </w:p>
        </w:tc>
        <w:tc>
          <w:tcPr>
            <w:tcW w:w="2466" w:type="dxa"/>
            <w:noWrap w:val="0"/>
            <w:vAlign w:val="center"/>
          </w:tcPr>
          <w:p w14:paraId="00DE1B81">
            <w:pPr>
              <w:spacing w:line="360" w:lineRule="auto"/>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560D4790">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451E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4D8EDFB">
            <w:pPr>
              <w:spacing w:line="360" w:lineRule="auto"/>
              <w:jc w:val="center"/>
              <w:rPr>
                <w:color w:val="auto"/>
                <w:highlight w:val="none"/>
              </w:rPr>
            </w:pPr>
            <w:r>
              <w:rPr>
                <w:color w:val="auto"/>
                <w:highlight w:val="none"/>
              </w:rPr>
              <w:t>4</w:t>
            </w:r>
          </w:p>
        </w:tc>
        <w:tc>
          <w:tcPr>
            <w:tcW w:w="2466" w:type="dxa"/>
            <w:noWrap w:val="0"/>
            <w:vAlign w:val="center"/>
          </w:tcPr>
          <w:p w14:paraId="761D30CF">
            <w:pPr>
              <w:spacing w:line="360" w:lineRule="auto"/>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0F69C84C">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69E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B710420">
            <w:pPr>
              <w:spacing w:line="360" w:lineRule="auto"/>
              <w:jc w:val="center"/>
              <w:rPr>
                <w:color w:val="auto"/>
                <w:highlight w:val="none"/>
              </w:rPr>
            </w:pPr>
            <w:r>
              <w:rPr>
                <w:rFonts w:hint="eastAsia"/>
                <w:color w:val="auto"/>
                <w:highlight w:val="none"/>
              </w:rPr>
              <w:t>5</w:t>
            </w:r>
          </w:p>
        </w:tc>
        <w:tc>
          <w:tcPr>
            <w:tcW w:w="2466" w:type="dxa"/>
            <w:noWrap w:val="0"/>
            <w:vAlign w:val="center"/>
          </w:tcPr>
          <w:p w14:paraId="0A72E90C">
            <w:pPr>
              <w:spacing w:line="360" w:lineRule="auto"/>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14:paraId="41C34E5D">
            <w:pPr>
              <w:spacing w:line="360" w:lineRule="auto"/>
              <w:ind w:firstLine="441" w:firstLineChars="210"/>
              <w:jc w:val="center"/>
              <w:rPr>
                <w:rFonts w:hint="eastAsia" w:hAnsi="宋体" w:cs="宋体"/>
                <w:color w:val="auto"/>
                <w:highlight w:val="none"/>
              </w:rPr>
            </w:pPr>
            <w:r>
              <w:rPr>
                <w:rFonts w:hint="eastAsia" w:hAnsi="宋体" w:cs="宋体"/>
                <w:color w:val="auto"/>
                <w:highlight w:val="none"/>
              </w:rPr>
              <w:t>增加10天</w:t>
            </w:r>
          </w:p>
        </w:tc>
      </w:tr>
    </w:tbl>
    <w:p w14:paraId="7C589BA8">
      <w:pPr>
        <w:pageBreakBefore w:val="0"/>
        <w:widowControl w:val="0"/>
        <w:kinsoku/>
        <w:wordWrap/>
        <w:overflowPunct/>
        <w:topLinePunct w:val="0"/>
        <w:bidi w:val="0"/>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2D9FC42A">
      <w:pPr>
        <w:pageBreakBefore w:val="0"/>
        <w:widowControl w:val="0"/>
        <w:kinsoku/>
        <w:wordWrap/>
        <w:overflowPunct/>
        <w:topLinePunct w:val="0"/>
        <w:bidi w:val="0"/>
        <w:snapToGrid/>
        <w:spacing w:line="360" w:lineRule="auto"/>
        <w:ind w:firstLine="411" w:firstLineChars="196"/>
        <w:textAlignment w:val="auto"/>
        <w:rPr>
          <w:rFonts w:hint="eastAsia" w:ascii="Times New Roman" w:hAnsi="宋体" w:eastAsia="宋体" w:cs="宋体"/>
          <w:i w:val="0"/>
          <w:caps w:val="0"/>
          <w:color w:val="auto"/>
          <w:spacing w:val="0"/>
          <w:sz w:val="21"/>
          <w:szCs w:val="21"/>
          <w:highlight w:val="none"/>
        </w:rPr>
      </w:pPr>
      <w:r>
        <w:rPr>
          <w:rFonts w:hint="eastAsia" w:hAnsi="宋体" w:cs="宋体"/>
          <w:color w:val="auto"/>
          <w:highlight w:val="none"/>
        </w:rPr>
        <w:t>竣工结算审核约定：</w:t>
      </w:r>
      <w:r>
        <w:rPr>
          <w:rFonts w:hint="eastAsia" w:ascii="Times New Roman"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1DDC95F3">
      <w:pPr>
        <w:pageBreakBefore w:val="0"/>
        <w:widowControl w:val="0"/>
        <w:kinsoku/>
        <w:wordWrap/>
        <w:overflowPunct/>
        <w:topLinePunct w:val="0"/>
        <w:bidi w:val="0"/>
        <w:snapToGrid/>
        <w:spacing w:line="360" w:lineRule="auto"/>
        <w:ind w:firstLine="431" w:firstLineChars="196"/>
        <w:textAlignment w:val="auto"/>
        <w:rPr>
          <w:rFonts w:hint="eastAsia" w:ascii="Times New Roman" w:hAnsi="宋体" w:eastAsia="宋体" w:cs="宋体"/>
          <w:color w:val="auto"/>
          <w:highlight w:val="none"/>
        </w:rPr>
      </w:pPr>
      <w:r>
        <w:rPr>
          <w:rFonts w:ascii="宋体" w:hAnsi="宋体" w:eastAsia="宋体" w:cs="宋体"/>
          <w:kern w:val="0"/>
          <w:sz w:val="22"/>
          <w:szCs w:val="22"/>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2DFC0B9E">
      <w:pPr>
        <w:pageBreakBefore w:val="0"/>
        <w:widowControl w:val="0"/>
        <w:kinsoku/>
        <w:wordWrap/>
        <w:overflowPunct/>
        <w:topLinePunct w:val="0"/>
        <w:bidi w:val="0"/>
        <w:snapToGrid/>
        <w:spacing w:line="360" w:lineRule="auto"/>
        <w:ind w:firstLine="411" w:firstLineChars="196"/>
        <w:textAlignment w:val="auto"/>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14:paraId="7F601047">
      <w:pPr>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14:paraId="5AA0261B">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126" w:name="_Toc1203653078"/>
      <w:bookmarkStart w:id="1127" w:name="_Toc373227761"/>
      <w:bookmarkStart w:id="1128" w:name="_Toc407135264"/>
      <w:bookmarkStart w:id="1129" w:name="_Toc78449850"/>
      <w:bookmarkStart w:id="1130" w:name="_Toc540165641"/>
      <w:bookmarkStart w:id="1131" w:name="_Toc373478408"/>
      <w:bookmarkStart w:id="1132" w:name="_Toc389065326"/>
      <w:r>
        <w:rPr>
          <w:color w:val="auto"/>
          <w:highlight w:val="none"/>
        </w:rPr>
        <w:t xml:space="preserve">14.4 </w:t>
      </w:r>
      <w:r>
        <w:rPr>
          <w:rFonts w:hint="eastAsia" w:hAnsi="宋体" w:cs="黑体"/>
          <w:color w:val="auto"/>
          <w:highlight w:val="none"/>
        </w:rPr>
        <w:t>最终结清</w:t>
      </w:r>
      <w:bookmarkEnd w:id="1126"/>
      <w:bookmarkEnd w:id="1127"/>
      <w:bookmarkEnd w:id="1128"/>
      <w:bookmarkEnd w:id="1129"/>
      <w:bookmarkEnd w:id="1130"/>
      <w:bookmarkEnd w:id="1131"/>
      <w:bookmarkEnd w:id="1132"/>
    </w:p>
    <w:p w14:paraId="556A71CD">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6BA9847C">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Fonts w:hint="eastAsia" w:hAnsi="宋体" w:cs="宋体"/>
          <w:color w:val="auto"/>
          <w:highlight w:val="none"/>
        </w:rPr>
        <w:t>。</w:t>
      </w:r>
    </w:p>
    <w:p w14:paraId="66B929F8">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36CD60C7">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color w:val="auto"/>
          <w:highlight w:val="none"/>
        </w:rPr>
        <w:t>最终结算款支付申请（核准）表见合同附件13。</w:t>
      </w:r>
    </w:p>
    <w:p w14:paraId="71CAEC96">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14.4.2 </w:t>
      </w:r>
      <w:r>
        <w:rPr>
          <w:rFonts w:hint="eastAsia" w:hAnsi="宋体" w:cs="宋体"/>
          <w:color w:val="auto"/>
          <w:highlight w:val="none"/>
        </w:rPr>
        <w:t>最终结清证书和支付</w:t>
      </w:r>
    </w:p>
    <w:p w14:paraId="42894B13">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hAnsi="宋体" w:cs="宋体"/>
          <w:color w:val="auto"/>
          <w:highlight w:val="none"/>
        </w:rPr>
        <w:t>。</w:t>
      </w:r>
    </w:p>
    <w:p w14:paraId="738798A4">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hAnsi="宋体" w:cs="宋体"/>
          <w:color w:val="auto"/>
          <w:highlight w:val="none"/>
        </w:rPr>
        <w:t>。</w:t>
      </w:r>
    </w:p>
    <w:bookmarkEnd w:id="1077"/>
    <w:bookmarkEnd w:id="1078"/>
    <w:bookmarkEnd w:id="1079"/>
    <w:bookmarkEnd w:id="1080"/>
    <w:bookmarkEnd w:id="1081"/>
    <w:bookmarkEnd w:id="1082"/>
    <w:bookmarkEnd w:id="1083"/>
    <w:bookmarkEnd w:id="1089"/>
    <w:p w14:paraId="63BD7F8C">
      <w:pPr>
        <w:pStyle w:val="3"/>
        <w:pageBreakBefore w:val="0"/>
        <w:widowControl w:val="0"/>
        <w:kinsoku/>
        <w:wordWrap/>
        <w:overflowPunct/>
        <w:topLinePunct w:val="0"/>
        <w:bidi w:val="0"/>
        <w:snapToGrid/>
        <w:spacing w:before="0" w:after="0" w:line="360" w:lineRule="auto"/>
        <w:textAlignment w:val="auto"/>
        <w:rPr>
          <w:color w:val="auto"/>
          <w:highlight w:val="none"/>
        </w:rPr>
      </w:pPr>
      <w:bookmarkStart w:id="1133" w:name="_Toc905081407"/>
      <w:bookmarkStart w:id="1134" w:name="_Toc1294213766"/>
      <w:bookmarkStart w:id="1135" w:name="_Toc407135265"/>
      <w:bookmarkStart w:id="1136" w:name="_Toc351203647"/>
      <w:bookmarkStart w:id="1137" w:name="_Toc389065327"/>
      <w:bookmarkStart w:id="1138" w:name="_Toc78449851"/>
      <w:bookmarkStart w:id="1139" w:name="_Toc373227762"/>
      <w:bookmarkStart w:id="1140" w:name="_Toc373478409"/>
      <w:bookmarkStart w:id="1141" w:name="_Toc267251483"/>
      <w:bookmarkStart w:id="1142" w:name="_Toc267251482"/>
      <w:bookmarkStart w:id="1143" w:name="_Toc267251484"/>
      <w:bookmarkStart w:id="1144" w:name="_Toc267251485"/>
      <w:bookmarkStart w:id="1145" w:name="_Toc267251486"/>
      <w:bookmarkStart w:id="1146" w:name="_Toc267251490"/>
      <w:bookmarkStart w:id="1147" w:name="_Toc267251489"/>
      <w:bookmarkStart w:id="1148" w:name="_Toc267251488"/>
      <w:bookmarkStart w:id="1149" w:name="_Toc267251499"/>
      <w:bookmarkStart w:id="1150" w:name="_Toc267251493"/>
      <w:bookmarkStart w:id="1151" w:name="_Toc267251495"/>
      <w:bookmarkStart w:id="1152" w:name="_Toc267251502"/>
      <w:bookmarkStart w:id="1153" w:name="_Toc267251498"/>
      <w:bookmarkStart w:id="1154" w:name="_Toc267251492"/>
      <w:bookmarkStart w:id="1155" w:name="_Toc267251496"/>
      <w:bookmarkStart w:id="1156" w:name="_Toc267251503"/>
      <w:bookmarkStart w:id="1157" w:name="_Toc267251494"/>
      <w:bookmarkStart w:id="1158" w:name="_Toc267251497"/>
      <w:bookmarkStart w:id="1159" w:name="_Toc267251501"/>
      <w:bookmarkStart w:id="1160" w:name="_Toc267251491"/>
      <w:bookmarkStart w:id="1161" w:name="_Toc267251506"/>
      <w:bookmarkStart w:id="1162" w:name="_Toc267251504"/>
      <w:bookmarkStart w:id="1163" w:name="_Toc267251507"/>
      <w:bookmarkStart w:id="1164" w:name="_Toc267251508"/>
      <w:bookmarkStart w:id="1165" w:name="_Toc267251514"/>
      <w:bookmarkStart w:id="1166" w:name="_Toc267251510"/>
      <w:bookmarkStart w:id="1167" w:name="_Toc267251511"/>
      <w:bookmarkStart w:id="1168" w:name="_Toc267251509"/>
      <w:bookmarkStart w:id="1169" w:name="_Toc267251513"/>
      <w:bookmarkStart w:id="1170" w:name="_Toc267251515"/>
      <w:r>
        <w:rPr>
          <w:color w:val="auto"/>
          <w:highlight w:val="none"/>
        </w:rPr>
        <w:t xml:space="preserve">15. </w:t>
      </w:r>
      <w:r>
        <w:rPr>
          <w:rFonts w:hint="eastAsia" w:cs="黑体"/>
          <w:color w:val="auto"/>
          <w:highlight w:val="none"/>
        </w:rPr>
        <w:t>缺陷责任期与保修</w:t>
      </w:r>
      <w:bookmarkEnd w:id="1133"/>
      <w:bookmarkEnd w:id="1134"/>
      <w:bookmarkEnd w:id="1135"/>
      <w:bookmarkEnd w:id="1136"/>
      <w:bookmarkEnd w:id="1137"/>
      <w:bookmarkEnd w:id="1138"/>
      <w:bookmarkEnd w:id="1139"/>
      <w:bookmarkEnd w:id="1140"/>
    </w:p>
    <w:p w14:paraId="2E64CBF6">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171" w:name="_Toc389065328"/>
      <w:bookmarkStart w:id="1172" w:name="_Toc1845278067"/>
      <w:bookmarkStart w:id="1173" w:name="_Toc373227763"/>
      <w:bookmarkStart w:id="1174" w:name="_Toc373478410"/>
      <w:bookmarkStart w:id="1175" w:name="_Toc78449852"/>
      <w:bookmarkStart w:id="1176" w:name="_Toc407135266"/>
      <w:bookmarkStart w:id="1177" w:name="_Toc1468458868"/>
      <w:r>
        <w:rPr>
          <w:color w:val="auto"/>
          <w:highlight w:val="none"/>
        </w:rPr>
        <w:t xml:space="preserve">15.2 </w:t>
      </w:r>
      <w:r>
        <w:rPr>
          <w:rFonts w:hint="eastAsia" w:hAnsi="宋体" w:cs="黑体"/>
          <w:color w:val="auto"/>
          <w:highlight w:val="none"/>
        </w:rPr>
        <w:t>缺陷责任期</w:t>
      </w:r>
      <w:bookmarkEnd w:id="1141"/>
      <w:bookmarkEnd w:id="1171"/>
      <w:bookmarkEnd w:id="1172"/>
      <w:bookmarkEnd w:id="1173"/>
      <w:bookmarkEnd w:id="1174"/>
      <w:bookmarkEnd w:id="1175"/>
      <w:bookmarkEnd w:id="1176"/>
      <w:bookmarkEnd w:id="1177"/>
    </w:p>
    <w:p w14:paraId="4E5CA8BF">
      <w:pPr>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color w:val="auto"/>
          <w:highlight w:val="none"/>
          <w:u w:val="single"/>
          <w:lang w:val="en-US" w:eastAsia="zh-CN"/>
        </w:rPr>
        <w:t>24个月</w:t>
      </w:r>
      <w:r>
        <w:rPr>
          <w:color w:val="auto"/>
          <w:highlight w:val="none"/>
          <w:u w:val="single"/>
        </w:rPr>
        <w:t xml:space="preserve"> </w:t>
      </w:r>
      <w:r>
        <w:rPr>
          <w:rFonts w:hint="eastAsia" w:hAnsi="宋体" w:cs="宋体"/>
          <w:color w:val="auto"/>
          <w:highlight w:val="none"/>
        </w:rPr>
        <w:t>。</w:t>
      </w:r>
    </w:p>
    <w:p w14:paraId="1530A95F">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178" w:name="_Toc1004692311"/>
      <w:bookmarkStart w:id="1179" w:name="_Toc389065329"/>
      <w:bookmarkStart w:id="1180" w:name="_Toc666080472"/>
      <w:bookmarkStart w:id="1181" w:name="_Toc407135267"/>
      <w:bookmarkStart w:id="1182" w:name="_Toc373227764"/>
      <w:bookmarkStart w:id="1183" w:name="_Toc373478411"/>
      <w:bookmarkStart w:id="1184" w:name="_Toc78449853"/>
      <w:r>
        <w:rPr>
          <w:color w:val="auto"/>
          <w:highlight w:val="none"/>
        </w:rPr>
        <w:t xml:space="preserve">15.3 </w:t>
      </w:r>
      <w:r>
        <w:rPr>
          <w:rFonts w:hint="eastAsia" w:hAnsi="宋体" w:cs="黑体"/>
          <w:color w:val="auto"/>
          <w:highlight w:val="none"/>
        </w:rPr>
        <w:t>质量保证金</w:t>
      </w:r>
      <w:bookmarkEnd w:id="1178"/>
      <w:bookmarkEnd w:id="1179"/>
      <w:bookmarkEnd w:id="1180"/>
      <w:bookmarkEnd w:id="1181"/>
      <w:bookmarkEnd w:id="1182"/>
      <w:bookmarkEnd w:id="1183"/>
      <w:bookmarkEnd w:id="1184"/>
    </w:p>
    <w:p w14:paraId="65D2320A">
      <w:pPr>
        <w:pageBreakBefore w:val="0"/>
        <w:widowControl w:val="0"/>
        <w:kinsoku/>
        <w:wordWrap/>
        <w:overflowPunct/>
        <w:topLinePunct w:val="0"/>
        <w:bidi w:val="0"/>
        <w:snapToGrid/>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eastAsia="zh-CN"/>
        </w:rPr>
        <w:t>是</w:t>
      </w:r>
      <w:r>
        <w:rPr>
          <w:color w:val="auto"/>
          <w:highlight w:val="none"/>
          <w:u w:val="single"/>
        </w:rPr>
        <w:t xml:space="preserve"> </w:t>
      </w:r>
      <w:r>
        <w:rPr>
          <w:rFonts w:hint="eastAsia" w:hAnsi="宋体" w:cs="宋体"/>
          <w:color w:val="auto"/>
          <w:highlight w:val="none"/>
        </w:rPr>
        <w:t>。</w:t>
      </w:r>
    </w:p>
    <w:p w14:paraId="65AD32EF">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28F4A3D5">
      <w:pPr>
        <w:pageBreakBefore w:val="0"/>
        <w:widowControl w:val="0"/>
        <w:kinsoku/>
        <w:wordWrap/>
        <w:overflowPunct/>
        <w:topLinePunct w:val="0"/>
        <w:bidi w:val="0"/>
        <w:snapToGrid/>
        <w:spacing w:line="360" w:lineRule="auto"/>
        <w:ind w:firstLine="420" w:firstLineChars="200"/>
        <w:jc w:val="left"/>
        <w:textAlignment w:val="auto"/>
        <w:outlineLvl w:val="0"/>
        <w:rPr>
          <w:color w:val="auto"/>
          <w:highlight w:val="none"/>
        </w:rPr>
      </w:pPr>
      <w:r>
        <w:rPr>
          <w:color w:val="auto"/>
          <w:highlight w:val="none"/>
        </w:rPr>
        <w:t xml:space="preserve">15.3.1 </w:t>
      </w:r>
      <w:r>
        <w:rPr>
          <w:rFonts w:hint="eastAsia" w:hAnsi="宋体" w:cs="宋体"/>
          <w:color w:val="auto"/>
          <w:highlight w:val="none"/>
        </w:rPr>
        <w:t>承包人提供质量保证金的方式</w:t>
      </w:r>
    </w:p>
    <w:p w14:paraId="5F39EE71">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0E8A8BC9">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Times New Roman" w:hAnsi="宋体" w:eastAsia="宋体" w:cs="宋体"/>
          <w:color w:val="auto"/>
          <w:highlight w:val="none"/>
        </w:rPr>
        <w:t>（银行保函、电子保函、保证保险保函、工程担保保函</w:t>
      </w:r>
      <w:r>
        <w:rPr>
          <w:rFonts w:hint="eastAsia" w:ascii="Times New Roman" w:hAnsi="宋体" w:eastAsia="宋体" w:cs="宋体"/>
          <w:color w:val="auto"/>
          <w:highlight w:val="none"/>
          <w:lang w:eastAsia="zh-CN"/>
        </w:rPr>
        <w:t>，</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kern w:val="0"/>
          <w:highlight w:val="none"/>
          <w:lang w:eastAsia="zh-CN"/>
        </w:rPr>
        <w:t>。</w:t>
      </w:r>
      <w:r>
        <w:rPr>
          <w:rFonts w:hint="eastAsia" w:ascii="Times New Roman" w:hAnsi="宋体" w:eastAsia="宋体" w:cs="宋体"/>
          <w:color w:val="auto"/>
          <w:highlight w:val="none"/>
        </w:rPr>
        <w:t>）</w:t>
      </w:r>
      <w:r>
        <w:rPr>
          <w:rFonts w:hint="eastAsia" w:hAnsi="宋体" w:cs="宋体"/>
          <w:color w:val="auto"/>
          <w:kern w:val="0"/>
          <w:highlight w:val="none"/>
        </w:rPr>
        <w:t>，保证金额为：</w:t>
      </w:r>
      <w:r>
        <w:rPr>
          <w:color w:val="auto"/>
          <w:kern w:val="0"/>
          <w:highlight w:val="none"/>
          <w:u w:val="single"/>
        </w:rPr>
        <w:t xml:space="preserve">                   </w:t>
      </w:r>
      <w:r>
        <w:rPr>
          <w:rFonts w:hint="eastAsia" w:hAnsi="宋体" w:cs="宋体"/>
          <w:color w:val="auto"/>
          <w:kern w:val="0"/>
          <w:highlight w:val="none"/>
        </w:rPr>
        <w:t>；</w:t>
      </w:r>
    </w:p>
    <w:p w14:paraId="199D4A08">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eastAsia="zh-CN"/>
        </w:rPr>
        <w:t>不计息</w:t>
      </w:r>
      <w:r>
        <w:rPr>
          <w:rFonts w:hint="eastAsia" w:hAnsi="宋体" w:cs="宋体"/>
          <w:color w:val="auto"/>
          <w:kern w:val="0"/>
          <w:highlight w:val="none"/>
        </w:rPr>
        <w:t>；</w:t>
      </w:r>
    </w:p>
    <w:p w14:paraId="6AD7A2F1">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ascii="Times New Roman" w:hAnsi="宋体" w:eastAsia="宋体" w:cs="宋体"/>
          <w:color w:val="auto"/>
          <w:highlight w:val="none"/>
        </w:rPr>
        <w:t>银行转账、电汇或网上支付等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highlight w:val="none"/>
        </w:rPr>
        <w:t>。</w:t>
      </w:r>
    </w:p>
    <w:p w14:paraId="366FDBE1">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15.3.2 </w:t>
      </w:r>
      <w:r>
        <w:rPr>
          <w:rFonts w:hint="eastAsia" w:hAnsi="宋体" w:cs="宋体"/>
          <w:color w:val="auto"/>
          <w:highlight w:val="none"/>
        </w:rPr>
        <w:t>质量保证金的扣留</w:t>
      </w:r>
    </w:p>
    <w:p w14:paraId="09A25030">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color w:val="auto"/>
          <w:highlight w:val="none"/>
          <w:u w:val="single"/>
        </w:rPr>
        <w:t xml:space="preserve"> </w:t>
      </w:r>
      <w:r>
        <w:rPr>
          <w:rFonts w:hint="eastAsia" w:hAnsi="宋体" w:cs="宋体"/>
          <w:color w:val="auto"/>
          <w:highlight w:val="none"/>
        </w:rPr>
        <w:t>种方式：</w:t>
      </w:r>
    </w:p>
    <w:p w14:paraId="79899C58">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300B6FAC">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4A6A1731">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kern w:val="0"/>
          <w:highlight w:val="none"/>
        </w:rPr>
        <w:t>。</w:t>
      </w:r>
    </w:p>
    <w:p w14:paraId="168959A2">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bookmarkEnd w:id="1142"/>
    <w:bookmarkEnd w:id="1143"/>
    <w:p w14:paraId="084423AC">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185" w:name="_Toc373478412"/>
      <w:bookmarkStart w:id="1186" w:name="_Toc389065330"/>
      <w:bookmarkStart w:id="1187" w:name="_Toc407135268"/>
      <w:bookmarkStart w:id="1188" w:name="_Toc373227765"/>
      <w:bookmarkStart w:id="1189" w:name="_Toc78449854"/>
      <w:bookmarkStart w:id="1190" w:name="_Toc196306762"/>
      <w:bookmarkStart w:id="1191" w:name="_Toc1902722111"/>
      <w:r>
        <w:rPr>
          <w:color w:val="auto"/>
          <w:highlight w:val="none"/>
        </w:rPr>
        <w:t xml:space="preserve">15.4 </w:t>
      </w:r>
      <w:r>
        <w:rPr>
          <w:rFonts w:hint="eastAsia" w:hAnsi="宋体" w:cs="黑体"/>
          <w:color w:val="auto"/>
          <w:highlight w:val="none"/>
        </w:rPr>
        <w:t>保修</w:t>
      </w:r>
      <w:bookmarkEnd w:id="1185"/>
      <w:bookmarkEnd w:id="1186"/>
      <w:bookmarkEnd w:id="1187"/>
      <w:bookmarkEnd w:id="1188"/>
      <w:bookmarkEnd w:id="1189"/>
      <w:bookmarkEnd w:id="1190"/>
      <w:bookmarkEnd w:id="1191"/>
    </w:p>
    <w:bookmarkEnd w:id="1144"/>
    <w:p w14:paraId="067AF579">
      <w:pPr>
        <w:pageBreakBefore w:val="0"/>
        <w:widowControl w:val="0"/>
        <w:kinsoku/>
        <w:wordWrap/>
        <w:overflowPunct/>
        <w:topLinePunct w:val="0"/>
        <w:bidi w:val="0"/>
        <w:snapToGrid/>
        <w:spacing w:line="360" w:lineRule="auto"/>
        <w:ind w:firstLine="409" w:firstLineChars="195"/>
        <w:jc w:val="left"/>
        <w:textAlignment w:val="auto"/>
        <w:outlineLvl w:val="0"/>
        <w:rPr>
          <w:color w:val="auto"/>
          <w:highlight w:val="none"/>
        </w:rPr>
      </w:pPr>
      <w:r>
        <w:rPr>
          <w:color w:val="auto"/>
          <w:highlight w:val="none"/>
        </w:rPr>
        <w:t xml:space="preserve">15.4.1 </w:t>
      </w:r>
      <w:r>
        <w:rPr>
          <w:rFonts w:hint="eastAsia" w:hAnsi="宋体" w:cs="宋体"/>
          <w:color w:val="auto"/>
          <w:highlight w:val="none"/>
        </w:rPr>
        <w:t>保修责任</w:t>
      </w:r>
    </w:p>
    <w:p w14:paraId="6548C9B4">
      <w:pPr>
        <w:pageBreakBefore w:val="0"/>
        <w:widowControl w:val="0"/>
        <w:kinsoku/>
        <w:wordWrap/>
        <w:overflowPunct/>
        <w:topLinePunct w:val="0"/>
        <w:bidi w:val="0"/>
        <w:snapToGrid/>
        <w:spacing w:line="360" w:lineRule="auto"/>
        <w:ind w:firstLine="409" w:firstLineChars="195"/>
        <w:jc w:val="left"/>
        <w:textAlignment w:val="auto"/>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hAnsi="宋体" w:cs="宋体"/>
          <w:color w:val="auto"/>
          <w:kern w:val="0"/>
          <w:highlight w:val="none"/>
        </w:rPr>
        <w:t>。</w:t>
      </w:r>
    </w:p>
    <w:p w14:paraId="52653567">
      <w:pPr>
        <w:pageBreakBefore w:val="0"/>
        <w:widowControl w:val="0"/>
        <w:kinsoku/>
        <w:wordWrap/>
        <w:overflowPunct/>
        <w:topLinePunct w:val="0"/>
        <w:bidi w:val="0"/>
        <w:snapToGrid/>
        <w:spacing w:line="360" w:lineRule="auto"/>
        <w:ind w:firstLine="409" w:firstLineChars="195"/>
        <w:jc w:val="left"/>
        <w:textAlignment w:val="auto"/>
        <w:rPr>
          <w:color w:val="auto"/>
          <w:kern w:val="0"/>
          <w:highlight w:val="none"/>
          <w:u w:val="single"/>
        </w:rPr>
      </w:pPr>
      <w:r>
        <w:rPr>
          <w:rFonts w:hint="eastAsia" w:ascii="宋体" w:hAnsi="宋体" w:cs="宋体"/>
          <w:color w:val="auto"/>
          <w:highlight w:val="none"/>
        </w:rPr>
        <w:t>工程保修书具体内容见合同附件2。</w:t>
      </w:r>
    </w:p>
    <w:p w14:paraId="750E632F">
      <w:pPr>
        <w:pageBreakBefore w:val="0"/>
        <w:widowControl w:val="0"/>
        <w:kinsoku/>
        <w:wordWrap/>
        <w:overflowPunct/>
        <w:topLinePunct w:val="0"/>
        <w:bidi w:val="0"/>
        <w:snapToGrid/>
        <w:spacing w:line="360" w:lineRule="auto"/>
        <w:ind w:firstLine="409" w:firstLineChars="195"/>
        <w:jc w:val="left"/>
        <w:textAlignment w:val="auto"/>
        <w:rPr>
          <w:color w:val="auto"/>
          <w:highlight w:val="none"/>
        </w:rPr>
      </w:pPr>
      <w:r>
        <w:rPr>
          <w:color w:val="auto"/>
          <w:highlight w:val="none"/>
        </w:rPr>
        <w:t xml:space="preserve">15.4.3 </w:t>
      </w:r>
      <w:r>
        <w:rPr>
          <w:rFonts w:hint="eastAsia" w:hAnsi="宋体" w:cs="宋体"/>
          <w:color w:val="auto"/>
          <w:highlight w:val="none"/>
        </w:rPr>
        <w:t>修复通知</w:t>
      </w:r>
    </w:p>
    <w:p w14:paraId="2EFB6774">
      <w:pPr>
        <w:pageBreakBefore w:val="0"/>
        <w:widowControl w:val="0"/>
        <w:kinsoku/>
        <w:wordWrap/>
        <w:overflowPunct/>
        <w:topLinePunct w:val="0"/>
        <w:bidi w:val="0"/>
        <w:snapToGrid/>
        <w:spacing w:line="360" w:lineRule="auto"/>
        <w:ind w:firstLine="409" w:firstLineChars="195"/>
        <w:jc w:val="left"/>
        <w:textAlignment w:val="auto"/>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hAnsi="宋体" w:cs="宋体"/>
          <w:color w:val="auto"/>
          <w:kern w:val="0"/>
          <w:highlight w:val="none"/>
        </w:rPr>
        <w:t>。</w:t>
      </w:r>
    </w:p>
    <w:bookmarkEnd w:id="1145"/>
    <w:bookmarkEnd w:id="1146"/>
    <w:bookmarkEnd w:id="1147"/>
    <w:bookmarkEnd w:id="1148"/>
    <w:p w14:paraId="532C18BE">
      <w:pPr>
        <w:pStyle w:val="3"/>
        <w:pageBreakBefore w:val="0"/>
        <w:widowControl w:val="0"/>
        <w:kinsoku/>
        <w:wordWrap/>
        <w:overflowPunct/>
        <w:topLinePunct w:val="0"/>
        <w:bidi w:val="0"/>
        <w:snapToGrid/>
        <w:spacing w:before="0" w:after="0" w:line="360" w:lineRule="auto"/>
        <w:textAlignment w:val="auto"/>
        <w:rPr>
          <w:color w:val="auto"/>
          <w:highlight w:val="none"/>
        </w:rPr>
      </w:pPr>
      <w:bookmarkStart w:id="1192" w:name="_Toc351203648"/>
      <w:bookmarkStart w:id="1193" w:name="_Toc373227766"/>
      <w:bookmarkStart w:id="1194" w:name="_Toc1360137061"/>
      <w:bookmarkStart w:id="1195" w:name="_Toc389065331"/>
      <w:bookmarkStart w:id="1196" w:name="_Toc1725581915"/>
      <w:bookmarkStart w:id="1197" w:name="_Toc373478413"/>
      <w:bookmarkStart w:id="1198" w:name="_Toc407135269"/>
      <w:bookmarkStart w:id="1199" w:name="_Toc78449855"/>
      <w:bookmarkStart w:id="1200" w:name="_Toc280868717"/>
      <w:bookmarkStart w:id="1201" w:name="_Toc280868718"/>
      <w:r>
        <w:rPr>
          <w:color w:val="auto"/>
          <w:highlight w:val="none"/>
        </w:rPr>
        <w:t xml:space="preserve">16. </w:t>
      </w:r>
      <w:r>
        <w:rPr>
          <w:rFonts w:hint="eastAsia" w:hAnsi="宋体" w:cs="黑体"/>
          <w:color w:val="auto"/>
          <w:highlight w:val="none"/>
        </w:rPr>
        <w:t>违约</w:t>
      </w:r>
      <w:bookmarkEnd w:id="1192"/>
      <w:bookmarkEnd w:id="1193"/>
      <w:bookmarkEnd w:id="1194"/>
      <w:bookmarkEnd w:id="1195"/>
      <w:bookmarkEnd w:id="1196"/>
      <w:bookmarkEnd w:id="1197"/>
      <w:bookmarkEnd w:id="1198"/>
      <w:bookmarkEnd w:id="1199"/>
    </w:p>
    <w:p w14:paraId="5534500B">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02" w:name="_Toc1535389315"/>
      <w:bookmarkStart w:id="1203" w:name="_Toc389065332"/>
      <w:bookmarkStart w:id="1204" w:name="_Toc407135270"/>
      <w:bookmarkStart w:id="1205" w:name="_Toc373478414"/>
      <w:bookmarkStart w:id="1206" w:name="_Toc78449856"/>
      <w:bookmarkStart w:id="1207" w:name="_Toc1973395665"/>
      <w:bookmarkStart w:id="1208" w:name="_Toc373227767"/>
      <w:r>
        <w:rPr>
          <w:color w:val="auto"/>
          <w:highlight w:val="none"/>
        </w:rPr>
        <w:t xml:space="preserve">16.1 </w:t>
      </w:r>
      <w:r>
        <w:rPr>
          <w:rFonts w:hint="eastAsia" w:hAnsi="宋体" w:cs="黑体"/>
          <w:color w:val="auto"/>
          <w:highlight w:val="none"/>
        </w:rPr>
        <w:t>发包人违约</w:t>
      </w:r>
      <w:bookmarkEnd w:id="1202"/>
      <w:bookmarkEnd w:id="1203"/>
      <w:bookmarkEnd w:id="1204"/>
      <w:bookmarkEnd w:id="1205"/>
      <w:bookmarkEnd w:id="1206"/>
      <w:bookmarkEnd w:id="1207"/>
      <w:bookmarkEnd w:id="1208"/>
    </w:p>
    <w:p w14:paraId="678AFD09">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16.1.1</w:t>
      </w:r>
      <w:r>
        <w:rPr>
          <w:rFonts w:hint="eastAsia" w:hAnsi="宋体" w:cs="宋体"/>
          <w:color w:val="auto"/>
          <w:highlight w:val="none"/>
        </w:rPr>
        <w:t>发包人违约的情形</w:t>
      </w:r>
    </w:p>
    <w:p w14:paraId="35668F3F">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hAnsi="宋体" w:cs="宋体"/>
          <w:color w:val="auto"/>
          <w:kern w:val="0"/>
          <w:highlight w:val="none"/>
        </w:rPr>
        <w:t>。</w:t>
      </w:r>
    </w:p>
    <w:p w14:paraId="71B26095">
      <w:pPr>
        <w:pageBreakBefore w:val="0"/>
        <w:widowControl w:val="0"/>
        <w:kinsoku/>
        <w:wordWrap/>
        <w:overflowPunct/>
        <w:topLinePunct w:val="0"/>
        <w:bidi w:val="0"/>
        <w:snapToGrid/>
        <w:spacing w:line="360" w:lineRule="auto"/>
        <w:ind w:firstLine="420" w:firstLineChars="200"/>
        <w:jc w:val="left"/>
        <w:textAlignment w:val="auto"/>
        <w:outlineLvl w:val="0"/>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14:paraId="5E6C4C35">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发包人违约责任的承担方式和计算方法：</w:t>
      </w:r>
    </w:p>
    <w:p w14:paraId="18EBABCA">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hAnsi="宋体" w:cs="宋体"/>
          <w:color w:val="auto"/>
          <w:kern w:val="0"/>
          <w:highlight w:val="none"/>
        </w:rPr>
        <w:t>。</w:t>
      </w:r>
    </w:p>
    <w:p w14:paraId="2E7BEF28">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hAnsi="宋体" w:cs="宋体"/>
          <w:color w:val="auto"/>
          <w:kern w:val="0"/>
          <w:highlight w:val="none"/>
        </w:rPr>
        <w:t>。</w:t>
      </w:r>
    </w:p>
    <w:p w14:paraId="279E8A28">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hAnsi="宋体" w:cs="宋体"/>
          <w:color w:val="auto"/>
          <w:kern w:val="0"/>
          <w:highlight w:val="none"/>
        </w:rPr>
        <w:t>。</w:t>
      </w:r>
    </w:p>
    <w:p w14:paraId="01AB1CFB">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hAnsi="宋体" w:cs="宋体"/>
          <w:color w:val="auto"/>
          <w:kern w:val="0"/>
          <w:highlight w:val="none"/>
        </w:rPr>
        <w:t>。</w:t>
      </w:r>
    </w:p>
    <w:p w14:paraId="1BAB718B">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hAnsi="宋体" w:cs="宋体"/>
          <w:color w:val="auto"/>
          <w:kern w:val="0"/>
          <w:highlight w:val="none"/>
        </w:rPr>
        <w:t>。</w:t>
      </w:r>
    </w:p>
    <w:p w14:paraId="53D11859">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hAnsi="宋体" w:cs="宋体"/>
          <w:color w:val="auto"/>
          <w:kern w:val="0"/>
          <w:highlight w:val="none"/>
        </w:rPr>
        <w:t>。</w:t>
      </w:r>
    </w:p>
    <w:p w14:paraId="4D3F1900">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hAnsi="宋体" w:cs="宋体"/>
          <w:color w:val="auto"/>
          <w:kern w:val="0"/>
          <w:highlight w:val="none"/>
        </w:rPr>
        <w:t>。</w:t>
      </w:r>
    </w:p>
    <w:p w14:paraId="1A87BF7A">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16.1.3 </w:t>
      </w:r>
      <w:r>
        <w:rPr>
          <w:rFonts w:hint="eastAsia" w:hAnsi="宋体" w:cs="宋体"/>
          <w:color w:val="auto"/>
          <w:highlight w:val="none"/>
        </w:rPr>
        <w:t>因发包人违约解除合同</w:t>
      </w:r>
    </w:p>
    <w:p w14:paraId="4F769EA9">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65C2B547">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09" w:name="_Toc61078193"/>
      <w:bookmarkStart w:id="1210" w:name="_Toc407135271"/>
      <w:bookmarkStart w:id="1211" w:name="_Toc373478415"/>
      <w:bookmarkStart w:id="1212" w:name="_Toc389065333"/>
      <w:bookmarkStart w:id="1213" w:name="_Toc247586342"/>
      <w:bookmarkStart w:id="1214" w:name="_Toc373227768"/>
      <w:bookmarkStart w:id="1215" w:name="_Toc78449857"/>
      <w:r>
        <w:rPr>
          <w:color w:val="auto"/>
          <w:highlight w:val="none"/>
        </w:rPr>
        <w:t xml:space="preserve">16.2 </w:t>
      </w:r>
      <w:r>
        <w:rPr>
          <w:rFonts w:hint="eastAsia" w:hAnsi="宋体" w:cs="黑体"/>
          <w:color w:val="auto"/>
          <w:highlight w:val="none"/>
        </w:rPr>
        <w:t>承包人违约</w:t>
      </w:r>
      <w:bookmarkEnd w:id="1209"/>
      <w:bookmarkEnd w:id="1210"/>
      <w:bookmarkEnd w:id="1211"/>
      <w:bookmarkEnd w:id="1212"/>
      <w:bookmarkEnd w:id="1213"/>
      <w:bookmarkEnd w:id="1214"/>
      <w:bookmarkEnd w:id="1215"/>
    </w:p>
    <w:p w14:paraId="5A1368E1">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4AEDC8C6">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hAnsi="宋体" w:cs="宋体"/>
          <w:color w:val="auto"/>
          <w:kern w:val="0"/>
          <w:highlight w:val="none"/>
        </w:rPr>
        <w:t>。</w:t>
      </w:r>
    </w:p>
    <w:p w14:paraId="4A56ECD5">
      <w:pPr>
        <w:pageBreakBefore w:val="0"/>
        <w:widowControl w:val="0"/>
        <w:kinsoku/>
        <w:wordWrap/>
        <w:overflowPunct/>
        <w:topLinePunct w:val="0"/>
        <w:bidi w:val="0"/>
        <w:snapToGrid/>
        <w:spacing w:line="360" w:lineRule="auto"/>
        <w:ind w:firstLine="420" w:firstLineChars="200"/>
        <w:jc w:val="left"/>
        <w:textAlignment w:val="auto"/>
        <w:outlineLvl w:val="0"/>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14:paraId="2CCE67BA">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承包人违约责任的承担方式和计算方法：</w:t>
      </w:r>
    </w:p>
    <w:p w14:paraId="70AD52D7">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45C7300C">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771D1E21">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76D0535">
      <w:pPr>
        <w:pageBreakBefore w:val="0"/>
        <w:widowControl w:val="0"/>
        <w:kinsoku/>
        <w:wordWrap/>
        <w:overflowPunct/>
        <w:topLinePunct w:val="0"/>
        <w:bidi w:val="0"/>
        <w:snapToGrid/>
        <w:spacing w:line="360" w:lineRule="auto"/>
        <w:ind w:firstLine="420" w:firstLineChars="200"/>
        <w:jc w:val="left"/>
        <w:textAlignment w:val="auto"/>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0459DEAD">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3098EE81">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118C7336">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2B394B01">
      <w:pPr>
        <w:pageBreakBefore w:val="0"/>
        <w:widowControl w:val="0"/>
        <w:kinsoku/>
        <w:wordWrap/>
        <w:overflowPunct/>
        <w:topLinePunct w:val="0"/>
        <w:bidi w:val="0"/>
        <w:snapToGrid/>
        <w:spacing w:line="360" w:lineRule="auto"/>
        <w:ind w:firstLine="420" w:firstLineChars="200"/>
        <w:jc w:val="left"/>
        <w:textAlignment w:val="auto"/>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14:paraId="07DAFB33">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5EF44165">
      <w:pPr>
        <w:pageBreakBefore w:val="0"/>
        <w:widowControl w:val="0"/>
        <w:kinsoku/>
        <w:wordWrap/>
        <w:overflowPunct/>
        <w:topLinePunct w:val="0"/>
        <w:bidi w:val="0"/>
        <w:snapToGrid/>
        <w:spacing w:line="360" w:lineRule="auto"/>
        <w:ind w:firstLine="420" w:firstLineChars="200"/>
        <w:textAlignment w:val="auto"/>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25ED9E1F">
      <w:pPr>
        <w:pageBreakBefore w:val="0"/>
        <w:widowControl w:val="0"/>
        <w:kinsoku/>
        <w:wordWrap/>
        <w:overflowPunct/>
        <w:topLinePunct w:val="0"/>
        <w:bidi w:val="0"/>
        <w:snapToGrid/>
        <w:spacing w:line="360" w:lineRule="auto"/>
        <w:ind w:firstLine="420" w:firstLineChars="200"/>
        <w:textAlignment w:val="auto"/>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792E9ACE">
      <w:pPr>
        <w:pageBreakBefore w:val="0"/>
        <w:widowControl w:val="0"/>
        <w:kinsoku/>
        <w:wordWrap/>
        <w:overflowPunct/>
        <w:topLinePunct w:val="0"/>
        <w:bidi w:val="0"/>
        <w:snapToGrid/>
        <w:spacing w:line="360" w:lineRule="auto"/>
        <w:ind w:firstLine="420" w:firstLineChars="200"/>
        <w:textAlignment w:val="auto"/>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hAnsi="宋体" w:cs="宋体"/>
          <w:color w:val="auto"/>
          <w:kern w:val="0"/>
          <w:highlight w:val="none"/>
        </w:rPr>
        <w:t>。</w:t>
      </w:r>
    </w:p>
    <w:p w14:paraId="6A90D855">
      <w:pPr>
        <w:pStyle w:val="3"/>
        <w:pageBreakBefore w:val="0"/>
        <w:widowControl w:val="0"/>
        <w:kinsoku/>
        <w:wordWrap/>
        <w:overflowPunct/>
        <w:topLinePunct w:val="0"/>
        <w:bidi w:val="0"/>
        <w:snapToGrid/>
        <w:spacing w:before="0" w:after="0" w:line="360" w:lineRule="auto"/>
        <w:textAlignment w:val="auto"/>
        <w:rPr>
          <w:color w:val="auto"/>
          <w:highlight w:val="none"/>
        </w:rPr>
      </w:pPr>
      <w:bookmarkStart w:id="1216" w:name="_Toc373227769"/>
      <w:bookmarkStart w:id="1217" w:name="_Toc389065334"/>
      <w:bookmarkStart w:id="1218" w:name="_Toc407135272"/>
      <w:bookmarkStart w:id="1219" w:name="_Toc1117922953"/>
      <w:bookmarkStart w:id="1220" w:name="_Toc351203649"/>
      <w:bookmarkStart w:id="1221" w:name="_Toc78449858"/>
      <w:bookmarkStart w:id="1222" w:name="_Toc373478416"/>
      <w:bookmarkStart w:id="1223" w:name="_Toc1753556740"/>
      <w:r>
        <w:rPr>
          <w:color w:val="auto"/>
          <w:highlight w:val="none"/>
        </w:rPr>
        <w:t xml:space="preserve">17. </w:t>
      </w:r>
      <w:r>
        <w:rPr>
          <w:rFonts w:hint="eastAsia" w:hAnsi="宋体" w:cs="黑体"/>
          <w:color w:val="auto"/>
          <w:highlight w:val="none"/>
        </w:rPr>
        <w:t>不可抗力</w:t>
      </w:r>
      <w:bookmarkEnd w:id="1216"/>
      <w:bookmarkEnd w:id="1217"/>
      <w:bookmarkEnd w:id="1218"/>
      <w:bookmarkEnd w:id="1219"/>
      <w:bookmarkEnd w:id="1220"/>
      <w:bookmarkEnd w:id="1221"/>
      <w:bookmarkEnd w:id="1222"/>
      <w:bookmarkEnd w:id="1223"/>
      <w:r>
        <w:rPr>
          <w:color w:val="auto"/>
          <w:highlight w:val="none"/>
        </w:rPr>
        <w:t xml:space="preserve"> </w:t>
      </w:r>
      <w:bookmarkEnd w:id="1200"/>
    </w:p>
    <w:p w14:paraId="448BADC2">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24" w:name="_Toc407135273"/>
      <w:bookmarkStart w:id="1225" w:name="_Toc666312941"/>
      <w:bookmarkStart w:id="1226" w:name="_Toc429574049"/>
      <w:bookmarkStart w:id="1227" w:name="_Toc373478417"/>
      <w:bookmarkStart w:id="1228" w:name="_Toc78449859"/>
      <w:bookmarkStart w:id="1229" w:name="_Toc373227770"/>
      <w:bookmarkStart w:id="1230" w:name="_Toc389065335"/>
      <w:r>
        <w:rPr>
          <w:color w:val="auto"/>
          <w:highlight w:val="none"/>
        </w:rPr>
        <w:t xml:space="preserve">17.1 </w:t>
      </w:r>
      <w:r>
        <w:rPr>
          <w:rFonts w:hint="eastAsia" w:cs="黑体"/>
          <w:color w:val="auto"/>
          <w:highlight w:val="none"/>
        </w:rPr>
        <w:t>不可抗力的确认</w:t>
      </w:r>
      <w:bookmarkEnd w:id="1224"/>
      <w:bookmarkEnd w:id="1225"/>
      <w:bookmarkEnd w:id="1226"/>
      <w:bookmarkEnd w:id="1227"/>
      <w:bookmarkEnd w:id="1228"/>
      <w:bookmarkEnd w:id="1229"/>
      <w:bookmarkEnd w:id="1230"/>
    </w:p>
    <w:p w14:paraId="19343238">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hAnsi="宋体" w:cs="宋体"/>
          <w:color w:val="auto"/>
          <w:kern w:val="0"/>
          <w:highlight w:val="none"/>
        </w:rPr>
        <w:t>。</w:t>
      </w:r>
    </w:p>
    <w:p w14:paraId="7746F760">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31" w:name="_Toc1951449751"/>
      <w:bookmarkStart w:id="1232" w:name="_Toc373227771"/>
      <w:bookmarkStart w:id="1233" w:name="_Toc389065336"/>
      <w:bookmarkStart w:id="1234" w:name="_Toc658729758"/>
      <w:bookmarkStart w:id="1235" w:name="_Toc407135274"/>
      <w:bookmarkStart w:id="1236" w:name="_Toc78449860"/>
      <w:bookmarkStart w:id="1237" w:name="_Toc373478418"/>
      <w:r>
        <w:rPr>
          <w:color w:val="auto"/>
          <w:highlight w:val="none"/>
        </w:rPr>
        <w:t xml:space="preserve">17.4 </w:t>
      </w:r>
      <w:r>
        <w:rPr>
          <w:rFonts w:hint="eastAsia" w:cs="黑体"/>
          <w:color w:val="auto"/>
          <w:highlight w:val="none"/>
        </w:rPr>
        <w:t>因不可抗力解除合同</w:t>
      </w:r>
      <w:bookmarkEnd w:id="1231"/>
      <w:bookmarkEnd w:id="1232"/>
      <w:bookmarkEnd w:id="1233"/>
      <w:bookmarkEnd w:id="1234"/>
      <w:bookmarkEnd w:id="1235"/>
      <w:bookmarkEnd w:id="1236"/>
      <w:bookmarkEnd w:id="1237"/>
    </w:p>
    <w:p w14:paraId="24DBE40E">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hAnsi="宋体" w:cs="宋体"/>
          <w:color w:val="auto"/>
          <w:highlight w:val="none"/>
        </w:rPr>
        <w:t>天内完成款项的支付。</w:t>
      </w:r>
    </w:p>
    <w:p w14:paraId="030C95E1">
      <w:pPr>
        <w:pStyle w:val="3"/>
        <w:pageBreakBefore w:val="0"/>
        <w:widowControl w:val="0"/>
        <w:kinsoku/>
        <w:wordWrap/>
        <w:overflowPunct/>
        <w:topLinePunct w:val="0"/>
        <w:bidi w:val="0"/>
        <w:snapToGrid/>
        <w:spacing w:before="0" w:after="0" w:line="360" w:lineRule="auto"/>
        <w:textAlignment w:val="auto"/>
        <w:rPr>
          <w:color w:val="auto"/>
          <w:highlight w:val="none"/>
        </w:rPr>
      </w:pPr>
      <w:bookmarkStart w:id="1238" w:name="_Toc56822299"/>
      <w:bookmarkStart w:id="1239" w:name="_Toc407135275"/>
      <w:bookmarkStart w:id="1240" w:name="_Toc78449861"/>
      <w:bookmarkStart w:id="1241" w:name="_Toc351203650"/>
      <w:bookmarkStart w:id="1242" w:name="_Toc612072600"/>
      <w:bookmarkStart w:id="1243" w:name="_Toc373227772"/>
      <w:bookmarkStart w:id="1244" w:name="_Toc389065337"/>
      <w:bookmarkStart w:id="1245" w:name="_Toc373478419"/>
      <w:r>
        <w:rPr>
          <w:color w:val="auto"/>
          <w:highlight w:val="none"/>
        </w:rPr>
        <w:t xml:space="preserve">18. </w:t>
      </w:r>
      <w:r>
        <w:rPr>
          <w:rFonts w:hint="eastAsia" w:hAnsi="宋体" w:cs="黑体"/>
          <w:color w:val="auto"/>
          <w:highlight w:val="none"/>
        </w:rPr>
        <w:t>保险</w:t>
      </w:r>
      <w:bookmarkEnd w:id="1238"/>
      <w:bookmarkEnd w:id="1239"/>
      <w:bookmarkEnd w:id="1240"/>
      <w:bookmarkEnd w:id="1241"/>
      <w:bookmarkEnd w:id="1242"/>
      <w:bookmarkEnd w:id="1243"/>
      <w:bookmarkEnd w:id="1244"/>
      <w:bookmarkEnd w:id="1245"/>
    </w:p>
    <w:bookmarkEnd w:id="1201"/>
    <w:p w14:paraId="1ABAC549">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46" w:name="_Toc373227773"/>
      <w:bookmarkStart w:id="1247" w:name="_Toc373478420"/>
      <w:bookmarkStart w:id="1248" w:name="_Toc78449862"/>
      <w:bookmarkStart w:id="1249" w:name="_Toc2075285517"/>
      <w:bookmarkStart w:id="1250" w:name="_Toc1446953302"/>
      <w:bookmarkStart w:id="1251" w:name="_Toc407135276"/>
      <w:bookmarkStart w:id="1252" w:name="_Toc389065338"/>
      <w:r>
        <w:rPr>
          <w:color w:val="auto"/>
          <w:highlight w:val="none"/>
        </w:rPr>
        <w:t xml:space="preserve">18.1 </w:t>
      </w:r>
      <w:r>
        <w:rPr>
          <w:rFonts w:hint="eastAsia" w:hAnsi="宋体" w:cs="黑体"/>
          <w:color w:val="auto"/>
          <w:highlight w:val="none"/>
        </w:rPr>
        <w:t>工程保险</w:t>
      </w:r>
      <w:bookmarkEnd w:id="1246"/>
      <w:bookmarkEnd w:id="1247"/>
      <w:bookmarkEnd w:id="1248"/>
      <w:bookmarkEnd w:id="1249"/>
      <w:bookmarkEnd w:id="1250"/>
      <w:bookmarkEnd w:id="1251"/>
      <w:bookmarkEnd w:id="1252"/>
    </w:p>
    <w:p w14:paraId="474F5E20">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关于工程保险的特别约定：</w:t>
      </w:r>
      <w:r>
        <w:rPr>
          <w:color w:val="auto"/>
          <w:kern w:val="0"/>
          <w:highlight w:val="none"/>
          <w:u w:val="single"/>
        </w:rPr>
        <w:t xml:space="preserve">                              </w:t>
      </w:r>
      <w:r>
        <w:rPr>
          <w:rFonts w:hint="eastAsia" w:hAnsi="宋体" w:cs="宋体"/>
          <w:color w:val="auto"/>
          <w:kern w:val="0"/>
          <w:highlight w:val="none"/>
        </w:rPr>
        <w:t>。</w:t>
      </w:r>
    </w:p>
    <w:p w14:paraId="571AC4E6">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53" w:name="_Toc373227774"/>
      <w:bookmarkStart w:id="1254" w:name="_Toc407135277"/>
      <w:bookmarkStart w:id="1255" w:name="_Toc2001387503"/>
      <w:bookmarkStart w:id="1256" w:name="_Toc454766369"/>
      <w:bookmarkStart w:id="1257" w:name="_Toc373478421"/>
      <w:bookmarkStart w:id="1258" w:name="_Toc78449863"/>
      <w:bookmarkStart w:id="1259" w:name="_Toc389065339"/>
      <w:r>
        <w:rPr>
          <w:color w:val="auto"/>
          <w:highlight w:val="none"/>
        </w:rPr>
        <w:t xml:space="preserve">18.3 </w:t>
      </w:r>
      <w:r>
        <w:rPr>
          <w:rFonts w:hint="eastAsia" w:hAnsi="宋体" w:cs="黑体"/>
          <w:color w:val="auto"/>
          <w:highlight w:val="none"/>
        </w:rPr>
        <w:t>其他保险</w:t>
      </w:r>
      <w:bookmarkEnd w:id="1253"/>
      <w:bookmarkEnd w:id="1254"/>
      <w:bookmarkEnd w:id="1255"/>
      <w:bookmarkEnd w:id="1256"/>
      <w:bookmarkEnd w:id="1257"/>
      <w:bookmarkEnd w:id="1258"/>
      <w:bookmarkEnd w:id="1259"/>
    </w:p>
    <w:p w14:paraId="750B72B1">
      <w:pPr>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Fonts w:hint="eastAsia" w:hAnsi="宋体" w:cs="宋体"/>
          <w:color w:val="auto"/>
          <w:highlight w:val="none"/>
        </w:rPr>
        <w:t>。</w:t>
      </w:r>
    </w:p>
    <w:p w14:paraId="194C9B25">
      <w:pPr>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w:t>
      </w:r>
      <w:r>
        <w:rPr>
          <w:rFonts w:hint="eastAsia" w:hAnsi="宋体" w:cs="宋体"/>
          <w:color w:val="auto"/>
          <w:highlight w:val="none"/>
        </w:rPr>
        <w:t>。</w:t>
      </w:r>
    </w:p>
    <w:p w14:paraId="7A7FA6D1">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60" w:name="_Toc389065340"/>
      <w:bookmarkStart w:id="1261" w:name="_Toc373227775"/>
      <w:bookmarkStart w:id="1262" w:name="_Toc2102614655"/>
      <w:bookmarkStart w:id="1263" w:name="_Toc373478422"/>
      <w:bookmarkStart w:id="1264" w:name="_Toc78449864"/>
      <w:bookmarkStart w:id="1265" w:name="_Toc1114527236"/>
      <w:bookmarkStart w:id="1266" w:name="_Toc407135278"/>
      <w:r>
        <w:rPr>
          <w:color w:val="auto"/>
          <w:highlight w:val="none"/>
        </w:rPr>
        <w:t xml:space="preserve">18.7 </w:t>
      </w:r>
      <w:r>
        <w:rPr>
          <w:rFonts w:hint="eastAsia" w:hAnsi="宋体" w:cs="黑体"/>
          <w:color w:val="auto"/>
          <w:highlight w:val="none"/>
        </w:rPr>
        <w:t>通知义务</w:t>
      </w:r>
      <w:bookmarkEnd w:id="1260"/>
      <w:bookmarkEnd w:id="1261"/>
      <w:bookmarkEnd w:id="1262"/>
      <w:bookmarkEnd w:id="1263"/>
      <w:bookmarkEnd w:id="1264"/>
      <w:bookmarkEnd w:id="1265"/>
      <w:bookmarkEnd w:id="1266"/>
    </w:p>
    <w:p w14:paraId="4AFF58CA">
      <w:pPr>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hAnsi="宋体" w:cs="宋体"/>
          <w:color w:val="auto"/>
          <w:highlight w:val="none"/>
        </w:rPr>
        <w:t>。</w:t>
      </w:r>
    </w:p>
    <w:bookmarkEnd w:id="1149"/>
    <w:bookmarkEnd w:id="1150"/>
    <w:bookmarkEnd w:id="1151"/>
    <w:bookmarkEnd w:id="1152"/>
    <w:bookmarkEnd w:id="1153"/>
    <w:bookmarkEnd w:id="1154"/>
    <w:bookmarkEnd w:id="1155"/>
    <w:bookmarkEnd w:id="1156"/>
    <w:bookmarkEnd w:id="1157"/>
    <w:bookmarkEnd w:id="1158"/>
    <w:bookmarkEnd w:id="1159"/>
    <w:bookmarkEnd w:id="1160"/>
    <w:p w14:paraId="178BEF0B">
      <w:pPr>
        <w:pStyle w:val="3"/>
        <w:pageBreakBefore w:val="0"/>
        <w:widowControl w:val="0"/>
        <w:kinsoku/>
        <w:wordWrap/>
        <w:overflowPunct/>
        <w:topLinePunct w:val="0"/>
        <w:bidi w:val="0"/>
        <w:snapToGrid/>
        <w:spacing w:before="0" w:after="0" w:line="360" w:lineRule="auto"/>
        <w:textAlignment w:val="auto"/>
        <w:rPr>
          <w:color w:val="auto"/>
          <w:highlight w:val="none"/>
        </w:rPr>
      </w:pPr>
      <w:bookmarkStart w:id="1267" w:name="_Toc1430568476"/>
      <w:bookmarkStart w:id="1268" w:name="_Toc373478423"/>
      <w:bookmarkStart w:id="1269" w:name="_Toc1959910599"/>
      <w:bookmarkStart w:id="1270" w:name="_Toc78449865"/>
      <w:bookmarkStart w:id="1271" w:name="_Toc351203651"/>
      <w:bookmarkStart w:id="1272" w:name="_Toc373227776"/>
      <w:bookmarkStart w:id="1273" w:name="_Toc389065341"/>
      <w:bookmarkStart w:id="1274" w:name="_Toc407135279"/>
      <w:r>
        <w:rPr>
          <w:color w:val="auto"/>
          <w:highlight w:val="none"/>
        </w:rPr>
        <w:t xml:space="preserve">20. </w:t>
      </w:r>
      <w:r>
        <w:rPr>
          <w:rFonts w:hint="eastAsia" w:hAnsi="宋体" w:cs="黑体"/>
          <w:color w:val="auto"/>
          <w:highlight w:val="none"/>
        </w:rPr>
        <w:t>争议解决</w:t>
      </w:r>
      <w:bookmarkEnd w:id="1267"/>
      <w:bookmarkEnd w:id="1268"/>
      <w:bookmarkEnd w:id="1269"/>
      <w:bookmarkEnd w:id="1270"/>
      <w:bookmarkEnd w:id="1271"/>
      <w:bookmarkEnd w:id="1272"/>
      <w:bookmarkEnd w:id="1273"/>
      <w:bookmarkEnd w:id="1274"/>
    </w:p>
    <w:bookmarkEnd w:id="1161"/>
    <w:bookmarkEnd w:id="1162"/>
    <w:p w14:paraId="4D9591F9">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75" w:name="_Toc1645489822"/>
      <w:bookmarkStart w:id="1276" w:name="_Toc373478424"/>
      <w:bookmarkStart w:id="1277" w:name="_Toc407135280"/>
      <w:bookmarkStart w:id="1278" w:name="_Toc389065342"/>
      <w:bookmarkStart w:id="1279" w:name="_Toc2138124043"/>
      <w:bookmarkStart w:id="1280" w:name="_Toc373227777"/>
      <w:bookmarkStart w:id="1281" w:name="_Toc78449866"/>
      <w:r>
        <w:rPr>
          <w:color w:val="auto"/>
          <w:highlight w:val="none"/>
        </w:rPr>
        <w:t xml:space="preserve">20.3 </w:t>
      </w:r>
      <w:r>
        <w:rPr>
          <w:rFonts w:hint="eastAsia" w:hAnsi="宋体" w:cs="黑体"/>
          <w:color w:val="auto"/>
          <w:highlight w:val="none"/>
        </w:rPr>
        <w:t>争</w:t>
      </w:r>
      <w:bookmarkEnd w:id="1163"/>
      <w:r>
        <w:rPr>
          <w:rFonts w:hint="eastAsia" w:hAnsi="宋体" w:cs="黑体"/>
          <w:color w:val="auto"/>
          <w:highlight w:val="none"/>
        </w:rPr>
        <w:t>议评审</w:t>
      </w:r>
      <w:bookmarkEnd w:id="1275"/>
      <w:bookmarkEnd w:id="1276"/>
      <w:bookmarkEnd w:id="1277"/>
      <w:bookmarkEnd w:id="1278"/>
      <w:bookmarkEnd w:id="1279"/>
      <w:bookmarkEnd w:id="1280"/>
      <w:bookmarkEnd w:id="1281"/>
    </w:p>
    <w:p w14:paraId="29401EFA">
      <w:pPr>
        <w:pageBreakBefore w:val="0"/>
        <w:widowControl w:val="0"/>
        <w:kinsoku/>
        <w:wordWrap/>
        <w:overflowPunct/>
        <w:topLinePunct w:val="0"/>
        <w:bidi w:val="0"/>
        <w:snapToGrid/>
        <w:spacing w:line="360" w:lineRule="auto"/>
        <w:ind w:left="149" w:leftChars="71" w:firstLine="315" w:firstLineChars="150"/>
        <w:jc w:val="left"/>
        <w:textAlignment w:val="auto"/>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hAnsi="宋体" w:cs="宋体"/>
          <w:color w:val="auto"/>
          <w:highlight w:val="none"/>
        </w:rPr>
        <w:t>。</w:t>
      </w:r>
    </w:p>
    <w:p w14:paraId="021A2933">
      <w:pPr>
        <w:pageBreakBefore w:val="0"/>
        <w:widowControl w:val="0"/>
        <w:kinsoku/>
        <w:wordWrap/>
        <w:overflowPunct/>
        <w:topLinePunct w:val="0"/>
        <w:bidi w:val="0"/>
        <w:snapToGrid/>
        <w:spacing w:line="360" w:lineRule="auto"/>
        <w:ind w:firstLine="420" w:firstLineChars="200"/>
        <w:jc w:val="left"/>
        <w:textAlignment w:val="auto"/>
        <w:outlineLvl w:val="0"/>
        <w:rPr>
          <w:color w:val="auto"/>
          <w:highlight w:val="none"/>
        </w:rPr>
      </w:pPr>
      <w:r>
        <w:rPr>
          <w:color w:val="auto"/>
          <w:highlight w:val="none"/>
        </w:rPr>
        <w:t xml:space="preserve">20.3.1 </w:t>
      </w:r>
      <w:r>
        <w:rPr>
          <w:rFonts w:hint="eastAsia" w:hAnsi="宋体" w:cs="宋体"/>
          <w:color w:val="auto"/>
          <w:highlight w:val="none"/>
        </w:rPr>
        <w:t>争议评审小组的确定</w:t>
      </w:r>
    </w:p>
    <w:p w14:paraId="782E2A61">
      <w:pPr>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hAnsi="宋体" w:cs="宋体"/>
          <w:color w:val="auto"/>
          <w:highlight w:val="none"/>
        </w:rPr>
        <w:t>。</w:t>
      </w:r>
    </w:p>
    <w:p w14:paraId="7D74E4B0">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hAnsi="宋体" w:cs="宋体"/>
          <w:color w:val="auto"/>
          <w:highlight w:val="none"/>
        </w:rPr>
        <w:t>。</w:t>
      </w:r>
    </w:p>
    <w:p w14:paraId="762E5402">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hAnsi="宋体" w:cs="宋体"/>
          <w:color w:val="auto"/>
          <w:highlight w:val="none"/>
        </w:rPr>
        <w:t>。</w:t>
      </w:r>
    </w:p>
    <w:p w14:paraId="615DA621">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hAnsi="宋体" w:cs="宋体"/>
          <w:color w:val="auto"/>
          <w:highlight w:val="none"/>
        </w:rPr>
        <w:t>。</w:t>
      </w:r>
    </w:p>
    <w:p w14:paraId="7D045433">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746D7C65">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hAnsi="宋体" w:cs="宋体"/>
          <w:color w:val="auto"/>
          <w:highlight w:val="none"/>
        </w:rPr>
        <w:t>。</w:t>
      </w:r>
    </w:p>
    <w:p w14:paraId="1F6D50D5">
      <w:pPr>
        <w:pStyle w:val="4"/>
        <w:pageBreakBefore w:val="0"/>
        <w:widowControl w:val="0"/>
        <w:kinsoku/>
        <w:wordWrap/>
        <w:overflowPunct/>
        <w:topLinePunct w:val="0"/>
        <w:bidi w:val="0"/>
        <w:snapToGrid/>
        <w:spacing w:before="0" w:after="0" w:line="360" w:lineRule="auto"/>
        <w:textAlignment w:val="auto"/>
        <w:rPr>
          <w:color w:val="auto"/>
          <w:highlight w:val="none"/>
        </w:rPr>
      </w:pPr>
      <w:bookmarkStart w:id="1282" w:name="_Toc373478425"/>
      <w:bookmarkStart w:id="1283" w:name="_Toc389065343"/>
      <w:bookmarkStart w:id="1284" w:name="_Toc1156795721"/>
      <w:bookmarkStart w:id="1285" w:name="_Toc78449867"/>
      <w:bookmarkStart w:id="1286" w:name="_Toc373227778"/>
      <w:bookmarkStart w:id="1287" w:name="_Toc407135281"/>
      <w:bookmarkStart w:id="1288" w:name="_Toc1456517022"/>
      <w:r>
        <w:rPr>
          <w:color w:val="auto"/>
          <w:highlight w:val="none"/>
        </w:rPr>
        <w:t xml:space="preserve">20.4 </w:t>
      </w:r>
      <w:r>
        <w:rPr>
          <w:rFonts w:hint="eastAsia" w:hAnsi="宋体" w:cs="黑体"/>
          <w:color w:val="auto"/>
          <w:highlight w:val="none"/>
        </w:rPr>
        <w:t>仲裁或诉讼</w:t>
      </w:r>
      <w:bookmarkEnd w:id="1164"/>
      <w:bookmarkEnd w:id="1282"/>
      <w:bookmarkEnd w:id="1283"/>
      <w:bookmarkEnd w:id="1284"/>
      <w:bookmarkEnd w:id="1285"/>
      <w:bookmarkEnd w:id="1286"/>
      <w:bookmarkEnd w:id="1287"/>
      <w:bookmarkEnd w:id="1288"/>
    </w:p>
    <w:p w14:paraId="10D81688">
      <w:pPr>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hAnsi="宋体" w:cs="宋体"/>
          <w:color w:val="auto"/>
          <w:highlight w:val="none"/>
        </w:rPr>
        <w:t>种方式解决：</w:t>
      </w:r>
    </w:p>
    <w:p w14:paraId="48A8BD38">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14:paraId="48841FE4">
      <w:pPr>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bookmarkEnd w:id="1165"/>
      <w:bookmarkEnd w:id="1166"/>
      <w:bookmarkEnd w:id="1167"/>
      <w:bookmarkEnd w:id="1168"/>
      <w:bookmarkEnd w:id="1169"/>
      <w:bookmarkEnd w:id="1170"/>
    </w:p>
    <w:p w14:paraId="2BF92CF7">
      <w:pPr>
        <w:pageBreakBefore w:val="0"/>
        <w:widowControl w:val="0"/>
        <w:kinsoku/>
        <w:wordWrap/>
        <w:overflowPunct/>
        <w:topLinePunct w:val="0"/>
        <w:bidi w:val="0"/>
        <w:snapToGrid/>
        <w:spacing w:line="360" w:lineRule="auto"/>
        <w:jc w:val="left"/>
        <w:textAlignment w:val="auto"/>
        <w:rPr>
          <w:rFonts w:eastAsia="黑体"/>
          <w:b/>
          <w:bCs/>
          <w:color w:val="auto"/>
          <w:sz w:val="28"/>
          <w:szCs w:val="28"/>
          <w:highlight w:val="none"/>
        </w:rPr>
      </w:pPr>
      <w:bookmarkStart w:id="1289" w:name="_Toc351203652"/>
      <w:r>
        <w:rPr>
          <w:rFonts w:hint="eastAsia" w:eastAsia="黑体" w:cs="黑体"/>
          <w:b/>
          <w:bCs/>
          <w:color w:val="auto"/>
          <w:sz w:val="28"/>
          <w:szCs w:val="28"/>
          <w:highlight w:val="none"/>
        </w:rPr>
        <w:t>附件</w:t>
      </w:r>
      <w:bookmarkEnd w:id="1289"/>
    </w:p>
    <w:p w14:paraId="47CFA529">
      <w:pPr>
        <w:pageBreakBefore w:val="0"/>
        <w:widowControl w:val="0"/>
        <w:kinsoku/>
        <w:wordWrap/>
        <w:overflowPunct/>
        <w:topLinePunct w:val="0"/>
        <w:bidi w:val="0"/>
        <w:snapToGrid/>
        <w:spacing w:line="360" w:lineRule="auto"/>
        <w:jc w:val="left"/>
        <w:textAlignment w:val="auto"/>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51C3926F">
      <w:pPr>
        <w:pageBreakBefore w:val="0"/>
        <w:widowControl w:val="0"/>
        <w:kinsoku/>
        <w:wordWrap/>
        <w:overflowPunct/>
        <w:topLinePunct w:val="0"/>
        <w:bidi w:val="0"/>
        <w:snapToGrid/>
        <w:spacing w:line="360" w:lineRule="auto"/>
        <w:jc w:val="left"/>
        <w:textAlignment w:val="auto"/>
        <w:rPr>
          <w:rFonts w:ascii="宋体" w:hAnsi="宋体" w:cs="宋体"/>
          <w:color w:val="auto"/>
          <w:highlight w:val="none"/>
        </w:rPr>
      </w:pPr>
      <w:r>
        <w:rPr>
          <w:rFonts w:hint="eastAsia" w:ascii="宋体" w:hAnsi="宋体" w:cs="宋体"/>
          <w:color w:val="auto"/>
          <w:highlight w:val="none"/>
        </w:rPr>
        <w:t>附件2：工程质量保修书</w:t>
      </w:r>
    </w:p>
    <w:p w14:paraId="168F42B5">
      <w:pPr>
        <w:pageBreakBefore w:val="0"/>
        <w:widowControl w:val="0"/>
        <w:kinsoku/>
        <w:wordWrap/>
        <w:overflowPunct/>
        <w:topLinePunct w:val="0"/>
        <w:bidi w:val="0"/>
        <w:snapToGrid/>
        <w:spacing w:line="360" w:lineRule="auto"/>
        <w:jc w:val="left"/>
        <w:textAlignment w:val="auto"/>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29A36C02">
      <w:pPr>
        <w:pageBreakBefore w:val="0"/>
        <w:widowControl w:val="0"/>
        <w:kinsoku/>
        <w:wordWrap/>
        <w:overflowPunct/>
        <w:topLinePunct w:val="0"/>
        <w:bidi w:val="0"/>
        <w:snapToGrid/>
        <w:spacing w:line="360" w:lineRule="auto"/>
        <w:jc w:val="left"/>
        <w:textAlignment w:val="auto"/>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1E95066B">
      <w:pPr>
        <w:pageBreakBefore w:val="0"/>
        <w:widowControl w:val="0"/>
        <w:kinsoku/>
        <w:wordWrap/>
        <w:overflowPunct/>
        <w:topLinePunct w:val="0"/>
        <w:bidi w:val="0"/>
        <w:snapToGrid/>
        <w:spacing w:line="360" w:lineRule="auto"/>
        <w:jc w:val="left"/>
        <w:textAlignment w:val="auto"/>
        <w:rPr>
          <w:rFonts w:ascii="宋体"/>
          <w:color w:val="auto"/>
          <w:highlight w:val="none"/>
        </w:rPr>
      </w:pPr>
      <w:r>
        <w:rPr>
          <w:rFonts w:hint="eastAsia" w:ascii="宋体" w:hAnsi="宋体" w:cs="宋体"/>
          <w:color w:val="auto"/>
          <w:highlight w:val="none"/>
        </w:rPr>
        <w:t>附件5：承包人主要施工管理人员表</w:t>
      </w:r>
    </w:p>
    <w:p w14:paraId="61C89F5E">
      <w:pPr>
        <w:pageBreakBefore w:val="0"/>
        <w:widowControl w:val="0"/>
        <w:kinsoku/>
        <w:wordWrap/>
        <w:overflowPunct/>
        <w:topLinePunct w:val="0"/>
        <w:bidi w:val="0"/>
        <w:snapToGrid/>
        <w:spacing w:line="360" w:lineRule="auto"/>
        <w:jc w:val="left"/>
        <w:textAlignment w:val="auto"/>
        <w:rPr>
          <w:rFonts w:ascii="宋体"/>
          <w:color w:val="auto"/>
          <w:highlight w:val="none"/>
        </w:rPr>
      </w:pPr>
      <w:r>
        <w:rPr>
          <w:rFonts w:hint="eastAsia" w:ascii="宋体" w:hAnsi="宋体" w:cs="宋体"/>
          <w:color w:val="auto"/>
          <w:highlight w:val="none"/>
        </w:rPr>
        <w:t>附件6：分包人主要施工管理人员表</w:t>
      </w:r>
    </w:p>
    <w:p w14:paraId="4F968D9D">
      <w:pPr>
        <w:pageBreakBefore w:val="0"/>
        <w:widowControl w:val="0"/>
        <w:kinsoku/>
        <w:wordWrap/>
        <w:overflowPunct/>
        <w:topLinePunct w:val="0"/>
        <w:bidi w:val="0"/>
        <w:snapToGrid/>
        <w:spacing w:line="360" w:lineRule="auto"/>
        <w:jc w:val="left"/>
        <w:textAlignment w:val="auto"/>
        <w:rPr>
          <w:rFonts w:ascii="宋体"/>
          <w:color w:val="auto"/>
          <w:highlight w:val="none"/>
        </w:rPr>
      </w:pPr>
      <w:r>
        <w:rPr>
          <w:rFonts w:hint="eastAsia" w:ascii="宋体" w:hAnsi="宋体" w:cs="宋体"/>
          <w:color w:val="auto"/>
          <w:highlight w:val="none"/>
        </w:rPr>
        <w:t>附件7：履约担保格式（独立保函、非独立保函）</w:t>
      </w:r>
    </w:p>
    <w:p w14:paraId="4B90EFE9">
      <w:pPr>
        <w:pageBreakBefore w:val="0"/>
        <w:widowControl w:val="0"/>
        <w:kinsoku/>
        <w:wordWrap/>
        <w:overflowPunct/>
        <w:topLinePunct w:val="0"/>
        <w:bidi w:val="0"/>
        <w:snapToGrid/>
        <w:spacing w:line="360" w:lineRule="auto"/>
        <w:jc w:val="left"/>
        <w:textAlignment w:val="auto"/>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27880588">
      <w:pPr>
        <w:pageBreakBefore w:val="0"/>
        <w:widowControl w:val="0"/>
        <w:kinsoku/>
        <w:wordWrap/>
        <w:overflowPunct/>
        <w:topLinePunct w:val="0"/>
        <w:bidi w:val="0"/>
        <w:snapToGrid/>
        <w:spacing w:line="360" w:lineRule="auto"/>
        <w:jc w:val="left"/>
        <w:textAlignment w:val="auto"/>
        <w:rPr>
          <w:rFonts w:ascii="宋体" w:hAnsi="宋体" w:cs="宋体"/>
          <w:color w:val="auto"/>
          <w:highlight w:val="none"/>
        </w:rPr>
      </w:pPr>
      <w:r>
        <w:rPr>
          <w:rFonts w:hint="eastAsia" w:ascii="宋体" w:hAnsi="宋体" w:cs="宋体"/>
          <w:color w:val="auto"/>
          <w:highlight w:val="none"/>
        </w:rPr>
        <w:t>附件9：支付担保格式（独立保函、非独立保函）</w:t>
      </w:r>
    </w:p>
    <w:p w14:paraId="583D46C7">
      <w:pPr>
        <w:pageBreakBefore w:val="0"/>
        <w:widowControl w:val="0"/>
        <w:kinsoku/>
        <w:wordWrap/>
        <w:overflowPunct/>
        <w:topLinePunct w:val="0"/>
        <w:bidi w:val="0"/>
        <w:snapToGrid/>
        <w:spacing w:line="360" w:lineRule="auto"/>
        <w:jc w:val="left"/>
        <w:textAlignment w:val="auto"/>
        <w:rPr>
          <w:rFonts w:hint="eastAsia"/>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383F06E7">
      <w:pPr>
        <w:pageBreakBefore w:val="0"/>
        <w:widowControl w:val="0"/>
        <w:kinsoku/>
        <w:wordWrap/>
        <w:overflowPunct/>
        <w:topLinePunct w:val="0"/>
        <w:bidi w:val="0"/>
        <w:snapToGrid/>
        <w:spacing w:line="360" w:lineRule="auto"/>
        <w:jc w:val="left"/>
        <w:textAlignment w:val="auto"/>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4BBEEDB2">
      <w:pPr>
        <w:pageBreakBefore w:val="0"/>
        <w:widowControl w:val="0"/>
        <w:kinsoku/>
        <w:wordWrap/>
        <w:overflowPunct/>
        <w:topLinePunct w:val="0"/>
        <w:bidi w:val="0"/>
        <w:snapToGrid/>
        <w:spacing w:line="360" w:lineRule="auto"/>
        <w:jc w:val="left"/>
        <w:textAlignment w:val="auto"/>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7AB4CE77">
      <w:pPr>
        <w:pageBreakBefore w:val="0"/>
        <w:widowControl w:val="0"/>
        <w:kinsoku/>
        <w:wordWrap/>
        <w:overflowPunct/>
        <w:topLinePunct w:val="0"/>
        <w:bidi w:val="0"/>
        <w:snapToGrid/>
        <w:spacing w:line="360" w:lineRule="auto"/>
        <w:jc w:val="left"/>
        <w:textAlignment w:val="auto"/>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743BFFB7">
      <w:pPr>
        <w:pageBreakBefore w:val="0"/>
        <w:widowControl w:val="0"/>
        <w:kinsoku/>
        <w:wordWrap/>
        <w:overflowPunct/>
        <w:topLinePunct w:val="0"/>
        <w:bidi w:val="0"/>
        <w:snapToGrid/>
        <w:spacing w:line="360" w:lineRule="auto"/>
        <w:jc w:val="left"/>
        <w:textAlignment w:val="auto"/>
        <w:rPr>
          <w:rFonts w:hint="eastAsia"/>
          <w:color w:val="auto"/>
          <w:highlight w:val="none"/>
        </w:rPr>
      </w:pPr>
      <w:r>
        <w:rPr>
          <w:rFonts w:hint="eastAsia"/>
          <w:color w:val="auto"/>
          <w:highlight w:val="none"/>
        </w:rPr>
        <w:t>附件14：总价合同进度款支付分解表</w:t>
      </w:r>
    </w:p>
    <w:p w14:paraId="2A7783F0">
      <w:pPr>
        <w:spacing w:line="460" w:lineRule="exact"/>
        <w:ind w:firstLine="420" w:firstLineChars="200"/>
        <w:rPr>
          <w:color w:val="auto"/>
          <w:highlight w:val="none"/>
        </w:rPr>
      </w:pPr>
    </w:p>
    <w:p w14:paraId="07A384F8">
      <w:pPr>
        <w:spacing w:line="460" w:lineRule="exact"/>
        <w:ind w:firstLine="420" w:firstLineChars="200"/>
        <w:rPr>
          <w:color w:val="auto"/>
          <w:highlight w:val="none"/>
        </w:rPr>
      </w:pPr>
    </w:p>
    <w:p w14:paraId="3EB6CE17">
      <w:pPr>
        <w:spacing w:line="460" w:lineRule="exact"/>
        <w:ind w:firstLine="420" w:firstLineChars="200"/>
        <w:rPr>
          <w:color w:val="auto"/>
          <w:highlight w:val="none"/>
        </w:rPr>
        <w:sectPr>
          <w:pgSz w:w="11907" w:h="16840"/>
          <w:pgMar w:top="1440" w:right="1701" w:bottom="1440" w:left="1701" w:header="851" w:footer="851" w:gutter="0"/>
          <w:pgNumType w:fmt="decimal"/>
          <w:cols w:space="720" w:num="1"/>
          <w:docGrid w:linePitch="312" w:charSpace="0"/>
        </w:sectPr>
      </w:pPr>
    </w:p>
    <w:p w14:paraId="2AF86165">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13E5DA27">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121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4C5665D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noWrap w:val="0"/>
            <w:vAlign w:val="center"/>
          </w:tcPr>
          <w:p w14:paraId="10CE0D38">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noWrap w:val="0"/>
            <w:vAlign w:val="center"/>
          </w:tcPr>
          <w:p w14:paraId="4CC6EE5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建筑面积</w:t>
            </w:r>
            <w:r>
              <w:rPr>
                <w:rFonts w:eastAsia="仿宋_GB2312"/>
                <w:color w:val="auto"/>
                <w:sz w:val="28"/>
                <w:szCs w:val="28"/>
                <w:highlight w:val="none"/>
              </w:rPr>
              <w:t>(</w:t>
            </w:r>
            <w:r>
              <w:rPr>
                <w:rFonts w:hint="eastAsia" w:eastAsia="仿宋_GB2312" w:cs="仿宋_GB2312"/>
                <w:color w:val="auto"/>
                <w:sz w:val="28"/>
                <w:szCs w:val="28"/>
                <w:highlight w:val="none"/>
              </w:rPr>
              <w:t>平方米</w:t>
            </w:r>
            <w:r>
              <w:rPr>
                <w:rFonts w:eastAsia="仿宋_GB2312"/>
                <w:color w:val="auto"/>
                <w:sz w:val="28"/>
                <w:szCs w:val="28"/>
                <w:highlight w:val="none"/>
              </w:rPr>
              <w:t>)</w:t>
            </w:r>
          </w:p>
        </w:tc>
        <w:tc>
          <w:tcPr>
            <w:tcW w:w="1661" w:type="dxa"/>
            <w:noWrap w:val="0"/>
            <w:vAlign w:val="center"/>
          </w:tcPr>
          <w:p w14:paraId="3AC176D8">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noWrap w:val="0"/>
            <w:vAlign w:val="center"/>
          </w:tcPr>
          <w:p w14:paraId="4BD18CA5">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noWrap w:val="0"/>
            <w:vAlign w:val="center"/>
          </w:tcPr>
          <w:p w14:paraId="04B1A078">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noWrap w:val="0"/>
            <w:vAlign w:val="center"/>
          </w:tcPr>
          <w:p w14:paraId="768F7016">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noWrap w:val="0"/>
            <w:vAlign w:val="center"/>
          </w:tcPr>
          <w:p w14:paraId="7148A2C7">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noWrap w:val="0"/>
            <w:vAlign w:val="center"/>
          </w:tcPr>
          <w:p w14:paraId="3DE8C63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noWrap w:val="0"/>
            <w:vAlign w:val="center"/>
          </w:tcPr>
          <w:p w14:paraId="54C8FD8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14:paraId="554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C4DED93">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47FE9253">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6253EF4A">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32E54C57">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5971DF5D">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09FEA5CA">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47D0DD2F">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318B7669">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1ABC70A5">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58CEEE69">
            <w:pPr>
              <w:pStyle w:val="18"/>
              <w:keepNext/>
              <w:spacing w:after="0" w:line="440" w:lineRule="exact"/>
              <w:ind w:left="63" w:right="63"/>
              <w:rPr>
                <w:rFonts w:eastAsia="仿宋_GB2312"/>
                <w:color w:val="auto"/>
                <w:sz w:val="30"/>
                <w:szCs w:val="30"/>
                <w:highlight w:val="none"/>
              </w:rPr>
            </w:pPr>
          </w:p>
        </w:tc>
      </w:tr>
      <w:tr w14:paraId="4685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CD5738A">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2BD23496">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79E86B59">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46B4D8DC">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3DB92324">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3D045D39">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370BDCFB">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24790850">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67B31B6D">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04ACA0A3">
            <w:pPr>
              <w:pStyle w:val="18"/>
              <w:keepNext/>
              <w:spacing w:after="0" w:line="440" w:lineRule="exact"/>
              <w:ind w:left="63" w:right="63"/>
              <w:rPr>
                <w:rFonts w:eastAsia="仿宋_GB2312"/>
                <w:color w:val="auto"/>
                <w:sz w:val="30"/>
                <w:szCs w:val="30"/>
                <w:highlight w:val="none"/>
              </w:rPr>
            </w:pPr>
          </w:p>
        </w:tc>
      </w:tr>
      <w:tr w14:paraId="5604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181155A">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4041D412">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0E6B3F76">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0D05D4AA">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ABEA200">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50CB566D">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6503680A">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63F40FC8">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5E59134F">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666E9A0">
            <w:pPr>
              <w:pStyle w:val="18"/>
              <w:keepNext/>
              <w:spacing w:after="0" w:line="440" w:lineRule="exact"/>
              <w:ind w:left="63" w:right="63"/>
              <w:rPr>
                <w:rFonts w:eastAsia="仿宋_GB2312"/>
                <w:color w:val="auto"/>
                <w:sz w:val="30"/>
                <w:szCs w:val="30"/>
                <w:highlight w:val="none"/>
              </w:rPr>
            </w:pPr>
          </w:p>
        </w:tc>
      </w:tr>
      <w:tr w14:paraId="7994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38E1A7B">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3F066195">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7B91F31A">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31010B16">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2A555B96">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0A1196C4">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24C4D6C9">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65C52149">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76BBF05C">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6760608C">
            <w:pPr>
              <w:pStyle w:val="18"/>
              <w:keepNext/>
              <w:spacing w:after="0" w:line="440" w:lineRule="exact"/>
              <w:ind w:left="63" w:right="63"/>
              <w:rPr>
                <w:rFonts w:eastAsia="仿宋_GB2312"/>
                <w:color w:val="auto"/>
                <w:sz w:val="30"/>
                <w:szCs w:val="30"/>
                <w:highlight w:val="none"/>
              </w:rPr>
            </w:pPr>
          </w:p>
        </w:tc>
      </w:tr>
      <w:tr w14:paraId="1BBB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184F72D">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28D40A35">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0BCAE8FA">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4C40CE53">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6796F759">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794D760F">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3F81ABB7">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2C97A3CA">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5EABA3E5">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0A5B6D86">
            <w:pPr>
              <w:pStyle w:val="18"/>
              <w:keepNext/>
              <w:spacing w:after="0" w:line="440" w:lineRule="exact"/>
              <w:ind w:left="63" w:right="63"/>
              <w:rPr>
                <w:rFonts w:eastAsia="仿宋_GB2312"/>
                <w:color w:val="auto"/>
                <w:sz w:val="30"/>
                <w:szCs w:val="30"/>
                <w:highlight w:val="none"/>
              </w:rPr>
            </w:pPr>
          </w:p>
        </w:tc>
      </w:tr>
      <w:tr w14:paraId="55D4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800E5F3">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508107F2">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220E37AB">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58622AA1">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5F5D313E">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1677FDCD">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556D02F3">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5BA3D32C">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46B7A9E3">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3F948A51">
            <w:pPr>
              <w:pStyle w:val="18"/>
              <w:keepNext/>
              <w:spacing w:after="0" w:line="440" w:lineRule="exact"/>
              <w:ind w:left="63" w:right="63"/>
              <w:rPr>
                <w:rFonts w:eastAsia="仿宋_GB2312"/>
                <w:color w:val="auto"/>
                <w:sz w:val="30"/>
                <w:szCs w:val="30"/>
                <w:highlight w:val="none"/>
              </w:rPr>
            </w:pPr>
          </w:p>
        </w:tc>
      </w:tr>
      <w:tr w14:paraId="7E8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B2E47E5">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40F69B82">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2FAC30ED">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228FF434">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4E0FB262">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4F79AC71">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2EA2807D">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6E51A98D">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5AD8C61B">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57922296">
            <w:pPr>
              <w:pStyle w:val="18"/>
              <w:keepNext/>
              <w:spacing w:after="0" w:line="440" w:lineRule="exact"/>
              <w:ind w:left="63" w:right="63"/>
              <w:rPr>
                <w:rFonts w:eastAsia="仿宋_GB2312"/>
                <w:color w:val="auto"/>
                <w:sz w:val="30"/>
                <w:szCs w:val="30"/>
                <w:highlight w:val="none"/>
              </w:rPr>
            </w:pPr>
          </w:p>
        </w:tc>
      </w:tr>
      <w:tr w14:paraId="6095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B3AAECB">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714D2D4E">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5CCDC644">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2C26744F">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CB3F64F">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67B4C9D6">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69567731">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1E1E4CF5">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465E447E">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25F89178">
            <w:pPr>
              <w:pStyle w:val="18"/>
              <w:keepNext/>
              <w:spacing w:after="0" w:line="440" w:lineRule="exact"/>
              <w:ind w:left="63" w:right="63"/>
              <w:rPr>
                <w:rFonts w:eastAsia="仿宋_GB2312"/>
                <w:color w:val="auto"/>
                <w:sz w:val="30"/>
                <w:szCs w:val="30"/>
                <w:highlight w:val="none"/>
              </w:rPr>
            </w:pPr>
          </w:p>
        </w:tc>
      </w:tr>
      <w:tr w14:paraId="4A51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9B00A05">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3BCB776C">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54DF8FA3">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5FB97C18">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62355790">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1B73F52C">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2D435207">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549B3AD3">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70558869">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487B3204">
            <w:pPr>
              <w:pStyle w:val="18"/>
              <w:keepNext/>
              <w:spacing w:after="0" w:line="440" w:lineRule="exact"/>
              <w:ind w:left="63" w:right="63"/>
              <w:rPr>
                <w:rFonts w:eastAsia="仿宋_GB2312"/>
                <w:color w:val="auto"/>
                <w:sz w:val="30"/>
                <w:szCs w:val="30"/>
                <w:highlight w:val="none"/>
              </w:rPr>
            </w:pPr>
          </w:p>
        </w:tc>
      </w:tr>
      <w:tr w14:paraId="3959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FBD681B">
            <w:pPr>
              <w:pStyle w:val="18"/>
              <w:keepNext/>
              <w:spacing w:after="0" w:line="440" w:lineRule="exact"/>
              <w:ind w:left="63" w:right="63"/>
              <w:rPr>
                <w:rFonts w:eastAsia="仿宋_GB2312"/>
                <w:color w:val="auto"/>
                <w:sz w:val="30"/>
                <w:szCs w:val="30"/>
                <w:highlight w:val="none"/>
              </w:rPr>
            </w:pPr>
          </w:p>
        </w:tc>
        <w:tc>
          <w:tcPr>
            <w:tcW w:w="1440" w:type="dxa"/>
            <w:noWrap w:val="0"/>
            <w:vAlign w:val="center"/>
          </w:tcPr>
          <w:p w14:paraId="7C97F1DE">
            <w:pPr>
              <w:pStyle w:val="18"/>
              <w:keepNext/>
              <w:spacing w:after="0" w:line="440" w:lineRule="exact"/>
              <w:ind w:left="63" w:right="63"/>
              <w:rPr>
                <w:rFonts w:eastAsia="仿宋_GB2312"/>
                <w:color w:val="auto"/>
                <w:sz w:val="30"/>
                <w:szCs w:val="30"/>
                <w:highlight w:val="none"/>
              </w:rPr>
            </w:pPr>
          </w:p>
        </w:tc>
        <w:tc>
          <w:tcPr>
            <w:tcW w:w="1620" w:type="dxa"/>
            <w:noWrap w:val="0"/>
            <w:vAlign w:val="center"/>
          </w:tcPr>
          <w:p w14:paraId="4846E6BA">
            <w:pPr>
              <w:pStyle w:val="18"/>
              <w:keepNext/>
              <w:spacing w:after="0" w:line="440" w:lineRule="exact"/>
              <w:ind w:left="63" w:right="63"/>
              <w:rPr>
                <w:rFonts w:eastAsia="仿宋_GB2312"/>
                <w:color w:val="auto"/>
                <w:sz w:val="30"/>
                <w:szCs w:val="30"/>
                <w:highlight w:val="none"/>
              </w:rPr>
            </w:pPr>
          </w:p>
        </w:tc>
        <w:tc>
          <w:tcPr>
            <w:tcW w:w="1661" w:type="dxa"/>
            <w:noWrap w:val="0"/>
            <w:vAlign w:val="center"/>
          </w:tcPr>
          <w:p w14:paraId="44CBB482">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777EB7F7">
            <w:pPr>
              <w:pStyle w:val="18"/>
              <w:keepNext/>
              <w:spacing w:after="0" w:line="440" w:lineRule="exact"/>
              <w:ind w:left="63" w:right="63"/>
              <w:rPr>
                <w:rFonts w:eastAsia="仿宋_GB2312"/>
                <w:color w:val="auto"/>
                <w:sz w:val="30"/>
                <w:szCs w:val="30"/>
                <w:highlight w:val="none"/>
              </w:rPr>
            </w:pPr>
          </w:p>
        </w:tc>
        <w:tc>
          <w:tcPr>
            <w:tcW w:w="1560" w:type="dxa"/>
            <w:noWrap w:val="0"/>
            <w:vAlign w:val="center"/>
          </w:tcPr>
          <w:p w14:paraId="5B22E986">
            <w:pPr>
              <w:pStyle w:val="18"/>
              <w:keepNext/>
              <w:spacing w:after="0" w:line="440" w:lineRule="exact"/>
              <w:ind w:left="63" w:right="63"/>
              <w:rPr>
                <w:rFonts w:eastAsia="仿宋_GB2312"/>
                <w:color w:val="auto"/>
                <w:sz w:val="30"/>
                <w:szCs w:val="30"/>
                <w:highlight w:val="none"/>
              </w:rPr>
            </w:pPr>
          </w:p>
        </w:tc>
        <w:tc>
          <w:tcPr>
            <w:tcW w:w="2126" w:type="dxa"/>
            <w:noWrap w:val="0"/>
            <w:vAlign w:val="center"/>
          </w:tcPr>
          <w:p w14:paraId="3803BD7E">
            <w:pPr>
              <w:pStyle w:val="18"/>
              <w:keepNext/>
              <w:spacing w:after="0" w:line="440" w:lineRule="exact"/>
              <w:ind w:left="63" w:right="63"/>
              <w:rPr>
                <w:rFonts w:eastAsia="仿宋_GB2312"/>
                <w:color w:val="auto"/>
                <w:sz w:val="30"/>
                <w:szCs w:val="30"/>
                <w:highlight w:val="none"/>
              </w:rPr>
            </w:pPr>
          </w:p>
        </w:tc>
        <w:tc>
          <w:tcPr>
            <w:tcW w:w="1417" w:type="dxa"/>
            <w:noWrap w:val="0"/>
            <w:vAlign w:val="center"/>
          </w:tcPr>
          <w:p w14:paraId="1D05AF58">
            <w:pPr>
              <w:pStyle w:val="18"/>
              <w:keepNext/>
              <w:spacing w:after="0" w:line="440" w:lineRule="exact"/>
              <w:ind w:left="63" w:right="63"/>
              <w:rPr>
                <w:rFonts w:eastAsia="仿宋_GB2312"/>
                <w:color w:val="auto"/>
                <w:sz w:val="30"/>
                <w:szCs w:val="30"/>
                <w:highlight w:val="none"/>
              </w:rPr>
            </w:pPr>
          </w:p>
        </w:tc>
        <w:tc>
          <w:tcPr>
            <w:tcW w:w="851" w:type="dxa"/>
            <w:noWrap w:val="0"/>
            <w:vAlign w:val="center"/>
          </w:tcPr>
          <w:p w14:paraId="4F99E5B7">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29D125B">
            <w:pPr>
              <w:pStyle w:val="18"/>
              <w:keepNext/>
              <w:spacing w:after="0" w:line="440" w:lineRule="exact"/>
              <w:ind w:left="63" w:right="63"/>
              <w:rPr>
                <w:rFonts w:eastAsia="仿宋_GB2312"/>
                <w:color w:val="auto"/>
                <w:sz w:val="30"/>
                <w:szCs w:val="30"/>
                <w:highlight w:val="none"/>
              </w:rPr>
            </w:pPr>
          </w:p>
        </w:tc>
      </w:tr>
    </w:tbl>
    <w:p w14:paraId="0B874ED6">
      <w:pPr>
        <w:spacing w:line="460" w:lineRule="exact"/>
        <w:ind w:firstLine="420" w:firstLineChars="200"/>
        <w:rPr>
          <w:color w:val="auto"/>
          <w:highlight w:val="none"/>
        </w:rPr>
      </w:pPr>
    </w:p>
    <w:p w14:paraId="1F4EE7C6">
      <w:pPr>
        <w:spacing w:line="460" w:lineRule="exact"/>
        <w:ind w:firstLine="420" w:firstLineChars="200"/>
        <w:rPr>
          <w:color w:val="auto"/>
          <w:highlight w:val="none"/>
        </w:rPr>
      </w:pPr>
    </w:p>
    <w:p w14:paraId="7194BC4E">
      <w:pPr>
        <w:spacing w:line="460" w:lineRule="exact"/>
        <w:ind w:firstLine="420" w:firstLineChars="200"/>
        <w:rPr>
          <w:color w:val="auto"/>
          <w:highlight w:val="none"/>
        </w:rPr>
        <w:sectPr>
          <w:pgSz w:w="16840" w:h="11907" w:orient="landscape"/>
          <w:pgMar w:top="1440" w:right="1701" w:bottom="1440" w:left="1701" w:header="851" w:footer="851" w:gutter="0"/>
          <w:pgNumType w:fmt="decimal"/>
          <w:cols w:space="720" w:num="1"/>
          <w:docGrid w:linePitch="312" w:charSpace="0"/>
        </w:sectPr>
      </w:pPr>
    </w:p>
    <w:p w14:paraId="359232E7">
      <w:pPr>
        <w:spacing w:line="440" w:lineRule="exact"/>
        <w:rPr>
          <w:rFonts w:ascii="黑体" w:hAnsi="宋体" w:eastAsia="黑体"/>
          <w:color w:val="auto"/>
          <w:sz w:val="32"/>
          <w:szCs w:val="32"/>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14:paraId="6B112990">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72EB7EF7">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3BB8F61D">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C65D9EB">
      <w:pPr>
        <w:spacing w:line="360" w:lineRule="auto"/>
        <w:rPr>
          <w:rFonts w:ascii="宋体"/>
          <w:color w:val="auto"/>
          <w:highlight w:val="none"/>
        </w:rPr>
      </w:pPr>
    </w:p>
    <w:p w14:paraId="2D7154E1">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069837A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5F514355">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6631494">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0C1887F">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0E5CCEFC">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3B4FFF2A">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26B8EA20">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0950D173">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4B69FCD5">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51E3C7D8">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14:paraId="62AB6FBF">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2666B1EB">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s="宋体"/>
          <w:color w:val="auto"/>
          <w:highlight w:val="none"/>
        </w:rPr>
        <w:t>年；</w:t>
      </w:r>
    </w:p>
    <w:p w14:paraId="1403DDAA">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340E973C">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3AC33748">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37B7FC7F">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46954C93">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25307AE4">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1E90A139">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649EB25E">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1F4248C">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2837F638">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7FC399">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5FB37A83">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54E9CDA4">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3D70D257">
      <w:pPr>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02BE8A6">
      <w:pPr>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1E3087CC">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E0C5E22">
      <w:pPr>
        <w:spacing w:line="360" w:lineRule="auto"/>
        <w:ind w:firstLine="420"/>
        <w:rPr>
          <w:rFonts w:ascii="宋体"/>
          <w:color w:val="auto"/>
          <w:highlight w:val="none"/>
        </w:rPr>
      </w:pPr>
    </w:p>
    <w:p w14:paraId="0CC0B25B">
      <w:pPr>
        <w:spacing w:line="360" w:lineRule="auto"/>
        <w:ind w:firstLine="420"/>
        <w:rPr>
          <w:rFonts w:ascii="宋体"/>
          <w:color w:val="auto"/>
          <w:highlight w:val="none"/>
        </w:rPr>
      </w:pPr>
    </w:p>
    <w:p w14:paraId="334DCA34">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608F9DB4">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13038BA">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4D2926F">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5BB2436">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C1B8796">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75BF3493">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8D35EAC">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E133673">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597C083B">
      <w:pPr>
        <w:spacing w:line="360" w:lineRule="auto"/>
        <w:rPr>
          <w:rFonts w:ascii="宋体"/>
          <w:color w:val="auto"/>
          <w:highlight w:val="none"/>
        </w:rPr>
      </w:pPr>
    </w:p>
    <w:p w14:paraId="273E097F">
      <w:pPr>
        <w:spacing w:line="360" w:lineRule="auto"/>
        <w:rPr>
          <w:rFonts w:ascii="宋体"/>
          <w:color w:val="auto"/>
          <w:highlight w:val="none"/>
        </w:rPr>
      </w:pPr>
    </w:p>
    <w:p w14:paraId="744EACC4">
      <w:pPr>
        <w:spacing w:line="360" w:lineRule="auto"/>
        <w:rPr>
          <w:rFonts w:ascii="宋体"/>
          <w:color w:val="auto"/>
          <w:highlight w:val="none"/>
        </w:rPr>
      </w:pPr>
    </w:p>
    <w:p w14:paraId="3596DFC7">
      <w:pPr>
        <w:spacing w:line="360" w:lineRule="auto"/>
        <w:rPr>
          <w:rFonts w:ascii="宋体"/>
          <w:color w:val="auto"/>
          <w:highlight w:val="none"/>
        </w:rPr>
      </w:pPr>
    </w:p>
    <w:p w14:paraId="7C693294">
      <w:pPr>
        <w:spacing w:line="360" w:lineRule="auto"/>
        <w:rPr>
          <w:rFonts w:ascii="宋体"/>
          <w:color w:val="auto"/>
          <w:highlight w:val="none"/>
        </w:rPr>
      </w:pPr>
    </w:p>
    <w:p w14:paraId="282AA34B">
      <w:pPr>
        <w:spacing w:line="440" w:lineRule="exact"/>
        <w:rPr>
          <w:rFonts w:eastAsia="黑体"/>
          <w:color w:val="auto"/>
          <w:sz w:val="30"/>
          <w:szCs w:val="30"/>
          <w:highlight w:val="none"/>
        </w:rPr>
      </w:pPr>
      <w:r>
        <w:rPr>
          <w:rFonts w:eastAsia="仿宋_GB2312" w:cs="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125F781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10A3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5A1C72D">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596E6D7C">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75281220">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1B058AEA">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1C00A091">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7C606394">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27A09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06C13709">
            <w:pPr>
              <w:pStyle w:val="18"/>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33AF52EB">
            <w:pPr>
              <w:pStyle w:val="1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372E98C7">
            <w:pPr>
              <w:pStyle w:val="18"/>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660AAD86">
            <w:pPr>
              <w:pStyle w:val="1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2AD31B00">
            <w:pPr>
              <w:pStyle w:val="18"/>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475747C7">
            <w:pPr>
              <w:pStyle w:val="18"/>
              <w:keepNext/>
              <w:spacing w:after="0" w:line="440" w:lineRule="exact"/>
              <w:ind w:left="63" w:right="63"/>
              <w:rPr>
                <w:rFonts w:eastAsia="仿宋_GB2312"/>
                <w:color w:val="auto"/>
                <w:sz w:val="30"/>
                <w:szCs w:val="30"/>
                <w:highlight w:val="none"/>
              </w:rPr>
            </w:pPr>
          </w:p>
        </w:tc>
      </w:tr>
      <w:tr w14:paraId="7A509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7ED2090">
            <w:pPr>
              <w:pStyle w:val="18"/>
              <w:keepNext/>
              <w:spacing w:after="0" w:line="440" w:lineRule="exact"/>
              <w:ind w:left="63" w:right="63"/>
              <w:rPr>
                <w:rFonts w:eastAsia="仿宋_GB2312"/>
                <w:color w:val="auto"/>
                <w:sz w:val="30"/>
                <w:szCs w:val="30"/>
                <w:highlight w:val="none"/>
              </w:rPr>
            </w:pPr>
          </w:p>
        </w:tc>
        <w:tc>
          <w:tcPr>
            <w:tcW w:w="1276" w:type="dxa"/>
            <w:tcBorders>
              <w:top w:val="nil"/>
            </w:tcBorders>
            <w:noWrap w:val="0"/>
            <w:vAlign w:val="center"/>
          </w:tcPr>
          <w:p w14:paraId="4A5D498F">
            <w:pPr>
              <w:pStyle w:val="18"/>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60028D3A">
            <w:pPr>
              <w:pStyle w:val="18"/>
              <w:keepNext/>
              <w:spacing w:after="0" w:line="440" w:lineRule="exact"/>
              <w:ind w:left="63" w:right="63"/>
              <w:rPr>
                <w:rFonts w:eastAsia="仿宋_GB2312"/>
                <w:color w:val="auto"/>
                <w:sz w:val="30"/>
                <w:szCs w:val="30"/>
                <w:highlight w:val="none"/>
              </w:rPr>
            </w:pPr>
          </w:p>
        </w:tc>
        <w:tc>
          <w:tcPr>
            <w:tcW w:w="1243" w:type="dxa"/>
            <w:tcBorders>
              <w:top w:val="nil"/>
            </w:tcBorders>
            <w:noWrap w:val="0"/>
            <w:vAlign w:val="center"/>
          </w:tcPr>
          <w:p w14:paraId="7E6D8EB5">
            <w:pPr>
              <w:pStyle w:val="18"/>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27423A75">
            <w:pPr>
              <w:pStyle w:val="18"/>
              <w:keepNext/>
              <w:spacing w:after="0" w:line="440" w:lineRule="exact"/>
              <w:ind w:left="63" w:right="63"/>
              <w:rPr>
                <w:rFonts w:eastAsia="仿宋_GB2312"/>
                <w:color w:val="auto"/>
                <w:sz w:val="30"/>
                <w:szCs w:val="30"/>
                <w:highlight w:val="none"/>
              </w:rPr>
            </w:pPr>
          </w:p>
        </w:tc>
        <w:tc>
          <w:tcPr>
            <w:tcW w:w="1667" w:type="dxa"/>
            <w:tcBorders>
              <w:top w:val="nil"/>
            </w:tcBorders>
            <w:noWrap w:val="0"/>
            <w:vAlign w:val="center"/>
          </w:tcPr>
          <w:p w14:paraId="40AC669C">
            <w:pPr>
              <w:pStyle w:val="18"/>
              <w:keepNext/>
              <w:spacing w:after="0" w:line="440" w:lineRule="exact"/>
              <w:ind w:left="63" w:right="63"/>
              <w:rPr>
                <w:rFonts w:eastAsia="仿宋_GB2312"/>
                <w:color w:val="auto"/>
                <w:sz w:val="30"/>
                <w:szCs w:val="30"/>
                <w:highlight w:val="none"/>
              </w:rPr>
            </w:pPr>
          </w:p>
        </w:tc>
      </w:tr>
      <w:tr w14:paraId="2D23F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9A1EB8">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34A05BBF">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309221A3">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42BEB1D6">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7EFCEEE8">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7E0DE100">
            <w:pPr>
              <w:pStyle w:val="18"/>
              <w:keepNext/>
              <w:spacing w:after="0" w:line="440" w:lineRule="exact"/>
              <w:ind w:left="63" w:right="63"/>
              <w:rPr>
                <w:rFonts w:eastAsia="仿宋_GB2312"/>
                <w:color w:val="auto"/>
                <w:sz w:val="30"/>
                <w:szCs w:val="30"/>
                <w:highlight w:val="none"/>
              </w:rPr>
            </w:pPr>
          </w:p>
        </w:tc>
      </w:tr>
      <w:tr w14:paraId="1AFBF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F6AC5D">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3C3ABA0B">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774D5C08">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5A635D91">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5558884D">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6D052860">
            <w:pPr>
              <w:pStyle w:val="18"/>
              <w:keepNext/>
              <w:spacing w:after="0" w:line="440" w:lineRule="exact"/>
              <w:ind w:left="63" w:right="63"/>
              <w:rPr>
                <w:rFonts w:eastAsia="仿宋_GB2312"/>
                <w:color w:val="auto"/>
                <w:sz w:val="30"/>
                <w:szCs w:val="30"/>
                <w:highlight w:val="none"/>
              </w:rPr>
            </w:pPr>
          </w:p>
        </w:tc>
      </w:tr>
      <w:tr w14:paraId="394B5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37C05B6">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20663301">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3BE066CF">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420327B3">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75FAE555">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2502BD3E">
            <w:pPr>
              <w:pStyle w:val="18"/>
              <w:keepNext/>
              <w:spacing w:after="0" w:line="440" w:lineRule="exact"/>
              <w:ind w:left="63" w:right="63"/>
              <w:rPr>
                <w:rFonts w:eastAsia="仿宋_GB2312"/>
                <w:color w:val="auto"/>
                <w:sz w:val="30"/>
                <w:szCs w:val="30"/>
                <w:highlight w:val="none"/>
              </w:rPr>
            </w:pPr>
          </w:p>
        </w:tc>
      </w:tr>
      <w:tr w14:paraId="600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EB9A96E">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24C96751">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2DC77EA8">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1032F6DD">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29AA4B74">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1974A244">
            <w:pPr>
              <w:pStyle w:val="18"/>
              <w:keepNext/>
              <w:spacing w:after="0" w:line="440" w:lineRule="exact"/>
              <w:ind w:left="63" w:right="63"/>
              <w:rPr>
                <w:rFonts w:eastAsia="仿宋_GB2312"/>
                <w:color w:val="auto"/>
                <w:sz w:val="30"/>
                <w:szCs w:val="30"/>
                <w:highlight w:val="none"/>
              </w:rPr>
            </w:pPr>
          </w:p>
        </w:tc>
      </w:tr>
      <w:tr w14:paraId="7DB41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E02AE61">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700A9348">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42D8CEE5">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333BD35D">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353D9A53">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237A38BF">
            <w:pPr>
              <w:pStyle w:val="18"/>
              <w:keepNext/>
              <w:spacing w:after="0" w:line="440" w:lineRule="exact"/>
              <w:ind w:left="63" w:right="63"/>
              <w:rPr>
                <w:rFonts w:eastAsia="仿宋_GB2312"/>
                <w:color w:val="auto"/>
                <w:sz w:val="30"/>
                <w:szCs w:val="30"/>
                <w:highlight w:val="none"/>
              </w:rPr>
            </w:pPr>
          </w:p>
        </w:tc>
      </w:tr>
      <w:tr w14:paraId="72EBB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BAD8F5F">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056CDDF0">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4E499961">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554EE867">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7D1C7F75">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283ABF30">
            <w:pPr>
              <w:pStyle w:val="18"/>
              <w:keepNext/>
              <w:spacing w:after="0" w:line="440" w:lineRule="exact"/>
              <w:ind w:left="63" w:right="63"/>
              <w:rPr>
                <w:rFonts w:eastAsia="仿宋_GB2312"/>
                <w:color w:val="auto"/>
                <w:sz w:val="30"/>
                <w:szCs w:val="30"/>
                <w:highlight w:val="none"/>
              </w:rPr>
            </w:pPr>
          </w:p>
        </w:tc>
      </w:tr>
      <w:tr w14:paraId="09B97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AB76AC2">
            <w:pPr>
              <w:rPr>
                <w:rFonts w:eastAsia="仿宋_GB2312"/>
                <w:color w:val="auto"/>
                <w:sz w:val="30"/>
                <w:szCs w:val="30"/>
                <w:highlight w:val="none"/>
              </w:rPr>
            </w:pPr>
          </w:p>
        </w:tc>
        <w:tc>
          <w:tcPr>
            <w:tcW w:w="1276" w:type="dxa"/>
            <w:noWrap w:val="0"/>
            <w:vAlign w:val="top"/>
          </w:tcPr>
          <w:p w14:paraId="7DB1FBF1">
            <w:pPr>
              <w:rPr>
                <w:rFonts w:eastAsia="仿宋_GB2312"/>
                <w:color w:val="auto"/>
                <w:sz w:val="30"/>
                <w:szCs w:val="30"/>
                <w:highlight w:val="none"/>
              </w:rPr>
            </w:pPr>
          </w:p>
        </w:tc>
        <w:tc>
          <w:tcPr>
            <w:tcW w:w="1450" w:type="dxa"/>
            <w:noWrap w:val="0"/>
            <w:vAlign w:val="top"/>
          </w:tcPr>
          <w:p w14:paraId="6F829C0E">
            <w:pPr>
              <w:rPr>
                <w:rFonts w:eastAsia="仿宋_GB2312"/>
                <w:color w:val="auto"/>
                <w:sz w:val="30"/>
                <w:szCs w:val="30"/>
                <w:highlight w:val="none"/>
              </w:rPr>
            </w:pPr>
          </w:p>
        </w:tc>
        <w:tc>
          <w:tcPr>
            <w:tcW w:w="1243" w:type="dxa"/>
            <w:noWrap w:val="0"/>
            <w:vAlign w:val="top"/>
          </w:tcPr>
          <w:p w14:paraId="6ECC32F3">
            <w:pPr>
              <w:rPr>
                <w:rFonts w:eastAsia="仿宋_GB2312"/>
                <w:color w:val="auto"/>
                <w:sz w:val="30"/>
                <w:szCs w:val="30"/>
                <w:highlight w:val="none"/>
              </w:rPr>
            </w:pPr>
          </w:p>
        </w:tc>
        <w:tc>
          <w:tcPr>
            <w:tcW w:w="1450" w:type="dxa"/>
            <w:noWrap w:val="0"/>
            <w:vAlign w:val="top"/>
          </w:tcPr>
          <w:p w14:paraId="08D8302F">
            <w:pPr>
              <w:rPr>
                <w:rFonts w:eastAsia="仿宋_GB2312"/>
                <w:color w:val="auto"/>
                <w:sz w:val="30"/>
                <w:szCs w:val="30"/>
                <w:highlight w:val="none"/>
              </w:rPr>
            </w:pPr>
          </w:p>
        </w:tc>
        <w:tc>
          <w:tcPr>
            <w:tcW w:w="1667" w:type="dxa"/>
            <w:noWrap w:val="0"/>
            <w:vAlign w:val="top"/>
          </w:tcPr>
          <w:p w14:paraId="5C02AB1D">
            <w:pPr>
              <w:rPr>
                <w:rFonts w:eastAsia="仿宋_GB2312"/>
                <w:color w:val="auto"/>
                <w:sz w:val="30"/>
                <w:szCs w:val="30"/>
                <w:highlight w:val="none"/>
              </w:rPr>
            </w:pPr>
          </w:p>
        </w:tc>
      </w:tr>
      <w:tr w14:paraId="63E4B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D3C63F">
            <w:pPr>
              <w:pStyle w:val="18"/>
              <w:keepNext/>
              <w:spacing w:after="0" w:line="440" w:lineRule="exact"/>
              <w:ind w:left="63" w:right="63"/>
              <w:rPr>
                <w:rFonts w:eastAsia="仿宋_GB2312"/>
                <w:color w:val="auto"/>
                <w:sz w:val="30"/>
                <w:szCs w:val="30"/>
                <w:highlight w:val="none"/>
              </w:rPr>
            </w:pPr>
          </w:p>
        </w:tc>
        <w:tc>
          <w:tcPr>
            <w:tcW w:w="1276" w:type="dxa"/>
            <w:noWrap w:val="0"/>
            <w:vAlign w:val="center"/>
          </w:tcPr>
          <w:p w14:paraId="66B0BBEB">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22020563">
            <w:pPr>
              <w:pStyle w:val="18"/>
              <w:keepNext/>
              <w:spacing w:after="0" w:line="440" w:lineRule="exact"/>
              <w:ind w:left="63" w:right="63"/>
              <w:rPr>
                <w:rFonts w:eastAsia="仿宋_GB2312"/>
                <w:color w:val="auto"/>
                <w:sz w:val="30"/>
                <w:szCs w:val="30"/>
                <w:highlight w:val="none"/>
              </w:rPr>
            </w:pPr>
          </w:p>
        </w:tc>
        <w:tc>
          <w:tcPr>
            <w:tcW w:w="1243" w:type="dxa"/>
            <w:noWrap w:val="0"/>
            <w:vAlign w:val="center"/>
          </w:tcPr>
          <w:p w14:paraId="53FA4897">
            <w:pPr>
              <w:pStyle w:val="18"/>
              <w:keepNext/>
              <w:spacing w:after="0" w:line="440" w:lineRule="exact"/>
              <w:ind w:left="63" w:right="63"/>
              <w:rPr>
                <w:rFonts w:eastAsia="仿宋_GB2312"/>
                <w:color w:val="auto"/>
                <w:sz w:val="30"/>
                <w:szCs w:val="30"/>
                <w:highlight w:val="none"/>
              </w:rPr>
            </w:pPr>
          </w:p>
        </w:tc>
        <w:tc>
          <w:tcPr>
            <w:tcW w:w="1450" w:type="dxa"/>
            <w:noWrap w:val="0"/>
            <w:vAlign w:val="center"/>
          </w:tcPr>
          <w:p w14:paraId="3F396341">
            <w:pPr>
              <w:pStyle w:val="18"/>
              <w:keepNext/>
              <w:spacing w:after="0" w:line="440" w:lineRule="exact"/>
              <w:ind w:left="63" w:right="63"/>
              <w:rPr>
                <w:rFonts w:eastAsia="仿宋_GB2312"/>
                <w:color w:val="auto"/>
                <w:sz w:val="30"/>
                <w:szCs w:val="30"/>
                <w:highlight w:val="none"/>
              </w:rPr>
            </w:pPr>
          </w:p>
        </w:tc>
        <w:tc>
          <w:tcPr>
            <w:tcW w:w="1667" w:type="dxa"/>
            <w:noWrap w:val="0"/>
            <w:vAlign w:val="center"/>
          </w:tcPr>
          <w:p w14:paraId="0544E8C3">
            <w:pPr>
              <w:pStyle w:val="18"/>
              <w:keepNext/>
              <w:spacing w:after="0" w:line="440" w:lineRule="exact"/>
              <w:ind w:left="63" w:right="63"/>
              <w:rPr>
                <w:rFonts w:eastAsia="仿宋_GB2312"/>
                <w:color w:val="auto"/>
                <w:sz w:val="30"/>
                <w:szCs w:val="30"/>
                <w:highlight w:val="none"/>
              </w:rPr>
            </w:pPr>
          </w:p>
        </w:tc>
      </w:tr>
      <w:tr w14:paraId="5A207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942A77E">
            <w:pPr>
              <w:rPr>
                <w:rFonts w:eastAsia="仿宋_GB2312"/>
                <w:color w:val="auto"/>
                <w:sz w:val="30"/>
                <w:szCs w:val="30"/>
                <w:highlight w:val="none"/>
              </w:rPr>
            </w:pPr>
          </w:p>
        </w:tc>
        <w:tc>
          <w:tcPr>
            <w:tcW w:w="1276" w:type="dxa"/>
            <w:noWrap w:val="0"/>
            <w:vAlign w:val="top"/>
          </w:tcPr>
          <w:p w14:paraId="30AE6DD3">
            <w:pPr>
              <w:rPr>
                <w:rFonts w:eastAsia="仿宋_GB2312"/>
                <w:color w:val="auto"/>
                <w:sz w:val="30"/>
                <w:szCs w:val="30"/>
                <w:highlight w:val="none"/>
              </w:rPr>
            </w:pPr>
          </w:p>
        </w:tc>
        <w:tc>
          <w:tcPr>
            <w:tcW w:w="1450" w:type="dxa"/>
            <w:noWrap w:val="0"/>
            <w:vAlign w:val="top"/>
          </w:tcPr>
          <w:p w14:paraId="209D2515">
            <w:pPr>
              <w:rPr>
                <w:rFonts w:eastAsia="仿宋_GB2312"/>
                <w:color w:val="auto"/>
                <w:sz w:val="30"/>
                <w:szCs w:val="30"/>
                <w:highlight w:val="none"/>
              </w:rPr>
            </w:pPr>
          </w:p>
        </w:tc>
        <w:tc>
          <w:tcPr>
            <w:tcW w:w="1243" w:type="dxa"/>
            <w:noWrap w:val="0"/>
            <w:vAlign w:val="top"/>
          </w:tcPr>
          <w:p w14:paraId="39259BE7">
            <w:pPr>
              <w:rPr>
                <w:rFonts w:eastAsia="仿宋_GB2312"/>
                <w:color w:val="auto"/>
                <w:sz w:val="30"/>
                <w:szCs w:val="30"/>
                <w:highlight w:val="none"/>
              </w:rPr>
            </w:pPr>
          </w:p>
        </w:tc>
        <w:tc>
          <w:tcPr>
            <w:tcW w:w="1450" w:type="dxa"/>
            <w:noWrap w:val="0"/>
            <w:vAlign w:val="top"/>
          </w:tcPr>
          <w:p w14:paraId="6054DEFE">
            <w:pPr>
              <w:rPr>
                <w:rFonts w:eastAsia="仿宋_GB2312"/>
                <w:color w:val="auto"/>
                <w:sz w:val="30"/>
                <w:szCs w:val="30"/>
                <w:highlight w:val="none"/>
              </w:rPr>
            </w:pPr>
          </w:p>
        </w:tc>
        <w:tc>
          <w:tcPr>
            <w:tcW w:w="1667" w:type="dxa"/>
            <w:noWrap w:val="0"/>
            <w:vAlign w:val="top"/>
          </w:tcPr>
          <w:p w14:paraId="3199F991">
            <w:pPr>
              <w:rPr>
                <w:rFonts w:eastAsia="仿宋_GB2312"/>
                <w:color w:val="auto"/>
                <w:sz w:val="30"/>
                <w:szCs w:val="30"/>
                <w:highlight w:val="none"/>
              </w:rPr>
            </w:pPr>
          </w:p>
        </w:tc>
      </w:tr>
      <w:tr w14:paraId="06B09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FE2F43">
            <w:pPr>
              <w:rPr>
                <w:rFonts w:eastAsia="仿宋_GB2312"/>
                <w:color w:val="auto"/>
                <w:sz w:val="30"/>
                <w:szCs w:val="30"/>
                <w:highlight w:val="none"/>
              </w:rPr>
            </w:pPr>
          </w:p>
        </w:tc>
        <w:tc>
          <w:tcPr>
            <w:tcW w:w="1276" w:type="dxa"/>
            <w:noWrap w:val="0"/>
            <w:vAlign w:val="top"/>
          </w:tcPr>
          <w:p w14:paraId="65F8702D">
            <w:pPr>
              <w:rPr>
                <w:rFonts w:eastAsia="仿宋_GB2312"/>
                <w:color w:val="auto"/>
                <w:sz w:val="30"/>
                <w:szCs w:val="30"/>
                <w:highlight w:val="none"/>
              </w:rPr>
            </w:pPr>
          </w:p>
        </w:tc>
        <w:tc>
          <w:tcPr>
            <w:tcW w:w="1450" w:type="dxa"/>
            <w:noWrap w:val="0"/>
            <w:vAlign w:val="top"/>
          </w:tcPr>
          <w:p w14:paraId="0BA92D89">
            <w:pPr>
              <w:rPr>
                <w:rFonts w:eastAsia="仿宋_GB2312"/>
                <w:color w:val="auto"/>
                <w:sz w:val="30"/>
                <w:szCs w:val="30"/>
                <w:highlight w:val="none"/>
              </w:rPr>
            </w:pPr>
          </w:p>
        </w:tc>
        <w:tc>
          <w:tcPr>
            <w:tcW w:w="1243" w:type="dxa"/>
            <w:noWrap w:val="0"/>
            <w:vAlign w:val="top"/>
          </w:tcPr>
          <w:p w14:paraId="5BA6F30D">
            <w:pPr>
              <w:rPr>
                <w:rFonts w:eastAsia="仿宋_GB2312"/>
                <w:color w:val="auto"/>
                <w:sz w:val="30"/>
                <w:szCs w:val="30"/>
                <w:highlight w:val="none"/>
              </w:rPr>
            </w:pPr>
          </w:p>
        </w:tc>
        <w:tc>
          <w:tcPr>
            <w:tcW w:w="1450" w:type="dxa"/>
            <w:noWrap w:val="0"/>
            <w:vAlign w:val="top"/>
          </w:tcPr>
          <w:p w14:paraId="57B37629">
            <w:pPr>
              <w:rPr>
                <w:rFonts w:eastAsia="仿宋_GB2312"/>
                <w:color w:val="auto"/>
                <w:sz w:val="30"/>
                <w:szCs w:val="30"/>
                <w:highlight w:val="none"/>
              </w:rPr>
            </w:pPr>
          </w:p>
        </w:tc>
        <w:tc>
          <w:tcPr>
            <w:tcW w:w="1667" w:type="dxa"/>
            <w:noWrap w:val="0"/>
            <w:vAlign w:val="top"/>
          </w:tcPr>
          <w:p w14:paraId="6B22045D">
            <w:pPr>
              <w:rPr>
                <w:rFonts w:eastAsia="仿宋_GB2312"/>
                <w:color w:val="auto"/>
                <w:sz w:val="30"/>
                <w:szCs w:val="30"/>
                <w:highlight w:val="none"/>
              </w:rPr>
            </w:pPr>
          </w:p>
        </w:tc>
      </w:tr>
      <w:tr w14:paraId="789C6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96422EE">
            <w:pPr>
              <w:rPr>
                <w:rFonts w:eastAsia="仿宋_GB2312"/>
                <w:color w:val="auto"/>
                <w:sz w:val="30"/>
                <w:szCs w:val="30"/>
                <w:highlight w:val="none"/>
              </w:rPr>
            </w:pPr>
          </w:p>
        </w:tc>
        <w:tc>
          <w:tcPr>
            <w:tcW w:w="1276" w:type="dxa"/>
            <w:noWrap w:val="0"/>
            <w:vAlign w:val="top"/>
          </w:tcPr>
          <w:p w14:paraId="1EAF5136">
            <w:pPr>
              <w:rPr>
                <w:rFonts w:eastAsia="仿宋_GB2312"/>
                <w:color w:val="auto"/>
                <w:sz w:val="30"/>
                <w:szCs w:val="30"/>
                <w:highlight w:val="none"/>
              </w:rPr>
            </w:pPr>
          </w:p>
        </w:tc>
        <w:tc>
          <w:tcPr>
            <w:tcW w:w="1450" w:type="dxa"/>
            <w:noWrap w:val="0"/>
            <w:vAlign w:val="top"/>
          </w:tcPr>
          <w:p w14:paraId="0D5157BC">
            <w:pPr>
              <w:rPr>
                <w:rFonts w:eastAsia="仿宋_GB2312"/>
                <w:color w:val="auto"/>
                <w:sz w:val="30"/>
                <w:szCs w:val="30"/>
                <w:highlight w:val="none"/>
              </w:rPr>
            </w:pPr>
          </w:p>
        </w:tc>
        <w:tc>
          <w:tcPr>
            <w:tcW w:w="1243" w:type="dxa"/>
            <w:noWrap w:val="0"/>
            <w:vAlign w:val="top"/>
          </w:tcPr>
          <w:p w14:paraId="76BBD6C6">
            <w:pPr>
              <w:rPr>
                <w:rFonts w:eastAsia="仿宋_GB2312"/>
                <w:color w:val="auto"/>
                <w:sz w:val="30"/>
                <w:szCs w:val="30"/>
                <w:highlight w:val="none"/>
              </w:rPr>
            </w:pPr>
          </w:p>
        </w:tc>
        <w:tc>
          <w:tcPr>
            <w:tcW w:w="1450" w:type="dxa"/>
            <w:noWrap w:val="0"/>
            <w:vAlign w:val="top"/>
          </w:tcPr>
          <w:p w14:paraId="12D61F2C">
            <w:pPr>
              <w:rPr>
                <w:rFonts w:eastAsia="仿宋_GB2312"/>
                <w:color w:val="auto"/>
                <w:sz w:val="30"/>
                <w:szCs w:val="30"/>
                <w:highlight w:val="none"/>
              </w:rPr>
            </w:pPr>
          </w:p>
        </w:tc>
        <w:tc>
          <w:tcPr>
            <w:tcW w:w="1667" w:type="dxa"/>
            <w:noWrap w:val="0"/>
            <w:vAlign w:val="top"/>
          </w:tcPr>
          <w:p w14:paraId="3C511B9C">
            <w:pPr>
              <w:rPr>
                <w:rFonts w:eastAsia="仿宋_GB2312"/>
                <w:color w:val="auto"/>
                <w:sz w:val="30"/>
                <w:szCs w:val="30"/>
                <w:highlight w:val="none"/>
              </w:rPr>
            </w:pPr>
          </w:p>
        </w:tc>
      </w:tr>
      <w:tr w14:paraId="72C7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7B369D3">
            <w:pPr>
              <w:rPr>
                <w:rFonts w:eastAsia="仿宋_GB2312"/>
                <w:color w:val="auto"/>
                <w:sz w:val="30"/>
                <w:szCs w:val="30"/>
                <w:highlight w:val="none"/>
              </w:rPr>
            </w:pPr>
          </w:p>
        </w:tc>
        <w:tc>
          <w:tcPr>
            <w:tcW w:w="1276" w:type="dxa"/>
            <w:noWrap w:val="0"/>
            <w:vAlign w:val="top"/>
          </w:tcPr>
          <w:p w14:paraId="4E0BB6D5">
            <w:pPr>
              <w:rPr>
                <w:rFonts w:eastAsia="仿宋_GB2312"/>
                <w:color w:val="auto"/>
                <w:sz w:val="30"/>
                <w:szCs w:val="30"/>
                <w:highlight w:val="none"/>
              </w:rPr>
            </w:pPr>
          </w:p>
        </w:tc>
        <w:tc>
          <w:tcPr>
            <w:tcW w:w="1450" w:type="dxa"/>
            <w:noWrap w:val="0"/>
            <w:vAlign w:val="top"/>
          </w:tcPr>
          <w:p w14:paraId="1B965FE6">
            <w:pPr>
              <w:rPr>
                <w:rFonts w:eastAsia="仿宋_GB2312"/>
                <w:color w:val="auto"/>
                <w:sz w:val="30"/>
                <w:szCs w:val="30"/>
                <w:highlight w:val="none"/>
              </w:rPr>
            </w:pPr>
          </w:p>
        </w:tc>
        <w:tc>
          <w:tcPr>
            <w:tcW w:w="1243" w:type="dxa"/>
            <w:noWrap w:val="0"/>
            <w:vAlign w:val="top"/>
          </w:tcPr>
          <w:p w14:paraId="58B26789">
            <w:pPr>
              <w:rPr>
                <w:rFonts w:eastAsia="仿宋_GB2312"/>
                <w:color w:val="auto"/>
                <w:sz w:val="30"/>
                <w:szCs w:val="30"/>
                <w:highlight w:val="none"/>
              </w:rPr>
            </w:pPr>
          </w:p>
        </w:tc>
        <w:tc>
          <w:tcPr>
            <w:tcW w:w="1450" w:type="dxa"/>
            <w:noWrap w:val="0"/>
            <w:vAlign w:val="top"/>
          </w:tcPr>
          <w:p w14:paraId="66B374B3">
            <w:pPr>
              <w:rPr>
                <w:rFonts w:eastAsia="仿宋_GB2312"/>
                <w:color w:val="auto"/>
                <w:sz w:val="30"/>
                <w:szCs w:val="30"/>
                <w:highlight w:val="none"/>
              </w:rPr>
            </w:pPr>
          </w:p>
        </w:tc>
        <w:tc>
          <w:tcPr>
            <w:tcW w:w="1667" w:type="dxa"/>
            <w:noWrap w:val="0"/>
            <w:vAlign w:val="top"/>
          </w:tcPr>
          <w:p w14:paraId="13B5A25F">
            <w:pPr>
              <w:rPr>
                <w:rFonts w:eastAsia="仿宋_GB2312"/>
                <w:color w:val="auto"/>
                <w:sz w:val="30"/>
                <w:szCs w:val="30"/>
                <w:highlight w:val="none"/>
              </w:rPr>
            </w:pPr>
          </w:p>
        </w:tc>
      </w:tr>
      <w:tr w14:paraId="60095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8DEF86">
            <w:pPr>
              <w:rPr>
                <w:rFonts w:eastAsia="仿宋_GB2312"/>
                <w:color w:val="auto"/>
                <w:sz w:val="30"/>
                <w:szCs w:val="30"/>
                <w:highlight w:val="none"/>
              </w:rPr>
            </w:pPr>
          </w:p>
        </w:tc>
        <w:tc>
          <w:tcPr>
            <w:tcW w:w="1276" w:type="dxa"/>
            <w:noWrap w:val="0"/>
            <w:vAlign w:val="top"/>
          </w:tcPr>
          <w:p w14:paraId="1EBDA7C6">
            <w:pPr>
              <w:rPr>
                <w:rFonts w:eastAsia="仿宋_GB2312"/>
                <w:color w:val="auto"/>
                <w:sz w:val="30"/>
                <w:szCs w:val="30"/>
                <w:highlight w:val="none"/>
              </w:rPr>
            </w:pPr>
          </w:p>
        </w:tc>
        <w:tc>
          <w:tcPr>
            <w:tcW w:w="1450" w:type="dxa"/>
            <w:noWrap w:val="0"/>
            <w:vAlign w:val="top"/>
          </w:tcPr>
          <w:p w14:paraId="06AB670A">
            <w:pPr>
              <w:rPr>
                <w:rFonts w:eastAsia="仿宋_GB2312"/>
                <w:color w:val="auto"/>
                <w:sz w:val="30"/>
                <w:szCs w:val="30"/>
                <w:highlight w:val="none"/>
              </w:rPr>
            </w:pPr>
          </w:p>
        </w:tc>
        <w:tc>
          <w:tcPr>
            <w:tcW w:w="1243" w:type="dxa"/>
            <w:noWrap w:val="0"/>
            <w:vAlign w:val="top"/>
          </w:tcPr>
          <w:p w14:paraId="349A6CB8">
            <w:pPr>
              <w:rPr>
                <w:rFonts w:eastAsia="仿宋_GB2312"/>
                <w:color w:val="auto"/>
                <w:sz w:val="30"/>
                <w:szCs w:val="30"/>
                <w:highlight w:val="none"/>
              </w:rPr>
            </w:pPr>
          </w:p>
        </w:tc>
        <w:tc>
          <w:tcPr>
            <w:tcW w:w="1450" w:type="dxa"/>
            <w:noWrap w:val="0"/>
            <w:vAlign w:val="top"/>
          </w:tcPr>
          <w:p w14:paraId="4B20F84E">
            <w:pPr>
              <w:rPr>
                <w:rFonts w:eastAsia="仿宋_GB2312"/>
                <w:color w:val="auto"/>
                <w:sz w:val="30"/>
                <w:szCs w:val="30"/>
                <w:highlight w:val="none"/>
              </w:rPr>
            </w:pPr>
          </w:p>
        </w:tc>
        <w:tc>
          <w:tcPr>
            <w:tcW w:w="1667" w:type="dxa"/>
            <w:noWrap w:val="0"/>
            <w:vAlign w:val="top"/>
          </w:tcPr>
          <w:p w14:paraId="50732C4D">
            <w:pPr>
              <w:rPr>
                <w:rFonts w:eastAsia="仿宋_GB2312"/>
                <w:color w:val="auto"/>
                <w:sz w:val="30"/>
                <w:szCs w:val="30"/>
                <w:highlight w:val="none"/>
              </w:rPr>
            </w:pPr>
          </w:p>
        </w:tc>
      </w:tr>
      <w:tr w14:paraId="49176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44C9E5">
            <w:pPr>
              <w:rPr>
                <w:rFonts w:eastAsia="仿宋_GB2312"/>
                <w:color w:val="auto"/>
                <w:sz w:val="30"/>
                <w:szCs w:val="30"/>
                <w:highlight w:val="none"/>
              </w:rPr>
            </w:pPr>
          </w:p>
        </w:tc>
        <w:tc>
          <w:tcPr>
            <w:tcW w:w="1276" w:type="dxa"/>
            <w:noWrap w:val="0"/>
            <w:vAlign w:val="top"/>
          </w:tcPr>
          <w:p w14:paraId="194BE4CB">
            <w:pPr>
              <w:rPr>
                <w:rFonts w:eastAsia="仿宋_GB2312"/>
                <w:color w:val="auto"/>
                <w:sz w:val="30"/>
                <w:szCs w:val="30"/>
                <w:highlight w:val="none"/>
              </w:rPr>
            </w:pPr>
          </w:p>
        </w:tc>
        <w:tc>
          <w:tcPr>
            <w:tcW w:w="1450" w:type="dxa"/>
            <w:noWrap w:val="0"/>
            <w:vAlign w:val="top"/>
          </w:tcPr>
          <w:p w14:paraId="050D5058">
            <w:pPr>
              <w:rPr>
                <w:rFonts w:eastAsia="仿宋_GB2312"/>
                <w:color w:val="auto"/>
                <w:sz w:val="30"/>
                <w:szCs w:val="30"/>
                <w:highlight w:val="none"/>
              </w:rPr>
            </w:pPr>
          </w:p>
        </w:tc>
        <w:tc>
          <w:tcPr>
            <w:tcW w:w="1243" w:type="dxa"/>
            <w:noWrap w:val="0"/>
            <w:vAlign w:val="top"/>
          </w:tcPr>
          <w:p w14:paraId="178B054C">
            <w:pPr>
              <w:rPr>
                <w:rFonts w:eastAsia="仿宋_GB2312"/>
                <w:color w:val="auto"/>
                <w:sz w:val="30"/>
                <w:szCs w:val="30"/>
                <w:highlight w:val="none"/>
              </w:rPr>
            </w:pPr>
          </w:p>
        </w:tc>
        <w:tc>
          <w:tcPr>
            <w:tcW w:w="1450" w:type="dxa"/>
            <w:noWrap w:val="0"/>
            <w:vAlign w:val="top"/>
          </w:tcPr>
          <w:p w14:paraId="1FEC1315">
            <w:pPr>
              <w:rPr>
                <w:rFonts w:eastAsia="仿宋_GB2312"/>
                <w:color w:val="auto"/>
                <w:sz w:val="30"/>
                <w:szCs w:val="30"/>
                <w:highlight w:val="none"/>
              </w:rPr>
            </w:pPr>
          </w:p>
        </w:tc>
        <w:tc>
          <w:tcPr>
            <w:tcW w:w="1667" w:type="dxa"/>
            <w:noWrap w:val="0"/>
            <w:vAlign w:val="top"/>
          </w:tcPr>
          <w:p w14:paraId="0B838A99">
            <w:pPr>
              <w:rPr>
                <w:rFonts w:eastAsia="仿宋_GB2312"/>
                <w:color w:val="auto"/>
                <w:sz w:val="30"/>
                <w:szCs w:val="30"/>
                <w:highlight w:val="none"/>
              </w:rPr>
            </w:pPr>
          </w:p>
        </w:tc>
      </w:tr>
      <w:tr w14:paraId="42BCA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E37C11B">
            <w:pPr>
              <w:rPr>
                <w:rFonts w:eastAsia="仿宋_GB2312"/>
                <w:color w:val="auto"/>
                <w:sz w:val="30"/>
                <w:szCs w:val="30"/>
                <w:highlight w:val="none"/>
              </w:rPr>
            </w:pPr>
          </w:p>
        </w:tc>
        <w:tc>
          <w:tcPr>
            <w:tcW w:w="1276" w:type="dxa"/>
            <w:noWrap w:val="0"/>
            <w:vAlign w:val="top"/>
          </w:tcPr>
          <w:p w14:paraId="7AD3BA66">
            <w:pPr>
              <w:rPr>
                <w:rFonts w:eastAsia="仿宋_GB2312"/>
                <w:color w:val="auto"/>
                <w:sz w:val="30"/>
                <w:szCs w:val="30"/>
                <w:highlight w:val="none"/>
              </w:rPr>
            </w:pPr>
          </w:p>
        </w:tc>
        <w:tc>
          <w:tcPr>
            <w:tcW w:w="1450" w:type="dxa"/>
            <w:noWrap w:val="0"/>
            <w:vAlign w:val="top"/>
          </w:tcPr>
          <w:p w14:paraId="5AA2EFD3">
            <w:pPr>
              <w:rPr>
                <w:rFonts w:eastAsia="仿宋_GB2312"/>
                <w:color w:val="auto"/>
                <w:sz w:val="30"/>
                <w:szCs w:val="30"/>
                <w:highlight w:val="none"/>
              </w:rPr>
            </w:pPr>
          </w:p>
        </w:tc>
        <w:tc>
          <w:tcPr>
            <w:tcW w:w="1243" w:type="dxa"/>
            <w:noWrap w:val="0"/>
            <w:vAlign w:val="top"/>
          </w:tcPr>
          <w:p w14:paraId="49B82ED6">
            <w:pPr>
              <w:rPr>
                <w:rFonts w:eastAsia="仿宋_GB2312"/>
                <w:color w:val="auto"/>
                <w:sz w:val="30"/>
                <w:szCs w:val="30"/>
                <w:highlight w:val="none"/>
              </w:rPr>
            </w:pPr>
          </w:p>
        </w:tc>
        <w:tc>
          <w:tcPr>
            <w:tcW w:w="1450" w:type="dxa"/>
            <w:noWrap w:val="0"/>
            <w:vAlign w:val="top"/>
          </w:tcPr>
          <w:p w14:paraId="05C46C64">
            <w:pPr>
              <w:rPr>
                <w:rFonts w:eastAsia="仿宋_GB2312"/>
                <w:color w:val="auto"/>
                <w:sz w:val="30"/>
                <w:szCs w:val="30"/>
                <w:highlight w:val="none"/>
              </w:rPr>
            </w:pPr>
          </w:p>
        </w:tc>
        <w:tc>
          <w:tcPr>
            <w:tcW w:w="1667" w:type="dxa"/>
            <w:noWrap w:val="0"/>
            <w:vAlign w:val="top"/>
          </w:tcPr>
          <w:p w14:paraId="08651F6B">
            <w:pPr>
              <w:rPr>
                <w:rFonts w:eastAsia="仿宋_GB2312"/>
                <w:color w:val="auto"/>
                <w:sz w:val="30"/>
                <w:szCs w:val="30"/>
                <w:highlight w:val="none"/>
              </w:rPr>
            </w:pPr>
          </w:p>
        </w:tc>
      </w:tr>
      <w:tr w14:paraId="6417D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A8788D">
            <w:pPr>
              <w:rPr>
                <w:rFonts w:eastAsia="仿宋_GB2312"/>
                <w:color w:val="auto"/>
                <w:sz w:val="30"/>
                <w:szCs w:val="30"/>
                <w:highlight w:val="none"/>
              </w:rPr>
            </w:pPr>
          </w:p>
        </w:tc>
        <w:tc>
          <w:tcPr>
            <w:tcW w:w="1276" w:type="dxa"/>
            <w:noWrap w:val="0"/>
            <w:vAlign w:val="top"/>
          </w:tcPr>
          <w:p w14:paraId="6305E8DF">
            <w:pPr>
              <w:rPr>
                <w:rFonts w:eastAsia="仿宋_GB2312"/>
                <w:color w:val="auto"/>
                <w:sz w:val="30"/>
                <w:szCs w:val="30"/>
                <w:highlight w:val="none"/>
              </w:rPr>
            </w:pPr>
          </w:p>
        </w:tc>
        <w:tc>
          <w:tcPr>
            <w:tcW w:w="1450" w:type="dxa"/>
            <w:noWrap w:val="0"/>
            <w:vAlign w:val="top"/>
          </w:tcPr>
          <w:p w14:paraId="2B053448">
            <w:pPr>
              <w:rPr>
                <w:rFonts w:eastAsia="仿宋_GB2312"/>
                <w:color w:val="auto"/>
                <w:sz w:val="30"/>
                <w:szCs w:val="30"/>
                <w:highlight w:val="none"/>
              </w:rPr>
            </w:pPr>
          </w:p>
        </w:tc>
        <w:tc>
          <w:tcPr>
            <w:tcW w:w="1243" w:type="dxa"/>
            <w:noWrap w:val="0"/>
            <w:vAlign w:val="top"/>
          </w:tcPr>
          <w:p w14:paraId="5C03B5EC">
            <w:pPr>
              <w:rPr>
                <w:rFonts w:eastAsia="仿宋_GB2312"/>
                <w:color w:val="auto"/>
                <w:sz w:val="30"/>
                <w:szCs w:val="30"/>
                <w:highlight w:val="none"/>
              </w:rPr>
            </w:pPr>
          </w:p>
        </w:tc>
        <w:tc>
          <w:tcPr>
            <w:tcW w:w="1450" w:type="dxa"/>
            <w:noWrap w:val="0"/>
            <w:vAlign w:val="top"/>
          </w:tcPr>
          <w:p w14:paraId="5E29E5B4">
            <w:pPr>
              <w:rPr>
                <w:rFonts w:eastAsia="仿宋_GB2312"/>
                <w:color w:val="auto"/>
                <w:sz w:val="30"/>
                <w:szCs w:val="30"/>
                <w:highlight w:val="none"/>
              </w:rPr>
            </w:pPr>
          </w:p>
        </w:tc>
        <w:tc>
          <w:tcPr>
            <w:tcW w:w="1667" w:type="dxa"/>
            <w:noWrap w:val="0"/>
            <w:vAlign w:val="top"/>
          </w:tcPr>
          <w:p w14:paraId="534819DD">
            <w:pPr>
              <w:rPr>
                <w:rFonts w:eastAsia="仿宋_GB2312"/>
                <w:color w:val="auto"/>
                <w:sz w:val="30"/>
                <w:szCs w:val="30"/>
                <w:highlight w:val="none"/>
              </w:rPr>
            </w:pPr>
          </w:p>
        </w:tc>
      </w:tr>
      <w:tr w14:paraId="15D00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FEFE388">
            <w:pPr>
              <w:rPr>
                <w:rFonts w:eastAsia="仿宋_GB2312"/>
                <w:color w:val="auto"/>
                <w:sz w:val="30"/>
                <w:szCs w:val="30"/>
                <w:highlight w:val="none"/>
              </w:rPr>
            </w:pPr>
          </w:p>
        </w:tc>
        <w:tc>
          <w:tcPr>
            <w:tcW w:w="1276" w:type="dxa"/>
            <w:noWrap w:val="0"/>
            <w:vAlign w:val="top"/>
          </w:tcPr>
          <w:p w14:paraId="00D4C45F">
            <w:pPr>
              <w:rPr>
                <w:rFonts w:eastAsia="仿宋_GB2312"/>
                <w:color w:val="auto"/>
                <w:sz w:val="30"/>
                <w:szCs w:val="30"/>
                <w:highlight w:val="none"/>
              </w:rPr>
            </w:pPr>
          </w:p>
        </w:tc>
        <w:tc>
          <w:tcPr>
            <w:tcW w:w="1450" w:type="dxa"/>
            <w:noWrap w:val="0"/>
            <w:vAlign w:val="top"/>
          </w:tcPr>
          <w:p w14:paraId="54A3A601">
            <w:pPr>
              <w:rPr>
                <w:rFonts w:eastAsia="仿宋_GB2312"/>
                <w:color w:val="auto"/>
                <w:sz w:val="30"/>
                <w:szCs w:val="30"/>
                <w:highlight w:val="none"/>
              </w:rPr>
            </w:pPr>
          </w:p>
        </w:tc>
        <w:tc>
          <w:tcPr>
            <w:tcW w:w="1243" w:type="dxa"/>
            <w:noWrap w:val="0"/>
            <w:vAlign w:val="top"/>
          </w:tcPr>
          <w:p w14:paraId="35047983">
            <w:pPr>
              <w:rPr>
                <w:rFonts w:eastAsia="仿宋_GB2312"/>
                <w:color w:val="auto"/>
                <w:sz w:val="30"/>
                <w:szCs w:val="30"/>
                <w:highlight w:val="none"/>
              </w:rPr>
            </w:pPr>
          </w:p>
        </w:tc>
        <w:tc>
          <w:tcPr>
            <w:tcW w:w="1450" w:type="dxa"/>
            <w:noWrap w:val="0"/>
            <w:vAlign w:val="top"/>
          </w:tcPr>
          <w:p w14:paraId="0C542E0A">
            <w:pPr>
              <w:rPr>
                <w:rFonts w:eastAsia="仿宋_GB2312"/>
                <w:color w:val="auto"/>
                <w:sz w:val="30"/>
                <w:szCs w:val="30"/>
                <w:highlight w:val="none"/>
              </w:rPr>
            </w:pPr>
          </w:p>
        </w:tc>
        <w:tc>
          <w:tcPr>
            <w:tcW w:w="1667" w:type="dxa"/>
            <w:noWrap w:val="0"/>
            <w:vAlign w:val="top"/>
          </w:tcPr>
          <w:p w14:paraId="73EB0050">
            <w:pPr>
              <w:rPr>
                <w:rFonts w:eastAsia="仿宋_GB2312"/>
                <w:color w:val="auto"/>
                <w:sz w:val="30"/>
                <w:szCs w:val="30"/>
                <w:highlight w:val="none"/>
              </w:rPr>
            </w:pPr>
          </w:p>
        </w:tc>
      </w:tr>
    </w:tbl>
    <w:p w14:paraId="3C1DC64C">
      <w:pPr>
        <w:spacing w:line="440" w:lineRule="exact"/>
        <w:rPr>
          <w:rFonts w:hint="eastAsia" w:eastAsia="仿宋_GB2312"/>
          <w:color w:val="auto"/>
          <w:sz w:val="30"/>
          <w:szCs w:val="30"/>
          <w:highlight w:val="none"/>
        </w:rPr>
      </w:pPr>
    </w:p>
    <w:p w14:paraId="104DEC4A">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14:paraId="38D506F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A3E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52C2CA25">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noWrap w:val="0"/>
            <w:vAlign w:val="center"/>
          </w:tcPr>
          <w:p w14:paraId="4976080F">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noWrap w:val="0"/>
            <w:vAlign w:val="center"/>
          </w:tcPr>
          <w:p w14:paraId="737F896F">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noWrap w:val="0"/>
            <w:vAlign w:val="center"/>
          </w:tcPr>
          <w:p w14:paraId="278F674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noWrap w:val="0"/>
            <w:vAlign w:val="center"/>
          </w:tcPr>
          <w:p w14:paraId="138D7537">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noWrap w:val="0"/>
            <w:vAlign w:val="center"/>
          </w:tcPr>
          <w:p w14:paraId="4E512093">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noWrap w:val="0"/>
            <w:vAlign w:val="center"/>
          </w:tcPr>
          <w:p w14:paraId="6677922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noWrap w:val="0"/>
            <w:vAlign w:val="center"/>
          </w:tcPr>
          <w:p w14:paraId="7153E4E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noWrap w:val="0"/>
            <w:vAlign w:val="center"/>
          </w:tcPr>
          <w:p w14:paraId="56E8B069">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14:paraId="2069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07CDCA2">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34F11BD2">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FDE9E48">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4398F400">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0C9CBE71">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746E367A">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6C699459">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7062128F">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0C0E2C03">
            <w:pPr>
              <w:pStyle w:val="18"/>
              <w:keepNext/>
              <w:spacing w:after="0" w:line="440" w:lineRule="exact"/>
              <w:ind w:left="63" w:right="63"/>
              <w:rPr>
                <w:rFonts w:eastAsia="仿宋_GB2312"/>
                <w:color w:val="auto"/>
                <w:sz w:val="30"/>
                <w:szCs w:val="30"/>
                <w:highlight w:val="none"/>
              </w:rPr>
            </w:pPr>
          </w:p>
        </w:tc>
      </w:tr>
      <w:tr w14:paraId="3636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9915625">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4CAE786A">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042871D9">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3AC9BC85">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5B7A2619">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5500FF3E">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7DBE9995">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7C254D3F">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5B88DD40">
            <w:pPr>
              <w:pStyle w:val="18"/>
              <w:keepNext/>
              <w:spacing w:after="0" w:line="440" w:lineRule="exact"/>
              <w:ind w:left="63" w:right="63"/>
              <w:rPr>
                <w:rFonts w:eastAsia="仿宋_GB2312"/>
                <w:color w:val="auto"/>
                <w:sz w:val="30"/>
                <w:szCs w:val="30"/>
                <w:highlight w:val="none"/>
              </w:rPr>
            </w:pPr>
          </w:p>
        </w:tc>
      </w:tr>
      <w:tr w14:paraId="014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693353C">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49B996FE">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6ABCFAA7">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453A9025">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5BDB1742">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11E4A6C4">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2B4BEF0B">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61562D75">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61D60414">
            <w:pPr>
              <w:pStyle w:val="18"/>
              <w:keepNext/>
              <w:spacing w:after="0" w:line="440" w:lineRule="exact"/>
              <w:ind w:left="63" w:right="63"/>
              <w:rPr>
                <w:rFonts w:eastAsia="仿宋_GB2312"/>
                <w:color w:val="auto"/>
                <w:sz w:val="30"/>
                <w:szCs w:val="30"/>
                <w:highlight w:val="none"/>
              </w:rPr>
            </w:pPr>
          </w:p>
        </w:tc>
      </w:tr>
      <w:tr w14:paraId="1EB4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FBC3CC6">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609AD417">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5758E3DB">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23F6702B">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39EFAD1B">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7C4825D1">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31F2825F">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44F73DA4">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337A5168">
            <w:pPr>
              <w:pStyle w:val="18"/>
              <w:keepNext/>
              <w:spacing w:after="0" w:line="440" w:lineRule="exact"/>
              <w:ind w:left="63" w:right="63"/>
              <w:rPr>
                <w:rFonts w:eastAsia="仿宋_GB2312"/>
                <w:color w:val="auto"/>
                <w:sz w:val="30"/>
                <w:szCs w:val="30"/>
                <w:highlight w:val="none"/>
              </w:rPr>
            </w:pPr>
          </w:p>
        </w:tc>
      </w:tr>
      <w:tr w14:paraId="2F51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016433F">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0A541FB0">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484FB0C5">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6DC06659">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55D5A715">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13480661">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2C19B359">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7F80556A">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031A7F5F">
            <w:pPr>
              <w:pStyle w:val="18"/>
              <w:keepNext/>
              <w:spacing w:after="0" w:line="440" w:lineRule="exact"/>
              <w:ind w:left="63" w:right="63"/>
              <w:rPr>
                <w:rFonts w:eastAsia="仿宋_GB2312"/>
                <w:color w:val="auto"/>
                <w:sz w:val="30"/>
                <w:szCs w:val="30"/>
                <w:highlight w:val="none"/>
              </w:rPr>
            </w:pPr>
          </w:p>
        </w:tc>
      </w:tr>
      <w:tr w14:paraId="5FF5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000223B">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668FCA2B">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7608E198">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3390B039">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4C81F6C9">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17CCB41E">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72374947">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50050FE3">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1B07D0F6">
            <w:pPr>
              <w:pStyle w:val="18"/>
              <w:keepNext/>
              <w:spacing w:after="0" w:line="440" w:lineRule="exact"/>
              <w:ind w:left="63" w:right="63"/>
              <w:rPr>
                <w:rFonts w:eastAsia="仿宋_GB2312"/>
                <w:color w:val="auto"/>
                <w:sz w:val="30"/>
                <w:szCs w:val="30"/>
                <w:highlight w:val="none"/>
              </w:rPr>
            </w:pPr>
          </w:p>
        </w:tc>
      </w:tr>
      <w:tr w14:paraId="291A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34807B">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31070CBB">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DB986D8">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4249F971">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3B7ECC73">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295F0607">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7A6707CB">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41E0B6B3">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4E82B0A2">
            <w:pPr>
              <w:pStyle w:val="18"/>
              <w:keepNext/>
              <w:spacing w:after="0" w:line="440" w:lineRule="exact"/>
              <w:ind w:left="63" w:right="63"/>
              <w:rPr>
                <w:rFonts w:eastAsia="仿宋_GB2312"/>
                <w:color w:val="auto"/>
                <w:sz w:val="30"/>
                <w:szCs w:val="30"/>
                <w:highlight w:val="none"/>
              </w:rPr>
            </w:pPr>
          </w:p>
        </w:tc>
      </w:tr>
      <w:tr w14:paraId="2E9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3F89F70">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5DA989E0">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49986324">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06A9071F">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4D8118CE">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615364AB">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6EBEB233">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5F07ABD0">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32F570CA">
            <w:pPr>
              <w:pStyle w:val="18"/>
              <w:keepNext/>
              <w:spacing w:after="0" w:line="440" w:lineRule="exact"/>
              <w:ind w:left="63" w:right="63"/>
              <w:rPr>
                <w:rFonts w:eastAsia="仿宋_GB2312"/>
                <w:color w:val="auto"/>
                <w:sz w:val="30"/>
                <w:szCs w:val="30"/>
                <w:highlight w:val="none"/>
              </w:rPr>
            </w:pPr>
          </w:p>
        </w:tc>
      </w:tr>
      <w:tr w14:paraId="011A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33BA14">
            <w:pPr>
              <w:rPr>
                <w:rFonts w:eastAsia="仿宋_GB2312"/>
                <w:color w:val="auto"/>
                <w:sz w:val="30"/>
                <w:szCs w:val="30"/>
                <w:highlight w:val="none"/>
              </w:rPr>
            </w:pPr>
          </w:p>
        </w:tc>
        <w:tc>
          <w:tcPr>
            <w:tcW w:w="1418" w:type="dxa"/>
            <w:noWrap w:val="0"/>
            <w:vAlign w:val="top"/>
          </w:tcPr>
          <w:p w14:paraId="4232EE92">
            <w:pPr>
              <w:rPr>
                <w:rFonts w:eastAsia="仿宋_GB2312"/>
                <w:color w:val="auto"/>
                <w:sz w:val="30"/>
                <w:szCs w:val="30"/>
                <w:highlight w:val="none"/>
              </w:rPr>
            </w:pPr>
          </w:p>
        </w:tc>
        <w:tc>
          <w:tcPr>
            <w:tcW w:w="850" w:type="dxa"/>
            <w:noWrap w:val="0"/>
            <w:vAlign w:val="top"/>
          </w:tcPr>
          <w:p w14:paraId="561EBB57">
            <w:pPr>
              <w:rPr>
                <w:rFonts w:eastAsia="仿宋_GB2312"/>
                <w:color w:val="auto"/>
                <w:sz w:val="30"/>
                <w:szCs w:val="30"/>
                <w:highlight w:val="none"/>
              </w:rPr>
            </w:pPr>
          </w:p>
        </w:tc>
        <w:tc>
          <w:tcPr>
            <w:tcW w:w="1058" w:type="dxa"/>
            <w:noWrap w:val="0"/>
            <w:vAlign w:val="top"/>
          </w:tcPr>
          <w:p w14:paraId="3A7B9C4F">
            <w:pPr>
              <w:rPr>
                <w:rFonts w:eastAsia="仿宋_GB2312"/>
                <w:color w:val="auto"/>
                <w:sz w:val="30"/>
                <w:szCs w:val="30"/>
                <w:highlight w:val="none"/>
              </w:rPr>
            </w:pPr>
          </w:p>
        </w:tc>
        <w:tc>
          <w:tcPr>
            <w:tcW w:w="880" w:type="dxa"/>
            <w:noWrap w:val="0"/>
            <w:vAlign w:val="top"/>
          </w:tcPr>
          <w:p w14:paraId="70374ABA">
            <w:pPr>
              <w:rPr>
                <w:rFonts w:eastAsia="仿宋_GB2312"/>
                <w:color w:val="auto"/>
                <w:sz w:val="30"/>
                <w:szCs w:val="30"/>
                <w:highlight w:val="none"/>
              </w:rPr>
            </w:pPr>
          </w:p>
        </w:tc>
        <w:tc>
          <w:tcPr>
            <w:tcW w:w="1020" w:type="dxa"/>
            <w:noWrap w:val="0"/>
            <w:vAlign w:val="top"/>
          </w:tcPr>
          <w:p w14:paraId="26A02626">
            <w:pPr>
              <w:rPr>
                <w:rFonts w:eastAsia="仿宋_GB2312"/>
                <w:color w:val="auto"/>
                <w:sz w:val="30"/>
                <w:szCs w:val="30"/>
                <w:highlight w:val="none"/>
              </w:rPr>
            </w:pPr>
          </w:p>
        </w:tc>
        <w:tc>
          <w:tcPr>
            <w:tcW w:w="1480" w:type="dxa"/>
            <w:noWrap w:val="0"/>
            <w:vAlign w:val="top"/>
          </w:tcPr>
          <w:p w14:paraId="4D340B20">
            <w:pPr>
              <w:rPr>
                <w:rFonts w:eastAsia="仿宋_GB2312"/>
                <w:color w:val="auto"/>
                <w:sz w:val="30"/>
                <w:szCs w:val="30"/>
                <w:highlight w:val="none"/>
              </w:rPr>
            </w:pPr>
          </w:p>
        </w:tc>
        <w:tc>
          <w:tcPr>
            <w:tcW w:w="1020" w:type="dxa"/>
            <w:noWrap w:val="0"/>
            <w:vAlign w:val="top"/>
          </w:tcPr>
          <w:p w14:paraId="62E1CE40">
            <w:pPr>
              <w:rPr>
                <w:rFonts w:eastAsia="仿宋_GB2312"/>
                <w:color w:val="auto"/>
                <w:sz w:val="30"/>
                <w:szCs w:val="30"/>
                <w:highlight w:val="none"/>
              </w:rPr>
            </w:pPr>
          </w:p>
        </w:tc>
        <w:tc>
          <w:tcPr>
            <w:tcW w:w="921" w:type="dxa"/>
            <w:noWrap w:val="0"/>
            <w:vAlign w:val="top"/>
          </w:tcPr>
          <w:p w14:paraId="49FED777">
            <w:pPr>
              <w:rPr>
                <w:rFonts w:eastAsia="仿宋_GB2312"/>
                <w:color w:val="auto"/>
                <w:sz w:val="30"/>
                <w:szCs w:val="30"/>
                <w:highlight w:val="none"/>
              </w:rPr>
            </w:pPr>
          </w:p>
        </w:tc>
      </w:tr>
      <w:tr w14:paraId="6BD7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0BAFAC6">
            <w:pPr>
              <w:pStyle w:val="18"/>
              <w:keepNext/>
              <w:spacing w:after="0" w:line="440" w:lineRule="exact"/>
              <w:ind w:left="63" w:right="63"/>
              <w:rPr>
                <w:rFonts w:eastAsia="仿宋_GB2312"/>
                <w:color w:val="auto"/>
                <w:sz w:val="30"/>
                <w:szCs w:val="30"/>
                <w:highlight w:val="none"/>
              </w:rPr>
            </w:pPr>
          </w:p>
        </w:tc>
        <w:tc>
          <w:tcPr>
            <w:tcW w:w="1418" w:type="dxa"/>
            <w:noWrap w:val="0"/>
            <w:vAlign w:val="center"/>
          </w:tcPr>
          <w:p w14:paraId="33AA2FCD">
            <w:pPr>
              <w:pStyle w:val="18"/>
              <w:keepNext/>
              <w:spacing w:after="0" w:line="440" w:lineRule="exact"/>
              <w:ind w:left="63" w:right="63"/>
              <w:rPr>
                <w:rFonts w:eastAsia="仿宋_GB2312"/>
                <w:color w:val="auto"/>
                <w:sz w:val="30"/>
                <w:szCs w:val="30"/>
                <w:highlight w:val="none"/>
              </w:rPr>
            </w:pPr>
          </w:p>
        </w:tc>
        <w:tc>
          <w:tcPr>
            <w:tcW w:w="850" w:type="dxa"/>
            <w:noWrap w:val="0"/>
            <w:vAlign w:val="center"/>
          </w:tcPr>
          <w:p w14:paraId="114D4506">
            <w:pPr>
              <w:pStyle w:val="18"/>
              <w:keepNext/>
              <w:spacing w:after="0" w:line="440" w:lineRule="exact"/>
              <w:ind w:left="63" w:right="63"/>
              <w:rPr>
                <w:rFonts w:eastAsia="仿宋_GB2312"/>
                <w:color w:val="auto"/>
                <w:sz w:val="30"/>
                <w:szCs w:val="30"/>
                <w:highlight w:val="none"/>
              </w:rPr>
            </w:pPr>
          </w:p>
        </w:tc>
        <w:tc>
          <w:tcPr>
            <w:tcW w:w="1058" w:type="dxa"/>
            <w:noWrap w:val="0"/>
            <w:vAlign w:val="center"/>
          </w:tcPr>
          <w:p w14:paraId="2FA3DF69">
            <w:pPr>
              <w:pStyle w:val="18"/>
              <w:keepNext/>
              <w:spacing w:after="0" w:line="440" w:lineRule="exact"/>
              <w:ind w:left="63" w:right="63"/>
              <w:rPr>
                <w:rFonts w:eastAsia="仿宋_GB2312"/>
                <w:color w:val="auto"/>
                <w:sz w:val="30"/>
                <w:szCs w:val="30"/>
                <w:highlight w:val="none"/>
              </w:rPr>
            </w:pPr>
          </w:p>
        </w:tc>
        <w:tc>
          <w:tcPr>
            <w:tcW w:w="880" w:type="dxa"/>
            <w:noWrap w:val="0"/>
            <w:vAlign w:val="center"/>
          </w:tcPr>
          <w:p w14:paraId="183A2AC5">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036DDAC6">
            <w:pPr>
              <w:pStyle w:val="18"/>
              <w:keepNext/>
              <w:spacing w:after="0" w:line="440" w:lineRule="exact"/>
              <w:ind w:left="63" w:right="63"/>
              <w:rPr>
                <w:rFonts w:eastAsia="仿宋_GB2312"/>
                <w:color w:val="auto"/>
                <w:sz w:val="30"/>
                <w:szCs w:val="30"/>
                <w:highlight w:val="none"/>
              </w:rPr>
            </w:pPr>
          </w:p>
        </w:tc>
        <w:tc>
          <w:tcPr>
            <w:tcW w:w="1480" w:type="dxa"/>
            <w:noWrap w:val="0"/>
            <w:vAlign w:val="center"/>
          </w:tcPr>
          <w:p w14:paraId="27762791">
            <w:pPr>
              <w:pStyle w:val="18"/>
              <w:keepNext/>
              <w:spacing w:after="0" w:line="440" w:lineRule="exact"/>
              <w:ind w:left="63" w:right="63"/>
              <w:rPr>
                <w:rFonts w:eastAsia="仿宋_GB2312"/>
                <w:color w:val="auto"/>
                <w:sz w:val="30"/>
                <w:szCs w:val="30"/>
                <w:highlight w:val="none"/>
              </w:rPr>
            </w:pPr>
          </w:p>
        </w:tc>
        <w:tc>
          <w:tcPr>
            <w:tcW w:w="1020" w:type="dxa"/>
            <w:noWrap w:val="0"/>
            <w:vAlign w:val="center"/>
          </w:tcPr>
          <w:p w14:paraId="324CA5C2">
            <w:pPr>
              <w:pStyle w:val="18"/>
              <w:keepNext/>
              <w:spacing w:after="0" w:line="440" w:lineRule="exact"/>
              <w:ind w:left="63" w:right="63"/>
              <w:rPr>
                <w:rFonts w:eastAsia="仿宋_GB2312"/>
                <w:color w:val="auto"/>
                <w:sz w:val="30"/>
                <w:szCs w:val="30"/>
                <w:highlight w:val="none"/>
              </w:rPr>
            </w:pPr>
          </w:p>
        </w:tc>
        <w:tc>
          <w:tcPr>
            <w:tcW w:w="921" w:type="dxa"/>
            <w:noWrap w:val="0"/>
            <w:vAlign w:val="center"/>
          </w:tcPr>
          <w:p w14:paraId="28C0939C">
            <w:pPr>
              <w:pStyle w:val="18"/>
              <w:keepNext/>
              <w:spacing w:after="0" w:line="440" w:lineRule="exact"/>
              <w:ind w:left="63" w:right="63"/>
              <w:rPr>
                <w:rFonts w:eastAsia="仿宋_GB2312"/>
                <w:color w:val="auto"/>
                <w:sz w:val="30"/>
                <w:szCs w:val="30"/>
                <w:highlight w:val="none"/>
              </w:rPr>
            </w:pPr>
          </w:p>
        </w:tc>
      </w:tr>
      <w:tr w14:paraId="077E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B4C4071">
            <w:pPr>
              <w:rPr>
                <w:rFonts w:eastAsia="仿宋_GB2312"/>
                <w:color w:val="auto"/>
                <w:sz w:val="30"/>
                <w:szCs w:val="30"/>
                <w:highlight w:val="none"/>
              </w:rPr>
            </w:pPr>
          </w:p>
        </w:tc>
        <w:tc>
          <w:tcPr>
            <w:tcW w:w="1418" w:type="dxa"/>
            <w:noWrap w:val="0"/>
            <w:vAlign w:val="top"/>
          </w:tcPr>
          <w:p w14:paraId="469DE296">
            <w:pPr>
              <w:rPr>
                <w:rFonts w:eastAsia="仿宋_GB2312"/>
                <w:color w:val="auto"/>
                <w:sz w:val="30"/>
                <w:szCs w:val="30"/>
                <w:highlight w:val="none"/>
              </w:rPr>
            </w:pPr>
          </w:p>
        </w:tc>
        <w:tc>
          <w:tcPr>
            <w:tcW w:w="850" w:type="dxa"/>
            <w:noWrap w:val="0"/>
            <w:vAlign w:val="top"/>
          </w:tcPr>
          <w:p w14:paraId="7C36A400">
            <w:pPr>
              <w:rPr>
                <w:rFonts w:eastAsia="仿宋_GB2312"/>
                <w:color w:val="auto"/>
                <w:sz w:val="30"/>
                <w:szCs w:val="30"/>
                <w:highlight w:val="none"/>
              </w:rPr>
            </w:pPr>
          </w:p>
        </w:tc>
        <w:tc>
          <w:tcPr>
            <w:tcW w:w="1058" w:type="dxa"/>
            <w:noWrap w:val="0"/>
            <w:vAlign w:val="top"/>
          </w:tcPr>
          <w:p w14:paraId="24B62C01">
            <w:pPr>
              <w:rPr>
                <w:rFonts w:eastAsia="仿宋_GB2312"/>
                <w:color w:val="auto"/>
                <w:sz w:val="30"/>
                <w:szCs w:val="30"/>
                <w:highlight w:val="none"/>
              </w:rPr>
            </w:pPr>
          </w:p>
        </w:tc>
        <w:tc>
          <w:tcPr>
            <w:tcW w:w="880" w:type="dxa"/>
            <w:noWrap w:val="0"/>
            <w:vAlign w:val="top"/>
          </w:tcPr>
          <w:p w14:paraId="2F5281D5">
            <w:pPr>
              <w:rPr>
                <w:rFonts w:eastAsia="仿宋_GB2312"/>
                <w:color w:val="auto"/>
                <w:sz w:val="30"/>
                <w:szCs w:val="30"/>
                <w:highlight w:val="none"/>
              </w:rPr>
            </w:pPr>
          </w:p>
        </w:tc>
        <w:tc>
          <w:tcPr>
            <w:tcW w:w="1020" w:type="dxa"/>
            <w:noWrap w:val="0"/>
            <w:vAlign w:val="top"/>
          </w:tcPr>
          <w:p w14:paraId="66E3E6FB">
            <w:pPr>
              <w:rPr>
                <w:rFonts w:eastAsia="仿宋_GB2312"/>
                <w:color w:val="auto"/>
                <w:sz w:val="30"/>
                <w:szCs w:val="30"/>
                <w:highlight w:val="none"/>
              </w:rPr>
            </w:pPr>
          </w:p>
        </w:tc>
        <w:tc>
          <w:tcPr>
            <w:tcW w:w="1480" w:type="dxa"/>
            <w:noWrap w:val="0"/>
            <w:vAlign w:val="top"/>
          </w:tcPr>
          <w:p w14:paraId="358C259D">
            <w:pPr>
              <w:rPr>
                <w:rFonts w:eastAsia="仿宋_GB2312"/>
                <w:color w:val="auto"/>
                <w:sz w:val="30"/>
                <w:szCs w:val="30"/>
                <w:highlight w:val="none"/>
              </w:rPr>
            </w:pPr>
          </w:p>
        </w:tc>
        <w:tc>
          <w:tcPr>
            <w:tcW w:w="1020" w:type="dxa"/>
            <w:noWrap w:val="0"/>
            <w:vAlign w:val="top"/>
          </w:tcPr>
          <w:p w14:paraId="482C9907">
            <w:pPr>
              <w:rPr>
                <w:rFonts w:eastAsia="仿宋_GB2312"/>
                <w:color w:val="auto"/>
                <w:sz w:val="30"/>
                <w:szCs w:val="30"/>
                <w:highlight w:val="none"/>
              </w:rPr>
            </w:pPr>
          </w:p>
        </w:tc>
        <w:tc>
          <w:tcPr>
            <w:tcW w:w="921" w:type="dxa"/>
            <w:noWrap w:val="0"/>
            <w:vAlign w:val="top"/>
          </w:tcPr>
          <w:p w14:paraId="28E7245B">
            <w:pPr>
              <w:rPr>
                <w:rFonts w:eastAsia="仿宋_GB2312"/>
                <w:color w:val="auto"/>
                <w:sz w:val="30"/>
                <w:szCs w:val="30"/>
                <w:highlight w:val="none"/>
              </w:rPr>
            </w:pPr>
          </w:p>
        </w:tc>
      </w:tr>
      <w:tr w14:paraId="291A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E10E536">
            <w:pPr>
              <w:rPr>
                <w:rFonts w:eastAsia="仿宋_GB2312"/>
                <w:color w:val="auto"/>
                <w:sz w:val="30"/>
                <w:szCs w:val="30"/>
                <w:highlight w:val="none"/>
              </w:rPr>
            </w:pPr>
          </w:p>
        </w:tc>
        <w:tc>
          <w:tcPr>
            <w:tcW w:w="1418" w:type="dxa"/>
            <w:noWrap w:val="0"/>
            <w:vAlign w:val="top"/>
          </w:tcPr>
          <w:p w14:paraId="33D40A3E">
            <w:pPr>
              <w:rPr>
                <w:rFonts w:eastAsia="仿宋_GB2312"/>
                <w:color w:val="auto"/>
                <w:sz w:val="30"/>
                <w:szCs w:val="30"/>
                <w:highlight w:val="none"/>
              </w:rPr>
            </w:pPr>
          </w:p>
        </w:tc>
        <w:tc>
          <w:tcPr>
            <w:tcW w:w="850" w:type="dxa"/>
            <w:noWrap w:val="0"/>
            <w:vAlign w:val="top"/>
          </w:tcPr>
          <w:p w14:paraId="0A753314">
            <w:pPr>
              <w:rPr>
                <w:rFonts w:eastAsia="仿宋_GB2312"/>
                <w:color w:val="auto"/>
                <w:sz w:val="30"/>
                <w:szCs w:val="30"/>
                <w:highlight w:val="none"/>
              </w:rPr>
            </w:pPr>
          </w:p>
        </w:tc>
        <w:tc>
          <w:tcPr>
            <w:tcW w:w="1058" w:type="dxa"/>
            <w:noWrap w:val="0"/>
            <w:vAlign w:val="top"/>
          </w:tcPr>
          <w:p w14:paraId="3FDC62BE">
            <w:pPr>
              <w:rPr>
                <w:rFonts w:eastAsia="仿宋_GB2312"/>
                <w:color w:val="auto"/>
                <w:sz w:val="30"/>
                <w:szCs w:val="30"/>
                <w:highlight w:val="none"/>
              </w:rPr>
            </w:pPr>
          </w:p>
        </w:tc>
        <w:tc>
          <w:tcPr>
            <w:tcW w:w="880" w:type="dxa"/>
            <w:noWrap w:val="0"/>
            <w:vAlign w:val="top"/>
          </w:tcPr>
          <w:p w14:paraId="6061DD19">
            <w:pPr>
              <w:rPr>
                <w:rFonts w:eastAsia="仿宋_GB2312"/>
                <w:color w:val="auto"/>
                <w:sz w:val="30"/>
                <w:szCs w:val="30"/>
                <w:highlight w:val="none"/>
              </w:rPr>
            </w:pPr>
          </w:p>
        </w:tc>
        <w:tc>
          <w:tcPr>
            <w:tcW w:w="1020" w:type="dxa"/>
            <w:noWrap w:val="0"/>
            <w:vAlign w:val="top"/>
          </w:tcPr>
          <w:p w14:paraId="39343CD1">
            <w:pPr>
              <w:rPr>
                <w:rFonts w:eastAsia="仿宋_GB2312"/>
                <w:color w:val="auto"/>
                <w:sz w:val="30"/>
                <w:szCs w:val="30"/>
                <w:highlight w:val="none"/>
              </w:rPr>
            </w:pPr>
          </w:p>
        </w:tc>
        <w:tc>
          <w:tcPr>
            <w:tcW w:w="1480" w:type="dxa"/>
            <w:noWrap w:val="0"/>
            <w:vAlign w:val="top"/>
          </w:tcPr>
          <w:p w14:paraId="10E4896F">
            <w:pPr>
              <w:rPr>
                <w:rFonts w:eastAsia="仿宋_GB2312"/>
                <w:color w:val="auto"/>
                <w:sz w:val="30"/>
                <w:szCs w:val="30"/>
                <w:highlight w:val="none"/>
              </w:rPr>
            </w:pPr>
          </w:p>
        </w:tc>
        <w:tc>
          <w:tcPr>
            <w:tcW w:w="1020" w:type="dxa"/>
            <w:noWrap w:val="0"/>
            <w:vAlign w:val="top"/>
          </w:tcPr>
          <w:p w14:paraId="4B910A10">
            <w:pPr>
              <w:rPr>
                <w:rFonts w:eastAsia="仿宋_GB2312"/>
                <w:color w:val="auto"/>
                <w:sz w:val="30"/>
                <w:szCs w:val="30"/>
                <w:highlight w:val="none"/>
              </w:rPr>
            </w:pPr>
          </w:p>
        </w:tc>
        <w:tc>
          <w:tcPr>
            <w:tcW w:w="921" w:type="dxa"/>
            <w:noWrap w:val="0"/>
            <w:vAlign w:val="top"/>
          </w:tcPr>
          <w:p w14:paraId="5C86044B">
            <w:pPr>
              <w:rPr>
                <w:rFonts w:eastAsia="仿宋_GB2312"/>
                <w:color w:val="auto"/>
                <w:sz w:val="30"/>
                <w:szCs w:val="30"/>
                <w:highlight w:val="none"/>
              </w:rPr>
            </w:pPr>
          </w:p>
        </w:tc>
      </w:tr>
      <w:tr w14:paraId="1059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F16B069">
            <w:pPr>
              <w:rPr>
                <w:rFonts w:eastAsia="仿宋_GB2312"/>
                <w:color w:val="auto"/>
                <w:sz w:val="30"/>
                <w:szCs w:val="30"/>
                <w:highlight w:val="none"/>
              </w:rPr>
            </w:pPr>
          </w:p>
        </w:tc>
        <w:tc>
          <w:tcPr>
            <w:tcW w:w="1418" w:type="dxa"/>
            <w:noWrap w:val="0"/>
            <w:vAlign w:val="top"/>
          </w:tcPr>
          <w:p w14:paraId="6C734B63">
            <w:pPr>
              <w:rPr>
                <w:rFonts w:eastAsia="仿宋_GB2312"/>
                <w:color w:val="auto"/>
                <w:sz w:val="30"/>
                <w:szCs w:val="30"/>
                <w:highlight w:val="none"/>
              </w:rPr>
            </w:pPr>
          </w:p>
        </w:tc>
        <w:tc>
          <w:tcPr>
            <w:tcW w:w="850" w:type="dxa"/>
            <w:noWrap w:val="0"/>
            <w:vAlign w:val="top"/>
          </w:tcPr>
          <w:p w14:paraId="3B52387C">
            <w:pPr>
              <w:rPr>
                <w:rFonts w:eastAsia="仿宋_GB2312"/>
                <w:color w:val="auto"/>
                <w:sz w:val="30"/>
                <w:szCs w:val="30"/>
                <w:highlight w:val="none"/>
              </w:rPr>
            </w:pPr>
          </w:p>
        </w:tc>
        <w:tc>
          <w:tcPr>
            <w:tcW w:w="1058" w:type="dxa"/>
            <w:noWrap w:val="0"/>
            <w:vAlign w:val="top"/>
          </w:tcPr>
          <w:p w14:paraId="2E3C9C37">
            <w:pPr>
              <w:rPr>
                <w:rFonts w:eastAsia="仿宋_GB2312"/>
                <w:color w:val="auto"/>
                <w:sz w:val="30"/>
                <w:szCs w:val="30"/>
                <w:highlight w:val="none"/>
              </w:rPr>
            </w:pPr>
          </w:p>
        </w:tc>
        <w:tc>
          <w:tcPr>
            <w:tcW w:w="880" w:type="dxa"/>
            <w:noWrap w:val="0"/>
            <w:vAlign w:val="top"/>
          </w:tcPr>
          <w:p w14:paraId="548EC0DA">
            <w:pPr>
              <w:rPr>
                <w:rFonts w:eastAsia="仿宋_GB2312"/>
                <w:color w:val="auto"/>
                <w:sz w:val="30"/>
                <w:szCs w:val="30"/>
                <w:highlight w:val="none"/>
              </w:rPr>
            </w:pPr>
          </w:p>
        </w:tc>
        <w:tc>
          <w:tcPr>
            <w:tcW w:w="1020" w:type="dxa"/>
            <w:noWrap w:val="0"/>
            <w:vAlign w:val="top"/>
          </w:tcPr>
          <w:p w14:paraId="03D9345F">
            <w:pPr>
              <w:rPr>
                <w:rFonts w:eastAsia="仿宋_GB2312"/>
                <w:color w:val="auto"/>
                <w:sz w:val="30"/>
                <w:szCs w:val="30"/>
                <w:highlight w:val="none"/>
              </w:rPr>
            </w:pPr>
          </w:p>
        </w:tc>
        <w:tc>
          <w:tcPr>
            <w:tcW w:w="1480" w:type="dxa"/>
            <w:noWrap w:val="0"/>
            <w:vAlign w:val="top"/>
          </w:tcPr>
          <w:p w14:paraId="45CEBB4B">
            <w:pPr>
              <w:rPr>
                <w:rFonts w:eastAsia="仿宋_GB2312"/>
                <w:color w:val="auto"/>
                <w:sz w:val="30"/>
                <w:szCs w:val="30"/>
                <w:highlight w:val="none"/>
              </w:rPr>
            </w:pPr>
          </w:p>
        </w:tc>
        <w:tc>
          <w:tcPr>
            <w:tcW w:w="1020" w:type="dxa"/>
            <w:noWrap w:val="0"/>
            <w:vAlign w:val="top"/>
          </w:tcPr>
          <w:p w14:paraId="091669AB">
            <w:pPr>
              <w:rPr>
                <w:rFonts w:eastAsia="仿宋_GB2312"/>
                <w:color w:val="auto"/>
                <w:sz w:val="30"/>
                <w:szCs w:val="30"/>
                <w:highlight w:val="none"/>
              </w:rPr>
            </w:pPr>
          </w:p>
        </w:tc>
        <w:tc>
          <w:tcPr>
            <w:tcW w:w="921" w:type="dxa"/>
            <w:noWrap w:val="0"/>
            <w:vAlign w:val="top"/>
          </w:tcPr>
          <w:p w14:paraId="0F73FAFE">
            <w:pPr>
              <w:rPr>
                <w:rFonts w:eastAsia="仿宋_GB2312"/>
                <w:color w:val="auto"/>
                <w:sz w:val="30"/>
                <w:szCs w:val="30"/>
                <w:highlight w:val="none"/>
              </w:rPr>
            </w:pPr>
          </w:p>
        </w:tc>
      </w:tr>
      <w:tr w14:paraId="181C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5C40DBE">
            <w:pPr>
              <w:rPr>
                <w:rFonts w:eastAsia="仿宋_GB2312"/>
                <w:color w:val="auto"/>
                <w:sz w:val="30"/>
                <w:szCs w:val="30"/>
                <w:highlight w:val="none"/>
              </w:rPr>
            </w:pPr>
          </w:p>
        </w:tc>
        <w:tc>
          <w:tcPr>
            <w:tcW w:w="1418" w:type="dxa"/>
            <w:noWrap w:val="0"/>
            <w:vAlign w:val="top"/>
          </w:tcPr>
          <w:p w14:paraId="59028737">
            <w:pPr>
              <w:rPr>
                <w:rFonts w:eastAsia="仿宋_GB2312"/>
                <w:color w:val="auto"/>
                <w:sz w:val="30"/>
                <w:szCs w:val="30"/>
                <w:highlight w:val="none"/>
              </w:rPr>
            </w:pPr>
          </w:p>
        </w:tc>
        <w:tc>
          <w:tcPr>
            <w:tcW w:w="850" w:type="dxa"/>
            <w:noWrap w:val="0"/>
            <w:vAlign w:val="top"/>
          </w:tcPr>
          <w:p w14:paraId="410D31C0">
            <w:pPr>
              <w:rPr>
                <w:rFonts w:eastAsia="仿宋_GB2312"/>
                <w:color w:val="auto"/>
                <w:sz w:val="30"/>
                <w:szCs w:val="30"/>
                <w:highlight w:val="none"/>
              </w:rPr>
            </w:pPr>
          </w:p>
        </w:tc>
        <w:tc>
          <w:tcPr>
            <w:tcW w:w="1058" w:type="dxa"/>
            <w:noWrap w:val="0"/>
            <w:vAlign w:val="top"/>
          </w:tcPr>
          <w:p w14:paraId="582D547C">
            <w:pPr>
              <w:rPr>
                <w:rFonts w:eastAsia="仿宋_GB2312"/>
                <w:color w:val="auto"/>
                <w:sz w:val="30"/>
                <w:szCs w:val="30"/>
                <w:highlight w:val="none"/>
              </w:rPr>
            </w:pPr>
          </w:p>
        </w:tc>
        <w:tc>
          <w:tcPr>
            <w:tcW w:w="880" w:type="dxa"/>
            <w:noWrap w:val="0"/>
            <w:vAlign w:val="top"/>
          </w:tcPr>
          <w:p w14:paraId="28340839">
            <w:pPr>
              <w:rPr>
                <w:rFonts w:eastAsia="仿宋_GB2312"/>
                <w:color w:val="auto"/>
                <w:sz w:val="30"/>
                <w:szCs w:val="30"/>
                <w:highlight w:val="none"/>
              </w:rPr>
            </w:pPr>
          </w:p>
        </w:tc>
        <w:tc>
          <w:tcPr>
            <w:tcW w:w="1020" w:type="dxa"/>
            <w:noWrap w:val="0"/>
            <w:vAlign w:val="top"/>
          </w:tcPr>
          <w:p w14:paraId="65DA30D7">
            <w:pPr>
              <w:rPr>
                <w:rFonts w:eastAsia="仿宋_GB2312"/>
                <w:color w:val="auto"/>
                <w:sz w:val="30"/>
                <w:szCs w:val="30"/>
                <w:highlight w:val="none"/>
              </w:rPr>
            </w:pPr>
          </w:p>
        </w:tc>
        <w:tc>
          <w:tcPr>
            <w:tcW w:w="1480" w:type="dxa"/>
            <w:noWrap w:val="0"/>
            <w:vAlign w:val="top"/>
          </w:tcPr>
          <w:p w14:paraId="3E1C51B7">
            <w:pPr>
              <w:rPr>
                <w:rFonts w:eastAsia="仿宋_GB2312"/>
                <w:color w:val="auto"/>
                <w:sz w:val="30"/>
                <w:szCs w:val="30"/>
                <w:highlight w:val="none"/>
              </w:rPr>
            </w:pPr>
          </w:p>
        </w:tc>
        <w:tc>
          <w:tcPr>
            <w:tcW w:w="1020" w:type="dxa"/>
            <w:noWrap w:val="0"/>
            <w:vAlign w:val="top"/>
          </w:tcPr>
          <w:p w14:paraId="1CBB82A1">
            <w:pPr>
              <w:rPr>
                <w:rFonts w:eastAsia="仿宋_GB2312"/>
                <w:color w:val="auto"/>
                <w:sz w:val="30"/>
                <w:szCs w:val="30"/>
                <w:highlight w:val="none"/>
              </w:rPr>
            </w:pPr>
          </w:p>
        </w:tc>
        <w:tc>
          <w:tcPr>
            <w:tcW w:w="921" w:type="dxa"/>
            <w:noWrap w:val="0"/>
            <w:vAlign w:val="top"/>
          </w:tcPr>
          <w:p w14:paraId="6B3337E4">
            <w:pPr>
              <w:rPr>
                <w:rFonts w:eastAsia="仿宋_GB2312"/>
                <w:color w:val="auto"/>
                <w:sz w:val="30"/>
                <w:szCs w:val="30"/>
                <w:highlight w:val="none"/>
              </w:rPr>
            </w:pPr>
          </w:p>
        </w:tc>
      </w:tr>
      <w:tr w14:paraId="795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5CFE359">
            <w:pPr>
              <w:rPr>
                <w:rFonts w:eastAsia="仿宋_GB2312"/>
                <w:color w:val="auto"/>
                <w:sz w:val="30"/>
                <w:szCs w:val="30"/>
                <w:highlight w:val="none"/>
              </w:rPr>
            </w:pPr>
          </w:p>
        </w:tc>
        <w:tc>
          <w:tcPr>
            <w:tcW w:w="1418" w:type="dxa"/>
            <w:noWrap w:val="0"/>
            <w:vAlign w:val="top"/>
          </w:tcPr>
          <w:p w14:paraId="075CA1E3">
            <w:pPr>
              <w:rPr>
                <w:rFonts w:eastAsia="仿宋_GB2312"/>
                <w:color w:val="auto"/>
                <w:sz w:val="30"/>
                <w:szCs w:val="30"/>
                <w:highlight w:val="none"/>
              </w:rPr>
            </w:pPr>
          </w:p>
        </w:tc>
        <w:tc>
          <w:tcPr>
            <w:tcW w:w="850" w:type="dxa"/>
            <w:noWrap w:val="0"/>
            <w:vAlign w:val="top"/>
          </w:tcPr>
          <w:p w14:paraId="404BF6C7">
            <w:pPr>
              <w:rPr>
                <w:rFonts w:eastAsia="仿宋_GB2312"/>
                <w:color w:val="auto"/>
                <w:sz w:val="30"/>
                <w:szCs w:val="30"/>
                <w:highlight w:val="none"/>
              </w:rPr>
            </w:pPr>
          </w:p>
        </w:tc>
        <w:tc>
          <w:tcPr>
            <w:tcW w:w="1058" w:type="dxa"/>
            <w:noWrap w:val="0"/>
            <w:vAlign w:val="top"/>
          </w:tcPr>
          <w:p w14:paraId="7FFAA804">
            <w:pPr>
              <w:rPr>
                <w:rFonts w:eastAsia="仿宋_GB2312"/>
                <w:color w:val="auto"/>
                <w:sz w:val="30"/>
                <w:szCs w:val="30"/>
                <w:highlight w:val="none"/>
              </w:rPr>
            </w:pPr>
          </w:p>
        </w:tc>
        <w:tc>
          <w:tcPr>
            <w:tcW w:w="880" w:type="dxa"/>
            <w:noWrap w:val="0"/>
            <w:vAlign w:val="top"/>
          </w:tcPr>
          <w:p w14:paraId="24E7187C">
            <w:pPr>
              <w:rPr>
                <w:rFonts w:eastAsia="仿宋_GB2312"/>
                <w:color w:val="auto"/>
                <w:sz w:val="30"/>
                <w:szCs w:val="30"/>
                <w:highlight w:val="none"/>
              </w:rPr>
            </w:pPr>
          </w:p>
        </w:tc>
        <w:tc>
          <w:tcPr>
            <w:tcW w:w="1020" w:type="dxa"/>
            <w:noWrap w:val="0"/>
            <w:vAlign w:val="top"/>
          </w:tcPr>
          <w:p w14:paraId="7671D969">
            <w:pPr>
              <w:rPr>
                <w:rFonts w:eastAsia="仿宋_GB2312"/>
                <w:color w:val="auto"/>
                <w:sz w:val="30"/>
                <w:szCs w:val="30"/>
                <w:highlight w:val="none"/>
              </w:rPr>
            </w:pPr>
          </w:p>
        </w:tc>
        <w:tc>
          <w:tcPr>
            <w:tcW w:w="1480" w:type="dxa"/>
            <w:noWrap w:val="0"/>
            <w:vAlign w:val="top"/>
          </w:tcPr>
          <w:p w14:paraId="77261BAF">
            <w:pPr>
              <w:rPr>
                <w:rFonts w:eastAsia="仿宋_GB2312"/>
                <w:color w:val="auto"/>
                <w:sz w:val="30"/>
                <w:szCs w:val="30"/>
                <w:highlight w:val="none"/>
              </w:rPr>
            </w:pPr>
          </w:p>
        </w:tc>
        <w:tc>
          <w:tcPr>
            <w:tcW w:w="1020" w:type="dxa"/>
            <w:noWrap w:val="0"/>
            <w:vAlign w:val="top"/>
          </w:tcPr>
          <w:p w14:paraId="1C176B25">
            <w:pPr>
              <w:rPr>
                <w:rFonts w:eastAsia="仿宋_GB2312"/>
                <w:color w:val="auto"/>
                <w:sz w:val="30"/>
                <w:szCs w:val="30"/>
                <w:highlight w:val="none"/>
              </w:rPr>
            </w:pPr>
          </w:p>
        </w:tc>
        <w:tc>
          <w:tcPr>
            <w:tcW w:w="921" w:type="dxa"/>
            <w:noWrap w:val="0"/>
            <w:vAlign w:val="top"/>
          </w:tcPr>
          <w:p w14:paraId="5862ADDA">
            <w:pPr>
              <w:rPr>
                <w:rFonts w:eastAsia="仿宋_GB2312"/>
                <w:color w:val="auto"/>
                <w:sz w:val="30"/>
                <w:szCs w:val="30"/>
                <w:highlight w:val="none"/>
              </w:rPr>
            </w:pPr>
          </w:p>
        </w:tc>
      </w:tr>
      <w:tr w14:paraId="590B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152369D">
            <w:pPr>
              <w:rPr>
                <w:rFonts w:eastAsia="仿宋_GB2312"/>
                <w:color w:val="auto"/>
                <w:sz w:val="30"/>
                <w:szCs w:val="30"/>
                <w:highlight w:val="none"/>
              </w:rPr>
            </w:pPr>
          </w:p>
        </w:tc>
        <w:tc>
          <w:tcPr>
            <w:tcW w:w="1418" w:type="dxa"/>
            <w:noWrap w:val="0"/>
            <w:vAlign w:val="top"/>
          </w:tcPr>
          <w:p w14:paraId="081EDCEB">
            <w:pPr>
              <w:rPr>
                <w:rFonts w:eastAsia="仿宋_GB2312"/>
                <w:color w:val="auto"/>
                <w:sz w:val="30"/>
                <w:szCs w:val="30"/>
                <w:highlight w:val="none"/>
              </w:rPr>
            </w:pPr>
          </w:p>
        </w:tc>
        <w:tc>
          <w:tcPr>
            <w:tcW w:w="850" w:type="dxa"/>
            <w:noWrap w:val="0"/>
            <w:vAlign w:val="top"/>
          </w:tcPr>
          <w:p w14:paraId="1A24E088">
            <w:pPr>
              <w:rPr>
                <w:rFonts w:eastAsia="仿宋_GB2312"/>
                <w:color w:val="auto"/>
                <w:sz w:val="30"/>
                <w:szCs w:val="30"/>
                <w:highlight w:val="none"/>
              </w:rPr>
            </w:pPr>
          </w:p>
        </w:tc>
        <w:tc>
          <w:tcPr>
            <w:tcW w:w="1058" w:type="dxa"/>
            <w:noWrap w:val="0"/>
            <w:vAlign w:val="top"/>
          </w:tcPr>
          <w:p w14:paraId="753BCAC0">
            <w:pPr>
              <w:rPr>
                <w:rFonts w:eastAsia="仿宋_GB2312"/>
                <w:color w:val="auto"/>
                <w:sz w:val="30"/>
                <w:szCs w:val="30"/>
                <w:highlight w:val="none"/>
              </w:rPr>
            </w:pPr>
          </w:p>
        </w:tc>
        <w:tc>
          <w:tcPr>
            <w:tcW w:w="880" w:type="dxa"/>
            <w:noWrap w:val="0"/>
            <w:vAlign w:val="top"/>
          </w:tcPr>
          <w:p w14:paraId="03CD767C">
            <w:pPr>
              <w:rPr>
                <w:rFonts w:eastAsia="仿宋_GB2312"/>
                <w:color w:val="auto"/>
                <w:sz w:val="30"/>
                <w:szCs w:val="30"/>
                <w:highlight w:val="none"/>
              </w:rPr>
            </w:pPr>
          </w:p>
        </w:tc>
        <w:tc>
          <w:tcPr>
            <w:tcW w:w="1020" w:type="dxa"/>
            <w:noWrap w:val="0"/>
            <w:vAlign w:val="top"/>
          </w:tcPr>
          <w:p w14:paraId="75C1E361">
            <w:pPr>
              <w:rPr>
                <w:rFonts w:eastAsia="仿宋_GB2312"/>
                <w:color w:val="auto"/>
                <w:sz w:val="30"/>
                <w:szCs w:val="30"/>
                <w:highlight w:val="none"/>
              </w:rPr>
            </w:pPr>
          </w:p>
        </w:tc>
        <w:tc>
          <w:tcPr>
            <w:tcW w:w="1480" w:type="dxa"/>
            <w:noWrap w:val="0"/>
            <w:vAlign w:val="top"/>
          </w:tcPr>
          <w:p w14:paraId="68C830B6">
            <w:pPr>
              <w:rPr>
                <w:rFonts w:eastAsia="仿宋_GB2312"/>
                <w:color w:val="auto"/>
                <w:sz w:val="30"/>
                <w:szCs w:val="30"/>
                <w:highlight w:val="none"/>
              </w:rPr>
            </w:pPr>
          </w:p>
        </w:tc>
        <w:tc>
          <w:tcPr>
            <w:tcW w:w="1020" w:type="dxa"/>
            <w:noWrap w:val="0"/>
            <w:vAlign w:val="top"/>
          </w:tcPr>
          <w:p w14:paraId="6C1817A9">
            <w:pPr>
              <w:rPr>
                <w:rFonts w:eastAsia="仿宋_GB2312"/>
                <w:color w:val="auto"/>
                <w:sz w:val="30"/>
                <w:szCs w:val="30"/>
                <w:highlight w:val="none"/>
              </w:rPr>
            </w:pPr>
          </w:p>
        </w:tc>
        <w:tc>
          <w:tcPr>
            <w:tcW w:w="921" w:type="dxa"/>
            <w:noWrap w:val="0"/>
            <w:vAlign w:val="top"/>
          </w:tcPr>
          <w:p w14:paraId="11427ACE">
            <w:pPr>
              <w:rPr>
                <w:rFonts w:eastAsia="仿宋_GB2312"/>
                <w:color w:val="auto"/>
                <w:sz w:val="30"/>
                <w:szCs w:val="30"/>
                <w:highlight w:val="none"/>
              </w:rPr>
            </w:pPr>
          </w:p>
        </w:tc>
      </w:tr>
      <w:tr w14:paraId="4311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7F84305">
            <w:pPr>
              <w:rPr>
                <w:rFonts w:eastAsia="仿宋_GB2312"/>
                <w:color w:val="auto"/>
                <w:sz w:val="30"/>
                <w:szCs w:val="30"/>
                <w:highlight w:val="none"/>
              </w:rPr>
            </w:pPr>
          </w:p>
        </w:tc>
        <w:tc>
          <w:tcPr>
            <w:tcW w:w="1418" w:type="dxa"/>
            <w:noWrap w:val="0"/>
            <w:vAlign w:val="top"/>
          </w:tcPr>
          <w:p w14:paraId="1DE9DFA4">
            <w:pPr>
              <w:rPr>
                <w:rFonts w:eastAsia="仿宋_GB2312"/>
                <w:color w:val="auto"/>
                <w:sz w:val="30"/>
                <w:szCs w:val="30"/>
                <w:highlight w:val="none"/>
              </w:rPr>
            </w:pPr>
          </w:p>
        </w:tc>
        <w:tc>
          <w:tcPr>
            <w:tcW w:w="850" w:type="dxa"/>
            <w:noWrap w:val="0"/>
            <w:vAlign w:val="top"/>
          </w:tcPr>
          <w:p w14:paraId="5252758A">
            <w:pPr>
              <w:rPr>
                <w:rFonts w:eastAsia="仿宋_GB2312"/>
                <w:color w:val="auto"/>
                <w:sz w:val="30"/>
                <w:szCs w:val="30"/>
                <w:highlight w:val="none"/>
              </w:rPr>
            </w:pPr>
          </w:p>
        </w:tc>
        <w:tc>
          <w:tcPr>
            <w:tcW w:w="1058" w:type="dxa"/>
            <w:noWrap w:val="0"/>
            <w:vAlign w:val="top"/>
          </w:tcPr>
          <w:p w14:paraId="1C1F2434">
            <w:pPr>
              <w:rPr>
                <w:rFonts w:eastAsia="仿宋_GB2312"/>
                <w:color w:val="auto"/>
                <w:sz w:val="30"/>
                <w:szCs w:val="30"/>
                <w:highlight w:val="none"/>
              </w:rPr>
            </w:pPr>
          </w:p>
        </w:tc>
        <w:tc>
          <w:tcPr>
            <w:tcW w:w="880" w:type="dxa"/>
            <w:noWrap w:val="0"/>
            <w:vAlign w:val="top"/>
          </w:tcPr>
          <w:p w14:paraId="1E40E463">
            <w:pPr>
              <w:rPr>
                <w:rFonts w:eastAsia="仿宋_GB2312"/>
                <w:color w:val="auto"/>
                <w:sz w:val="30"/>
                <w:szCs w:val="30"/>
                <w:highlight w:val="none"/>
              </w:rPr>
            </w:pPr>
          </w:p>
        </w:tc>
        <w:tc>
          <w:tcPr>
            <w:tcW w:w="1020" w:type="dxa"/>
            <w:noWrap w:val="0"/>
            <w:vAlign w:val="top"/>
          </w:tcPr>
          <w:p w14:paraId="1BF83BDD">
            <w:pPr>
              <w:rPr>
                <w:rFonts w:eastAsia="仿宋_GB2312"/>
                <w:color w:val="auto"/>
                <w:sz w:val="30"/>
                <w:szCs w:val="30"/>
                <w:highlight w:val="none"/>
              </w:rPr>
            </w:pPr>
          </w:p>
        </w:tc>
        <w:tc>
          <w:tcPr>
            <w:tcW w:w="1480" w:type="dxa"/>
            <w:noWrap w:val="0"/>
            <w:vAlign w:val="top"/>
          </w:tcPr>
          <w:p w14:paraId="25723D15">
            <w:pPr>
              <w:rPr>
                <w:rFonts w:eastAsia="仿宋_GB2312"/>
                <w:color w:val="auto"/>
                <w:sz w:val="30"/>
                <w:szCs w:val="30"/>
                <w:highlight w:val="none"/>
              </w:rPr>
            </w:pPr>
          </w:p>
        </w:tc>
        <w:tc>
          <w:tcPr>
            <w:tcW w:w="1020" w:type="dxa"/>
            <w:noWrap w:val="0"/>
            <w:vAlign w:val="top"/>
          </w:tcPr>
          <w:p w14:paraId="5650D70F">
            <w:pPr>
              <w:rPr>
                <w:rFonts w:eastAsia="仿宋_GB2312"/>
                <w:color w:val="auto"/>
                <w:sz w:val="30"/>
                <w:szCs w:val="30"/>
                <w:highlight w:val="none"/>
              </w:rPr>
            </w:pPr>
          </w:p>
        </w:tc>
        <w:tc>
          <w:tcPr>
            <w:tcW w:w="921" w:type="dxa"/>
            <w:noWrap w:val="0"/>
            <w:vAlign w:val="top"/>
          </w:tcPr>
          <w:p w14:paraId="096A7087">
            <w:pPr>
              <w:rPr>
                <w:rFonts w:eastAsia="仿宋_GB2312"/>
                <w:color w:val="auto"/>
                <w:sz w:val="30"/>
                <w:szCs w:val="30"/>
                <w:highlight w:val="none"/>
              </w:rPr>
            </w:pPr>
          </w:p>
        </w:tc>
      </w:tr>
      <w:tr w14:paraId="48EA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F5813B5">
            <w:pPr>
              <w:rPr>
                <w:rFonts w:eastAsia="仿宋_GB2312"/>
                <w:color w:val="auto"/>
                <w:sz w:val="30"/>
                <w:szCs w:val="30"/>
                <w:highlight w:val="none"/>
              </w:rPr>
            </w:pPr>
          </w:p>
        </w:tc>
        <w:tc>
          <w:tcPr>
            <w:tcW w:w="1418" w:type="dxa"/>
            <w:noWrap w:val="0"/>
            <w:vAlign w:val="top"/>
          </w:tcPr>
          <w:p w14:paraId="4CC37B75">
            <w:pPr>
              <w:rPr>
                <w:rFonts w:eastAsia="仿宋_GB2312"/>
                <w:color w:val="auto"/>
                <w:sz w:val="30"/>
                <w:szCs w:val="30"/>
                <w:highlight w:val="none"/>
              </w:rPr>
            </w:pPr>
          </w:p>
        </w:tc>
        <w:tc>
          <w:tcPr>
            <w:tcW w:w="850" w:type="dxa"/>
            <w:noWrap w:val="0"/>
            <w:vAlign w:val="top"/>
          </w:tcPr>
          <w:p w14:paraId="37644E96">
            <w:pPr>
              <w:rPr>
                <w:rFonts w:eastAsia="仿宋_GB2312"/>
                <w:color w:val="auto"/>
                <w:sz w:val="30"/>
                <w:szCs w:val="30"/>
                <w:highlight w:val="none"/>
              </w:rPr>
            </w:pPr>
          </w:p>
        </w:tc>
        <w:tc>
          <w:tcPr>
            <w:tcW w:w="1058" w:type="dxa"/>
            <w:noWrap w:val="0"/>
            <w:vAlign w:val="top"/>
          </w:tcPr>
          <w:p w14:paraId="1811B077">
            <w:pPr>
              <w:rPr>
                <w:rFonts w:eastAsia="仿宋_GB2312"/>
                <w:color w:val="auto"/>
                <w:sz w:val="30"/>
                <w:szCs w:val="30"/>
                <w:highlight w:val="none"/>
              </w:rPr>
            </w:pPr>
          </w:p>
        </w:tc>
        <w:tc>
          <w:tcPr>
            <w:tcW w:w="880" w:type="dxa"/>
            <w:noWrap w:val="0"/>
            <w:vAlign w:val="top"/>
          </w:tcPr>
          <w:p w14:paraId="283F6074">
            <w:pPr>
              <w:rPr>
                <w:rFonts w:eastAsia="仿宋_GB2312"/>
                <w:color w:val="auto"/>
                <w:sz w:val="30"/>
                <w:szCs w:val="30"/>
                <w:highlight w:val="none"/>
              </w:rPr>
            </w:pPr>
          </w:p>
        </w:tc>
        <w:tc>
          <w:tcPr>
            <w:tcW w:w="1020" w:type="dxa"/>
            <w:noWrap w:val="0"/>
            <w:vAlign w:val="top"/>
          </w:tcPr>
          <w:p w14:paraId="217C6A9C">
            <w:pPr>
              <w:rPr>
                <w:rFonts w:eastAsia="仿宋_GB2312"/>
                <w:color w:val="auto"/>
                <w:sz w:val="30"/>
                <w:szCs w:val="30"/>
                <w:highlight w:val="none"/>
              </w:rPr>
            </w:pPr>
          </w:p>
        </w:tc>
        <w:tc>
          <w:tcPr>
            <w:tcW w:w="1480" w:type="dxa"/>
            <w:noWrap w:val="0"/>
            <w:vAlign w:val="top"/>
          </w:tcPr>
          <w:p w14:paraId="6EB65C0E">
            <w:pPr>
              <w:rPr>
                <w:rFonts w:eastAsia="仿宋_GB2312"/>
                <w:color w:val="auto"/>
                <w:sz w:val="30"/>
                <w:szCs w:val="30"/>
                <w:highlight w:val="none"/>
              </w:rPr>
            </w:pPr>
          </w:p>
        </w:tc>
        <w:tc>
          <w:tcPr>
            <w:tcW w:w="1020" w:type="dxa"/>
            <w:noWrap w:val="0"/>
            <w:vAlign w:val="top"/>
          </w:tcPr>
          <w:p w14:paraId="3DCB56F3">
            <w:pPr>
              <w:rPr>
                <w:rFonts w:eastAsia="仿宋_GB2312"/>
                <w:color w:val="auto"/>
                <w:sz w:val="30"/>
                <w:szCs w:val="30"/>
                <w:highlight w:val="none"/>
              </w:rPr>
            </w:pPr>
          </w:p>
        </w:tc>
        <w:tc>
          <w:tcPr>
            <w:tcW w:w="921" w:type="dxa"/>
            <w:noWrap w:val="0"/>
            <w:vAlign w:val="top"/>
          </w:tcPr>
          <w:p w14:paraId="5D807398">
            <w:pPr>
              <w:rPr>
                <w:rFonts w:eastAsia="仿宋_GB2312"/>
                <w:color w:val="auto"/>
                <w:sz w:val="30"/>
                <w:szCs w:val="30"/>
                <w:highlight w:val="none"/>
              </w:rPr>
            </w:pPr>
          </w:p>
        </w:tc>
      </w:tr>
      <w:tr w14:paraId="31C5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65A496A">
            <w:pPr>
              <w:rPr>
                <w:rFonts w:eastAsia="仿宋_GB2312"/>
                <w:color w:val="auto"/>
                <w:sz w:val="30"/>
                <w:szCs w:val="30"/>
                <w:highlight w:val="none"/>
              </w:rPr>
            </w:pPr>
          </w:p>
        </w:tc>
        <w:tc>
          <w:tcPr>
            <w:tcW w:w="1418" w:type="dxa"/>
            <w:noWrap w:val="0"/>
            <w:vAlign w:val="top"/>
          </w:tcPr>
          <w:p w14:paraId="52A1B262">
            <w:pPr>
              <w:rPr>
                <w:rFonts w:eastAsia="仿宋_GB2312"/>
                <w:color w:val="auto"/>
                <w:sz w:val="30"/>
                <w:szCs w:val="30"/>
                <w:highlight w:val="none"/>
              </w:rPr>
            </w:pPr>
          </w:p>
        </w:tc>
        <w:tc>
          <w:tcPr>
            <w:tcW w:w="850" w:type="dxa"/>
            <w:noWrap w:val="0"/>
            <w:vAlign w:val="top"/>
          </w:tcPr>
          <w:p w14:paraId="6B1F452E">
            <w:pPr>
              <w:rPr>
                <w:rFonts w:eastAsia="仿宋_GB2312"/>
                <w:color w:val="auto"/>
                <w:sz w:val="30"/>
                <w:szCs w:val="30"/>
                <w:highlight w:val="none"/>
              </w:rPr>
            </w:pPr>
          </w:p>
        </w:tc>
        <w:tc>
          <w:tcPr>
            <w:tcW w:w="1058" w:type="dxa"/>
            <w:noWrap w:val="0"/>
            <w:vAlign w:val="top"/>
          </w:tcPr>
          <w:p w14:paraId="3B5B1258">
            <w:pPr>
              <w:rPr>
                <w:rFonts w:eastAsia="仿宋_GB2312"/>
                <w:color w:val="auto"/>
                <w:sz w:val="30"/>
                <w:szCs w:val="30"/>
                <w:highlight w:val="none"/>
              </w:rPr>
            </w:pPr>
          </w:p>
        </w:tc>
        <w:tc>
          <w:tcPr>
            <w:tcW w:w="880" w:type="dxa"/>
            <w:noWrap w:val="0"/>
            <w:vAlign w:val="top"/>
          </w:tcPr>
          <w:p w14:paraId="67F2338D">
            <w:pPr>
              <w:rPr>
                <w:rFonts w:eastAsia="仿宋_GB2312"/>
                <w:color w:val="auto"/>
                <w:sz w:val="30"/>
                <w:szCs w:val="30"/>
                <w:highlight w:val="none"/>
              </w:rPr>
            </w:pPr>
          </w:p>
        </w:tc>
        <w:tc>
          <w:tcPr>
            <w:tcW w:w="1020" w:type="dxa"/>
            <w:noWrap w:val="0"/>
            <w:vAlign w:val="top"/>
          </w:tcPr>
          <w:p w14:paraId="50B04340">
            <w:pPr>
              <w:rPr>
                <w:rFonts w:eastAsia="仿宋_GB2312"/>
                <w:color w:val="auto"/>
                <w:sz w:val="30"/>
                <w:szCs w:val="30"/>
                <w:highlight w:val="none"/>
              </w:rPr>
            </w:pPr>
          </w:p>
        </w:tc>
        <w:tc>
          <w:tcPr>
            <w:tcW w:w="1480" w:type="dxa"/>
            <w:noWrap w:val="0"/>
            <w:vAlign w:val="top"/>
          </w:tcPr>
          <w:p w14:paraId="6BCF0ACC">
            <w:pPr>
              <w:rPr>
                <w:rFonts w:eastAsia="仿宋_GB2312"/>
                <w:color w:val="auto"/>
                <w:sz w:val="30"/>
                <w:szCs w:val="30"/>
                <w:highlight w:val="none"/>
              </w:rPr>
            </w:pPr>
          </w:p>
        </w:tc>
        <w:tc>
          <w:tcPr>
            <w:tcW w:w="1020" w:type="dxa"/>
            <w:noWrap w:val="0"/>
            <w:vAlign w:val="top"/>
          </w:tcPr>
          <w:p w14:paraId="230DE5BA">
            <w:pPr>
              <w:rPr>
                <w:rFonts w:eastAsia="仿宋_GB2312"/>
                <w:color w:val="auto"/>
                <w:sz w:val="30"/>
                <w:szCs w:val="30"/>
                <w:highlight w:val="none"/>
              </w:rPr>
            </w:pPr>
          </w:p>
        </w:tc>
        <w:tc>
          <w:tcPr>
            <w:tcW w:w="921" w:type="dxa"/>
            <w:noWrap w:val="0"/>
            <w:vAlign w:val="top"/>
          </w:tcPr>
          <w:p w14:paraId="767570A0">
            <w:pPr>
              <w:rPr>
                <w:rFonts w:eastAsia="仿宋_GB2312"/>
                <w:color w:val="auto"/>
                <w:sz w:val="30"/>
                <w:szCs w:val="30"/>
                <w:highlight w:val="none"/>
              </w:rPr>
            </w:pPr>
          </w:p>
        </w:tc>
      </w:tr>
    </w:tbl>
    <w:p w14:paraId="6C4CF2C2">
      <w:pPr>
        <w:spacing w:line="440" w:lineRule="exact"/>
        <w:rPr>
          <w:rFonts w:eastAsia="仿宋_GB2312"/>
          <w:color w:val="auto"/>
          <w:sz w:val="30"/>
          <w:szCs w:val="30"/>
          <w:highlight w:val="none"/>
        </w:rPr>
        <w:sectPr>
          <w:pgSz w:w="11907" w:h="16840"/>
          <w:pgMar w:top="1440" w:right="1701" w:bottom="1440" w:left="1701" w:header="851" w:footer="851" w:gutter="0"/>
          <w:pgNumType w:fmt="decimal"/>
          <w:cols w:space="720" w:num="1"/>
          <w:docGrid w:linePitch="312" w:charSpace="0"/>
        </w:sectPr>
      </w:pPr>
    </w:p>
    <w:p w14:paraId="3C7277C2">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290" w:name="_Toc296944567"/>
      <w:bookmarkStart w:id="1291" w:name="_Toc296891268"/>
      <w:bookmarkStart w:id="1292" w:name="_Toc296891056"/>
      <w:bookmarkStart w:id="1293" w:name="_Toc296346729"/>
      <w:bookmarkStart w:id="1294" w:name="_Toc296503228"/>
      <w:bookmarkStart w:id="1295" w:name="_Toc296347227"/>
      <w:bookmarkStart w:id="1296" w:name="_Toc267261699"/>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290"/>
    <w:bookmarkEnd w:id="1291"/>
    <w:bookmarkEnd w:id="1292"/>
    <w:bookmarkEnd w:id="1293"/>
    <w:bookmarkEnd w:id="1294"/>
    <w:bookmarkEnd w:id="1295"/>
    <w:bookmarkEnd w:id="1296"/>
    <w:p w14:paraId="027D4302">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8C6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BE77760">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14:paraId="0C9A254D">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14:paraId="0C73DA4C">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14:paraId="6093173D">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14:paraId="6EB78E81">
            <w:pPr>
              <w:pStyle w:val="18"/>
              <w:keepNext/>
              <w:spacing w:after="0" w:line="440" w:lineRule="exact"/>
              <w:ind w:left="0" w:leftChars="0"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7A2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B44451D">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3E1B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1C176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14:paraId="2412268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E99EBA2">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6F7E4D2B">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5E02980">
            <w:pPr>
              <w:pStyle w:val="18"/>
              <w:keepNext/>
              <w:spacing w:after="0" w:line="440" w:lineRule="exact"/>
              <w:ind w:left="63" w:right="63"/>
              <w:rPr>
                <w:rFonts w:eastAsia="仿宋_GB2312"/>
                <w:color w:val="auto"/>
                <w:sz w:val="30"/>
                <w:szCs w:val="30"/>
                <w:highlight w:val="none"/>
              </w:rPr>
            </w:pPr>
          </w:p>
        </w:tc>
      </w:tr>
      <w:tr w14:paraId="25F7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46428DA">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3D3A2C42">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19FCF93">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08108B48">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DCC81DD">
            <w:pPr>
              <w:pStyle w:val="18"/>
              <w:keepNext/>
              <w:spacing w:after="0" w:line="440" w:lineRule="exact"/>
              <w:ind w:left="63" w:right="63"/>
              <w:rPr>
                <w:rFonts w:eastAsia="仿宋_GB2312"/>
                <w:color w:val="auto"/>
                <w:sz w:val="30"/>
                <w:szCs w:val="30"/>
                <w:highlight w:val="none"/>
              </w:rPr>
            </w:pPr>
          </w:p>
        </w:tc>
      </w:tr>
      <w:tr w14:paraId="6294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11772B">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2E0B1C23">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62A5020">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090D373">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470355D">
            <w:pPr>
              <w:pStyle w:val="18"/>
              <w:keepNext/>
              <w:spacing w:after="0" w:line="440" w:lineRule="exact"/>
              <w:ind w:left="63" w:right="63"/>
              <w:rPr>
                <w:rFonts w:eastAsia="仿宋_GB2312"/>
                <w:color w:val="auto"/>
                <w:sz w:val="30"/>
                <w:szCs w:val="30"/>
                <w:highlight w:val="none"/>
              </w:rPr>
            </w:pPr>
          </w:p>
        </w:tc>
      </w:tr>
      <w:tr w14:paraId="42E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035F8D">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264C56C6">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5A961008">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3CAD62B">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7E17EF35">
            <w:pPr>
              <w:pStyle w:val="18"/>
              <w:keepNext/>
              <w:spacing w:after="0" w:line="440" w:lineRule="exact"/>
              <w:ind w:left="63" w:right="63"/>
              <w:rPr>
                <w:rFonts w:eastAsia="仿宋_GB2312"/>
                <w:color w:val="auto"/>
                <w:sz w:val="30"/>
                <w:szCs w:val="30"/>
                <w:highlight w:val="none"/>
              </w:rPr>
            </w:pPr>
          </w:p>
        </w:tc>
      </w:tr>
      <w:tr w14:paraId="30D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72C6090">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3EA9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440118">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14:paraId="23049C26">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1040BCBC">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0FF3EF25">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AF41221">
            <w:pPr>
              <w:pStyle w:val="18"/>
              <w:keepNext/>
              <w:spacing w:after="0" w:line="440" w:lineRule="exact"/>
              <w:ind w:left="63" w:right="63"/>
              <w:rPr>
                <w:rFonts w:eastAsia="仿宋_GB2312"/>
                <w:color w:val="auto"/>
                <w:sz w:val="30"/>
                <w:szCs w:val="30"/>
                <w:highlight w:val="none"/>
              </w:rPr>
            </w:pPr>
          </w:p>
        </w:tc>
      </w:tr>
      <w:tr w14:paraId="7330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71BF36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14:paraId="08271B8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43BAD02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D6612E8">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251836F">
            <w:pPr>
              <w:pStyle w:val="18"/>
              <w:keepNext/>
              <w:spacing w:after="0" w:line="440" w:lineRule="exact"/>
              <w:ind w:left="63" w:right="63"/>
              <w:rPr>
                <w:rFonts w:eastAsia="仿宋_GB2312"/>
                <w:color w:val="auto"/>
                <w:sz w:val="30"/>
                <w:szCs w:val="30"/>
                <w:highlight w:val="none"/>
              </w:rPr>
            </w:pPr>
          </w:p>
        </w:tc>
      </w:tr>
      <w:tr w14:paraId="3D6E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F57B3B3">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14:paraId="68E86CD7">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01449D6F">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A8CAD97">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79799C55">
            <w:pPr>
              <w:pStyle w:val="18"/>
              <w:keepNext/>
              <w:spacing w:after="0" w:line="440" w:lineRule="exact"/>
              <w:ind w:left="63" w:right="63"/>
              <w:rPr>
                <w:rFonts w:eastAsia="仿宋_GB2312"/>
                <w:color w:val="auto"/>
                <w:sz w:val="30"/>
                <w:szCs w:val="30"/>
                <w:highlight w:val="none"/>
              </w:rPr>
            </w:pPr>
          </w:p>
        </w:tc>
      </w:tr>
      <w:tr w14:paraId="1B3B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2BB4ECD">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14:paraId="09CBB430">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2E2CAA7">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51D47BC">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648024D">
            <w:pPr>
              <w:pStyle w:val="18"/>
              <w:keepNext/>
              <w:spacing w:after="0" w:line="440" w:lineRule="exact"/>
              <w:ind w:left="63" w:right="63"/>
              <w:rPr>
                <w:rFonts w:eastAsia="仿宋_GB2312"/>
                <w:color w:val="auto"/>
                <w:sz w:val="30"/>
                <w:szCs w:val="30"/>
                <w:highlight w:val="none"/>
              </w:rPr>
            </w:pPr>
          </w:p>
        </w:tc>
      </w:tr>
      <w:tr w14:paraId="48EA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79A39E0">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14:paraId="54CB59A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704396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A03DECA">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6677D289">
            <w:pPr>
              <w:pStyle w:val="18"/>
              <w:keepNext/>
              <w:spacing w:after="0" w:line="440" w:lineRule="exact"/>
              <w:ind w:left="63" w:right="63"/>
              <w:rPr>
                <w:rFonts w:eastAsia="仿宋_GB2312"/>
                <w:color w:val="auto"/>
                <w:sz w:val="30"/>
                <w:szCs w:val="30"/>
                <w:highlight w:val="none"/>
              </w:rPr>
            </w:pPr>
          </w:p>
        </w:tc>
      </w:tr>
      <w:tr w14:paraId="37C4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E4CD778">
            <w:pPr>
              <w:pStyle w:val="18"/>
              <w:keepNext/>
              <w:spacing w:line="440" w:lineRule="exact"/>
              <w:ind w:left="63" w:right="63"/>
              <w:rPr>
                <w:rFonts w:eastAsia="仿宋_GB2312"/>
                <w:color w:val="auto"/>
                <w:sz w:val="28"/>
                <w:szCs w:val="28"/>
                <w:highlight w:val="none"/>
              </w:rPr>
            </w:pPr>
          </w:p>
        </w:tc>
        <w:tc>
          <w:tcPr>
            <w:tcW w:w="1418" w:type="dxa"/>
            <w:noWrap w:val="0"/>
            <w:vAlign w:val="center"/>
          </w:tcPr>
          <w:p w14:paraId="14BE6F2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00032964">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D5FA635">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29287D0D">
            <w:pPr>
              <w:pStyle w:val="18"/>
              <w:keepNext/>
              <w:spacing w:after="0" w:line="440" w:lineRule="exact"/>
              <w:ind w:left="63" w:right="63"/>
              <w:rPr>
                <w:rFonts w:eastAsia="仿宋_GB2312"/>
                <w:color w:val="auto"/>
                <w:sz w:val="30"/>
                <w:szCs w:val="30"/>
                <w:highlight w:val="none"/>
              </w:rPr>
            </w:pPr>
          </w:p>
        </w:tc>
      </w:tr>
      <w:tr w14:paraId="05A7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58646BE">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3F0393A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4EA98190">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7B52CEC">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7E1C19D1">
            <w:pPr>
              <w:pStyle w:val="18"/>
              <w:keepNext/>
              <w:spacing w:after="0" w:line="440" w:lineRule="exact"/>
              <w:ind w:left="63" w:right="63"/>
              <w:rPr>
                <w:rFonts w:eastAsia="仿宋_GB2312"/>
                <w:color w:val="auto"/>
                <w:sz w:val="30"/>
                <w:szCs w:val="30"/>
                <w:highlight w:val="none"/>
              </w:rPr>
            </w:pPr>
          </w:p>
        </w:tc>
      </w:tr>
      <w:tr w14:paraId="2AF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E5E216F">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14:paraId="61B10518">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259F714">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D6432CE">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69E1C31D">
            <w:pPr>
              <w:pStyle w:val="18"/>
              <w:keepNext/>
              <w:spacing w:after="0" w:line="440" w:lineRule="exact"/>
              <w:ind w:left="63" w:right="63"/>
              <w:rPr>
                <w:rFonts w:eastAsia="仿宋_GB2312"/>
                <w:color w:val="auto"/>
                <w:sz w:val="30"/>
                <w:szCs w:val="30"/>
                <w:highlight w:val="none"/>
              </w:rPr>
            </w:pPr>
          </w:p>
        </w:tc>
      </w:tr>
      <w:tr w14:paraId="648A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BDFF11">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14:paraId="6D2C447F">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413DBE4D">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F389631">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224AFD97">
            <w:pPr>
              <w:pStyle w:val="18"/>
              <w:keepNext/>
              <w:spacing w:after="0" w:line="440" w:lineRule="exact"/>
              <w:ind w:left="63" w:right="63"/>
              <w:rPr>
                <w:rFonts w:eastAsia="仿宋_GB2312"/>
                <w:color w:val="auto"/>
                <w:sz w:val="30"/>
                <w:szCs w:val="30"/>
                <w:highlight w:val="none"/>
              </w:rPr>
            </w:pPr>
          </w:p>
        </w:tc>
      </w:tr>
      <w:tr w14:paraId="1D6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AAAAF15">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14:paraId="658BA4B7">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4911FD69">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3D3A623">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4B14FD0">
            <w:pPr>
              <w:pStyle w:val="18"/>
              <w:keepNext/>
              <w:spacing w:after="0" w:line="440" w:lineRule="exact"/>
              <w:ind w:left="63" w:right="63"/>
              <w:rPr>
                <w:rFonts w:eastAsia="仿宋_GB2312"/>
                <w:color w:val="auto"/>
                <w:sz w:val="30"/>
                <w:szCs w:val="30"/>
                <w:highlight w:val="none"/>
              </w:rPr>
            </w:pPr>
          </w:p>
        </w:tc>
      </w:tr>
      <w:tr w14:paraId="148C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55FB001">
            <w:pPr>
              <w:pStyle w:val="18"/>
              <w:keepNext/>
              <w:spacing w:line="440" w:lineRule="exact"/>
              <w:ind w:left="63" w:right="63"/>
              <w:rPr>
                <w:rFonts w:eastAsia="仿宋_GB2312"/>
                <w:color w:val="auto"/>
                <w:sz w:val="28"/>
                <w:szCs w:val="28"/>
                <w:highlight w:val="none"/>
              </w:rPr>
            </w:pPr>
          </w:p>
        </w:tc>
        <w:tc>
          <w:tcPr>
            <w:tcW w:w="1418" w:type="dxa"/>
            <w:noWrap w:val="0"/>
            <w:vAlign w:val="center"/>
          </w:tcPr>
          <w:p w14:paraId="65019A56">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FCCE78C">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782637C">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EE75762">
            <w:pPr>
              <w:pStyle w:val="18"/>
              <w:keepNext/>
              <w:spacing w:after="0" w:line="440" w:lineRule="exact"/>
              <w:ind w:left="63" w:right="63"/>
              <w:rPr>
                <w:rFonts w:eastAsia="仿宋_GB2312"/>
                <w:color w:val="auto"/>
                <w:sz w:val="30"/>
                <w:szCs w:val="30"/>
                <w:highlight w:val="none"/>
              </w:rPr>
            </w:pPr>
          </w:p>
        </w:tc>
      </w:tr>
      <w:tr w14:paraId="5084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A95291C">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03CFF19D">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2ECFA639">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2250D19C">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C1F8DB8">
            <w:pPr>
              <w:pStyle w:val="18"/>
              <w:keepNext/>
              <w:spacing w:after="0" w:line="440" w:lineRule="exact"/>
              <w:ind w:left="63" w:right="63"/>
              <w:rPr>
                <w:rFonts w:eastAsia="仿宋_GB2312"/>
                <w:color w:val="auto"/>
                <w:sz w:val="30"/>
                <w:szCs w:val="30"/>
                <w:highlight w:val="none"/>
              </w:rPr>
            </w:pPr>
          </w:p>
        </w:tc>
      </w:tr>
      <w:tr w14:paraId="4CC4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6918218">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1AC8BDE6">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E00AF6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5060B7E">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DA9A433">
            <w:pPr>
              <w:pStyle w:val="18"/>
              <w:keepNext/>
              <w:spacing w:after="0" w:line="440" w:lineRule="exact"/>
              <w:ind w:left="63" w:right="63"/>
              <w:rPr>
                <w:rFonts w:eastAsia="仿宋_GB2312"/>
                <w:color w:val="auto"/>
                <w:sz w:val="30"/>
                <w:szCs w:val="30"/>
                <w:highlight w:val="none"/>
              </w:rPr>
            </w:pPr>
          </w:p>
        </w:tc>
      </w:tr>
      <w:tr w14:paraId="162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E6A0A13">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743CB602">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177A9D6">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2E22B91E">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EAA9B22">
            <w:pPr>
              <w:pStyle w:val="18"/>
              <w:keepNext/>
              <w:spacing w:after="0" w:line="440" w:lineRule="exact"/>
              <w:ind w:left="63" w:right="63"/>
              <w:rPr>
                <w:rFonts w:eastAsia="仿宋_GB2312"/>
                <w:color w:val="auto"/>
                <w:sz w:val="30"/>
                <w:szCs w:val="30"/>
                <w:highlight w:val="none"/>
              </w:rPr>
            </w:pPr>
          </w:p>
        </w:tc>
      </w:tr>
      <w:tr w14:paraId="7143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EE338FD">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159CBB58">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EE4B492">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3D8B2470">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857B11B">
            <w:pPr>
              <w:pStyle w:val="18"/>
              <w:keepNext/>
              <w:spacing w:after="0" w:line="440" w:lineRule="exact"/>
              <w:ind w:left="63" w:right="63"/>
              <w:rPr>
                <w:rFonts w:eastAsia="仿宋_GB2312"/>
                <w:color w:val="auto"/>
                <w:sz w:val="30"/>
                <w:szCs w:val="30"/>
                <w:highlight w:val="none"/>
              </w:rPr>
            </w:pPr>
          </w:p>
        </w:tc>
      </w:tr>
      <w:tr w14:paraId="4E71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5875C49">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6FEECC0B">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D9ED58C">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0232377D">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658472E0">
            <w:pPr>
              <w:pStyle w:val="18"/>
              <w:keepNext/>
              <w:spacing w:after="0" w:line="440" w:lineRule="exact"/>
              <w:ind w:left="63" w:right="63"/>
              <w:rPr>
                <w:rFonts w:eastAsia="仿宋_GB2312"/>
                <w:color w:val="auto"/>
                <w:sz w:val="30"/>
                <w:szCs w:val="30"/>
                <w:highlight w:val="none"/>
              </w:rPr>
            </w:pPr>
          </w:p>
        </w:tc>
      </w:tr>
      <w:tr w14:paraId="3A8B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E79ABA0">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1488AC54">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05F784D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601F699">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F51C9ED">
            <w:pPr>
              <w:pStyle w:val="18"/>
              <w:keepNext/>
              <w:spacing w:after="0" w:line="440" w:lineRule="exact"/>
              <w:ind w:left="63" w:right="63"/>
              <w:rPr>
                <w:rFonts w:eastAsia="仿宋_GB2312"/>
                <w:color w:val="auto"/>
                <w:sz w:val="30"/>
                <w:szCs w:val="30"/>
                <w:highlight w:val="none"/>
              </w:rPr>
            </w:pPr>
          </w:p>
        </w:tc>
      </w:tr>
      <w:tr w14:paraId="263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30B4266">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62C41A5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5263CA71">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FD01AA3">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76398EA">
            <w:pPr>
              <w:pStyle w:val="18"/>
              <w:keepNext/>
              <w:spacing w:after="0" w:line="440" w:lineRule="exact"/>
              <w:ind w:left="63" w:right="63"/>
              <w:rPr>
                <w:rFonts w:eastAsia="仿宋_GB2312"/>
                <w:color w:val="auto"/>
                <w:sz w:val="30"/>
                <w:szCs w:val="30"/>
                <w:highlight w:val="none"/>
              </w:rPr>
            </w:pPr>
          </w:p>
        </w:tc>
      </w:tr>
    </w:tbl>
    <w:p w14:paraId="4C548FC4">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297" w:name="_Toc296944568"/>
      <w:bookmarkStart w:id="1298" w:name="_Toc296891269"/>
      <w:bookmarkStart w:id="1299" w:name="_Toc296891057"/>
      <w:bookmarkStart w:id="1300" w:name="_Toc296347228"/>
      <w:bookmarkStart w:id="1301" w:name="_Toc296346730"/>
      <w:bookmarkStart w:id="1302" w:name="_Toc296503229"/>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297"/>
    <w:bookmarkEnd w:id="1298"/>
    <w:bookmarkEnd w:id="1299"/>
    <w:bookmarkEnd w:id="1300"/>
    <w:bookmarkEnd w:id="1301"/>
    <w:bookmarkEnd w:id="1302"/>
    <w:p w14:paraId="41A82152">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94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44BCF52">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14:paraId="792E6AC1">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14:paraId="188CF853">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14:paraId="6DAB4390">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14:paraId="3C9EB5AB">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5DA7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6FAB755">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14:paraId="141F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B92BA5">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14:paraId="2C7B863E">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54DA0EDF">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0478F2F">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28785288">
            <w:pPr>
              <w:pStyle w:val="18"/>
              <w:keepNext/>
              <w:spacing w:after="0" w:line="440" w:lineRule="exact"/>
              <w:ind w:left="63" w:right="63"/>
              <w:rPr>
                <w:rFonts w:eastAsia="仿宋_GB2312"/>
                <w:color w:val="auto"/>
                <w:sz w:val="30"/>
                <w:szCs w:val="30"/>
                <w:highlight w:val="none"/>
              </w:rPr>
            </w:pPr>
          </w:p>
        </w:tc>
      </w:tr>
      <w:tr w14:paraId="6B2B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7DB0D61">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5EEE8CDF">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0E987538">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4840339">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0F71FDB7">
            <w:pPr>
              <w:pStyle w:val="18"/>
              <w:keepNext/>
              <w:spacing w:after="0" w:line="440" w:lineRule="exact"/>
              <w:ind w:left="63" w:right="63"/>
              <w:rPr>
                <w:rFonts w:eastAsia="仿宋_GB2312"/>
                <w:color w:val="auto"/>
                <w:sz w:val="30"/>
                <w:szCs w:val="30"/>
                <w:highlight w:val="none"/>
              </w:rPr>
            </w:pPr>
          </w:p>
        </w:tc>
      </w:tr>
      <w:tr w14:paraId="556F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03DF205">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2D94FC69">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9B2A12E">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2A62EFF3">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9990BA5">
            <w:pPr>
              <w:pStyle w:val="18"/>
              <w:keepNext/>
              <w:spacing w:after="0" w:line="440" w:lineRule="exact"/>
              <w:ind w:left="63" w:right="63"/>
              <w:rPr>
                <w:rFonts w:eastAsia="仿宋_GB2312"/>
                <w:color w:val="auto"/>
                <w:sz w:val="30"/>
                <w:szCs w:val="30"/>
                <w:highlight w:val="none"/>
              </w:rPr>
            </w:pPr>
          </w:p>
        </w:tc>
      </w:tr>
      <w:tr w14:paraId="2CE5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53B46FF">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76710BB1">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7C65CF6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01F2B83A">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7AB4276">
            <w:pPr>
              <w:pStyle w:val="18"/>
              <w:keepNext/>
              <w:spacing w:after="0" w:line="440" w:lineRule="exact"/>
              <w:ind w:left="63" w:right="63"/>
              <w:rPr>
                <w:rFonts w:eastAsia="仿宋_GB2312"/>
                <w:color w:val="auto"/>
                <w:sz w:val="30"/>
                <w:szCs w:val="30"/>
                <w:highlight w:val="none"/>
              </w:rPr>
            </w:pPr>
          </w:p>
        </w:tc>
      </w:tr>
      <w:tr w14:paraId="6FCA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461F570">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14:paraId="773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4C01E3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14:paraId="71312C9D">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D9CAD01">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7E9A020">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6E8AD06">
            <w:pPr>
              <w:pStyle w:val="18"/>
              <w:keepNext/>
              <w:spacing w:after="0" w:line="440" w:lineRule="exact"/>
              <w:ind w:left="63" w:right="63"/>
              <w:rPr>
                <w:rFonts w:eastAsia="仿宋_GB2312"/>
                <w:color w:val="auto"/>
                <w:sz w:val="30"/>
                <w:szCs w:val="30"/>
                <w:highlight w:val="none"/>
              </w:rPr>
            </w:pPr>
          </w:p>
        </w:tc>
      </w:tr>
      <w:tr w14:paraId="0932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1CC79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14:paraId="5EDC1E6D">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E473144">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6F595E7">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71462489">
            <w:pPr>
              <w:pStyle w:val="18"/>
              <w:keepNext/>
              <w:spacing w:after="0" w:line="440" w:lineRule="exact"/>
              <w:ind w:left="63" w:right="63"/>
              <w:rPr>
                <w:rFonts w:eastAsia="仿宋_GB2312"/>
                <w:color w:val="auto"/>
                <w:sz w:val="30"/>
                <w:szCs w:val="30"/>
                <w:highlight w:val="none"/>
              </w:rPr>
            </w:pPr>
          </w:p>
        </w:tc>
      </w:tr>
      <w:tr w14:paraId="046A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D1705A2">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14:paraId="73FF79CF">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1353071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2F2E336A">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7A45BFF2">
            <w:pPr>
              <w:pStyle w:val="18"/>
              <w:keepNext/>
              <w:spacing w:after="0" w:line="440" w:lineRule="exact"/>
              <w:ind w:left="63" w:right="63"/>
              <w:rPr>
                <w:rFonts w:eastAsia="仿宋_GB2312"/>
                <w:color w:val="auto"/>
                <w:sz w:val="30"/>
                <w:szCs w:val="30"/>
                <w:highlight w:val="none"/>
              </w:rPr>
            </w:pPr>
          </w:p>
        </w:tc>
      </w:tr>
      <w:tr w14:paraId="7899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3EE01A7">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14:paraId="3286D0A2">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15149286">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D4ED31A">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035A6CB9">
            <w:pPr>
              <w:pStyle w:val="18"/>
              <w:keepNext/>
              <w:spacing w:after="0" w:line="440" w:lineRule="exact"/>
              <w:ind w:left="63" w:right="63"/>
              <w:rPr>
                <w:rFonts w:eastAsia="仿宋_GB2312"/>
                <w:color w:val="auto"/>
                <w:sz w:val="30"/>
                <w:szCs w:val="30"/>
                <w:highlight w:val="none"/>
              </w:rPr>
            </w:pPr>
          </w:p>
        </w:tc>
      </w:tr>
      <w:tr w14:paraId="1DC7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CBF5F0F">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14:paraId="0AF9CE1C">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69BF3BD">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78660CD8">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254F6E27">
            <w:pPr>
              <w:pStyle w:val="18"/>
              <w:keepNext/>
              <w:spacing w:after="0" w:line="440" w:lineRule="exact"/>
              <w:ind w:left="63" w:right="63"/>
              <w:rPr>
                <w:rFonts w:eastAsia="仿宋_GB2312"/>
                <w:color w:val="auto"/>
                <w:sz w:val="30"/>
                <w:szCs w:val="30"/>
                <w:highlight w:val="none"/>
              </w:rPr>
            </w:pPr>
          </w:p>
        </w:tc>
      </w:tr>
      <w:tr w14:paraId="018E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7453464">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14:paraId="2905146B">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1143A709">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0CB90339">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AB2EC8F">
            <w:pPr>
              <w:pStyle w:val="18"/>
              <w:keepNext/>
              <w:spacing w:after="0" w:line="440" w:lineRule="exact"/>
              <w:ind w:left="63" w:right="63"/>
              <w:rPr>
                <w:rFonts w:eastAsia="仿宋_GB2312"/>
                <w:color w:val="auto"/>
                <w:sz w:val="30"/>
                <w:szCs w:val="30"/>
                <w:highlight w:val="none"/>
              </w:rPr>
            </w:pPr>
          </w:p>
        </w:tc>
      </w:tr>
      <w:tr w14:paraId="5D0A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42BB3F">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14:paraId="3F7C08A8">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24DF7A6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9C17E34">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28D7F3B3">
            <w:pPr>
              <w:pStyle w:val="18"/>
              <w:keepNext/>
              <w:spacing w:after="0" w:line="440" w:lineRule="exact"/>
              <w:ind w:left="63" w:right="63"/>
              <w:rPr>
                <w:rFonts w:eastAsia="仿宋_GB2312"/>
                <w:color w:val="auto"/>
                <w:sz w:val="30"/>
                <w:szCs w:val="30"/>
                <w:highlight w:val="none"/>
              </w:rPr>
            </w:pPr>
          </w:p>
        </w:tc>
      </w:tr>
      <w:tr w14:paraId="5AAC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F0E349E">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14:paraId="48293648">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830E735">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373A62ED">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78CEB19">
            <w:pPr>
              <w:pStyle w:val="18"/>
              <w:keepNext/>
              <w:spacing w:after="0" w:line="440" w:lineRule="exact"/>
              <w:ind w:left="63" w:right="63"/>
              <w:rPr>
                <w:rFonts w:eastAsia="仿宋_GB2312"/>
                <w:color w:val="auto"/>
                <w:sz w:val="30"/>
                <w:szCs w:val="30"/>
                <w:highlight w:val="none"/>
              </w:rPr>
            </w:pPr>
          </w:p>
        </w:tc>
      </w:tr>
      <w:tr w14:paraId="7B35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EFB9DE6">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14:paraId="6199D569">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6302D17E">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362AA692">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5F2DF4D">
            <w:pPr>
              <w:pStyle w:val="18"/>
              <w:keepNext/>
              <w:spacing w:after="0" w:line="440" w:lineRule="exact"/>
              <w:ind w:left="63" w:right="63"/>
              <w:rPr>
                <w:rFonts w:eastAsia="仿宋_GB2312"/>
                <w:color w:val="auto"/>
                <w:sz w:val="30"/>
                <w:szCs w:val="30"/>
                <w:highlight w:val="none"/>
              </w:rPr>
            </w:pPr>
          </w:p>
        </w:tc>
      </w:tr>
      <w:tr w14:paraId="3581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53D3B6">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31881121">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67F3A29C">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321B1AB3">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FCC2714">
            <w:pPr>
              <w:pStyle w:val="18"/>
              <w:keepNext/>
              <w:spacing w:after="0" w:line="440" w:lineRule="exact"/>
              <w:ind w:left="63" w:right="63"/>
              <w:rPr>
                <w:rFonts w:eastAsia="仿宋_GB2312"/>
                <w:color w:val="auto"/>
                <w:sz w:val="30"/>
                <w:szCs w:val="30"/>
                <w:highlight w:val="none"/>
              </w:rPr>
            </w:pPr>
          </w:p>
        </w:tc>
      </w:tr>
      <w:tr w14:paraId="47B5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C0C39E3">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37E591CD">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09BC346B">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4989872F">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3615D370">
            <w:pPr>
              <w:pStyle w:val="18"/>
              <w:keepNext/>
              <w:spacing w:after="0" w:line="440" w:lineRule="exact"/>
              <w:ind w:left="63" w:right="63"/>
              <w:rPr>
                <w:rFonts w:eastAsia="仿宋_GB2312"/>
                <w:color w:val="auto"/>
                <w:sz w:val="30"/>
                <w:szCs w:val="30"/>
                <w:highlight w:val="none"/>
              </w:rPr>
            </w:pPr>
          </w:p>
        </w:tc>
      </w:tr>
      <w:tr w14:paraId="1860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1BF2725">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15E0FF97">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6EB2AA0C">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6918E2BE">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5BD5F24F">
            <w:pPr>
              <w:pStyle w:val="18"/>
              <w:keepNext/>
              <w:spacing w:after="0" w:line="440" w:lineRule="exact"/>
              <w:ind w:left="63" w:right="63"/>
              <w:rPr>
                <w:rFonts w:eastAsia="仿宋_GB2312"/>
                <w:color w:val="auto"/>
                <w:sz w:val="30"/>
                <w:szCs w:val="30"/>
                <w:highlight w:val="none"/>
              </w:rPr>
            </w:pPr>
          </w:p>
        </w:tc>
      </w:tr>
      <w:tr w14:paraId="51DB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218CA24">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56B28C6A">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344DBD02">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55AEB258">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4107E779">
            <w:pPr>
              <w:pStyle w:val="18"/>
              <w:keepNext/>
              <w:spacing w:after="0" w:line="440" w:lineRule="exact"/>
              <w:ind w:left="63" w:right="63"/>
              <w:rPr>
                <w:rFonts w:eastAsia="仿宋_GB2312"/>
                <w:color w:val="auto"/>
                <w:sz w:val="30"/>
                <w:szCs w:val="30"/>
                <w:highlight w:val="none"/>
              </w:rPr>
            </w:pPr>
          </w:p>
        </w:tc>
      </w:tr>
      <w:tr w14:paraId="26C2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1505598">
            <w:pPr>
              <w:pStyle w:val="18"/>
              <w:keepNext/>
              <w:spacing w:after="0" w:line="440" w:lineRule="exact"/>
              <w:ind w:left="63" w:right="63"/>
              <w:rPr>
                <w:rFonts w:eastAsia="仿宋_GB2312"/>
                <w:color w:val="auto"/>
                <w:sz w:val="28"/>
                <w:szCs w:val="28"/>
                <w:highlight w:val="none"/>
              </w:rPr>
            </w:pPr>
          </w:p>
        </w:tc>
        <w:tc>
          <w:tcPr>
            <w:tcW w:w="1418" w:type="dxa"/>
            <w:noWrap w:val="0"/>
            <w:vAlign w:val="center"/>
          </w:tcPr>
          <w:p w14:paraId="1E38B956">
            <w:pPr>
              <w:pStyle w:val="18"/>
              <w:keepNext/>
              <w:spacing w:after="0" w:line="440" w:lineRule="exact"/>
              <w:ind w:left="63" w:right="63"/>
              <w:rPr>
                <w:rFonts w:eastAsia="仿宋_GB2312"/>
                <w:color w:val="auto"/>
                <w:sz w:val="28"/>
                <w:szCs w:val="28"/>
                <w:highlight w:val="none"/>
              </w:rPr>
            </w:pPr>
          </w:p>
        </w:tc>
        <w:tc>
          <w:tcPr>
            <w:tcW w:w="1134" w:type="dxa"/>
            <w:noWrap w:val="0"/>
            <w:vAlign w:val="center"/>
          </w:tcPr>
          <w:p w14:paraId="173A3C0D">
            <w:pPr>
              <w:pStyle w:val="18"/>
              <w:keepNext/>
              <w:spacing w:after="0" w:line="440" w:lineRule="exact"/>
              <w:ind w:left="63" w:right="63"/>
              <w:rPr>
                <w:rFonts w:eastAsia="仿宋_GB2312"/>
                <w:color w:val="auto"/>
                <w:sz w:val="30"/>
                <w:szCs w:val="30"/>
                <w:highlight w:val="none"/>
              </w:rPr>
            </w:pPr>
          </w:p>
        </w:tc>
        <w:tc>
          <w:tcPr>
            <w:tcW w:w="1134" w:type="dxa"/>
            <w:noWrap w:val="0"/>
            <w:vAlign w:val="center"/>
          </w:tcPr>
          <w:p w14:paraId="1414C6E4">
            <w:pPr>
              <w:pStyle w:val="18"/>
              <w:keepNext/>
              <w:spacing w:after="0" w:line="440" w:lineRule="exact"/>
              <w:ind w:left="63" w:right="63"/>
              <w:rPr>
                <w:rFonts w:eastAsia="仿宋_GB2312"/>
                <w:color w:val="auto"/>
                <w:sz w:val="30"/>
                <w:szCs w:val="30"/>
                <w:highlight w:val="none"/>
              </w:rPr>
            </w:pPr>
          </w:p>
        </w:tc>
        <w:tc>
          <w:tcPr>
            <w:tcW w:w="4252" w:type="dxa"/>
            <w:noWrap w:val="0"/>
            <w:vAlign w:val="center"/>
          </w:tcPr>
          <w:p w14:paraId="11D5768D">
            <w:pPr>
              <w:pStyle w:val="18"/>
              <w:keepNext/>
              <w:spacing w:after="0" w:line="440" w:lineRule="exact"/>
              <w:ind w:left="63" w:right="63"/>
              <w:rPr>
                <w:rFonts w:eastAsia="仿宋_GB2312"/>
                <w:color w:val="auto"/>
                <w:sz w:val="30"/>
                <w:szCs w:val="30"/>
                <w:highlight w:val="none"/>
              </w:rPr>
            </w:pPr>
          </w:p>
        </w:tc>
      </w:tr>
    </w:tbl>
    <w:p w14:paraId="0CB4EDFB">
      <w:pPr>
        <w:spacing w:line="360" w:lineRule="auto"/>
        <w:jc w:val="left"/>
        <w:rPr>
          <w:rFonts w:hint="eastAsia" w:ascii="黑体" w:hAnsi="黑体" w:eastAsia="黑体" w:cs="黑体"/>
          <w:color w:val="auto"/>
          <w:sz w:val="32"/>
          <w:szCs w:val="32"/>
          <w:highlight w:val="none"/>
        </w:rPr>
      </w:pPr>
      <w:r>
        <w:rPr>
          <w:rFonts w:eastAsia="仿宋_GB2312"/>
          <w:color w:val="auto"/>
          <w:sz w:val="30"/>
          <w:szCs w:val="30"/>
          <w:highlight w:val="none"/>
        </w:rPr>
        <w:br w:type="page"/>
      </w:r>
      <w:bookmarkStart w:id="1303" w:name="_Toc267261701"/>
      <w:r>
        <w:rPr>
          <w:rFonts w:hint="eastAsia" w:ascii="黑体" w:hAnsi="黑体" w:eastAsia="黑体" w:cs="黑体"/>
          <w:color w:val="auto"/>
          <w:sz w:val="32"/>
          <w:szCs w:val="32"/>
          <w:highlight w:val="none"/>
        </w:rPr>
        <w:t>附件7</w:t>
      </w:r>
    </w:p>
    <w:p w14:paraId="16E50F56">
      <w:pPr>
        <w:spacing w:line="360" w:lineRule="auto"/>
        <w:jc w:val="left"/>
        <w:rPr>
          <w:rFonts w:ascii="黑体" w:hAnsi="黑体" w:eastAsia="黑体" w:cs="黑体"/>
          <w:b/>
          <w:bCs/>
          <w:color w:val="auto"/>
          <w:sz w:val="32"/>
          <w:szCs w:val="32"/>
          <w:highlight w:val="none"/>
        </w:rPr>
      </w:pPr>
    </w:p>
    <w:p w14:paraId="58B0061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04B9BA9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FF433B8">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4660549C">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176ED04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4D18A93F">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7E97137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3B9E071B">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3BCD424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49E5020D">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5754496C">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14410B2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0C38BF0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67DBE91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7EBFA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78EC4D3F">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358884E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AF2AD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653524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62FAFCC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2A706C5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9563CA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7B0B3D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ED403B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527FB21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2AB0AE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98881A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63FCA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C0EC33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F6C81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6E06C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47540D3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71D4D26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23DD2AA">
      <w:pPr>
        <w:spacing w:line="360" w:lineRule="auto"/>
        <w:ind w:firstLine="480" w:firstLineChars="200"/>
        <w:rPr>
          <w:color w:val="auto"/>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669F787E">
      <w:pPr>
        <w:spacing w:line="360" w:lineRule="auto"/>
        <w:jc w:val="left"/>
        <w:rPr>
          <w:rFonts w:eastAsia="仿宋_GB2312"/>
          <w:color w:val="auto"/>
          <w:sz w:val="30"/>
          <w:szCs w:val="30"/>
          <w:highlight w:val="none"/>
        </w:rPr>
      </w:pPr>
    </w:p>
    <w:p w14:paraId="1F2D7B4C">
      <w:pPr>
        <w:spacing w:line="360" w:lineRule="auto"/>
        <w:jc w:val="left"/>
        <w:rPr>
          <w:rFonts w:ascii="宋体" w:hAnsi="宋体"/>
          <w:color w:val="auto"/>
          <w:sz w:val="32"/>
          <w:szCs w:val="32"/>
          <w:highlight w:val="none"/>
        </w:rPr>
      </w:pPr>
      <w:r>
        <w:rPr>
          <w:rFonts w:hint="eastAsia" w:eastAsia="仿宋_GB2312" w:cs="仿宋_GB2312"/>
          <w:color w:val="auto"/>
          <w:sz w:val="30"/>
          <w:szCs w:val="30"/>
          <w:highlight w:val="none"/>
        </w:rPr>
        <w:t>附</w:t>
      </w:r>
      <w:bookmarkStart w:id="1304" w:name="_Toc296891059"/>
      <w:bookmarkStart w:id="1305" w:name="_Toc296891271"/>
      <w:bookmarkStart w:id="1306" w:name="_Toc296503231"/>
      <w:bookmarkStart w:id="1307" w:name="_Toc296346732"/>
      <w:bookmarkStart w:id="1308" w:name="_Toc296944570"/>
      <w:bookmarkStart w:id="1309" w:name="_Toc296347230"/>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p w14:paraId="1D354398">
      <w:pPr>
        <w:spacing w:line="360" w:lineRule="auto"/>
        <w:rPr>
          <w:rFonts w:ascii="宋体" w:hAnsi="宋体"/>
          <w:b/>
          <w:bCs/>
          <w:color w:val="auto"/>
          <w:sz w:val="32"/>
          <w:szCs w:val="32"/>
          <w:highlight w:val="none"/>
        </w:rPr>
      </w:pPr>
    </w:p>
    <w:p w14:paraId="764A884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01F063A">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2CCCAD7F">
      <w:pPr>
        <w:spacing w:line="360" w:lineRule="auto"/>
        <w:jc w:val="center"/>
        <w:rPr>
          <w:rFonts w:ascii="宋体" w:hAnsi="宋体"/>
          <w:b/>
          <w:bCs/>
          <w:color w:val="auto"/>
          <w:sz w:val="32"/>
          <w:szCs w:val="32"/>
          <w:highlight w:val="none"/>
        </w:rPr>
      </w:pPr>
    </w:p>
    <w:p w14:paraId="00D9584F">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34A98A17">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42A7878A">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4947F455">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7957A002">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3056BB8C">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0E2A015C">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21AA9435">
      <w:pPr>
        <w:spacing w:line="360" w:lineRule="auto"/>
        <w:rPr>
          <w:rFonts w:ascii="宋体" w:hAnsi="宋体"/>
          <w:color w:val="auto"/>
          <w:sz w:val="24"/>
          <w:szCs w:val="24"/>
          <w:highlight w:val="none"/>
        </w:rPr>
      </w:pPr>
    </w:p>
    <w:p w14:paraId="5C2844F8">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0357FA8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00D24ED7">
      <w:pPr>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258816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3C69B8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85EDE4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28BC99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779E0E3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5936DA7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05FEE8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5B75C5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3ACE10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6ABA2CC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61C2BE7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3E2CAC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65A1C02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4C2E64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412DF049">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4F6BEC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512D474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29A25B0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5D45B0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41B6E61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0851E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14D63FD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0D186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423549B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747E92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64BDC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0DD17D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A0F732E">
      <w:pPr>
        <w:spacing w:line="360" w:lineRule="auto"/>
        <w:ind w:firstLine="480" w:firstLineChars="200"/>
        <w:rPr>
          <w:rFonts w:ascii="宋体" w:hAnsi="宋体"/>
          <w:color w:val="auto"/>
          <w:sz w:val="24"/>
          <w:szCs w:val="24"/>
          <w:highlight w:val="none"/>
        </w:rPr>
      </w:pPr>
    </w:p>
    <w:p w14:paraId="6BFF05E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4F333FC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58DC91F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E752F0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6671F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0261C7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C5C641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680AC394">
      <w:pPr>
        <w:rPr>
          <w:color w:val="auto"/>
          <w:highlight w:val="none"/>
        </w:rPr>
      </w:pPr>
    </w:p>
    <w:p w14:paraId="697D94CB">
      <w:pPr>
        <w:rPr>
          <w:color w:val="auto"/>
          <w:highlight w:val="none"/>
        </w:rPr>
      </w:pPr>
    </w:p>
    <w:bookmarkEnd w:id="1303"/>
    <w:bookmarkEnd w:id="1304"/>
    <w:bookmarkEnd w:id="1305"/>
    <w:bookmarkEnd w:id="1306"/>
    <w:bookmarkEnd w:id="1307"/>
    <w:bookmarkEnd w:id="1308"/>
    <w:bookmarkEnd w:id="1309"/>
    <w:p w14:paraId="3E49259C">
      <w:pPr>
        <w:spacing w:line="360" w:lineRule="auto"/>
        <w:jc w:val="left"/>
        <w:rPr>
          <w:rFonts w:hint="eastAsia" w:eastAsia="仿宋_GB2312" w:cs="仿宋_GB2312"/>
          <w:color w:val="auto"/>
          <w:sz w:val="30"/>
          <w:szCs w:val="30"/>
          <w:highlight w:val="none"/>
        </w:rPr>
        <w:sectPr>
          <w:headerReference r:id="rId11" w:type="default"/>
          <w:footerReference r:id="rId12" w:type="default"/>
          <w:pgSz w:w="11906" w:h="16838"/>
          <w:pgMar w:top="1440" w:right="1701" w:bottom="1440" w:left="1701" w:header="851" w:footer="992" w:gutter="0"/>
          <w:pgNumType w:fmt="decimal"/>
          <w:cols w:space="720" w:num="1"/>
          <w:titlePg/>
          <w:docGrid w:type="lines" w:linePitch="312" w:charSpace="0"/>
        </w:sectPr>
      </w:pPr>
    </w:p>
    <w:p w14:paraId="553C6FC7">
      <w:pPr>
        <w:spacing w:line="360" w:lineRule="auto"/>
        <w:jc w:val="left"/>
        <w:rPr>
          <w:rFonts w:ascii="黑体" w:hAnsi="黑体" w:eastAsia="黑体" w:cs="黑体"/>
          <w:color w:val="auto"/>
          <w:sz w:val="32"/>
          <w:szCs w:val="32"/>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14:paraId="38BF3D2D">
      <w:pPr>
        <w:spacing w:line="360" w:lineRule="auto"/>
        <w:jc w:val="left"/>
        <w:rPr>
          <w:rFonts w:ascii="黑体" w:hAnsi="黑体" w:eastAsia="黑体" w:cs="黑体"/>
          <w:b/>
          <w:bCs/>
          <w:color w:val="auto"/>
          <w:sz w:val="32"/>
          <w:szCs w:val="32"/>
          <w:highlight w:val="none"/>
        </w:rPr>
      </w:pPr>
    </w:p>
    <w:p w14:paraId="3E7AE8A7">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5ECFFACC">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471F6A6">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DC31534">
      <w:pPr>
        <w:spacing w:line="360" w:lineRule="auto"/>
        <w:rPr>
          <w:rFonts w:ascii="宋体" w:hAnsi="宋体"/>
          <w:color w:val="auto"/>
          <w:sz w:val="24"/>
          <w:szCs w:val="24"/>
          <w:highlight w:val="none"/>
        </w:rPr>
      </w:pPr>
    </w:p>
    <w:p w14:paraId="4B1267DD">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71145B1D">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106C3D19">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0B5840D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4D6790C7">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22D6B4E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3A2BA310">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36AECF99">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0727E6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0ABCCA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7456542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8D4DA8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54121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6EEADE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71075B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5AA559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556DAC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28F7CF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2C53FE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10EAF11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2C3D8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152287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47CBF5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49ADC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2103D003">
      <w:pPr>
        <w:spacing w:line="360" w:lineRule="auto"/>
        <w:ind w:firstLine="480" w:firstLineChars="200"/>
        <w:rPr>
          <w:rFonts w:ascii="宋体" w:hAnsi="宋体"/>
          <w:color w:val="auto"/>
          <w:sz w:val="24"/>
          <w:szCs w:val="24"/>
          <w:highlight w:val="none"/>
        </w:rPr>
      </w:pPr>
    </w:p>
    <w:p w14:paraId="034D0579">
      <w:pPr>
        <w:spacing w:line="360" w:lineRule="auto"/>
        <w:ind w:firstLine="480" w:firstLineChars="200"/>
        <w:rPr>
          <w:rFonts w:ascii="宋体" w:hAnsi="宋体"/>
          <w:color w:val="auto"/>
          <w:sz w:val="24"/>
          <w:szCs w:val="24"/>
          <w:highlight w:val="none"/>
        </w:rPr>
      </w:pPr>
    </w:p>
    <w:p w14:paraId="551C91A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744B5DA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1C8BEC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4615E6B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67264CF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0777F0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37761E65">
      <w:pPr>
        <w:rPr>
          <w:color w:val="auto"/>
          <w:highlight w:val="none"/>
        </w:rPr>
      </w:pPr>
      <w:r>
        <w:rPr>
          <w:rFonts w:hint="eastAsia" w:ascii="宋体" w:hAnsi="宋体"/>
          <w:color w:val="auto"/>
          <w:sz w:val="24"/>
          <w:szCs w:val="24"/>
          <w:highlight w:val="none"/>
        </w:rPr>
        <w:t xml:space="preserve">    开立时间：</w:t>
      </w:r>
      <w:r>
        <w:rPr>
          <w:rFonts w:ascii="宋体" w:hAnsi="宋体"/>
          <w:color w:val="auto"/>
          <w:sz w:val="24"/>
          <w:szCs w:val="24"/>
          <w:highlight w:val="none"/>
        </w:rPr>
        <w:t xml:space="preserve">      年      月        日</w:t>
      </w:r>
    </w:p>
    <w:p w14:paraId="3EC5492C">
      <w:pPr>
        <w:spacing w:line="360" w:lineRule="auto"/>
        <w:jc w:val="center"/>
        <w:rPr>
          <w:rFonts w:ascii="宋体" w:hAnsi="宋体"/>
          <w:b/>
          <w:bCs/>
          <w:color w:val="auto"/>
          <w:sz w:val="32"/>
          <w:szCs w:val="32"/>
          <w:highlight w:val="none"/>
        </w:rPr>
      </w:pPr>
    </w:p>
    <w:p w14:paraId="70C0AAC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201C539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0F87CF55">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774DCE10">
      <w:pPr>
        <w:spacing w:line="360" w:lineRule="auto"/>
        <w:rPr>
          <w:rFonts w:ascii="宋体" w:hAnsi="宋体"/>
          <w:color w:val="auto"/>
          <w:sz w:val="24"/>
          <w:szCs w:val="24"/>
          <w:highlight w:val="none"/>
        </w:rPr>
      </w:pPr>
    </w:p>
    <w:p w14:paraId="0E70C071">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6655D6C8">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5F7F06E7">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1254D0BA">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31BD3023">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2E4A6978">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4FC831F">
      <w:pPr>
        <w:spacing w:line="360" w:lineRule="auto"/>
        <w:rPr>
          <w:rFonts w:ascii="宋体" w:hAnsi="宋体"/>
          <w:color w:val="auto"/>
          <w:sz w:val="24"/>
          <w:szCs w:val="24"/>
          <w:highlight w:val="none"/>
        </w:rPr>
      </w:pPr>
    </w:p>
    <w:p w14:paraId="3C23874C">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20269E4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356524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122DC7B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086DD0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D448D0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180CBDB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4C7249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3DAC7CCF">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49C909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7EE164FF">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573F453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61B209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7228E92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5F5848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5AAE30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43F01C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3A8661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26E5A5B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25B36E3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DC4BA1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52F6826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1930BA3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7CC4BB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36D111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1139D1B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62713114">
      <w:pPr>
        <w:spacing w:line="360" w:lineRule="auto"/>
        <w:ind w:firstLine="480" w:firstLineChars="200"/>
        <w:rPr>
          <w:rFonts w:ascii="宋体" w:hAnsi="宋体"/>
          <w:color w:val="auto"/>
          <w:sz w:val="24"/>
          <w:szCs w:val="24"/>
          <w:highlight w:val="none"/>
        </w:rPr>
      </w:pPr>
    </w:p>
    <w:p w14:paraId="787152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8FB615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43883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546A197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1D45064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09BB97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2591E9E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04FF260D">
      <w:pPr>
        <w:rPr>
          <w:color w:val="auto"/>
          <w:highlight w:val="none"/>
        </w:rPr>
      </w:pPr>
    </w:p>
    <w:p w14:paraId="7BB43234">
      <w:pPr>
        <w:spacing w:line="360" w:lineRule="auto"/>
        <w:jc w:val="center"/>
        <w:rPr>
          <w:rFonts w:hint="eastAsia" w:ascii="宋体" w:hAnsi="宋体"/>
          <w:b/>
          <w:bCs/>
          <w:color w:val="auto"/>
          <w:sz w:val="32"/>
          <w:szCs w:val="32"/>
          <w:highlight w:val="none"/>
        </w:rPr>
      </w:pPr>
    </w:p>
    <w:p w14:paraId="1435627D">
      <w:pPr>
        <w:spacing w:line="440" w:lineRule="exact"/>
        <w:rPr>
          <w:rFonts w:hint="eastAsia" w:eastAsia="仿宋_GB2312" w:cs="仿宋_GB2312"/>
          <w:color w:val="auto"/>
          <w:sz w:val="30"/>
          <w:szCs w:val="30"/>
          <w:highlight w:val="none"/>
        </w:rPr>
        <w:sectPr>
          <w:pgSz w:w="11906" w:h="16838"/>
          <w:pgMar w:top="1440" w:right="1701" w:bottom="1440" w:left="1701" w:header="851" w:footer="992" w:gutter="0"/>
          <w:pgNumType w:fmt="decimal"/>
          <w:cols w:space="720" w:num="1"/>
          <w:titlePg/>
          <w:docGrid w:type="lines" w:linePitch="312" w:charSpace="0"/>
        </w:sectPr>
      </w:pPr>
    </w:p>
    <w:p w14:paraId="736D7112">
      <w:pPr>
        <w:spacing w:line="440" w:lineRule="exact"/>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14:paraId="5FF460F8">
      <w:pPr>
        <w:spacing w:line="360" w:lineRule="auto"/>
        <w:jc w:val="left"/>
        <w:rPr>
          <w:rFonts w:ascii="黑体" w:hAnsi="黑体" w:eastAsia="黑体" w:cs="黑体"/>
          <w:b/>
          <w:bCs/>
          <w:color w:val="auto"/>
          <w:sz w:val="32"/>
          <w:szCs w:val="32"/>
          <w:highlight w:val="none"/>
        </w:rPr>
      </w:pPr>
    </w:p>
    <w:p w14:paraId="2E1434B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314A15A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09FF63F9">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2AE6DA3E">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2933D3F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752D06FC">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791E6FD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095CD3F9">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1C0F817B">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46F1F08C">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28F3B289">
      <w:pPr>
        <w:spacing w:line="360" w:lineRule="auto"/>
        <w:rPr>
          <w:rFonts w:ascii="宋体" w:hAnsi="宋体"/>
          <w:color w:val="auto"/>
          <w:sz w:val="24"/>
          <w:szCs w:val="24"/>
          <w:highlight w:val="none"/>
        </w:rPr>
      </w:pPr>
      <w:bookmarkStart w:id="1310"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1310"/>
    <w:p w14:paraId="5423E12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17D568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1D0BE7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E97A9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3A837D93">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621D6E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205480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2B1146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0CE47D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3E800E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0926836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1F2F95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6591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22D5A1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04673F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73B2D0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1311" w:name="_Hlk58487855"/>
      <w:r>
        <w:rPr>
          <w:rFonts w:hint="eastAsia" w:ascii="宋体" w:hAnsi="宋体"/>
          <w:color w:val="auto"/>
          <w:sz w:val="24"/>
          <w:szCs w:val="24"/>
          <w:highlight w:val="none"/>
        </w:rPr>
        <w:t>或授权代表</w:t>
      </w:r>
      <w:bookmarkEnd w:id="1311"/>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993F8C0">
      <w:pPr>
        <w:spacing w:line="360" w:lineRule="auto"/>
        <w:ind w:firstLine="480" w:firstLineChars="200"/>
        <w:rPr>
          <w:rFonts w:ascii="宋体" w:hAnsi="宋体"/>
          <w:color w:val="auto"/>
          <w:sz w:val="24"/>
          <w:szCs w:val="24"/>
          <w:highlight w:val="none"/>
        </w:rPr>
      </w:pPr>
    </w:p>
    <w:p w14:paraId="08C2D07F">
      <w:pPr>
        <w:spacing w:line="360" w:lineRule="auto"/>
        <w:ind w:firstLine="480" w:firstLineChars="200"/>
        <w:rPr>
          <w:rFonts w:ascii="宋体" w:hAnsi="宋体"/>
          <w:color w:val="auto"/>
          <w:sz w:val="24"/>
          <w:szCs w:val="24"/>
          <w:highlight w:val="none"/>
        </w:rPr>
      </w:pPr>
    </w:p>
    <w:p w14:paraId="68B93C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E6636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5E6D97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7D3D50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11C4C9B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46BFAA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52F40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20EBA53C">
      <w:pPr>
        <w:spacing w:line="360" w:lineRule="auto"/>
        <w:ind w:firstLine="480" w:firstLineChars="200"/>
        <w:rPr>
          <w:rFonts w:ascii="宋体" w:hAnsi="宋体"/>
          <w:color w:val="auto"/>
          <w:sz w:val="24"/>
          <w:szCs w:val="24"/>
          <w:highlight w:val="none"/>
        </w:rPr>
      </w:pPr>
    </w:p>
    <w:p w14:paraId="21B443D4">
      <w:pPr>
        <w:spacing w:line="360" w:lineRule="auto"/>
        <w:jc w:val="center"/>
        <w:rPr>
          <w:rFonts w:hint="eastAsia" w:ascii="宋体" w:hAnsi="宋体"/>
          <w:b/>
          <w:bCs/>
          <w:color w:val="auto"/>
          <w:sz w:val="32"/>
          <w:szCs w:val="32"/>
          <w:highlight w:val="none"/>
        </w:rPr>
        <w:sectPr>
          <w:pgSz w:w="11906" w:h="16838"/>
          <w:pgMar w:top="1440" w:right="1701" w:bottom="1440" w:left="1701" w:header="851" w:footer="992" w:gutter="0"/>
          <w:pgNumType w:fmt="decimal"/>
          <w:cols w:space="720" w:num="1"/>
          <w:titlePg/>
          <w:docGrid w:type="lines" w:linePitch="312" w:charSpace="0"/>
        </w:sectPr>
      </w:pPr>
    </w:p>
    <w:p w14:paraId="0A8D1927">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0F9A6D8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5D37148C">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265EC3F4">
      <w:pPr>
        <w:wordWrap w:val="0"/>
        <w:spacing w:line="360" w:lineRule="auto"/>
        <w:jc w:val="right"/>
        <w:rPr>
          <w:rFonts w:ascii="宋体" w:hAnsi="宋体"/>
          <w:color w:val="auto"/>
          <w:highlight w:val="none"/>
        </w:rPr>
      </w:pPr>
      <w:r>
        <w:rPr>
          <w:rFonts w:ascii="宋体" w:hAnsi="宋体"/>
          <w:color w:val="auto"/>
          <w:highlight w:val="none"/>
        </w:rPr>
        <w:t xml:space="preserve">     </w:t>
      </w:r>
    </w:p>
    <w:p w14:paraId="5B8CE039">
      <w:pPr>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4DC66B8B">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5150FE55">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291C6300">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35152103">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05F3E3C2">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3D25D49F">
      <w:pPr>
        <w:spacing w:line="360" w:lineRule="auto"/>
        <w:rPr>
          <w:rFonts w:ascii="宋体" w:hAnsi="宋体"/>
          <w:color w:val="auto"/>
          <w:sz w:val="24"/>
          <w:szCs w:val="24"/>
          <w:highlight w:val="none"/>
        </w:rPr>
      </w:pPr>
    </w:p>
    <w:p w14:paraId="18E3A8BC">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7039E2A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3213F7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5ED1AF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5AAAED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F4B2FC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3CFF84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02E970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54F4DD62">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680853E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3BA6DAA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4401914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583F73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73BF1F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709611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6517D8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59262A5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4B2590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72BFF95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57332A91">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7D9164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A3178C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2962056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3A7B7B72">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4EA8C27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3073811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18DA11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0A6E7E8A">
      <w:pPr>
        <w:spacing w:line="360" w:lineRule="auto"/>
        <w:ind w:firstLine="480" w:firstLineChars="200"/>
        <w:rPr>
          <w:rFonts w:ascii="宋体" w:hAnsi="宋体"/>
          <w:color w:val="auto"/>
          <w:sz w:val="24"/>
          <w:szCs w:val="24"/>
          <w:highlight w:val="none"/>
        </w:rPr>
      </w:pPr>
    </w:p>
    <w:p w14:paraId="2750541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99DA8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1E79F35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5D30A8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3150EB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1E10C6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FD84CF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288DFF15">
      <w:pPr>
        <w:rPr>
          <w:color w:val="auto"/>
          <w:highlight w:val="none"/>
        </w:rPr>
      </w:pPr>
    </w:p>
    <w:p w14:paraId="3EF54F85">
      <w:pPr>
        <w:spacing w:line="360" w:lineRule="auto"/>
        <w:ind w:firstLine="480" w:firstLineChars="200"/>
        <w:rPr>
          <w:rFonts w:ascii="宋体" w:hAnsi="宋体"/>
          <w:color w:val="auto"/>
          <w:sz w:val="24"/>
          <w:szCs w:val="24"/>
          <w:highlight w:val="none"/>
        </w:rPr>
      </w:pPr>
    </w:p>
    <w:p w14:paraId="5A27380B">
      <w:pPr>
        <w:spacing w:line="360" w:lineRule="auto"/>
        <w:ind w:firstLine="420" w:firstLineChars="200"/>
        <w:rPr>
          <w:rFonts w:hint="eastAsia"/>
          <w:color w:val="auto"/>
          <w:highlight w:val="none"/>
        </w:rPr>
      </w:pPr>
    </w:p>
    <w:p w14:paraId="4627C45B">
      <w:pPr>
        <w:jc w:val="left"/>
        <w:rPr>
          <w:rFonts w:hint="eastAsia" w:hAnsi="宋体" w:cs="宋体"/>
          <w:color w:val="auto"/>
          <w:sz w:val="30"/>
          <w:szCs w:val="30"/>
          <w:highlight w:val="none"/>
        </w:rPr>
        <w:sectPr>
          <w:pgSz w:w="11906" w:h="16838"/>
          <w:pgMar w:top="1440" w:right="1701" w:bottom="1440" w:left="1701" w:header="851" w:footer="992" w:gutter="0"/>
          <w:pgNumType w:fmt="decimal"/>
          <w:cols w:space="720" w:num="1"/>
          <w:titlePg/>
          <w:docGrid w:type="lines" w:linePitch="312" w:charSpace="0"/>
        </w:sectPr>
      </w:pPr>
    </w:p>
    <w:p w14:paraId="3C9FF83A">
      <w:pPr>
        <w:jc w:val="left"/>
        <w:rPr>
          <w:rFonts w:hint="eastAsia" w:hAnsi="宋体" w:cs="宋体"/>
          <w:color w:val="auto"/>
          <w:sz w:val="30"/>
          <w:szCs w:val="30"/>
          <w:highlight w:val="none"/>
        </w:rPr>
      </w:pPr>
      <w:r>
        <w:rPr>
          <w:rFonts w:hint="eastAsia" w:hAnsi="宋体" w:cs="宋体"/>
          <w:color w:val="auto"/>
          <w:sz w:val="30"/>
          <w:szCs w:val="30"/>
          <w:highlight w:val="none"/>
        </w:rPr>
        <w:t>附件10：</w:t>
      </w:r>
    </w:p>
    <w:p w14:paraId="67341718">
      <w:pPr>
        <w:jc w:val="center"/>
        <w:rPr>
          <w:rFonts w:hint="eastAsia"/>
          <w:b/>
          <w:color w:val="auto"/>
          <w:sz w:val="36"/>
          <w:szCs w:val="36"/>
          <w:highlight w:val="none"/>
        </w:rPr>
      </w:pPr>
      <w:r>
        <w:rPr>
          <w:rFonts w:hint="eastAsia"/>
          <w:b/>
          <w:color w:val="auto"/>
          <w:sz w:val="36"/>
          <w:szCs w:val="36"/>
          <w:highlight w:val="none"/>
        </w:rPr>
        <w:t>预付款支付申请（核准）表</w:t>
      </w:r>
    </w:p>
    <w:p w14:paraId="34D37B3A">
      <w:pPr>
        <w:rPr>
          <w:rFonts w:hint="eastAsia"/>
          <w:color w:val="auto"/>
          <w:sz w:val="24"/>
          <w:szCs w:val="24"/>
          <w:highlight w:val="none"/>
        </w:rPr>
      </w:pPr>
      <w:r>
        <w:rPr>
          <w:rFonts w:hint="eastAsia"/>
          <w:color w:val="auto"/>
          <w:sz w:val="24"/>
          <w:szCs w:val="24"/>
          <w:highlight w:val="none"/>
        </w:rPr>
        <w:t>工程名称：                                             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459E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14BFAB1E">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7679A8A">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4C71CE59">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4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1635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5AC6D6CB">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14:paraId="1E424522">
                  <w:pPr>
                    <w:spacing w:line="280" w:lineRule="exact"/>
                    <w:jc w:val="center"/>
                    <w:rPr>
                      <w:rFonts w:hint="eastAsia"/>
                      <w:color w:val="auto"/>
                      <w:highlight w:val="none"/>
                    </w:rPr>
                  </w:pPr>
                  <w:r>
                    <w:rPr>
                      <w:rFonts w:hint="eastAsia"/>
                      <w:color w:val="auto"/>
                      <w:highlight w:val="none"/>
                    </w:rPr>
                    <w:t>名      称</w:t>
                  </w:r>
                </w:p>
              </w:tc>
              <w:tc>
                <w:tcPr>
                  <w:tcW w:w="1764" w:type="dxa"/>
                  <w:noWrap w:val="0"/>
                  <w:vAlign w:val="center"/>
                </w:tcPr>
                <w:p w14:paraId="21762D02">
                  <w:pPr>
                    <w:spacing w:line="280" w:lineRule="exact"/>
                    <w:jc w:val="center"/>
                    <w:rPr>
                      <w:rFonts w:hint="eastAsia"/>
                      <w:color w:val="auto"/>
                      <w:highlight w:val="none"/>
                    </w:rPr>
                  </w:pPr>
                  <w:r>
                    <w:rPr>
                      <w:rFonts w:hint="eastAsia"/>
                      <w:color w:val="auto"/>
                      <w:highlight w:val="none"/>
                    </w:rPr>
                    <w:t>申请金额（元）</w:t>
                  </w:r>
                </w:p>
              </w:tc>
              <w:tc>
                <w:tcPr>
                  <w:tcW w:w="2240" w:type="dxa"/>
                  <w:noWrap w:val="0"/>
                  <w:vAlign w:val="center"/>
                </w:tcPr>
                <w:p w14:paraId="6737C47D">
                  <w:pPr>
                    <w:spacing w:line="280" w:lineRule="exact"/>
                    <w:jc w:val="center"/>
                    <w:rPr>
                      <w:rFonts w:hint="eastAsia"/>
                      <w:color w:val="auto"/>
                      <w:highlight w:val="none"/>
                    </w:rPr>
                  </w:pPr>
                  <w:r>
                    <w:rPr>
                      <w:rFonts w:hint="eastAsia"/>
                      <w:color w:val="auto"/>
                      <w:highlight w:val="none"/>
                    </w:rPr>
                    <w:t>复核金额（元）</w:t>
                  </w:r>
                </w:p>
              </w:tc>
              <w:tc>
                <w:tcPr>
                  <w:tcW w:w="1080" w:type="dxa"/>
                  <w:noWrap w:val="0"/>
                  <w:vAlign w:val="center"/>
                </w:tcPr>
                <w:p w14:paraId="6AEF7881">
                  <w:pPr>
                    <w:spacing w:line="280" w:lineRule="exact"/>
                    <w:jc w:val="center"/>
                    <w:rPr>
                      <w:rFonts w:hint="eastAsia"/>
                      <w:color w:val="auto"/>
                      <w:highlight w:val="none"/>
                    </w:rPr>
                  </w:pPr>
                  <w:r>
                    <w:rPr>
                      <w:rFonts w:hint="eastAsia"/>
                      <w:color w:val="auto"/>
                      <w:highlight w:val="none"/>
                    </w:rPr>
                    <w:t>备注</w:t>
                  </w:r>
                </w:p>
              </w:tc>
            </w:tr>
            <w:tr w14:paraId="723E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931E969">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14:paraId="2B7E33BB">
                  <w:pPr>
                    <w:spacing w:line="280" w:lineRule="exact"/>
                    <w:rPr>
                      <w:rFonts w:hint="eastAsia"/>
                      <w:color w:val="auto"/>
                      <w:highlight w:val="none"/>
                    </w:rPr>
                  </w:pPr>
                  <w:r>
                    <w:rPr>
                      <w:rFonts w:hint="eastAsia"/>
                      <w:color w:val="auto"/>
                      <w:highlight w:val="none"/>
                    </w:rPr>
                    <w:t>已签约合同价款金额</w:t>
                  </w:r>
                </w:p>
              </w:tc>
              <w:tc>
                <w:tcPr>
                  <w:tcW w:w="1764" w:type="dxa"/>
                  <w:noWrap w:val="0"/>
                  <w:vAlign w:val="top"/>
                </w:tcPr>
                <w:p w14:paraId="4CED5A24">
                  <w:pPr>
                    <w:spacing w:line="280" w:lineRule="exact"/>
                    <w:rPr>
                      <w:rFonts w:hint="eastAsia"/>
                      <w:color w:val="auto"/>
                      <w:highlight w:val="none"/>
                    </w:rPr>
                  </w:pPr>
                </w:p>
              </w:tc>
              <w:tc>
                <w:tcPr>
                  <w:tcW w:w="2240" w:type="dxa"/>
                  <w:noWrap w:val="0"/>
                  <w:vAlign w:val="top"/>
                </w:tcPr>
                <w:p w14:paraId="157C0A4B">
                  <w:pPr>
                    <w:spacing w:line="280" w:lineRule="exact"/>
                    <w:rPr>
                      <w:rFonts w:hint="eastAsia"/>
                      <w:color w:val="auto"/>
                      <w:highlight w:val="none"/>
                    </w:rPr>
                  </w:pPr>
                </w:p>
              </w:tc>
              <w:tc>
                <w:tcPr>
                  <w:tcW w:w="1080" w:type="dxa"/>
                  <w:noWrap w:val="0"/>
                  <w:vAlign w:val="top"/>
                </w:tcPr>
                <w:p w14:paraId="7ABB2B41">
                  <w:pPr>
                    <w:spacing w:line="280" w:lineRule="exact"/>
                    <w:rPr>
                      <w:rFonts w:hint="eastAsia"/>
                      <w:color w:val="auto"/>
                      <w:highlight w:val="none"/>
                    </w:rPr>
                  </w:pPr>
                </w:p>
              </w:tc>
            </w:tr>
            <w:tr w14:paraId="67CD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9763108">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14:paraId="2AC4A688">
                  <w:pPr>
                    <w:spacing w:line="280" w:lineRule="exact"/>
                    <w:rPr>
                      <w:rFonts w:hint="eastAsia"/>
                      <w:color w:val="auto"/>
                      <w:highlight w:val="none"/>
                    </w:rPr>
                  </w:pPr>
                  <w:r>
                    <w:rPr>
                      <w:rFonts w:hint="eastAsia"/>
                      <w:color w:val="auto"/>
                      <w:highlight w:val="none"/>
                    </w:rPr>
                    <w:t>其中：安全文明施工费</w:t>
                  </w:r>
                </w:p>
              </w:tc>
              <w:tc>
                <w:tcPr>
                  <w:tcW w:w="1764" w:type="dxa"/>
                  <w:noWrap w:val="0"/>
                  <w:vAlign w:val="top"/>
                </w:tcPr>
                <w:p w14:paraId="7F8DCB5A">
                  <w:pPr>
                    <w:spacing w:line="280" w:lineRule="exact"/>
                    <w:rPr>
                      <w:rFonts w:hint="eastAsia"/>
                      <w:color w:val="auto"/>
                      <w:highlight w:val="none"/>
                    </w:rPr>
                  </w:pPr>
                </w:p>
              </w:tc>
              <w:tc>
                <w:tcPr>
                  <w:tcW w:w="2240" w:type="dxa"/>
                  <w:noWrap w:val="0"/>
                  <w:vAlign w:val="top"/>
                </w:tcPr>
                <w:p w14:paraId="1482106C">
                  <w:pPr>
                    <w:spacing w:line="280" w:lineRule="exact"/>
                    <w:rPr>
                      <w:rFonts w:hint="eastAsia"/>
                      <w:color w:val="auto"/>
                      <w:highlight w:val="none"/>
                    </w:rPr>
                  </w:pPr>
                </w:p>
              </w:tc>
              <w:tc>
                <w:tcPr>
                  <w:tcW w:w="1080" w:type="dxa"/>
                  <w:noWrap w:val="0"/>
                  <w:vAlign w:val="top"/>
                </w:tcPr>
                <w:p w14:paraId="58E08F4D">
                  <w:pPr>
                    <w:spacing w:line="280" w:lineRule="exact"/>
                    <w:rPr>
                      <w:rFonts w:hint="eastAsia"/>
                      <w:color w:val="auto"/>
                      <w:highlight w:val="none"/>
                    </w:rPr>
                  </w:pPr>
                </w:p>
              </w:tc>
            </w:tr>
            <w:tr w14:paraId="3D50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84F07BB">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14:paraId="53A59109">
                  <w:pPr>
                    <w:spacing w:line="280" w:lineRule="exact"/>
                    <w:rPr>
                      <w:rFonts w:hint="eastAsia"/>
                      <w:color w:val="auto"/>
                      <w:highlight w:val="none"/>
                    </w:rPr>
                  </w:pPr>
                  <w:r>
                    <w:rPr>
                      <w:rFonts w:hint="eastAsia"/>
                      <w:color w:val="auto"/>
                      <w:highlight w:val="none"/>
                    </w:rPr>
                    <w:t>应支付的预付款</w:t>
                  </w:r>
                </w:p>
              </w:tc>
              <w:tc>
                <w:tcPr>
                  <w:tcW w:w="1764" w:type="dxa"/>
                  <w:noWrap w:val="0"/>
                  <w:vAlign w:val="top"/>
                </w:tcPr>
                <w:p w14:paraId="6F601578">
                  <w:pPr>
                    <w:spacing w:line="280" w:lineRule="exact"/>
                    <w:rPr>
                      <w:rFonts w:hint="eastAsia"/>
                      <w:color w:val="auto"/>
                      <w:highlight w:val="none"/>
                    </w:rPr>
                  </w:pPr>
                </w:p>
              </w:tc>
              <w:tc>
                <w:tcPr>
                  <w:tcW w:w="2240" w:type="dxa"/>
                  <w:noWrap w:val="0"/>
                  <w:vAlign w:val="top"/>
                </w:tcPr>
                <w:p w14:paraId="0F4F3913">
                  <w:pPr>
                    <w:spacing w:line="280" w:lineRule="exact"/>
                    <w:rPr>
                      <w:rFonts w:hint="eastAsia"/>
                      <w:color w:val="auto"/>
                      <w:highlight w:val="none"/>
                    </w:rPr>
                  </w:pPr>
                </w:p>
              </w:tc>
              <w:tc>
                <w:tcPr>
                  <w:tcW w:w="1080" w:type="dxa"/>
                  <w:noWrap w:val="0"/>
                  <w:vAlign w:val="top"/>
                </w:tcPr>
                <w:p w14:paraId="0F0789CF">
                  <w:pPr>
                    <w:spacing w:line="280" w:lineRule="exact"/>
                    <w:rPr>
                      <w:rFonts w:hint="eastAsia"/>
                      <w:color w:val="auto"/>
                      <w:highlight w:val="none"/>
                    </w:rPr>
                  </w:pPr>
                </w:p>
              </w:tc>
            </w:tr>
            <w:tr w14:paraId="680F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21F38F9">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14:paraId="6CB78664">
                  <w:pPr>
                    <w:spacing w:line="280" w:lineRule="exact"/>
                    <w:rPr>
                      <w:rFonts w:hint="eastAsia"/>
                      <w:color w:val="auto"/>
                      <w:highlight w:val="none"/>
                    </w:rPr>
                  </w:pPr>
                  <w:r>
                    <w:rPr>
                      <w:rFonts w:hint="eastAsia"/>
                      <w:color w:val="auto"/>
                      <w:highlight w:val="none"/>
                    </w:rPr>
                    <w:t>应支付的安全文明施工费预付款</w:t>
                  </w:r>
                </w:p>
              </w:tc>
              <w:tc>
                <w:tcPr>
                  <w:tcW w:w="1764" w:type="dxa"/>
                  <w:noWrap w:val="0"/>
                  <w:vAlign w:val="top"/>
                </w:tcPr>
                <w:p w14:paraId="44C9BE6C">
                  <w:pPr>
                    <w:spacing w:line="280" w:lineRule="exact"/>
                    <w:rPr>
                      <w:rFonts w:hint="eastAsia"/>
                      <w:color w:val="auto"/>
                      <w:highlight w:val="none"/>
                    </w:rPr>
                  </w:pPr>
                </w:p>
              </w:tc>
              <w:tc>
                <w:tcPr>
                  <w:tcW w:w="2240" w:type="dxa"/>
                  <w:noWrap w:val="0"/>
                  <w:vAlign w:val="top"/>
                </w:tcPr>
                <w:p w14:paraId="71A35AE7">
                  <w:pPr>
                    <w:spacing w:line="280" w:lineRule="exact"/>
                    <w:rPr>
                      <w:rFonts w:hint="eastAsia"/>
                      <w:color w:val="auto"/>
                      <w:highlight w:val="none"/>
                    </w:rPr>
                  </w:pPr>
                </w:p>
              </w:tc>
              <w:tc>
                <w:tcPr>
                  <w:tcW w:w="1080" w:type="dxa"/>
                  <w:noWrap w:val="0"/>
                  <w:vAlign w:val="top"/>
                </w:tcPr>
                <w:p w14:paraId="473767BF">
                  <w:pPr>
                    <w:spacing w:line="280" w:lineRule="exact"/>
                    <w:rPr>
                      <w:rFonts w:hint="eastAsia"/>
                      <w:color w:val="auto"/>
                      <w:highlight w:val="none"/>
                    </w:rPr>
                  </w:pPr>
                </w:p>
              </w:tc>
            </w:tr>
            <w:tr w14:paraId="02EF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300C351">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14:paraId="65E1DF86">
                  <w:pPr>
                    <w:spacing w:line="280" w:lineRule="exact"/>
                    <w:rPr>
                      <w:rFonts w:hint="eastAsia"/>
                      <w:color w:val="auto"/>
                      <w:highlight w:val="none"/>
                    </w:rPr>
                  </w:pPr>
                  <w:r>
                    <w:rPr>
                      <w:rFonts w:hint="eastAsia"/>
                      <w:color w:val="auto"/>
                      <w:highlight w:val="none"/>
                    </w:rPr>
                    <w:t>合计应支付的预付款</w:t>
                  </w:r>
                </w:p>
              </w:tc>
              <w:tc>
                <w:tcPr>
                  <w:tcW w:w="1764" w:type="dxa"/>
                  <w:noWrap w:val="0"/>
                  <w:vAlign w:val="top"/>
                </w:tcPr>
                <w:p w14:paraId="42DD40F9">
                  <w:pPr>
                    <w:spacing w:line="280" w:lineRule="exact"/>
                    <w:rPr>
                      <w:rFonts w:hint="eastAsia"/>
                      <w:color w:val="auto"/>
                      <w:highlight w:val="none"/>
                    </w:rPr>
                  </w:pPr>
                </w:p>
              </w:tc>
              <w:tc>
                <w:tcPr>
                  <w:tcW w:w="2240" w:type="dxa"/>
                  <w:noWrap w:val="0"/>
                  <w:vAlign w:val="top"/>
                </w:tcPr>
                <w:p w14:paraId="7961DDE7">
                  <w:pPr>
                    <w:spacing w:line="280" w:lineRule="exact"/>
                    <w:rPr>
                      <w:rFonts w:hint="eastAsia"/>
                      <w:color w:val="auto"/>
                      <w:highlight w:val="none"/>
                    </w:rPr>
                  </w:pPr>
                </w:p>
              </w:tc>
              <w:tc>
                <w:tcPr>
                  <w:tcW w:w="1080" w:type="dxa"/>
                  <w:noWrap w:val="0"/>
                  <w:vAlign w:val="top"/>
                </w:tcPr>
                <w:p w14:paraId="26E5D4EA">
                  <w:pPr>
                    <w:spacing w:line="280" w:lineRule="exact"/>
                    <w:rPr>
                      <w:rFonts w:hint="eastAsia"/>
                      <w:color w:val="auto"/>
                      <w:highlight w:val="none"/>
                    </w:rPr>
                  </w:pPr>
                </w:p>
              </w:tc>
            </w:tr>
            <w:tr w14:paraId="1F3B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E79F618">
                  <w:pPr>
                    <w:spacing w:line="280" w:lineRule="exact"/>
                    <w:jc w:val="center"/>
                    <w:rPr>
                      <w:rFonts w:hint="eastAsia"/>
                      <w:color w:val="auto"/>
                      <w:highlight w:val="none"/>
                    </w:rPr>
                  </w:pPr>
                </w:p>
              </w:tc>
              <w:tc>
                <w:tcPr>
                  <w:tcW w:w="3340" w:type="dxa"/>
                  <w:noWrap w:val="0"/>
                  <w:vAlign w:val="top"/>
                </w:tcPr>
                <w:p w14:paraId="6AE3C960">
                  <w:pPr>
                    <w:spacing w:line="280" w:lineRule="exact"/>
                    <w:rPr>
                      <w:rFonts w:hint="eastAsia"/>
                      <w:color w:val="auto"/>
                      <w:highlight w:val="none"/>
                    </w:rPr>
                  </w:pPr>
                </w:p>
              </w:tc>
              <w:tc>
                <w:tcPr>
                  <w:tcW w:w="1764" w:type="dxa"/>
                  <w:noWrap w:val="0"/>
                  <w:vAlign w:val="top"/>
                </w:tcPr>
                <w:p w14:paraId="19880B72">
                  <w:pPr>
                    <w:spacing w:line="280" w:lineRule="exact"/>
                    <w:rPr>
                      <w:rFonts w:hint="eastAsia"/>
                      <w:color w:val="auto"/>
                      <w:highlight w:val="none"/>
                    </w:rPr>
                  </w:pPr>
                </w:p>
              </w:tc>
              <w:tc>
                <w:tcPr>
                  <w:tcW w:w="2240" w:type="dxa"/>
                  <w:noWrap w:val="0"/>
                  <w:vAlign w:val="top"/>
                </w:tcPr>
                <w:p w14:paraId="431D7904">
                  <w:pPr>
                    <w:spacing w:line="280" w:lineRule="exact"/>
                    <w:rPr>
                      <w:rFonts w:hint="eastAsia"/>
                      <w:color w:val="auto"/>
                      <w:highlight w:val="none"/>
                    </w:rPr>
                  </w:pPr>
                </w:p>
              </w:tc>
              <w:tc>
                <w:tcPr>
                  <w:tcW w:w="1080" w:type="dxa"/>
                  <w:noWrap w:val="0"/>
                  <w:vAlign w:val="top"/>
                </w:tcPr>
                <w:p w14:paraId="52887722">
                  <w:pPr>
                    <w:spacing w:line="280" w:lineRule="exact"/>
                    <w:rPr>
                      <w:rFonts w:hint="eastAsia"/>
                      <w:color w:val="auto"/>
                      <w:highlight w:val="none"/>
                    </w:rPr>
                  </w:pPr>
                </w:p>
              </w:tc>
            </w:tr>
          </w:tbl>
          <w:p w14:paraId="7EDFAD3B">
            <w:pPr>
              <w:wordWrap w:val="0"/>
              <w:spacing w:line="400" w:lineRule="exact"/>
              <w:ind w:right="420"/>
              <w:rPr>
                <w:rFonts w:hint="eastAsia"/>
                <w:color w:val="auto"/>
                <w:highlight w:val="none"/>
              </w:rPr>
            </w:pPr>
          </w:p>
          <w:p w14:paraId="5A06D5C0">
            <w:pPr>
              <w:wordWrap w:val="0"/>
              <w:spacing w:line="400" w:lineRule="exact"/>
              <w:ind w:right="420"/>
              <w:rPr>
                <w:rFonts w:hint="eastAsia"/>
                <w:color w:val="auto"/>
                <w:highlight w:val="none"/>
              </w:rPr>
            </w:pPr>
            <w:r>
              <w:rPr>
                <w:rFonts w:hint="eastAsia"/>
                <w:color w:val="auto"/>
                <w:highlight w:val="none"/>
              </w:rPr>
              <w:t xml:space="preserve">                                            承包人（章）             </w:t>
            </w:r>
          </w:p>
          <w:p w14:paraId="718C950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0FCE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7B66A986">
            <w:pPr>
              <w:spacing w:line="360" w:lineRule="exact"/>
              <w:rPr>
                <w:rFonts w:hint="eastAsia"/>
                <w:color w:val="auto"/>
                <w:highlight w:val="none"/>
              </w:rPr>
            </w:pPr>
            <w:r>
              <w:rPr>
                <w:rFonts w:hint="eastAsia"/>
                <w:color w:val="auto"/>
                <w:highlight w:val="none"/>
              </w:rPr>
              <w:t>复核意见：</w:t>
            </w:r>
          </w:p>
          <w:p w14:paraId="203CC73F">
            <w:pPr>
              <w:spacing w:line="360" w:lineRule="exact"/>
              <w:ind w:firstLine="312"/>
              <w:rPr>
                <w:rFonts w:hint="eastAsia"/>
                <w:color w:val="auto"/>
                <w:highlight w:val="none"/>
              </w:rPr>
            </w:pPr>
            <w:r>
              <w:rPr>
                <w:rFonts w:hint="eastAsia"/>
                <w:color w:val="auto"/>
                <w:highlight w:val="none"/>
              </w:rPr>
              <w:t>□与合同约定不相符，修改意见见附件。</w:t>
            </w:r>
          </w:p>
          <w:p w14:paraId="5D1001B3">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7CBC2BA3">
            <w:pPr>
              <w:spacing w:line="360" w:lineRule="exact"/>
              <w:ind w:firstLine="435"/>
              <w:jc w:val="right"/>
              <w:rPr>
                <w:rFonts w:hint="eastAsia"/>
                <w:color w:val="auto"/>
                <w:highlight w:val="none"/>
              </w:rPr>
            </w:pPr>
          </w:p>
          <w:p w14:paraId="48F3490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075BAAC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97" w:type="dxa"/>
            <w:noWrap w:val="0"/>
            <w:vAlign w:val="top"/>
          </w:tcPr>
          <w:p w14:paraId="3CBD7223">
            <w:pPr>
              <w:spacing w:line="360" w:lineRule="exact"/>
              <w:rPr>
                <w:rFonts w:hint="eastAsia"/>
                <w:color w:val="auto"/>
                <w:highlight w:val="none"/>
              </w:rPr>
            </w:pPr>
            <w:r>
              <w:rPr>
                <w:rFonts w:hint="eastAsia"/>
                <w:color w:val="auto"/>
                <w:highlight w:val="none"/>
              </w:rPr>
              <w:t>复核意见：</w:t>
            </w:r>
          </w:p>
          <w:p w14:paraId="6A25DDC6">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0967B4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6103CE15">
            <w:pPr>
              <w:spacing w:line="360" w:lineRule="exact"/>
              <w:rPr>
                <w:rFonts w:hint="eastAsia"/>
                <w:color w:val="auto"/>
                <w:highlight w:val="none"/>
                <w:u w:val="single"/>
              </w:rPr>
            </w:pPr>
          </w:p>
          <w:p w14:paraId="793735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2E458BA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3CFF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45BEF23F">
            <w:pPr>
              <w:spacing w:line="400" w:lineRule="exact"/>
              <w:rPr>
                <w:rFonts w:hint="eastAsia"/>
                <w:color w:val="auto"/>
                <w:highlight w:val="none"/>
              </w:rPr>
            </w:pPr>
            <w:r>
              <w:rPr>
                <w:rFonts w:hint="eastAsia"/>
                <w:color w:val="auto"/>
                <w:highlight w:val="none"/>
              </w:rPr>
              <w:t>审核意见：</w:t>
            </w:r>
          </w:p>
          <w:p w14:paraId="7E04E27B">
            <w:pPr>
              <w:spacing w:line="400" w:lineRule="exact"/>
              <w:ind w:firstLine="435"/>
              <w:rPr>
                <w:rFonts w:hint="eastAsia"/>
                <w:color w:val="auto"/>
                <w:highlight w:val="none"/>
              </w:rPr>
            </w:pPr>
            <w:r>
              <w:rPr>
                <w:rFonts w:hint="eastAsia"/>
                <w:color w:val="auto"/>
                <w:highlight w:val="none"/>
              </w:rPr>
              <w:t>□不同意。</w:t>
            </w:r>
          </w:p>
          <w:p w14:paraId="0B0F7CC9">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6609B328">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62D8CF07">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78FE037A">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6CCD71F0">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5E3BE998">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2374F006">
      <w:pPr>
        <w:spacing w:before="120" w:beforeLines="50"/>
        <w:rPr>
          <w:rFonts w:hint="eastAsia" w:eastAsia="仿宋_GB2312"/>
          <w:color w:val="auto"/>
          <w:sz w:val="30"/>
          <w:szCs w:val="30"/>
          <w:highlight w:val="none"/>
        </w:rPr>
      </w:pPr>
      <w:r>
        <w:rPr>
          <w:rFonts w:hint="eastAsia" w:eastAsia="仿宋_GB2312"/>
          <w:color w:val="auto"/>
          <w:sz w:val="30"/>
          <w:szCs w:val="30"/>
          <w:highlight w:val="none"/>
        </w:rPr>
        <w:t>附件11：</w:t>
      </w:r>
    </w:p>
    <w:p w14:paraId="520D630E">
      <w:pPr>
        <w:jc w:val="center"/>
        <w:rPr>
          <w:rFonts w:hint="eastAsia"/>
          <w:b/>
          <w:color w:val="auto"/>
          <w:sz w:val="36"/>
          <w:szCs w:val="36"/>
          <w:highlight w:val="none"/>
        </w:rPr>
      </w:pPr>
      <w:r>
        <w:rPr>
          <w:rFonts w:hint="eastAsia"/>
          <w:b/>
          <w:color w:val="auto"/>
          <w:sz w:val="36"/>
          <w:szCs w:val="36"/>
          <w:highlight w:val="none"/>
        </w:rPr>
        <w:t>进度款支付申请（核准）表</w:t>
      </w:r>
    </w:p>
    <w:p w14:paraId="40C58A05">
      <w:pPr>
        <w:rPr>
          <w:rFonts w:hint="eastAsia"/>
          <w:color w:val="auto"/>
          <w:sz w:val="24"/>
          <w:szCs w:val="24"/>
          <w:highlight w:val="none"/>
        </w:rPr>
      </w:pPr>
      <w:r>
        <w:rPr>
          <w:rFonts w:hint="eastAsia"/>
          <w:color w:val="auto"/>
          <w:sz w:val="24"/>
          <w:szCs w:val="24"/>
          <w:highlight w:val="none"/>
        </w:rPr>
        <w:t>工程名称：                                             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7055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673D44F">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2BC2D6EC">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0C94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CB8E170">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14:paraId="72B0E5EE">
                  <w:pPr>
                    <w:spacing w:line="280" w:lineRule="exact"/>
                    <w:jc w:val="center"/>
                    <w:rPr>
                      <w:rFonts w:hint="eastAsia"/>
                      <w:color w:val="auto"/>
                      <w:highlight w:val="none"/>
                    </w:rPr>
                  </w:pPr>
                  <w:r>
                    <w:rPr>
                      <w:rFonts w:hint="eastAsia"/>
                      <w:color w:val="auto"/>
                      <w:highlight w:val="none"/>
                    </w:rPr>
                    <w:t>名      称</w:t>
                  </w:r>
                </w:p>
              </w:tc>
              <w:tc>
                <w:tcPr>
                  <w:tcW w:w="1340" w:type="dxa"/>
                  <w:noWrap w:val="0"/>
                  <w:vAlign w:val="center"/>
                </w:tcPr>
                <w:p w14:paraId="02C3BBEE">
                  <w:pPr>
                    <w:spacing w:line="280" w:lineRule="exact"/>
                    <w:jc w:val="center"/>
                    <w:rPr>
                      <w:rFonts w:hint="eastAsia"/>
                      <w:color w:val="auto"/>
                      <w:highlight w:val="none"/>
                    </w:rPr>
                  </w:pPr>
                  <w:r>
                    <w:rPr>
                      <w:rFonts w:hint="eastAsia"/>
                      <w:color w:val="auto"/>
                      <w:highlight w:val="none"/>
                    </w:rPr>
                    <w:t>实际金额（元）</w:t>
                  </w:r>
                </w:p>
              </w:tc>
              <w:tc>
                <w:tcPr>
                  <w:tcW w:w="1440" w:type="dxa"/>
                  <w:noWrap w:val="0"/>
                  <w:vAlign w:val="center"/>
                </w:tcPr>
                <w:p w14:paraId="0B871F45">
                  <w:pPr>
                    <w:spacing w:line="280" w:lineRule="exact"/>
                    <w:jc w:val="center"/>
                    <w:rPr>
                      <w:rFonts w:hint="eastAsia"/>
                      <w:color w:val="auto"/>
                      <w:highlight w:val="none"/>
                    </w:rPr>
                  </w:pPr>
                  <w:r>
                    <w:rPr>
                      <w:rFonts w:hint="eastAsia"/>
                      <w:color w:val="auto"/>
                      <w:highlight w:val="none"/>
                    </w:rPr>
                    <w:t>申请金额（元）</w:t>
                  </w:r>
                </w:p>
              </w:tc>
              <w:tc>
                <w:tcPr>
                  <w:tcW w:w="1260" w:type="dxa"/>
                  <w:noWrap w:val="0"/>
                  <w:vAlign w:val="center"/>
                </w:tcPr>
                <w:p w14:paraId="5DD62143">
                  <w:pPr>
                    <w:spacing w:line="280" w:lineRule="exact"/>
                    <w:jc w:val="center"/>
                    <w:rPr>
                      <w:rFonts w:hint="eastAsia"/>
                      <w:color w:val="auto"/>
                      <w:highlight w:val="none"/>
                    </w:rPr>
                  </w:pPr>
                  <w:r>
                    <w:rPr>
                      <w:rFonts w:hint="eastAsia"/>
                      <w:color w:val="auto"/>
                      <w:highlight w:val="none"/>
                    </w:rPr>
                    <w:t>复核金额（元）</w:t>
                  </w:r>
                </w:p>
              </w:tc>
              <w:tc>
                <w:tcPr>
                  <w:tcW w:w="931" w:type="dxa"/>
                  <w:noWrap w:val="0"/>
                  <w:vAlign w:val="center"/>
                </w:tcPr>
                <w:p w14:paraId="7C9BEDA8">
                  <w:pPr>
                    <w:spacing w:line="280" w:lineRule="exact"/>
                    <w:jc w:val="center"/>
                    <w:rPr>
                      <w:rFonts w:hint="eastAsia"/>
                      <w:color w:val="auto"/>
                      <w:highlight w:val="none"/>
                    </w:rPr>
                  </w:pPr>
                  <w:r>
                    <w:rPr>
                      <w:rFonts w:hint="eastAsia"/>
                      <w:color w:val="auto"/>
                      <w:highlight w:val="none"/>
                    </w:rPr>
                    <w:t>备注</w:t>
                  </w:r>
                </w:p>
              </w:tc>
            </w:tr>
            <w:tr w14:paraId="1C80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305126">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14:paraId="256643EA">
                  <w:pPr>
                    <w:spacing w:line="280" w:lineRule="exact"/>
                    <w:rPr>
                      <w:rFonts w:hint="eastAsia"/>
                      <w:color w:val="auto"/>
                      <w:highlight w:val="none"/>
                    </w:rPr>
                  </w:pPr>
                  <w:r>
                    <w:rPr>
                      <w:rFonts w:hint="eastAsia"/>
                      <w:color w:val="auto"/>
                      <w:highlight w:val="none"/>
                    </w:rPr>
                    <w:t>累计已完成的工程价款</w:t>
                  </w:r>
                </w:p>
              </w:tc>
              <w:tc>
                <w:tcPr>
                  <w:tcW w:w="1340" w:type="dxa"/>
                  <w:noWrap w:val="0"/>
                  <w:vAlign w:val="top"/>
                </w:tcPr>
                <w:p w14:paraId="5900488D">
                  <w:pPr>
                    <w:spacing w:line="280" w:lineRule="exact"/>
                    <w:rPr>
                      <w:rFonts w:hint="eastAsia"/>
                      <w:color w:val="auto"/>
                      <w:highlight w:val="none"/>
                    </w:rPr>
                  </w:pPr>
                </w:p>
              </w:tc>
              <w:tc>
                <w:tcPr>
                  <w:tcW w:w="1440" w:type="dxa"/>
                  <w:noWrap w:val="0"/>
                  <w:vAlign w:val="top"/>
                </w:tcPr>
                <w:p w14:paraId="0CE11597">
                  <w:pPr>
                    <w:spacing w:line="280" w:lineRule="exact"/>
                    <w:rPr>
                      <w:rFonts w:hint="eastAsia"/>
                      <w:color w:val="auto"/>
                      <w:highlight w:val="none"/>
                    </w:rPr>
                  </w:pPr>
                </w:p>
              </w:tc>
              <w:tc>
                <w:tcPr>
                  <w:tcW w:w="1260" w:type="dxa"/>
                  <w:noWrap w:val="0"/>
                  <w:vAlign w:val="top"/>
                </w:tcPr>
                <w:p w14:paraId="21D3658F">
                  <w:pPr>
                    <w:spacing w:line="280" w:lineRule="exact"/>
                    <w:rPr>
                      <w:rFonts w:hint="eastAsia"/>
                      <w:color w:val="auto"/>
                      <w:highlight w:val="none"/>
                    </w:rPr>
                  </w:pPr>
                </w:p>
              </w:tc>
              <w:tc>
                <w:tcPr>
                  <w:tcW w:w="931" w:type="dxa"/>
                  <w:noWrap w:val="0"/>
                  <w:vAlign w:val="top"/>
                </w:tcPr>
                <w:p w14:paraId="4907A703">
                  <w:pPr>
                    <w:spacing w:line="280" w:lineRule="exact"/>
                    <w:rPr>
                      <w:rFonts w:hint="eastAsia"/>
                      <w:color w:val="auto"/>
                      <w:highlight w:val="none"/>
                    </w:rPr>
                  </w:pPr>
                </w:p>
              </w:tc>
            </w:tr>
            <w:tr w14:paraId="5FF9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86E688A">
                  <w:pPr>
                    <w:spacing w:line="280" w:lineRule="exact"/>
                    <w:jc w:val="center"/>
                    <w:rPr>
                      <w:rFonts w:hint="eastAsia"/>
                      <w:color w:val="auto"/>
                      <w:highlight w:val="none"/>
                    </w:rPr>
                  </w:pPr>
                </w:p>
              </w:tc>
              <w:tc>
                <w:tcPr>
                  <w:tcW w:w="3340" w:type="dxa"/>
                  <w:noWrap w:val="0"/>
                  <w:vAlign w:val="top"/>
                </w:tcPr>
                <w:p w14:paraId="2FD98D72">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14:paraId="113E859E">
                  <w:pPr>
                    <w:spacing w:line="280" w:lineRule="exact"/>
                    <w:rPr>
                      <w:rFonts w:hint="eastAsia"/>
                      <w:color w:val="auto"/>
                      <w:highlight w:val="none"/>
                    </w:rPr>
                  </w:pPr>
                </w:p>
              </w:tc>
              <w:tc>
                <w:tcPr>
                  <w:tcW w:w="1440" w:type="dxa"/>
                  <w:noWrap w:val="0"/>
                  <w:vAlign w:val="top"/>
                </w:tcPr>
                <w:p w14:paraId="310CA97B">
                  <w:pPr>
                    <w:spacing w:line="280" w:lineRule="exact"/>
                    <w:rPr>
                      <w:rFonts w:hint="eastAsia"/>
                      <w:color w:val="auto"/>
                      <w:highlight w:val="none"/>
                    </w:rPr>
                  </w:pPr>
                </w:p>
              </w:tc>
              <w:tc>
                <w:tcPr>
                  <w:tcW w:w="1260" w:type="dxa"/>
                  <w:noWrap w:val="0"/>
                  <w:vAlign w:val="top"/>
                </w:tcPr>
                <w:p w14:paraId="63CA03E7">
                  <w:pPr>
                    <w:spacing w:line="280" w:lineRule="exact"/>
                    <w:rPr>
                      <w:rFonts w:hint="eastAsia"/>
                      <w:color w:val="auto"/>
                      <w:highlight w:val="none"/>
                    </w:rPr>
                  </w:pPr>
                </w:p>
              </w:tc>
              <w:tc>
                <w:tcPr>
                  <w:tcW w:w="931" w:type="dxa"/>
                  <w:noWrap w:val="0"/>
                  <w:vAlign w:val="top"/>
                </w:tcPr>
                <w:p w14:paraId="2D997A64">
                  <w:pPr>
                    <w:spacing w:line="280" w:lineRule="exact"/>
                    <w:rPr>
                      <w:rFonts w:hint="eastAsia"/>
                      <w:color w:val="auto"/>
                      <w:highlight w:val="none"/>
                    </w:rPr>
                  </w:pPr>
                </w:p>
              </w:tc>
            </w:tr>
            <w:tr w14:paraId="2A6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7D52C8E">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14:paraId="438D742A">
                  <w:pPr>
                    <w:spacing w:line="280" w:lineRule="exact"/>
                    <w:rPr>
                      <w:rFonts w:hint="eastAsia"/>
                      <w:color w:val="auto"/>
                      <w:highlight w:val="none"/>
                    </w:rPr>
                  </w:pPr>
                  <w:r>
                    <w:rPr>
                      <w:rFonts w:hint="eastAsia"/>
                      <w:color w:val="auto"/>
                      <w:highlight w:val="none"/>
                    </w:rPr>
                    <w:t>累计已实际支付的工程价款</w:t>
                  </w:r>
                </w:p>
              </w:tc>
              <w:tc>
                <w:tcPr>
                  <w:tcW w:w="1340" w:type="dxa"/>
                  <w:noWrap w:val="0"/>
                  <w:vAlign w:val="top"/>
                </w:tcPr>
                <w:p w14:paraId="1B36F249">
                  <w:pPr>
                    <w:spacing w:line="280" w:lineRule="exact"/>
                    <w:rPr>
                      <w:rFonts w:hint="eastAsia"/>
                      <w:color w:val="auto"/>
                      <w:highlight w:val="none"/>
                    </w:rPr>
                  </w:pPr>
                </w:p>
              </w:tc>
              <w:tc>
                <w:tcPr>
                  <w:tcW w:w="1440" w:type="dxa"/>
                  <w:noWrap w:val="0"/>
                  <w:vAlign w:val="top"/>
                </w:tcPr>
                <w:p w14:paraId="16298233">
                  <w:pPr>
                    <w:spacing w:line="280" w:lineRule="exact"/>
                    <w:rPr>
                      <w:rFonts w:hint="eastAsia"/>
                      <w:color w:val="auto"/>
                      <w:highlight w:val="none"/>
                    </w:rPr>
                  </w:pPr>
                </w:p>
              </w:tc>
              <w:tc>
                <w:tcPr>
                  <w:tcW w:w="1260" w:type="dxa"/>
                  <w:noWrap w:val="0"/>
                  <w:vAlign w:val="top"/>
                </w:tcPr>
                <w:p w14:paraId="2561B58C">
                  <w:pPr>
                    <w:spacing w:line="280" w:lineRule="exact"/>
                    <w:rPr>
                      <w:rFonts w:hint="eastAsia"/>
                      <w:color w:val="auto"/>
                      <w:highlight w:val="none"/>
                    </w:rPr>
                  </w:pPr>
                </w:p>
              </w:tc>
              <w:tc>
                <w:tcPr>
                  <w:tcW w:w="931" w:type="dxa"/>
                  <w:noWrap w:val="0"/>
                  <w:vAlign w:val="top"/>
                </w:tcPr>
                <w:p w14:paraId="211F9A35">
                  <w:pPr>
                    <w:spacing w:line="280" w:lineRule="exact"/>
                    <w:rPr>
                      <w:rFonts w:hint="eastAsia"/>
                      <w:color w:val="auto"/>
                      <w:highlight w:val="none"/>
                    </w:rPr>
                  </w:pPr>
                </w:p>
              </w:tc>
            </w:tr>
            <w:tr w14:paraId="2885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F0F22EC">
                  <w:pPr>
                    <w:spacing w:line="280" w:lineRule="exact"/>
                    <w:jc w:val="center"/>
                    <w:rPr>
                      <w:rFonts w:hint="eastAsia"/>
                      <w:color w:val="auto"/>
                      <w:highlight w:val="none"/>
                    </w:rPr>
                  </w:pPr>
                </w:p>
              </w:tc>
              <w:tc>
                <w:tcPr>
                  <w:tcW w:w="3340" w:type="dxa"/>
                  <w:noWrap w:val="0"/>
                  <w:vAlign w:val="top"/>
                </w:tcPr>
                <w:p w14:paraId="5132C643">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14:paraId="237F2449">
                  <w:pPr>
                    <w:spacing w:line="280" w:lineRule="exact"/>
                    <w:rPr>
                      <w:rFonts w:hint="eastAsia"/>
                      <w:color w:val="auto"/>
                      <w:highlight w:val="none"/>
                    </w:rPr>
                  </w:pPr>
                </w:p>
              </w:tc>
              <w:tc>
                <w:tcPr>
                  <w:tcW w:w="1440" w:type="dxa"/>
                  <w:noWrap w:val="0"/>
                  <w:vAlign w:val="top"/>
                </w:tcPr>
                <w:p w14:paraId="5ABEF3A2">
                  <w:pPr>
                    <w:spacing w:line="280" w:lineRule="exact"/>
                    <w:rPr>
                      <w:rFonts w:hint="eastAsia"/>
                      <w:color w:val="auto"/>
                      <w:highlight w:val="none"/>
                    </w:rPr>
                  </w:pPr>
                </w:p>
              </w:tc>
              <w:tc>
                <w:tcPr>
                  <w:tcW w:w="1260" w:type="dxa"/>
                  <w:noWrap w:val="0"/>
                  <w:vAlign w:val="top"/>
                </w:tcPr>
                <w:p w14:paraId="4995D744">
                  <w:pPr>
                    <w:spacing w:line="280" w:lineRule="exact"/>
                    <w:rPr>
                      <w:rFonts w:hint="eastAsia"/>
                      <w:color w:val="auto"/>
                      <w:highlight w:val="none"/>
                    </w:rPr>
                  </w:pPr>
                </w:p>
              </w:tc>
              <w:tc>
                <w:tcPr>
                  <w:tcW w:w="931" w:type="dxa"/>
                  <w:noWrap w:val="0"/>
                  <w:vAlign w:val="top"/>
                </w:tcPr>
                <w:p w14:paraId="1FE69E0F">
                  <w:pPr>
                    <w:spacing w:line="280" w:lineRule="exact"/>
                    <w:rPr>
                      <w:rFonts w:hint="eastAsia"/>
                      <w:color w:val="auto"/>
                      <w:highlight w:val="none"/>
                    </w:rPr>
                  </w:pPr>
                </w:p>
              </w:tc>
            </w:tr>
            <w:tr w14:paraId="7DE6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FBDAFB">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14:paraId="68EE8AE3">
                  <w:pPr>
                    <w:spacing w:line="280" w:lineRule="exact"/>
                    <w:rPr>
                      <w:rFonts w:hint="eastAsia"/>
                      <w:color w:val="auto"/>
                      <w:highlight w:val="none"/>
                    </w:rPr>
                  </w:pPr>
                  <w:r>
                    <w:rPr>
                      <w:rFonts w:hint="eastAsia"/>
                      <w:color w:val="auto"/>
                      <w:highlight w:val="none"/>
                    </w:rPr>
                    <w:t>本周期已完成的工程价款</w:t>
                  </w:r>
                </w:p>
              </w:tc>
              <w:tc>
                <w:tcPr>
                  <w:tcW w:w="1340" w:type="dxa"/>
                  <w:noWrap w:val="0"/>
                  <w:vAlign w:val="top"/>
                </w:tcPr>
                <w:p w14:paraId="0D4A6D3C">
                  <w:pPr>
                    <w:spacing w:line="280" w:lineRule="exact"/>
                    <w:rPr>
                      <w:rFonts w:hint="eastAsia"/>
                      <w:color w:val="auto"/>
                      <w:highlight w:val="none"/>
                    </w:rPr>
                  </w:pPr>
                </w:p>
              </w:tc>
              <w:tc>
                <w:tcPr>
                  <w:tcW w:w="1440" w:type="dxa"/>
                  <w:noWrap w:val="0"/>
                  <w:vAlign w:val="top"/>
                </w:tcPr>
                <w:p w14:paraId="61AF988B">
                  <w:pPr>
                    <w:spacing w:line="280" w:lineRule="exact"/>
                    <w:rPr>
                      <w:rFonts w:hint="eastAsia"/>
                      <w:color w:val="auto"/>
                      <w:highlight w:val="none"/>
                    </w:rPr>
                  </w:pPr>
                </w:p>
              </w:tc>
              <w:tc>
                <w:tcPr>
                  <w:tcW w:w="1260" w:type="dxa"/>
                  <w:noWrap w:val="0"/>
                  <w:vAlign w:val="top"/>
                </w:tcPr>
                <w:p w14:paraId="3007851C">
                  <w:pPr>
                    <w:spacing w:line="280" w:lineRule="exact"/>
                    <w:rPr>
                      <w:rFonts w:hint="eastAsia"/>
                      <w:color w:val="auto"/>
                      <w:highlight w:val="none"/>
                    </w:rPr>
                  </w:pPr>
                </w:p>
              </w:tc>
              <w:tc>
                <w:tcPr>
                  <w:tcW w:w="931" w:type="dxa"/>
                  <w:noWrap w:val="0"/>
                  <w:vAlign w:val="top"/>
                </w:tcPr>
                <w:p w14:paraId="78AAFB31">
                  <w:pPr>
                    <w:spacing w:line="280" w:lineRule="exact"/>
                    <w:rPr>
                      <w:rFonts w:hint="eastAsia"/>
                      <w:color w:val="auto"/>
                      <w:highlight w:val="none"/>
                    </w:rPr>
                  </w:pPr>
                </w:p>
              </w:tc>
            </w:tr>
            <w:tr w14:paraId="7017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2FCA3A6">
                  <w:pPr>
                    <w:spacing w:line="280" w:lineRule="exact"/>
                    <w:jc w:val="center"/>
                    <w:rPr>
                      <w:rFonts w:hint="eastAsia"/>
                      <w:color w:val="auto"/>
                      <w:highlight w:val="none"/>
                    </w:rPr>
                  </w:pPr>
                </w:p>
              </w:tc>
              <w:tc>
                <w:tcPr>
                  <w:tcW w:w="3340" w:type="dxa"/>
                  <w:noWrap w:val="0"/>
                  <w:vAlign w:val="top"/>
                </w:tcPr>
                <w:p w14:paraId="214FC02C">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14:paraId="1F50A179">
                  <w:pPr>
                    <w:spacing w:line="280" w:lineRule="exact"/>
                    <w:rPr>
                      <w:rFonts w:hint="eastAsia"/>
                      <w:color w:val="auto"/>
                      <w:highlight w:val="none"/>
                    </w:rPr>
                  </w:pPr>
                </w:p>
              </w:tc>
              <w:tc>
                <w:tcPr>
                  <w:tcW w:w="1440" w:type="dxa"/>
                  <w:noWrap w:val="0"/>
                  <w:vAlign w:val="top"/>
                </w:tcPr>
                <w:p w14:paraId="0977AC03">
                  <w:pPr>
                    <w:spacing w:line="280" w:lineRule="exact"/>
                    <w:rPr>
                      <w:rFonts w:hint="eastAsia"/>
                      <w:color w:val="auto"/>
                      <w:highlight w:val="none"/>
                    </w:rPr>
                  </w:pPr>
                </w:p>
              </w:tc>
              <w:tc>
                <w:tcPr>
                  <w:tcW w:w="1260" w:type="dxa"/>
                  <w:noWrap w:val="0"/>
                  <w:vAlign w:val="top"/>
                </w:tcPr>
                <w:p w14:paraId="02AB8654">
                  <w:pPr>
                    <w:spacing w:line="280" w:lineRule="exact"/>
                    <w:rPr>
                      <w:rFonts w:hint="eastAsia"/>
                      <w:color w:val="auto"/>
                      <w:highlight w:val="none"/>
                    </w:rPr>
                  </w:pPr>
                </w:p>
              </w:tc>
              <w:tc>
                <w:tcPr>
                  <w:tcW w:w="931" w:type="dxa"/>
                  <w:noWrap w:val="0"/>
                  <w:vAlign w:val="top"/>
                </w:tcPr>
                <w:p w14:paraId="56068840">
                  <w:pPr>
                    <w:spacing w:line="280" w:lineRule="exact"/>
                    <w:rPr>
                      <w:rFonts w:hint="eastAsia"/>
                      <w:color w:val="auto"/>
                      <w:highlight w:val="none"/>
                    </w:rPr>
                  </w:pPr>
                </w:p>
              </w:tc>
            </w:tr>
            <w:tr w14:paraId="216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DFDFF46">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14:paraId="27229C3E">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14:paraId="45DCC6E3">
                  <w:pPr>
                    <w:spacing w:line="280" w:lineRule="exact"/>
                    <w:rPr>
                      <w:rFonts w:hint="eastAsia"/>
                      <w:color w:val="auto"/>
                      <w:highlight w:val="none"/>
                    </w:rPr>
                  </w:pPr>
                </w:p>
              </w:tc>
              <w:tc>
                <w:tcPr>
                  <w:tcW w:w="1440" w:type="dxa"/>
                  <w:noWrap w:val="0"/>
                  <w:vAlign w:val="top"/>
                </w:tcPr>
                <w:p w14:paraId="257EDE68">
                  <w:pPr>
                    <w:spacing w:line="280" w:lineRule="exact"/>
                    <w:rPr>
                      <w:rFonts w:hint="eastAsia"/>
                      <w:color w:val="auto"/>
                      <w:highlight w:val="none"/>
                    </w:rPr>
                  </w:pPr>
                </w:p>
              </w:tc>
              <w:tc>
                <w:tcPr>
                  <w:tcW w:w="1260" w:type="dxa"/>
                  <w:noWrap w:val="0"/>
                  <w:vAlign w:val="top"/>
                </w:tcPr>
                <w:p w14:paraId="3F9FA4F5">
                  <w:pPr>
                    <w:spacing w:line="280" w:lineRule="exact"/>
                    <w:rPr>
                      <w:rFonts w:hint="eastAsia"/>
                      <w:color w:val="auto"/>
                      <w:highlight w:val="none"/>
                    </w:rPr>
                  </w:pPr>
                </w:p>
              </w:tc>
              <w:tc>
                <w:tcPr>
                  <w:tcW w:w="931" w:type="dxa"/>
                  <w:noWrap w:val="0"/>
                  <w:vAlign w:val="top"/>
                </w:tcPr>
                <w:p w14:paraId="50D65A83">
                  <w:pPr>
                    <w:spacing w:line="280" w:lineRule="exact"/>
                    <w:rPr>
                      <w:rFonts w:hint="eastAsia"/>
                      <w:color w:val="auto"/>
                      <w:highlight w:val="none"/>
                    </w:rPr>
                  </w:pPr>
                </w:p>
              </w:tc>
            </w:tr>
            <w:tr w14:paraId="415C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8101B92">
                  <w:pPr>
                    <w:spacing w:line="280" w:lineRule="exact"/>
                    <w:jc w:val="center"/>
                    <w:rPr>
                      <w:rFonts w:hint="eastAsia"/>
                      <w:color w:val="auto"/>
                      <w:highlight w:val="none"/>
                    </w:rPr>
                  </w:pPr>
                  <w:r>
                    <w:rPr>
                      <w:rFonts w:hint="eastAsia"/>
                      <w:color w:val="auto"/>
                      <w:highlight w:val="none"/>
                    </w:rPr>
                    <w:t>4.1</w:t>
                  </w:r>
                </w:p>
              </w:tc>
              <w:tc>
                <w:tcPr>
                  <w:tcW w:w="3340" w:type="dxa"/>
                  <w:noWrap w:val="0"/>
                  <w:vAlign w:val="top"/>
                </w:tcPr>
                <w:p w14:paraId="3FC452EE">
                  <w:pPr>
                    <w:spacing w:line="280" w:lineRule="exact"/>
                    <w:rPr>
                      <w:rFonts w:hint="eastAsia"/>
                      <w:color w:val="auto"/>
                      <w:highlight w:val="none"/>
                    </w:rPr>
                  </w:pPr>
                  <w:r>
                    <w:rPr>
                      <w:rFonts w:hint="eastAsia"/>
                      <w:color w:val="auto"/>
                      <w:highlight w:val="none"/>
                    </w:rPr>
                    <w:t>本周期实际应抵扣的预付款</w:t>
                  </w:r>
                </w:p>
              </w:tc>
              <w:tc>
                <w:tcPr>
                  <w:tcW w:w="1340" w:type="dxa"/>
                  <w:noWrap w:val="0"/>
                  <w:vAlign w:val="top"/>
                </w:tcPr>
                <w:p w14:paraId="72BC6DF1">
                  <w:pPr>
                    <w:spacing w:line="280" w:lineRule="exact"/>
                    <w:rPr>
                      <w:rFonts w:hint="eastAsia"/>
                      <w:color w:val="auto"/>
                      <w:highlight w:val="none"/>
                    </w:rPr>
                  </w:pPr>
                </w:p>
              </w:tc>
              <w:tc>
                <w:tcPr>
                  <w:tcW w:w="1440" w:type="dxa"/>
                  <w:noWrap w:val="0"/>
                  <w:vAlign w:val="top"/>
                </w:tcPr>
                <w:p w14:paraId="5E1C7EA4">
                  <w:pPr>
                    <w:spacing w:line="280" w:lineRule="exact"/>
                    <w:rPr>
                      <w:rFonts w:hint="eastAsia"/>
                      <w:color w:val="auto"/>
                      <w:highlight w:val="none"/>
                    </w:rPr>
                  </w:pPr>
                </w:p>
              </w:tc>
              <w:tc>
                <w:tcPr>
                  <w:tcW w:w="1260" w:type="dxa"/>
                  <w:noWrap w:val="0"/>
                  <w:vAlign w:val="top"/>
                </w:tcPr>
                <w:p w14:paraId="46496C45">
                  <w:pPr>
                    <w:spacing w:line="280" w:lineRule="exact"/>
                    <w:rPr>
                      <w:rFonts w:hint="eastAsia"/>
                      <w:color w:val="auto"/>
                      <w:highlight w:val="none"/>
                    </w:rPr>
                  </w:pPr>
                </w:p>
              </w:tc>
              <w:tc>
                <w:tcPr>
                  <w:tcW w:w="931" w:type="dxa"/>
                  <w:noWrap w:val="0"/>
                  <w:vAlign w:val="top"/>
                </w:tcPr>
                <w:p w14:paraId="4AF4DFDE">
                  <w:pPr>
                    <w:spacing w:line="280" w:lineRule="exact"/>
                    <w:rPr>
                      <w:rFonts w:hint="eastAsia"/>
                      <w:color w:val="auto"/>
                      <w:highlight w:val="none"/>
                    </w:rPr>
                  </w:pPr>
                </w:p>
              </w:tc>
            </w:tr>
            <w:tr w14:paraId="7A9B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C5F33B2">
                  <w:pPr>
                    <w:spacing w:line="280" w:lineRule="exact"/>
                    <w:jc w:val="center"/>
                    <w:rPr>
                      <w:rFonts w:hint="eastAsia"/>
                      <w:color w:val="auto"/>
                      <w:highlight w:val="none"/>
                    </w:rPr>
                  </w:pPr>
                  <w:r>
                    <w:rPr>
                      <w:rFonts w:hint="eastAsia"/>
                      <w:color w:val="auto"/>
                      <w:highlight w:val="none"/>
                    </w:rPr>
                    <w:t>4.2</w:t>
                  </w:r>
                </w:p>
              </w:tc>
              <w:tc>
                <w:tcPr>
                  <w:tcW w:w="3340" w:type="dxa"/>
                  <w:noWrap w:val="0"/>
                  <w:vAlign w:val="top"/>
                </w:tcPr>
                <w:p w14:paraId="3F3C6633">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14:paraId="74B24544">
                  <w:pPr>
                    <w:spacing w:line="280" w:lineRule="exact"/>
                    <w:rPr>
                      <w:rFonts w:hint="eastAsia"/>
                      <w:color w:val="auto"/>
                      <w:highlight w:val="none"/>
                    </w:rPr>
                  </w:pPr>
                </w:p>
              </w:tc>
              <w:tc>
                <w:tcPr>
                  <w:tcW w:w="1440" w:type="dxa"/>
                  <w:noWrap w:val="0"/>
                  <w:vAlign w:val="top"/>
                </w:tcPr>
                <w:p w14:paraId="5B8D4960">
                  <w:pPr>
                    <w:spacing w:line="280" w:lineRule="exact"/>
                    <w:rPr>
                      <w:rFonts w:hint="eastAsia"/>
                      <w:color w:val="auto"/>
                      <w:highlight w:val="none"/>
                    </w:rPr>
                  </w:pPr>
                </w:p>
              </w:tc>
              <w:tc>
                <w:tcPr>
                  <w:tcW w:w="1260" w:type="dxa"/>
                  <w:noWrap w:val="0"/>
                  <w:vAlign w:val="top"/>
                </w:tcPr>
                <w:p w14:paraId="6CA2583D">
                  <w:pPr>
                    <w:spacing w:line="280" w:lineRule="exact"/>
                    <w:rPr>
                      <w:rFonts w:hint="eastAsia"/>
                      <w:color w:val="auto"/>
                      <w:highlight w:val="none"/>
                    </w:rPr>
                  </w:pPr>
                </w:p>
              </w:tc>
              <w:tc>
                <w:tcPr>
                  <w:tcW w:w="931" w:type="dxa"/>
                  <w:noWrap w:val="0"/>
                  <w:vAlign w:val="top"/>
                </w:tcPr>
                <w:p w14:paraId="781A8349">
                  <w:pPr>
                    <w:spacing w:line="280" w:lineRule="exact"/>
                    <w:rPr>
                      <w:rFonts w:hint="eastAsia"/>
                      <w:color w:val="auto"/>
                      <w:highlight w:val="none"/>
                    </w:rPr>
                  </w:pPr>
                </w:p>
              </w:tc>
            </w:tr>
            <w:tr w14:paraId="6F9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F7E7E32">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14:paraId="352DEF5E">
                  <w:pPr>
                    <w:spacing w:line="280" w:lineRule="exact"/>
                    <w:rPr>
                      <w:rFonts w:hint="eastAsia"/>
                      <w:color w:val="auto"/>
                      <w:highlight w:val="none"/>
                    </w:rPr>
                  </w:pPr>
                  <w:r>
                    <w:rPr>
                      <w:rFonts w:hint="eastAsia"/>
                      <w:color w:val="auto"/>
                      <w:highlight w:val="none"/>
                    </w:rPr>
                    <w:t>本周期应支付的合同价款</w:t>
                  </w:r>
                </w:p>
              </w:tc>
              <w:tc>
                <w:tcPr>
                  <w:tcW w:w="1340" w:type="dxa"/>
                  <w:noWrap w:val="0"/>
                  <w:vAlign w:val="top"/>
                </w:tcPr>
                <w:p w14:paraId="10CB1E2D">
                  <w:pPr>
                    <w:spacing w:line="280" w:lineRule="exact"/>
                    <w:rPr>
                      <w:rFonts w:hint="eastAsia"/>
                      <w:color w:val="auto"/>
                      <w:highlight w:val="none"/>
                    </w:rPr>
                  </w:pPr>
                </w:p>
              </w:tc>
              <w:tc>
                <w:tcPr>
                  <w:tcW w:w="1440" w:type="dxa"/>
                  <w:noWrap w:val="0"/>
                  <w:vAlign w:val="top"/>
                </w:tcPr>
                <w:p w14:paraId="2D0E7503">
                  <w:pPr>
                    <w:spacing w:line="280" w:lineRule="exact"/>
                    <w:rPr>
                      <w:rFonts w:hint="eastAsia"/>
                      <w:color w:val="auto"/>
                      <w:highlight w:val="none"/>
                    </w:rPr>
                  </w:pPr>
                </w:p>
              </w:tc>
              <w:tc>
                <w:tcPr>
                  <w:tcW w:w="1260" w:type="dxa"/>
                  <w:noWrap w:val="0"/>
                  <w:vAlign w:val="top"/>
                </w:tcPr>
                <w:p w14:paraId="51892B62">
                  <w:pPr>
                    <w:spacing w:line="280" w:lineRule="exact"/>
                    <w:rPr>
                      <w:rFonts w:hint="eastAsia"/>
                      <w:color w:val="auto"/>
                      <w:highlight w:val="none"/>
                    </w:rPr>
                  </w:pPr>
                </w:p>
              </w:tc>
              <w:tc>
                <w:tcPr>
                  <w:tcW w:w="931" w:type="dxa"/>
                  <w:noWrap w:val="0"/>
                  <w:vAlign w:val="top"/>
                </w:tcPr>
                <w:p w14:paraId="1696C8F2">
                  <w:pPr>
                    <w:spacing w:line="280" w:lineRule="exact"/>
                    <w:rPr>
                      <w:rFonts w:hint="eastAsia"/>
                      <w:color w:val="auto"/>
                      <w:highlight w:val="none"/>
                    </w:rPr>
                  </w:pPr>
                </w:p>
              </w:tc>
            </w:tr>
            <w:tr w14:paraId="1C40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982527E">
                  <w:pPr>
                    <w:spacing w:line="280" w:lineRule="exact"/>
                    <w:jc w:val="center"/>
                    <w:rPr>
                      <w:rFonts w:hint="eastAsia"/>
                      <w:color w:val="auto"/>
                      <w:highlight w:val="none"/>
                    </w:rPr>
                  </w:pPr>
                </w:p>
              </w:tc>
              <w:tc>
                <w:tcPr>
                  <w:tcW w:w="3340" w:type="dxa"/>
                  <w:noWrap w:val="0"/>
                  <w:vAlign w:val="top"/>
                </w:tcPr>
                <w:p w14:paraId="2777FCF3">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14:paraId="1193BF43">
                  <w:pPr>
                    <w:spacing w:line="280" w:lineRule="exact"/>
                    <w:rPr>
                      <w:rFonts w:hint="eastAsia"/>
                      <w:color w:val="auto"/>
                      <w:highlight w:val="none"/>
                    </w:rPr>
                  </w:pPr>
                </w:p>
              </w:tc>
              <w:tc>
                <w:tcPr>
                  <w:tcW w:w="1440" w:type="dxa"/>
                  <w:noWrap w:val="0"/>
                  <w:vAlign w:val="top"/>
                </w:tcPr>
                <w:p w14:paraId="0907765D">
                  <w:pPr>
                    <w:spacing w:line="280" w:lineRule="exact"/>
                    <w:rPr>
                      <w:rFonts w:hint="eastAsia"/>
                      <w:color w:val="auto"/>
                      <w:highlight w:val="none"/>
                    </w:rPr>
                  </w:pPr>
                </w:p>
              </w:tc>
              <w:tc>
                <w:tcPr>
                  <w:tcW w:w="1260" w:type="dxa"/>
                  <w:noWrap w:val="0"/>
                  <w:vAlign w:val="top"/>
                </w:tcPr>
                <w:p w14:paraId="0AC2613A">
                  <w:pPr>
                    <w:spacing w:line="280" w:lineRule="exact"/>
                    <w:rPr>
                      <w:rFonts w:hint="eastAsia"/>
                      <w:color w:val="auto"/>
                      <w:highlight w:val="none"/>
                    </w:rPr>
                  </w:pPr>
                </w:p>
              </w:tc>
              <w:tc>
                <w:tcPr>
                  <w:tcW w:w="931" w:type="dxa"/>
                  <w:noWrap w:val="0"/>
                  <w:vAlign w:val="top"/>
                </w:tcPr>
                <w:p w14:paraId="3E921B21">
                  <w:pPr>
                    <w:spacing w:line="280" w:lineRule="exact"/>
                    <w:rPr>
                      <w:rFonts w:hint="eastAsia"/>
                      <w:color w:val="auto"/>
                      <w:highlight w:val="none"/>
                    </w:rPr>
                  </w:pPr>
                </w:p>
              </w:tc>
            </w:tr>
          </w:tbl>
          <w:p w14:paraId="21C46AE6">
            <w:pPr>
              <w:wordWrap w:val="0"/>
              <w:spacing w:line="400" w:lineRule="exact"/>
              <w:ind w:right="420"/>
              <w:rPr>
                <w:rFonts w:hint="eastAsia"/>
                <w:color w:val="auto"/>
                <w:highlight w:val="none"/>
              </w:rPr>
            </w:pPr>
            <w:r>
              <w:rPr>
                <w:rFonts w:hint="eastAsia"/>
                <w:color w:val="auto"/>
                <w:highlight w:val="none"/>
              </w:rPr>
              <w:t>附：上述3、4详见附件清单。</w:t>
            </w:r>
          </w:p>
          <w:p w14:paraId="398288E3">
            <w:pPr>
              <w:wordWrap w:val="0"/>
              <w:spacing w:line="400" w:lineRule="exact"/>
              <w:ind w:right="420"/>
              <w:rPr>
                <w:rFonts w:hint="eastAsia"/>
                <w:color w:val="auto"/>
                <w:highlight w:val="none"/>
              </w:rPr>
            </w:pPr>
            <w:r>
              <w:rPr>
                <w:rFonts w:hint="eastAsia"/>
                <w:color w:val="auto"/>
                <w:highlight w:val="none"/>
              </w:rPr>
              <w:t xml:space="preserve">                                            承包人（章）             </w:t>
            </w:r>
          </w:p>
          <w:p w14:paraId="6FCCA211">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12C9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2121F308">
            <w:pPr>
              <w:spacing w:line="360" w:lineRule="exact"/>
              <w:rPr>
                <w:rFonts w:hint="eastAsia"/>
                <w:color w:val="auto"/>
                <w:highlight w:val="none"/>
              </w:rPr>
            </w:pPr>
            <w:r>
              <w:rPr>
                <w:rFonts w:hint="eastAsia"/>
                <w:color w:val="auto"/>
                <w:highlight w:val="none"/>
              </w:rPr>
              <w:t>复核意见：</w:t>
            </w:r>
          </w:p>
          <w:p w14:paraId="75167159">
            <w:pPr>
              <w:spacing w:line="360" w:lineRule="exact"/>
              <w:ind w:firstLine="312"/>
              <w:rPr>
                <w:rFonts w:hint="eastAsia"/>
                <w:color w:val="auto"/>
                <w:highlight w:val="none"/>
              </w:rPr>
            </w:pPr>
            <w:r>
              <w:rPr>
                <w:rFonts w:hint="eastAsia"/>
                <w:color w:val="auto"/>
                <w:highlight w:val="none"/>
              </w:rPr>
              <w:t>□与实际施工情况不相符，修改意见见附件。</w:t>
            </w:r>
          </w:p>
          <w:p w14:paraId="4247E5D2">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1A0AF4E">
            <w:pPr>
              <w:spacing w:line="360" w:lineRule="exact"/>
              <w:ind w:firstLine="435"/>
              <w:jc w:val="right"/>
              <w:rPr>
                <w:rFonts w:hint="eastAsia"/>
                <w:color w:val="auto"/>
                <w:highlight w:val="none"/>
              </w:rPr>
            </w:pPr>
          </w:p>
          <w:p w14:paraId="25AB55C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1F48E3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noWrap w:val="0"/>
            <w:vAlign w:val="top"/>
          </w:tcPr>
          <w:p w14:paraId="003F6AB3">
            <w:pPr>
              <w:spacing w:line="360" w:lineRule="exact"/>
              <w:rPr>
                <w:rFonts w:hint="eastAsia"/>
                <w:color w:val="auto"/>
                <w:highlight w:val="none"/>
              </w:rPr>
            </w:pPr>
            <w:r>
              <w:rPr>
                <w:rFonts w:hint="eastAsia"/>
                <w:color w:val="auto"/>
                <w:highlight w:val="none"/>
              </w:rPr>
              <w:t>复核意见：</w:t>
            </w:r>
          </w:p>
          <w:p w14:paraId="7FBE356E">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01759522">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56788C40">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7945C49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3C2D8D7A">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2123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430A227">
            <w:pPr>
              <w:spacing w:line="400" w:lineRule="exact"/>
              <w:rPr>
                <w:rFonts w:hint="eastAsia"/>
                <w:color w:val="auto"/>
                <w:highlight w:val="none"/>
              </w:rPr>
            </w:pPr>
            <w:r>
              <w:rPr>
                <w:rFonts w:hint="eastAsia"/>
                <w:color w:val="auto"/>
                <w:highlight w:val="none"/>
              </w:rPr>
              <w:t>审核意见：</w:t>
            </w:r>
          </w:p>
          <w:p w14:paraId="08174B60">
            <w:pPr>
              <w:spacing w:line="400" w:lineRule="exact"/>
              <w:ind w:firstLine="435"/>
              <w:rPr>
                <w:rFonts w:hint="eastAsia"/>
                <w:color w:val="auto"/>
                <w:highlight w:val="none"/>
              </w:rPr>
            </w:pPr>
            <w:r>
              <w:rPr>
                <w:rFonts w:hint="eastAsia"/>
                <w:color w:val="auto"/>
                <w:highlight w:val="none"/>
              </w:rPr>
              <w:t>□不同意。</w:t>
            </w:r>
          </w:p>
          <w:p w14:paraId="042289B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77500D7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517F49D2">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17F4EEC8">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270FD5E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A66CA61">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6CB75E40">
      <w:pPr>
        <w:jc w:val="left"/>
        <w:rPr>
          <w:rFonts w:hint="eastAsia"/>
          <w:color w:val="auto"/>
          <w:sz w:val="30"/>
          <w:szCs w:val="30"/>
          <w:highlight w:val="none"/>
        </w:rPr>
      </w:pPr>
      <w:r>
        <w:rPr>
          <w:rFonts w:hint="eastAsia"/>
          <w:color w:val="auto"/>
          <w:sz w:val="30"/>
          <w:szCs w:val="30"/>
          <w:highlight w:val="none"/>
        </w:rPr>
        <w:t>附件12</w:t>
      </w:r>
    </w:p>
    <w:p w14:paraId="475B959C">
      <w:pPr>
        <w:jc w:val="center"/>
        <w:rPr>
          <w:rFonts w:hint="eastAsia"/>
          <w:b/>
          <w:color w:val="auto"/>
          <w:sz w:val="36"/>
          <w:szCs w:val="36"/>
          <w:highlight w:val="none"/>
        </w:rPr>
      </w:pPr>
      <w:r>
        <w:rPr>
          <w:rFonts w:hint="eastAsia"/>
          <w:b/>
          <w:color w:val="auto"/>
          <w:sz w:val="36"/>
          <w:szCs w:val="36"/>
          <w:highlight w:val="none"/>
        </w:rPr>
        <w:t>竣工结算款支付申请（核准）表</w:t>
      </w:r>
    </w:p>
    <w:p w14:paraId="59C8A1CB">
      <w:pPr>
        <w:rPr>
          <w:rFonts w:hint="eastAsia"/>
          <w:color w:val="auto"/>
          <w:sz w:val="24"/>
          <w:szCs w:val="24"/>
          <w:highlight w:val="none"/>
        </w:rPr>
      </w:pPr>
      <w:r>
        <w:rPr>
          <w:rFonts w:hint="eastAsia"/>
          <w:color w:val="auto"/>
          <w:sz w:val="24"/>
          <w:szCs w:val="24"/>
          <w:highlight w:val="none"/>
        </w:rPr>
        <w:t>工程名称：                                              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E74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03431DB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6282F305">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1C20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57A57F48">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14:paraId="5209F830">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14:paraId="069F89E5">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14:paraId="390386F3">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14:paraId="02B9DE8A">
                  <w:pPr>
                    <w:spacing w:line="280" w:lineRule="exact"/>
                    <w:jc w:val="center"/>
                    <w:rPr>
                      <w:rFonts w:hint="eastAsia"/>
                      <w:color w:val="auto"/>
                      <w:highlight w:val="none"/>
                    </w:rPr>
                  </w:pPr>
                  <w:r>
                    <w:rPr>
                      <w:rFonts w:hint="eastAsia"/>
                      <w:color w:val="auto"/>
                      <w:highlight w:val="none"/>
                    </w:rPr>
                    <w:t>备注</w:t>
                  </w:r>
                </w:p>
              </w:tc>
            </w:tr>
            <w:tr w14:paraId="6F1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67B4490">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14:paraId="3CC79EFB">
                  <w:pPr>
                    <w:spacing w:line="280" w:lineRule="exact"/>
                    <w:rPr>
                      <w:rFonts w:hint="eastAsia"/>
                      <w:color w:val="auto"/>
                      <w:highlight w:val="none"/>
                    </w:rPr>
                  </w:pPr>
                  <w:r>
                    <w:rPr>
                      <w:rFonts w:hint="eastAsia"/>
                      <w:color w:val="auto"/>
                      <w:highlight w:val="none"/>
                    </w:rPr>
                    <w:t>竣工结算合同价款总额</w:t>
                  </w:r>
                </w:p>
              </w:tc>
              <w:tc>
                <w:tcPr>
                  <w:tcW w:w="1620" w:type="dxa"/>
                  <w:noWrap w:val="0"/>
                  <w:vAlign w:val="top"/>
                </w:tcPr>
                <w:p w14:paraId="72572DC1">
                  <w:pPr>
                    <w:spacing w:line="280" w:lineRule="exact"/>
                    <w:rPr>
                      <w:rFonts w:hint="eastAsia"/>
                      <w:color w:val="auto"/>
                      <w:highlight w:val="none"/>
                    </w:rPr>
                  </w:pPr>
                </w:p>
              </w:tc>
              <w:tc>
                <w:tcPr>
                  <w:tcW w:w="1620" w:type="dxa"/>
                  <w:noWrap w:val="0"/>
                  <w:vAlign w:val="top"/>
                </w:tcPr>
                <w:p w14:paraId="66DEF960">
                  <w:pPr>
                    <w:spacing w:line="280" w:lineRule="exact"/>
                    <w:rPr>
                      <w:rFonts w:hint="eastAsia"/>
                      <w:color w:val="auto"/>
                      <w:highlight w:val="none"/>
                    </w:rPr>
                  </w:pPr>
                </w:p>
              </w:tc>
              <w:tc>
                <w:tcPr>
                  <w:tcW w:w="1651" w:type="dxa"/>
                  <w:noWrap w:val="0"/>
                  <w:vAlign w:val="top"/>
                </w:tcPr>
                <w:p w14:paraId="33812A38">
                  <w:pPr>
                    <w:spacing w:line="280" w:lineRule="exact"/>
                    <w:rPr>
                      <w:rFonts w:hint="eastAsia"/>
                      <w:color w:val="auto"/>
                      <w:highlight w:val="none"/>
                    </w:rPr>
                  </w:pPr>
                </w:p>
              </w:tc>
            </w:tr>
            <w:tr w14:paraId="73AA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B88FC4A">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14:paraId="193A4EC0">
                  <w:pPr>
                    <w:spacing w:line="280" w:lineRule="exact"/>
                    <w:rPr>
                      <w:rFonts w:hint="eastAsia"/>
                      <w:color w:val="auto"/>
                      <w:highlight w:val="none"/>
                    </w:rPr>
                  </w:pPr>
                  <w:r>
                    <w:rPr>
                      <w:rFonts w:hint="eastAsia"/>
                      <w:color w:val="auto"/>
                      <w:highlight w:val="none"/>
                    </w:rPr>
                    <w:t>累计已实际支付的合同价款</w:t>
                  </w:r>
                </w:p>
              </w:tc>
              <w:tc>
                <w:tcPr>
                  <w:tcW w:w="1620" w:type="dxa"/>
                  <w:noWrap w:val="0"/>
                  <w:vAlign w:val="top"/>
                </w:tcPr>
                <w:p w14:paraId="0F8EB579">
                  <w:pPr>
                    <w:spacing w:line="280" w:lineRule="exact"/>
                    <w:rPr>
                      <w:rFonts w:hint="eastAsia"/>
                      <w:color w:val="auto"/>
                      <w:highlight w:val="none"/>
                    </w:rPr>
                  </w:pPr>
                </w:p>
              </w:tc>
              <w:tc>
                <w:tcPr>
                  <w:tcW w:w="1620" w:type="dxa"/>
                  <w:noWrap w:val="0"/>
                  <w:vAlign w:val="top"/>
                </w:tcPr>
                <w:p w14:paraId="31D8ADDC">
                  <w:pPr>
                    <w:spacing w:line="280" w:lineRule="exact"/>
                    <w:rPr>
                      <w:rFonts w:hint="eastAsia"/>
                      <w:color w:val="auto"/>
                      <w:highlight w:val="none"/>
                    </w:rPr>
                  </w:pPr>
                </w:p>
              </w:tc>
              <w:tc>
                <w:tcPr>
                  <w:tcW w:w="1651" w:type="dxa"/>
                  <w:noWrap w:val="0"/>
                  <w:vAlign w:val="top"/>
                </w:tcPr>
                <w:p w14:paraId="54A44B93">
                  <w:pPr>
                    <w:spacing w:line="280" w:lineRule="exact"/>
                    <w:rPr>
                      <w:rFonts w:hint="eastAsia"/>
                      <w:color w:val="auto"/>
                      <w:highlight w:val="none"/>
                    </w:rPr>
                  </w:pPr>
                </w:p>
              </w:tc>
            </w:tr>
            <w:tr w14:paraId="58E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276F762">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14:paraId="77C617E6">
                  <w:pPr>
                    <w:spacing w:line="280" w:lineRule="exact"/>
                    <w:rPr>
                      <w:rFonts w:hint="eastAsia"/>
                      <w:color w:val="auto"/>
                      <w:highlight w:val="none"/>
                    </w:rPr>
                  </w:pPr>
                  <w:r>
                    <w:rPr>
                      <w:rFonts w:hint="eastAsia"/>
                      <w:color w:val="auto"/>
                      <w:highlight w:val="none"/>
                    </w:rPr>
                    <w:t>应预留的质量保证金</w:t>
                  </w:r>
                </w:p>
              </w:tc>
              <w:tc>
                <w:tcPr>
                  <w:tcW w:w="1620" w:type="dxa"/>
                  <w:noWrap w:val="0"/>
                  <w:vAlign w:val="top"/>
                </w:tcPr>
                <w:p w14:paraId="015DDF5E">
                  <w:pPr>
                    <w:spacing w:line="280" w:lineRule="exact"/>
                    <w:rPr>
                      <w:rFonts w:hint="eastAsia"/>
                      <w:color w:val="auto"/>
                      <w:highlight w:val="none"/>
                    </w:rPr>
                  </w:pPr>
                </w:p>
              </w:tc>
              <w:tc>
                <w:tcPr>
                  <w:tcW w:w="1620" w:type="dxa"/>
                  <w:noWrap w:val="0"/>
                  <w:vAlign w:val="top"/>
                </w:tcPr>
                <w:p w14:paraId="784507CA">
                  <w:pPr>
                    <w:spacing w:line="280" w:lineRule="exact"/>
                    <w:rPr>
                      <w:rFonts w:hint="eastAsia"/>
                      <w:color w:val="auto"/>
                      <w:highlight w:val="none"/>
                    </w:rPr>
                  </w:pPr>
                </w:p>
              </w:tc>
              <w:tc>
                <w:tcPr>
                  <w:tcW w:w="1651" w:type="dxa"/>
                  <w:noWrap w:val="0"/>
                  <w:vAlign w:val="top"/>
                </w:tcPr>
                <w:p w14:paraId="516B2AB9">
                  <w:pPr>
                    <w:spacing w:line="280" w:lineRule="exact"/>
                    <w:rPr>
                      <w:rFonts w:hint="eastAsia"/>
                      <w:color w:val="auto"/>
                      <w:highlight w:val="none"/>
                    </w:rPr>
                  </w:pPr>
                </w:p>
              </w:tc>
            </w:tr>
            <w:tr w14:paraId="6C6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5299F6D">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14:paraId="5F32941A">
                  <w:pPr>
                    <w:spacing w:line="280" w:lineRule="exact"/>
                    <w:rPr>
                      <w:rFonts w:hint="eastAsia"/>
                      <w:color w:val="auto"/>
                      <w:highlight w:val="none"/>
                    </w:rPr>
                  </w:pPr>
                  <w:r>
                    <w:rPr>
                      <w:rFonts w:hint="eastAsia"/>
                      <w:color w:val="auto"/>
                      <w:highlight w:val="none"/>
                    </w:rPr>
                    <w:t>应支付的竣工结算款金额</w:t>
                  </w:r>
                </w:p>
              </w:tc>
              <w:tc>
                <w:tcPr>
                  <w:tcW w:w="1620" w:type="dxa"/>
                  <w:noWrap w:val="0"/>
                  <w:vAlign w:val="top"/>
                </w:tcPr>
                <w:p w14:paraId="69CEF144">
                  <w:pPr>
                    <w:spacing w:line="280" w:lineRule="exact"/>
                    <w:rPr>
                      <w:rFonts w:hint="eastAsia"/>
                      <w:color w:val="auto"/>
                      <w:highlight w:val="none"/>
                    </w:rPr>
                  </w:pPr>
                </w:p>
              </w:tc>
              <w:tc>
                <w:tcPr>
                  <w:tcW w:w="1620" w:type="dxa"/>
                  <w:noWrap w:val="0"/>
                  <w:vAlign w:val="top"/>
                </w:tcPr>
                <w:p w14:paraId="1AF2DD01">
                  <w:pPr>
                    <w:spacing w:line="280" w:lineRule="exact"/>
                    <w:rPr>
                      <w:rFonts w:hint="eastAsia"/>
                      <w:color w:val="auto"/>
                      <w:highlight w:val="none"/>
                    </w:rPr>
                  </w:pPr>
                </w:p>
              </w:tc>
              <w:tc>
                <w:tcPr>
                  <w:tcW w:w="1651" w:type="dxa"/>
                  <w:noWrap w:val="0"/>
                  <w:vAlign w:val="top"/>
                </w:tcPr>
                <w:p w14:paraId="6558A333">
                  <w:pPr>
                    <w:spacing w:line="280" w:lineRule="exact"/>
                    <w:rPr>
                      <w:rFonts w:hint="eastAsia"/>
                      <w:color w:val="auto"/>
                      <w:highlight w:val="none"/>
                    </w:rPr>
                  </w:pPr>
                </w:p>
              </w:tc>
            </w:tr>
            <w:tr w14:paraId="587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6987C14">
                  <w:pPr>
                    <w:spacing w:line="280" w:lineRule="exact"/>
                    <w:jc w:val="center"/>
                    <w:rPr>
                      <w:rFonts w:hint="eastAsia"/>
                      <w:color w:val="auto"/>
                      <w:highlight w:val="none"/>
                    </w:rPr>
                  </w:pPr>
                </w:p>
              </w:tc>
              <w:tc>
                <w:tcPr>
                  <w:tcW w:w="3420" w:type="dxa"/>
                  <w:noWrap w:val="0"/>
                  <w:vAlign w:val="top"/>
                </w:tcPr>
                <w:p w14:paraId="24A076F8">
                  <w:pPr>
                    <w:spacing w:line="280" w:lineRule="exact"/>
                    <w:rPr>
                      <w:rFonts w:hint="eastAsia"/>
                      <w:color w:val="auto"/>
                      <w:highlight w:val="none"/>
                    </w:rPr>
                  </w:pPr>
                </w:p>
              </w:tc>
              <w:tc>
                <w:tcPr>
                  <w:tcW w:w="1620" w:type="dxa"/>
                  <w:noWrap w:val="0"/>
                  <w:vAlign w:val="top"/>
                </w:tcPr>
                <w:p w14:paraId="69B64729">
                  <w:pPr>
                    <w:spacing w:line="280" w:lineRule="exact"/>
                    <w:rPr>
                      <w:rFonts w:hint="eastAsia"/>
                      <w:color w:val="auto"/>
                      <w:highlight w:val="none"/>
                    </w:rPr>
                  </w:pPr>
                </w:p>
              </w:tc>
              <w:tc>
                <w:tcPr>
                  <w:tcW w:w="1620" w:type="dxa"/>
                  <w:noWrap w:val="0"/>
                  <w:vAlign w:val="top"/>
                </w:tcPr>
                <w:p w14:paraId="6C555C0D">
                  <w:pPr>
                    <w:spacing w:line="280" w:lineRule="exact"/>
                    <w:rPr>
                      <w:rFonts w:hint="eastAsia"/>
                      <w:color w:val="auto"/>
                      <w:highlight w:val="none"/>
                    </w:rPr>
                  </w:pPr>
                </w:p>
              </w:tc>
              <w:tc>
                <w:tcPr>
                  <w:tcW w:w="1651" w:type="dxa"/>
                  <w:noWrap w:val="0"/>
                  <w:vAlign w:val="top"/>
                </w:tcPr>
                <w:p w14:paraId="139A3771">
                  <w:pPr>
                    <w:spacing w:line="280" w:lineRule="exact"/>
                    <w:rPr>
                      <w:rFonts w:hint="eastAsia"/>
                      <w:color w:val="auto"/>
                      <w:highlight w:val="none"/>
                    </w:rPr>
                  </w:pPr>
                </w:p>
              </w:tc>
            </w:tr>
            <w:tr w14:paraId="617C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993C8B9">
                  <w:pPr>
                    <w:spacing w:line="280" w:lineRule="exact"/>
                    <w:jc w:val="center"/>
                    <w:rPr>
                      <w:rFonts w:hint="eastAsia"/>
                      <w:color w:val="auto"/>
                      <w:highlight w:val="none"/>
                    </w:rPr>
                  </w:pPr>
                </w:p>
              </w:tc>
              <w:tc>
                <w:tcPr>
                  <w:tcW w:w="3420" w:type="dxa"/>
                  <w:noWrap w:val="0"/>
                  <w:vAlign w:val="top"/>
                </w:tcPr>
                <w:p w14:paraId="72D50E55">
                  <w:pPr>
                    <w:spacing w:line="280" w:lineRule="exact"/>
                    <w:rPr>
                      <w:rFonts w:hint="eastAsia"/>
                      <w:color w:val="auto"/>
                      <w:highlight w:val="none"/>
                    </w:rPr>
                  </w:pPr>
                </w:p>
              </w:tc>
              <w:tc>
                <w:tcPr>
                  <w:tcW w:w="1620" w:type="dxa"/>
                  <w:noWrap w:val="0"/>
                  <w:vAlign w:val="top"/>
                </w:tcPr>
                <w:p w14:paraId="6AB2B3A9">
                  <w:pPr>
                    <w:spacing w:line="280" w:lineRule="exact"/>
                    <w:rPr>
                      <w:rFonts w:hint="eastAsia"/>
                      <w:color w:val="auto"/>
                      <w:highlight w:val="none"/>
                    </w:rPr>
                  </w:pPr>
                </w:p>
              </w:tc>
              <w:tc>
                <w:tcPr>
                  <w:tcW w:w="1620" w:type="dxa"/>
                  <w:noWrap w:val="0"/>
                  <w:vAlign w:val="top"/>
                </w:tcPr>
                <w:p w14:paraId="6B91A935">
                  <w:pPr>
                    <w:spacing w:line="280" w:lineRule="exact"/>
                    <w:rPr>
                      <w:rFonts w:hint="eastAsia"/>
                      <w:color w:val="auto"/>
                      <w:highlight w:val="none"/>
                    </w:rPr>
                  </w:pPr>
                </w:p>
              </w:tc>
              <w:tc>
                <w:tcPr>
                  <w:tcW w:w="1651" w:type="dxa"/>
                  <w:noWrap w:val="0"/>
                  <w:vAlign w:val="top"/>
                </w:tcPr>
                <w:p w14:paraId="11FE2F16">
                  <w:pPr>
                    <w:spacing w:line="280" w:lineRule="exact"/>
                    <w:rPr>
                      <w:rFonts w:hint="eastAsia"/>
                      <w:color w:val="auto"/>
                      <w:highlight w:val="none"/>
                    </w:rPr>
                  </w:pPr>
                </w:p>
              </w:tc>
            </w:tr>
            <w:tr w14:paraId="358F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229677B">
                  <w:pPr>
                    <w:spacing w:line="280" w:lineRule="exact"/>
                    <w:jc w:val="center"/>
                    <w:rPr>
                      <w:rFonts w:hint="eastAsia"/>
                      <w:color w:val="auto"/>
                      <w:highlight w:val="none"/>
                    </w:rPr>
                  </w:pPr>
                </w:p>
              </w:tc>
              <w:tc>
                <w:tcPr>
                  <w:tcW w:w="3420" w:type="dxa"/>
                  <w:noWrap w:val="0"/>
                  <w:vAlign w:val="top"/>
                </w:tcPr>
                <w:p w14:paraId="2444CABC">
                  <w:pPr>
                    <w:spacing w:line="280" w:lineRule="exact"/>
                    <w:rPr>
                      <w:rFonts w:hint="eastAsia"/>
                      <w:color w:val="auto"/>
                      <w:highlight w:val="none"/>
                    </w:rPr>
                  </w:pPr>
                </w:p>
              </w:tc>
              <w:tc>
                <w:tcPr>
                  <w:tcW w:w="1620" w:type="dxa"/>
                  <w:noWrap w:val="0"/>
                  <w:vAlign w:val="top"/>
                </w:tcPr>
                <w:p w14:paraId="1E8A4678">
                  <w:pPr>
                    <w:spacing w:line="280" w:lineRule="exact"/>
                    <w:rPr>
                      <w:rFonts w:hint="eastAsia"/>
                      <w:color w:val="auto"/>
                      <w:highlight w:val="none"/>
                    </w:rPr>
                  </w:pPr>
                </w:p>
              </w:tc>
              <w:tc>
                <w:tcPr>
                  <w:tcW w:w="1620" w:type="dxa"/>
                  <w:noWrap w:val="0"/>
                  <w:vAlign w:val="top"/>
                </w:tcPr>
                <w:p w14:paraId="47725C86">
                  <w:pPr>
                    <w:spacing w:line="280" w:lineRule="exact"/>
                    <w:rPr>
                      <w:rFonts w:hint="eastAsia"/>
                      <w:color w:val="auto"/>
                      <w:highlight w:val="none"/>
                    </w:rPr>
                  </w:pPr>
                </w:p>
              </w:tc>
              <w:tc>
                <w:tcPr>
                  <w:tcW w:w="1651" w:type="dxa"/>
                  <w:noWrap w:val="0"/>
                  <w:vAlign w:val="top"/>
                </w:tcPr>
                <w:p w14:paraId="0B9A3D8A">
                  <w:pPr>
                    <w:spacing w:line="280" w:lineRule="exact"/>
                    <w:rPr>
                      <w:rFonts w:hint="eastAsia"/>
                      <w:color w:val="auto"/>
                      <w:highlight w:val="none"/>
                    </w:rPr>
                  </w:pPr>
                </w:p>
              </w:tc>
            </w:tr>
            <w:tr w14:paraId="30A0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F2B6E86">
                  <w:pPr>
                    <w:spacing w:line="280" w:lineRule="exact"/>
                    <w:jc w:val="center"/>
                    <w:rPr>
                      <w:rFonts w:hint="eastAsia"/>
                      <w:color w:val="auto"/>
                      <w:highlight w:val="none"/>
                    </w:rPr>
                  </w:pPr>
                </w:p>
              </w:tc>
              <w:tc>
                <w:tcPr>
                  <w:tcW w:w="3420" w:type="dxa"/>
                  <w:noWrap w:val="0"/>
                  <w:vAlign w:val="top"/>
                </w:tcPr>
                <w:p w14:paraId="1F52FDB7">
                  <w:pPr>
                    <w:spacing w:line="280" w:lineRule="exact"/>
                    <w:rPr>
                      <w:rFonts w:hint="eastAsia"/>
                      <w:color w:val="auto"/>
                      <w:highlight w:val="none"/>
                    </w:rPr>
                  </w:pPr>
                </w:p>
              </w:tc>
              <w:tc>
                <w:tcPr>
                  <w:tcW w:w="1620" w:type="dxa"/>
                  <w:noWrap w:val="0"/>
                  <w:vAlign w:val="top"/>
                </w:tcPr>
                <w:p w14:paraId="455A8313">
                  <w:pPr>
                    <w:spacing w:line="280" w:lineRule="exact"/>
                    <w:rPr>
                      <w:rFonts w:hint="eastAsia"/>
                      <w:color w:val="auto"/>
                      <w:highlight w:val="none"/>
                    </w:rPr>
                  </w:pPr>
                </w:p>
              </w:tc>
              <w:tc>
                <w:tcPr>
                  <w:tcW w:w="1620" w:type="dxa"/>
                  <w:noWrap w:val="0"/>
                  <w:vAlign w:val="top"/>
                </w:tcPr>
                <w:p w14:paraId="616BEAED">
                  <w:pPr>
                    <w:spacing w:line="280" w:lineRule="exact"/>
                    <w:rPr>
                      <w:rFonts w:hint="eastAsia"/>
                      <w:color w:val="auto"/>
                      <w:highlight w:val="none"/>
                    </w:rPr>
                  </w:pPr>
                </w:p>
              </w:tc>
              <w:tc>
                <w:tcPr>
                  <w:tcW w:w="1651" w:type="dxa"/>
                  <w:noWrap w:val="0"/>
                  <w:vAlign w:val="top"/>
                </w:tcPr>
                <w:p w14:paraId="02A69139">
                  <w:pPr>
                    <w:spacing w:line="280" w:lineRule="exact"/>
                    <w:rPr>
                      <w:rFonts w:hint="eastAsia"/>
                      <w:color w:val="auto"/>
                      <w:highlight w:val="none"/>
                    </w:rPr>
                  </w:pPr>
                </w:p>
              </w:tc>
            </w:tr>
            <w:tr w14:paraId="4E3A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A7E29E4">
                  <w:pPr>
                    <w:spacing w:line="280" w:lineRule="exact"/>
                    <w:jc w:val="center"/>
                    <w:rPr>
                      <w:rFonts w:hint="eastAsia"/>
                      <w:color w:val="auto"/>
                      <w:highlight w:val="none"/>
                    </w:rPr>
                  </w:pPr>
                </w:p>
              </w:tc>
              <w:tc>
                <w:tcPr>
                  <w:tcW w:w="3420" w:type="dxa"/>
                  <w:noWrap w:val="0"/>
                  <w:vAlign w:val="top"/>
                </w:tcPr>
                <w:p w14:paraId="18DF9B45">
                  <w:pPr>
                    <w:spacing w:line="280" w:lineRule="exact"/>
                    <w:rPr>
                      <w:rFonts w:hint="eastAsia"/>
                      <w:color w:val="auto"/>
                      <w:highlight w:val="none"/>
                    </w:rPr>
                  </w:pPr>
                </w:p>
              </w:tc>
              <w:tc>
                <w:tcPr>
                  <w:tcW w:w="1620" w:type="dxa"/>
                  <w:noWrap w:val="0"/>
                  <w:vAlign w:val="top"/>
                </w:tcPr>
                <w:p w14:paraId="6BFCC23A">
                  <w:pPr>
                    <w:spacing w:line="280" w:lineRule="exact"/>
                    <w:rPr>
                      <w:rFonts w:hint="eastAsia"/>
                      <w:color w:val="auto"/>
                      <w:highlight w:val="none"/>
                    </w:rPr>
                  </w:pPr>
                </w:p>
              </w:tc>
              <w:tc>
                <w:tcPr>
                  <w:tcW w:w="1620" w:type="dxa"/>
                  <w:noWrap w:val="0"/>
                  <w:vAlign w:val="top"/>
                </w:tcPr>
                <w:p w14:paraId="67D7E2C5">
                  <w:pPr>
                    <w:spacing w:line="280" w:lineRule="exact"/>
                    <w:rPr>
                      <w:rFonts w:hint="eastAsia"/>
                      <w:color w:val="auto"/>
                      <w:highlight w:val="none"/>
                    </w:rPr>
                  </w:pPr>
                </w:p>
              </w:tc>
              <w:tc>
                <w:tcPr>
                  <w:tcW w:w="1651" w:type="dxa"/>
                  <w:noWrap w:val="0"/>
                  <w:vAlign w:val="top"/>
                </w:tcPr>
                <w:p w14:paraId="11053A02">
                  <w:pPr>
                    <w:spacing w:line="280" w:lineRule="exact"/>
                    <w:rPr>
                      <w:rFonts w:hint="eastAsia"/>
                      <w:color w:val="auto"/>
                      <w:highlight w:val="none"/>
                    </w:rPr>
                  </w:pPr>
                </w:p>
              </w:tc>
            </w:tr>
          </w:tbl>
          <w:p w14:paraId="7A9BB655">
            <w:pPr>
              <w:spacing w:line="400" w:lineRule="exact"/>
              <w:ind w:right="420" w:firstLine="435"/>
              <w:jc w:val="center"/>
              <w:rPr>
                <w:rFonts w:hint="eastAsia"/>
                <w:color w:val="auto"/>
                <w:highlight w:val="none"/>
              </w:rPr>
            </w:pPr>
          </w:p>
          <w:p w14:paraId="6EFCEBC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108F0B28">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2CF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67D52747">
            <w:pPr>
              <w:spacing w:line="360" w:lineRule="exact"/>
              <w:rPr>
                <w:rFonts w:hint="eastAsia"/>
                <w:color w:val="auto"/>
                <w:highlight w:val="none"/>
              </w:rPr>
            </w:pPr>
            <w:r>
              <w:rPr>
                <w:rFonts w:hint="eastAsia"/>
                <w:color w:val="auto"/>
                <w:highlight w:val="none"/>
              </w:rPr>
              <w:t>复核意见：</w:t>
            </w:r>
          </w:p>
          <w:p w14:paraId="397992BE">
            <w:pPr>
              <w:spacing w:line="360" w:lineRule="exact"/>
              <w:ind w:firstLine="312"/>
              <w:rPr>
                <w:rFonts w:hint="eastAsia"/>
                <w:color w:val="auto"/>
                <w:highlight w:val="none"/>
              </w:rPr>
            </w:pPr>
            <w:r>
              <w:rPr>
                <w:rFonts w:hint="eastAsia"/>
                <w:color w:val="auto"/>
                <w:highlight w:val="none"/>
              </w:rPr>
              <w:t>□与实际施工情况不相符，修改意见见附件。</w:t>
            </w:r>
          </w:p>
          <w:p w14:paraId="27334B2A">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2CB831D4">
            <w:pPr>
              <w:spacing w:line="360" w:lineRule="exact"/>
              <w:ind w:firstLine="435"/>
              <w:jc w:val="right"/>
              <w:rPr>
                <w:rFonts w:hint="eastAsia"/>
                <w:color w:val="auto"/>
                <w:highlight w:val="none"/>
              </w:rPr>
            </w:pPr>
          </w:p>
          <w:p w14:paraId="75073EFA">
            <w:pPr>
              <w:spacing w:line="360" w:lineRule="exact"/>
              <w:ind w:firstLine="435"/>
              <w:jc w:val="right"/>
              <w:rPr>
                <w:rFonts w:hint="eastAsia"/>
                <w:color w:val="auto"/>
                <w:highlight w:val="none"/>
              </w:rPr>
            </w:pPr>
          </w:p>
          <w:p w14:paraId="1BE4BD05">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1EA4BF56">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730F34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noWrap w:val="0"/>
            <w:vAlign w:val="top"/>
          </w:tcPr>
          <w:p w14:paraId="65511A1D">
            <w:pPr>
              <w:spacing w:line="360" w:lineRule="exact"/>
              <w:rPr>
                <w:rFonts w:hint="eastAsia"/>
                <w:color w:val="auto"/>
                <w:highlight w:val="none"/>
              </w:rPr>
            </w:pPr>
            <w:r>
              <w:rPr>
                <w:rFonts w:hint="eastAsia"/>
                <w:color w:val="auto"/>
                <w:highlight w:val="none"/>
              </w:rPr>
              <w:t>复核意见：</w:t>
            </w:r>
          </w:p>
          <w:p w14:paraId="21B5A812">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687C97E3">
            <w:pPr>
              <w:spacing w:line="360" w:lineRule="exact"/>
              <w:ind w:firstLine="435"/>
              <w:jc w:val="center"/>
              <w:rPr>
                <w:rFonts w:hint="eastAsia"/>
                <w:color w:val="auto"/>
                <w:highlight w:val="none"/>
              </w:rPr>
            </w:pPr>
            <w:r>
              <w:rPr>
                <w:color w:val="auto"/>
                <w:highlight w:val="none"/>
              </w:rPr>
              <w:t xml:space="preserve">    </w:t>
            </w:r>
          </w:p>
          <w:p w14:paraId="6133C657">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131C253A">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7D2B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0ADB101">
            <w:pPr>
              <w:spacing w:line="400" w:lineRule="exact"/>
              <w:rPr>
                <w:rFonts w:hint="eastAsia"/>
                <w:color w:val="auto"/>
                <w:highlight w:val="none"/>
              </w:rPr>
            </w:pPr>
            <w:r>
              <w:rPr>
                <w:rFonts w:hint="eastAsia"/>
                <w:color w:val="auto"/>
                <w:highlight w:val="none"/>
              </w:rPr>
              <w:t>审核意见：</w:t>
            </w:r>
          </w:p>
          <w:p w14:paraId="7397AA71">
            <w:pPr>
              <w:spacing w:line="400" w:lineRule="exact"/>
              <w:ind w:firstLine="435"/>
              <w:rPr>
                <w:rFonts w:hint="eastAsia"/>
                <w:color w:val="auto"/>
                <w:highlight w:val="none"/>
              </w:rPr>
            </w:pPr>
            <w:r>
              <w:rPr>
                <w:rFonts w:hint="eastAsia"/>
                <w:color w:val="auto"/>
                <w:highlight w:val="none"/>
              </w:rPr>
              <w:t>□不同意。</w:t>
            </w:r>
          </w:p>
          <w:p w14:paraId="5B276870">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754ABCE0">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931A618">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282455C5">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774E497E">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077A7807">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5C417959">
      <w:pPr>
        <w:ind w:right="360"/>
        <w:rPr>
          <w:rFonts w:hint="eastAsia"/>
          <w:b/>
          <w:color w:val="auto"/>
          <w:sz w:val="30"/>
          <w:szCs w:val="30"/>
          <w:highlight w:val="none"/>
        </w:rPr>
      </w:pPr>
      <w:r>
        <w:rPr>
          <w:rFonts w:hint="eastAsia" w:hAnsi="宋体" w:cs="宋体"/>
          <w:color w:val="auto"/>
          <w:sz w:val="30"/>
          <w:szCs w:val="30"/>
          <w:highlight w:val="none"/>
        </w:rPr>
        <w:t>附件13：</w:t>
      </w:r>
    </w:p>
    <w:p w14:paraId="60EB98E2">
      <w:pPr>
        <w:jc w:val="center"/>
        <w:rPr>
          <w:rFonts w:hint="eastAsia"/>
          <w:b/>
          <w:color w:val="auto"/>
          <w:sz w:val="36"/>
          <w:szCs w:val="36"/>
          <w:highlight w:val="none"/>
        </w:rPr>
      </w:pPr>
      <w:r>
        <w:rPr>
          <w:rFonts w:hint="eastAsia"/>
          <w:b/>
          <w:color w:val="auto"/>
          <w:sz w:val="36"/>
          <w:szCs w:val="36"/>
          <w:highlight w:val="none"/>
        </w:rPr>
        <w:t>最终结算款支付申请（核准）表</w:t>
      </w:r>
    </w:p>
    <w:p w14:paraId="231D28C9">
      <w:pPr>
        <w:rPr>
          <w:rFonts w:hint="eastAsia"/>
          <w:color w:val="auto"/>
          <w:sz w:val="24"/>
          <w:szCs w:val="24"/>
          <w:highlight w:val="none"/>
        </w:rPr>
      </w:pPr>
      <w:r>
        <w:rPr>
          <w:rFonts w:hint="eastAsia"/>
          <w:color w:val="auto"/>
          <w:sz w:val="24"/>
          <w:szCs w:val="24"/>
          <w:highlight w:val="none"/>
        </w:rPr>
        <w:t>工程名称：                                             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570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02DA3FEF">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B06B7F4">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1F51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4B0AF4D3">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14:paraId="1E6B2402">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14:paraId="3B147861">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14:paraId="08A98B55">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14:paraId="1F70C6DD">
                  <w:pPr>
                    <w:spacing w:line="280" w:lineRule="exact"/>
                    <w:jc w:val="center"/>
                    <w:rPr>
                      <w:rFonts w:hint="eastAsia"/>
                      <w:color w:val="auto"/>
                      <w:highlight w:val="none"/>
                    </w:rPr>
                  </w:pPr>
                  <w:r>
                    <w:rPr>
                      <w:rFonts w:hint="eastAsia"/>
                      <w:color w:val="auto"/>
                      <w:highlight w:val="none"/>
                    </w:rPr>
                    <w:t>备注</w:t>
                  </w:r>
                </w:p>
              </w:tc>
            </w:tr>
            <w:tr w14:paraId="18F4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3CB319F">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14:paraId="7EEB8AAD">
                  <w:pPr>
                    <w:spacing w:line="280" w:lineRule="exact"/>
                    <w:rPr>
                      <w:rFonts w:hint="eastAsia"/>
                      <w:color w:val="auto"/>
                      <w:highlight w:val="none"/>
                    </w:rPr>
                  </w:pPr>
                  <w:r>
                    <w:rPr>
                      <w:rFonts w:hint="eastAsia"/>
                      <w:color w:val="auto"/>
                      <w:highlight w:val="none"/>
                    </w:rPr>
                    <w:t>已预留的质量保证金</w:t>
                  </w:r>
                </w:p>
              </w:tc>
              <w:tc>
                <w:tcPr>
                  <w:tcW w:w="1620" w:type="dxa"/>
                  <w:noWrap w:val="0"/>
                  <w:vAlign w:val="top"/>
                </w:tcPr>
                <w:p w14:paraId="2CD02F6A">
                  <w:pPr>
                    <w:spacing w:line="280" w:lineRule="exact"/>
                    <w:rPr>
                      <w:rFonts w:hint="eastAsia"/>
                      <w:color w:val="auto"/>
                      <w:highlight w:val="none"/>
                    </w:rPr>
                  </w:pPr>
                </w:p>
              </w:tc>
              <w:tc>
                <w:tcPr>
                  <w:tcW w:w="1620" w:type="dxa"/>
                  <w:noWrap w:val="0"/>
                  <w:vAlign w:val="top"/>
                </w:tcPr>
                <w:p w14:paraId="6973E27E">
                  <w:pPr>
                    <w:spacing w:line="280" w:lineRule="exact"/>
                    <w:rPr>
                      <w:rFonts w:hint="eastAsia"/>
                      <w:color w:val="auto"/>
                      <w:highlight w:val="none"/>
                    </w:rPr>
                  </w:pPr>
                </w:p>
              </w:tc>
              <w:tc>
                <w:tcPr>
                  <w:tcW w:w="1651" w:type="dxa"/>
                  <w:noWrap w:val="0"/>
                  <w:vAlign w:val="top"/>
                </w:tcPr>
                <w:p w14:paraId="3F21A409">
                  <w:pPr>
                    <w:spacing w:line="280" w:lineRule="exact"/>
                    <w:rPr>
                      <w:rFonts w:hint="eastAsia"/>
                      <w:color w:val="auto"/>
                      <w:highlight w:val="none"/>
                    </w:rPr>
                  </w:pPr>
                </w:p>
              </w:tc>
            </w:tr>
            <w:tr w14:paraId="5E4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EE8529A">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14:paraId="662C14DE">
                  <w:pPr>
                    <w:spacing w:line="280" w:lineRule="exact"/>
                    <w:rPr>
                      <w:rFonts w:hint="eastAsia"/>
                      <w:color w:val="auto"/>
                      <w:highlight w:val="none"/>
                    </w:rPr>
                  </w:pPr>
                  <w:r>
                    <w:rPr>
                      <w:rFonts w:hint="eastAsia"/>
                      <w:color w:val="auto"/>
                      <w:highlight w:val="none"/>
                    </w:rPr>
                    <w:t>应增加因发包人原因造成缺陷的修复金额</w:t>
                  </w:r>
                </w:p>
              </w:tc>
              <w:tc>
                <w:tcPr>
                  <w:tcW w:w="1620" w:type="dxa"/>
                  <w:noWrap w:val="0"/>
                  <w:vAlign w:val="top"/>
                </w:tcPr>
                <w:p w14:paraId="5D3FA626">
                  <w:pPr>
                    <w:spacing w:line="280" w:lineRule="exact"/>
                    <w:rPr>
                      <w:rFonts w:hint="eastAsia"/>
                      <w:color w:val="auto"/>
                      <w:highlight w:val="none"/>
                    </w:rPr>
                  </w:pPr>
                </w:p>
              </w:tc>
              <w:tc>
                <w:tcPr>
                  <w:tcW w:w="1620" w:type="dxa"/>
                  <w:noWrap w:val="0"/>
                  <w:vAlign w:val="top"/>
                </w:tcPr>
                <w:p w14:paraId="367A3910">
                  <w:pPr>
                    <w:spacing w:line="280" w:lineRule="exact"/>
                    <w:rPr>
                      <w:rFonts w:hint="eastAsia"/>
                      <w:color w:val="auto"/>
                      <w:highlight w:val="none"/>
                    </w:rPr>
                  </w:pPr>
                </w:p>
              </w:tc>
              <w:tc>
                <w:tcPr>
                  <w:tcW w:w="1651" w:type="dxa"/>
                  <w:noWrap w:val="0"/>
                  <w:vAlign w:val="top"/>
                </w:tcPr>
                <w:p w14:paraId="784E88E0">
                  <w:pPr>
                    <w:spacing w:line="280" w:lineRule="exact"/>
                    <w:rPr>
                      <w:rFonts w:hint="eastAsia"/>
                      <w:color w:val="auto"/>
                      <w:highlight w:val="none"/>
                    </w:rPr>
                  </w:pPr>
                </w:p>
              </w:tc>
            </w:tr>
            <w:tr w14:paraId="4205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D7FBBD1">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14:paraId="2F3082A4">
                  <w:pPr>
                    <w:spacing w:line="280" w:lineRule="exact"/>
                    <w:rPr>
                      <w:rFonts w:hint="eastAsia"/>
                      <w:color w:val="auto"/>
                      <w:highlight w:val="none"/>
                    </w:rPr>
                  </w:pPr>
                  <w:r>
                    <w:rPr>
                      <w:rFonts w:hint="eastAsia"/>
                      <w:color w:val="auto"/>
                      <w:highlight w:val="none"/>
                    </w:rPr>
                    <w:t>应扣减承包人不修复缺陷、发包人组织修复的金额</w:t>
                  </w:r>
                </w:p>
              </w:tc>
              <w:tc>
                <w:tcPr>
                  <w:tcW w:w="1620" w:type="dxa"/>
                  <w:noWrap w:val="0"/>
                  <w:vAlign w:val="top"/>
                </w:tcPr>
                <w:p w14:paraId="509F4F62">
                  <w:pPr>
                    <w:spacing w:line="280" w:lineRule="exact"/>
                    <w:rPr>
                      <w:rFonts w:hint="eastAsia"/>
                      <w:color w:val="auto"/>
                      <w:highlight w:val="none"/>
                    </w:rPr>
                  </w:pPr>
                </w:p>
              </w:tc>
              <w:tc>
                <w:tcPr>
                  <w:tcW w:w="1620" w:type="dxa"/>
                  <w:noWrap w:val="0"/>
                  <w:vAlign w:val="top"/>
                </w:tcPr>
                <w:p w14:paraId="7A4DF970">
                  <w:pPr>
                    <w:spacing w:line="280" w:lineRule="exact"/>
                    <w:rPr>
                      <w:rFonts w:hint="eastAsia"/>
                      <w:color w:val="auto"/>
                      <w:highlight w:val="none"/>
                    </w:rPr>
                  </w:pPr>
                </w:p>
              </w:tc>
              <w:tc>
                <w:tcPr>
                  <w:tcW w:w="1651" w:type="dxa"/>
                  <w:noWrap w:val="0"/>
                  <w:vAlign w:val="top"/>
                </w:tcPr>
                <w:p w14:paraId="2FBFB901">
                  <w:pPr>
                    <w:spacing w:line="280" w:lineRule="exact"/>
                    <w:rPr>
                      <w:rFonts w:hint="eastAsia"/>
                      <w:color w:val="auto"/>
                      <w:highlight w:val="none"/>
                    </w:rPr>
                  </w:pPr>
                </w:p>
              </w:tc>
            </w:tr>
            <w:tr w14:paraId="607D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2269323">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14:paraId="6F72DBBC">
                  <w:pPr>
                    <w:spacing w:line="280" w:lineRule="exact"/>
                    <w:rPr>
                      <w:rFonts w:hint="eastAsia"/>
                      <w:color w:val="auto"/>
                      <w:highlight w:val="none"/>
                    </w:rPr>
                  </w:pPr>
                  <w:r>
                    <w:rPr>
                      <w:rFonts w:hint="eastAsia"/>
                      <w:color w:val="auto"/>
                      <w:highlight w:val="none"/>
                    </w:rPr>
                    <w:t>最终应支付的合同价款</w:t>
                  </w:r>
                </w:p>
              </w:tc>
              <w:tc>
                <w:tcPr>
                  <w:tcW w:w="1620" w:type="dxa"/>
                  <w:noWrap w:val="0"/>
                  <w:vAlign w:val="top"/>
                </w:tcPr>
                <w:p w14:paraId="56392812">
                  <w:pPr>
                    <w:spacing w:line="280" w:lineRule="exact"/>
                    <w:rPr>
                      <w:rFonts w:hint="eastAsia"/>
                      <w:color w:val="auto"/>
                      <w:highlight w:val="none"/>
                    </w:rPr>
                  </w:pPr>
                </w:p>
              </w:tc>
              <w:tc>
                <w:tcPr>
                  <w:tcW w:w="1620" w:type="dxa"/>
                  <w:noWrap w:val="0"/>
                  <w:vAlign w:val="top"/>
                </w:tcPr>
                <w:p w14:paraId="0D5D8C94">
                  <w:pPr>
                    <w:spacing w:line="280" w:lineRule="exact"/>
                    <w:rPr>
                      <w:rFonts w:hint="eastAsia"/>
                      <w:color w:val="auto"/>
                      <w:highlight w:val="none"/>
                    </w:rPr>
                  </w:pPr>
                </w:p>
              </w:tc>
              <w:tc>
                <w:tcPr>
                  <w:tcW w:w="1651" w:type="dxa"/>
                  <w:noWrap w:val="0"/>
                  <w:vAlign w:val="top"/>
                </w:tcPr>
                <w:p w14:paraId="1E949FC6">
                  <w:pPr>
                    <w:spacing w:line="280" w:lineRule="exact"/>
                    <w:rPr>
                      <w:rFonts w:hint="eastAsia"/>
                      <w:color w:val="auto"/>
                      <w:highlight w:val="none"/>
                    </w:rPr>
                  </w:pPr>
                </w:p>
              </w:tc>
            </w:tr>
            <w:tr w14:paraId="1F4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CE1ED2E">
                  <w:pPr>
                    <w:spacing w:line="280" w:lineRule="exact"/>
                    <w:jc w:val="center"/>
                    <w:rPr>
                      <w:rFonts w:hint="eastAsia"/>
                      <w:color w:val="auto"/>
                      <w:highlight w:val="none"/>
                    </w:rPr>
                  </w:pPr>
                </w:p>
              </w:tc>
              <w:tc>
                <w:tcPr>
                  <w:tcW w:w="3420" w:type="dxa"/>
                  <w:noWrap w:val="0"/>
                  <w:vAlign w:val="top"/>
                </w:tcPr>
                <w:p w14:paraId="407542B6">
                  <w:pPr>
                    <w:spacing w:line="280" w:lineRule="exact"/>
                    <w:rPr>
                      <w:rFonts w:hint="eastAsia"/>
                      <w:color w:val="auto"/>
                      <w:highlight w:val="none"/>
                    </w:rPr>
                  </w:pPr>
                </w:p>
              </w:tc>
              <w:tc>
                <w:tcPr>
                  <w:tcW w:w="1620" w:type="dxa"/>
                  <w:noWrap w:val="0"/>
                  <w:vAlign w:val="top"/>
                </w:tcPr>
                <w:p w14:paraId="3442ABFA">
                  <w:pPr>
                    <w:spacing w:line="280" w:lineRule="exact"/>
                    <w:rPr>
                      <w:rFonts w:hint="eastAsia"/>
                      <w:color w:val="auto"/>
                      <w:highlight w:val="none"/>
                    </w:rPr>
                  </w:pPr>
                </w:p>
              </w:tc>
              <w:tc>
                <w:tcPr>
                  <w:tcW w:w="1620" w:type="dxa"/>
                  <w:noWrap w:val="0"/>
                  <w:vAlign w:val="top"/>
                </w:tcPr>
                <w:p w14:paraId="2F4B6FC8">
                  <w:pPr>
                    <w:spacing w:line="280" w:lineRule="exact"/>
                    <w:rPr>
                      <w:rFonts w:hint="eastAsia"/>
                      <w:color w:val="auto"/>
                      <w:highlight w:val="none"/>
                    </w:rPr>
                  </w:pPr>
                </w:p>
              </w:tc>
              <w:tc>
                <w:tcPr>
                  <w:tcW w:w="1651" w:type="dxa"/>
                  <w:noWrap w:val="0"/>
                  <w:vAlign w:val="top"/>
                </w:tcPr>
                <w:p w14:paraId="523B9B3C">
                  <w:pPr>
                    <w:spacing w:line="280" w:lineRule="exact"/>
                    <w:rPr>
                      <w:rFonts w:hint="eastAsia"/>
                      <w:color w:val="auto"/>
                      <w:highlight w:val="none"/>
                    </w:rPr>
                  </w:pPr>
                </w:p>
              </w:tc>
            </w:tr>
            <w:tr w14:paraId="5877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F213E7C">
                  <w:pPr>
                    <w:spacing w:line="280" w:lineRule="exact"/>
                    <w:jc w:val="center"/>
                    <w:rPr>
                      <w:rFonts w:hint="eastAsia"/>
                      <w:color w:val="auto"/>
                      <w:highlight w:val="none"/>
                    </w:rPr>
                  </w:pPr>
                </w:p>
              </w:tc>
              <w:tc>
                <w:tcPr>
                  <w:tcW w:w="3420" w:type="dxa"/>
                  <w:noWrap w:val="0"/>
                  <w:vAlign w:val="top"/>
                </w:tcPr>
                <w:p w14:paraId="09AE5C6D">
                  <w:pPr>
                    <w:spacing w:line="280" w:lineRule="exact"/>
                    <w:rPr>
                      <w:rFonts w:hint="eastAsia"/>
                      <w:color w:val="auto"/>
                      <w:highlight w:val="none"/>
                    </w:rPr>
                  </w:pPr>
                </w:p>
              </w:tc>
              <w:tc>
                <w:tcPr>
                  <w:tcW w:w="1620" w:type="dxa"/>
                  <w:noWrap w:val="0"/>
                  <w:vAlign w:val="top"/>
                </w:tcPr>
                <w:p w14:paraId="1C8E8C34">
                  <w:pPr>
                    <w:spacing w:line="280" w:lineRule="exact"/>
                    <w:rPr>
                      <w:rFonts w:hint="eastAsia"/>
                      <w:color w:val="auto"/>
                      <w:highlight w:val="none"/>
                    </w:rPr>
                  </w:pPr>
                </w:p>
              </w:tc>
              <w:tc>
                <w:tcPr>
                  <w:tcW w:w="1620" w:type="dxa"/>
                  <w:noWrap w:val="0"/>
                  <w:vAlign w:val="top"/>
                </w:tcPr>
                <w:p w14:paraId="0EBF5A6B">
                  <w:pPr>
                    <w:spacing w:line="280" w:lineRule="exact"/>
                    <w:rPr>
                      <w:rFonts w:hint="eastAsia"/>
                      <w:color w:val="auto"/>
                      <w:highlight w:val="none"/>
                    </w:rPr>
                  </w:pPr>
                </w:p>
              </w:tc>
              <w:tc>
                <w:tcPr>
                  <w:tcW w:w="1651" w:type="dxa"/>
                  <w:noWrap w:val="0"/>
                  <w:vAlign w:val="top"/>
                </w:tcPr>
                <w:p w14:paraId="4AA3910F">
                  <w:pPr>
                    <w:spacing w:line="280" w:lineRule="exact"/>
                    <w:rPr>
                      <w:rFonts w:hint="eastAsia"/>
                      <w:color w:val="auto"/>
                      <w:highlight w:val="none"/>
                    </w:rPr>
                  </w:pPr>
                </w:p>
              </w:tc>
            </w:tr>
            <w:tr w14:paraId="64C4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19D5960">
                  <w:pPr>
                    <w:spacing w:line="280" w:lineRule="exact"/>
                    <w:jc w:val="center"/>
                    <w:rPr>
                      <w:rFonts w:hint="eastAsia"/>
                      <w:color w:val="auto"/>
                      <w:highlight w:val="none"/>
                    </w:rPr>
                  </w:pPr>
                </w:p>
              </w:tc>
              <w:tc>
                <w:tcPr>
                  <w:tcW w:w="3420" w:type="dxa"/>
                  <w:noWrap w:val="0"/>
                  <w:vAlign w:val="top"/>
                </w:tcPr>
                <w:p w14:paraId="4DE0D49F">
                  <w:pPr>
                    <w:spacing w:line="280" w:lineRule="exact"/>
                    <w:rPr>
                      <w:rFonts w:hint="eastAsia"/>
                      <w:color w:val="auto"/>
                      <w:highlight w:val="none"/>
                    </w:rPr>
                  </w:pPr>
                </w:p>
              </w:tc>
              <w:tc>
                <w:tcPr>
                  <w:tcW w:w="1620" w:type="dxa"/>
                  <w:noWrap w:val="0"/>
                  <w:vAlign w:val="top"/>
                </w:tcPr>
                <w:p w14:paraId="74B21CBE">
                  <w:pPr>
                    <w:spacing w:line="280" w:lineRule="exact"/>
                    <w:rPr>
                      <w:rFonts w:hint="eastAsia"/>
                      <w:color w:val="auto"/>
                      <w:highlight w:val="none"/>
                    </w:rPr>
                  </w:pPr>
                </w:p>
              </w:tc>
              <w:tc>
                <w:tcPr>
                  <w:tcW w:w="1620" w:type="dxa"/>
                  <w:noWrap w:val="0"/>
                  <w:vAlign w:val="top"/>
                </w:tcPr>
                <w:p w14:paraId="3CC6B6F3">
                  <w:pPr>
                    <w:spacing w:line="280" w:lineRule="exact"/>
                    <w:rPr>
                      <w:rFonts w:hint="eastAsia"/>
                      <w:color w:val="auto"/>
                      <w:highlight w:val="none"/>
                    </w:rPr>
                  </w:pPr>
                </w:p>
              </w:tc>
              <w:tc>
                <w:tcPr>
                  <w:tcW w:w="1651" w:type="dxa"/>
                  <w:noWrap w:val="0"/>
                  <w:vAlign w:val="top"/>
                </w:tcPr>
                <w:p w14:paraId="758CEA36">
                  <w:pPr>
                    <w:spacing w:line="280" w:lineRule="exact"/>
                    <w:rPr>
                      <w:rFonts w:hint="eastAsia"/>
                      <w:color w:val="auto"/>
                      <w:highlight w:val="none"/>
                    </w:rPr>
                  </w:pPr>
                </w:p>
              </w:tc>
            </w:tr>
            <w:tr w14:paraId="2A2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FB00B9">
                  <w:pPr>
                    <w:spacing w:line="280" w:lineRule="exact"/>
                    <w:jc w:val="center"/>
                    <w:rPr>
                      <w:rFonts w:hint="eastAsia"/>
                      <w:color w:val="auto"/>
                      <w:highlight w:val="none"/>
                    </w:rPr>
                  </w:pPr>
                </w:p>
              </w:tc>
              <w:tc>
                <w:tcPr>
                  <w:tcW w:w="3420" w:type="dxa"/>
                  <w:noWrap w:val="0"/>
                  <w:vAlign w:val="top"/>
                </w:tcPr>
                <w:p w14:paraId="33B85BD7">
                  <w:pPr>
                    <w:spacing w:line="280" w:lineRule="exact"/>
                    <w:rPr>
                      <w:rFonts w:hint="eastAsia"/>
                      <w:color w:val="auto"/>
                      <w:highlight w:val="none"/>
                    </w:rPr>
                  </w:pPr>
                </w:p>
              </w:tc>
              <w:tc>
                <w:tcPr>
                  <w:tcW w:w="1620" w:type="dxa"/>
                  <w:noWrap w:val="0"/>
                  <w:vAlign w:val="top"/>
                </w:tcPr>
                <w:p w14:paraId="263C5380">
                  <w:pPr>
                    <w:spacing w:line="280" w:lineRule="exact"/>
                    <w:rPr>
                      <w:rFonts w:hint="eastAsia"/>
                      <w:color w:val="auto"/>
                      <w:highlight w:val="none"/>
                    </w:rPr>
                  </w:pPr>
                </w:p>
              </w:tc>
              <w:tc>
                <w:tcPr>
                  <w:tcW w:w="1620" w:type="dxa"/>
                  <w:noWrap w:val="0"/>
                  <w:vAlign w:val="top"/>
                </w:tcPr>
                <w:p w14:paraId="156E2A8E">
                  <w:pPr>
                    <w:spacing w:line="280" w:lineRule="exact"/>
                    <w:rPr>
                      <w:rFonts w:hint="eastAsia"/>
                      <w:color w:val="auto"/>
                      <w:highlight w:val="none"/>
                    </w:rPr>
                  </w:pPr>
                </w:p>
              </w:tc>
              <w:tc>
                <w:tcPr>
                  <w:tcW w:w="1651" w:type="dxa"/>
                  <w:noWrap w:val="0"/>
                  <w:vAlign w:val="top"/>
                </w:tcPr>
                <w:p w14:paraId="7EC58069">
                  <w:pPr>
                    <w:spacing w:line="280" w:lineRule="exact"/>
                    <w:rPr>
                      <w:rFonts w:hint="eastAsia"/>
                      <w:color w:val="auto"/>
                      <w:highlight w:val="none"/>
                    </w:rPr>
                  </w:pPr>
                </w:p>
              </w:tc>
            </w:tr>
          </w:tbl>
          <w:p w14:paraId="6BE97865">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54A6CDD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6ED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1DF0B227">
            <w:pPr>
              <w:spacing w:line="360" w:lineRule="exact"/>
              <w:rPr>
                <w:rFonts w:hint="eastAsia"/>
                <w:color w:val="auto"/>
                <w:highlight w:val="none"/>
              </w:rPr>
            </w:pPr>
            <w:r>
              <w:rPr>
                <w:rFonts w:hint="eastAsia"/>
                <w:color w:val="auto"/>
                <w:highlight w:val="none"/>
              </w:rPr>
              <w:t>复核意见：</w:t>
            </w:r>
          </w:p>
          <w:p w14:paraId="64B6AC6C">
            <w:pPr>
              <w:spacing w:line="360" w:lineRule="exact"/>
              <w:ind w:firstLine="312"/>
              <w:rPr>
                <w:rFonts w:hint="eastAsia"/>
                <w:color w:val="auto"/>
                <w:highlight w:val="none"/>
              </w:rPr>
            </w:pPr>
            <w:r>
              <w:rPr>
                <w:rFonts w:hint="eastAsia"/>
                <w:color w:val="auto"/>
                <w:highlight w:val="none"/>
              </w:rPr>
              <w:t>□与实际施工情况不相符，修改意见见附件。</w:t>
            </w:r>
          </w:p>
          <w:p w14:paraId="17E7B01C">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41856CAD">
            <w:pPr>
              <w:spacing w:line="360" w:lineRule="exact"/>
              <w:ind w:firstLine="435"/>
              <w:jc w:val="right"/>
              <w:rPr>
                <w:rFonts w:hint="eastAsia"/>
                <w:color w:val="auto"/>
                <w:highlight w:val="none"/>
              </w:rPr>
            </w:pPr>
          </w:p>
          <w:p w14:paraId="13C2A43C">
            <w:pPr>
              <w:spacing w:line="360" w:lineRule="exact"/>
              <w:jc w:val="both"/>
              <w:rPr>
                <w:rFonts w:hint="eastAsia"/>
                <w:color w:val="auto"/>
                <w:highlight w:val="none"/>
              </w:rPr>
            </w:pPr>
          </w:p>
          <w:p w14:paraId="508C83A4">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29288E64">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noWrap w:val="0"/>
            <w:vAlign w:val="top"/>
          </w:tcPr>
          <w:p w14:paraId="0127C7D5">
            <w:pPr>
              <w:spacing w:line="360" w:lineRule="exact"/>
              <w:rPr>
                <w:rFonts w:hint="eastAsia"/>
                <w:color w:val="auto"/>
                <w:highlight w:val="none"/>
              </w:rPr>
            </w:pPr>
            <w:r>
              <w:rPr>
                <w:rFonts w:hint="eastAsia"/>
                <w:color w:val="auto"/>
                <w:highlight w:val="none"/>
              </w:rPr>
              <w:t>复核意见：</w:t>
            </w:r>
          </w:p>
          <w:p w14:paraId="43114E47">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34C5C19D">
            <w:pPr>
              <w:spacing w:line="360" w:lineRule="exact"/>
              <w:ind w:firstLine="435"/>
              <w:jc w:val="center"/>
              <w:rPr>
                <w:rFonts w:hint="eastAsia"/>
                <w:color w:val="auto"/>
                <w:highlight w:val="none"/>
              </w:rPr>
            </w:pPr>
            <w:r>
              <w:rPr>
                <w:color w:val="auto"/>
                <w:highlight w:val="none"/>
              </w:rPr>
              <w:t xml:space="preserve">    </w:t>
            </w:r>
          </w:p>
          <w:p w14:paraId="6F481B35">
            <w:pPr>
              <w:spacing w:line="360" w:lineRule="exact"/>
              <w:jc w:val="both"/>
              <w:rPr>
                <w:rFonts w:hint="eastAsia"/>
                <w:color w:val="auto"/>
                <w:highlight w:val="none"/>
              </w:rPr>
            </w:pPr>
          </w:p>
          <w:p w14:paraId="5DF431DA">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F425EF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6C5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66411CFF">
            <w:pPr>
              <w:spacing w:line="400" w:lineRule="exact"/>
              <w:rPr>
                <w:rFonts w:hint="eastAsia"/>
                <w:color w:val="auto"/>
                <w:highlight w:val="none"/>
              </w:rPr>
            </w:pPr>
            <w:r>
              <w:rPr>
                <w:rFonts w:hint="eastAsia"/>
                <w:color w:val="auto"/>
                <w:highlight w:val="none"/>
              </w:rPr>
              <w:t>审核意见：</w:t>
            </w:r>
          </w:p>
          <w:p w14:paraId="7D74AA21">
            <w:pPr>
              <w:spacing w:line="400" w:lineRule="exact"/>
              <w:ind w:firstLine="435"/>
              <w:rPr>
                <w:rFonts w:hint="eastAsia"/>
                <w:color w:val="auto"/>
                <w:highlight w:val="none"/>
              </w:rPr>
            </w:pPr>
            <w:r>
              <w:rPr>
                <w:rFonts w:hint="eastAsia"/>
                <w:color w:val="auto"/>
                <w:highlight w:val="none"/>
              </w:rPr>
              <w:t>□不同意。</w:t>
            </w:r>
          </w:p>
          <w:p w14:paraId="29BFADDA">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0CF9120">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55F0004E">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0057EAD2">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0CB6C5DD">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063476C6">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F1E6D4F">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14:paraId="23206ED1">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5BE7CCD4">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24"/>
        <w:gridCol w:w="2938"/>
        <w:gridCol w:w="1276"/>
      </w:tblGrid>
      <w:tr w14:paraId="32DC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DEC2EF0">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3124" w:type="dxa"/>
            <w:noWrap w:val="0"/>
            <w:vAlign w:val="top"/>
          </w:tcPr>
          <w:p w14:paraId="460E2DF6">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2938" w:type="dxa"/>
            <w:noWrap w:val="0"/>
            <w:vAlign w:val="top"/>
          </w:tcPr>
          <w:p w14:paraId="5BDD38B6">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noWrap w:val="0"/>
            <w:vAlign w:val="top"/>
          </w:tcPr>
          <w:p w14:paraId="3CE5E049">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0D48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29A7CC2D">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3124" w:type="dxa"/>
            <w:noWrap w:val="0"/>
            <w:vAlign w:val="top"/>
          </w:tcPr>
          <w:p w14:paraId="2E5D115B">
            <w:pPr>
              <w:spacing w:line="360" w:lineRule="auto"/>
              <w:jc w:val="center"/>
              <w:rPr>
                <w:rFonts w:hint="eastAsia" w:ascii="宋体" w:hAnsi="宋体" w:cs="宋体"/>
                <w:color w:val="auto"/>
                <w:kern w:val="0"/>
                <w:highlight w:val="none"/>
              </w:rPr>
            </w:pPr>
          </w:p>
        </w:tc>
        <w:tc>
          <w:tcPr>
            <w:tcW w:w="2938" w:type="dxa"/>
            <w:noWrap w:val="0"/>
            <w:vAlign w:val="top"/>
          </w:tcPr>
          <w:p w14:paraId="183229EB">
            <w:pPr>
              <w:spacing w:line="360" w:lineRule="auto"/>
              <w:jc w:val="center"/>
              <w:rPr>
                <w:rFonts w:hint="eastAsia" w:ascii="宋体" w:hAnsi="宋体" w:cs="宋体"/>
                <w:color w:val="auto"/>
                <w:kern w:val="0"/>
                <w:highlight w:val="none"/>
              </w:rPr>
            </w:pPr>
          </w:p>
        </w:tc>
        <w:tc>
          <w:tcPr>
            <w:tcW w:w="1276" w:type="dxa"/>
            <w:noWrap w:val="0"/>
            <w:vAlign w:val="top"/>
          </w:tcPr>
          <w:p w14:paraId="23A7469C">
            <w:pPr>
              <w:spacing w:line="360" w:lineRule="auto"/>
              <w:jc w:val="center"/>
              <w:rPr>
                <w:rFonts w:hint="eastAsia" w:ascii="宋体" w:hAnsi="宋体" w:cs="宋体"/>
                <w:color w:val="auto"/>
                <w:kern w:val="0"/>
                <w:highlight w:val="none"/>
              </w:rPr>
            </w:pPr>
          </w:p>
        </w:tc>
      </w:tr>
      <w:tr w14:paraId="08F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940A42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3124" w:type="dxa"/>
            <w:noWrap w:val="0"/>
            <w:vAlign w:val="top"/>
          </w:tcPr>
          <w:p w14:paraId="1C9AD47C">
            <w:pPr>
              <w:spacing w:line="360" w:lineRule="auto"/>
              <w:jc w:val="center"/>
              <w:rPr>
                <w:rFonts w:hint="eastAsia" w:ascii="宋体" w:hAnsi="宋体" w:cs="宋体"/>
                <w:color w:val="auto"/>
                <w:kern w:val="0"/>
                <w:highlight w:val="none"/>
              </w:rPr>
            </w:pPr>
          </w:p>
        </w:tc>
        <w:tc>
          <w:tcPr>
            <w:tcW w:w="2938" w:type="dxa"/>
            <w:noWrap w:val="0"/>
            <w:vAlign w:val="top"/>
          </w:tcPr>
          <w:p w14:paraId="0D87AD82">
            <w:pPr>
              <w:spacing w:line="360" w:lineRule="auto"/>
              <w:jc w:val="center"/>
              <w:rPr>
                <w:rFonts w:hint="eastAsia" w:ascii="宋体" w:hAnsi="宋体" w:cs="宋体"/>
                <w:color w:val="auto"/>
                <w:kern w:val="0"/>
                <w:highlight w:val="none"/>
              </w:rPr>
            </w:pPr>
          </w:p>
        </w:tc>
        <w:tc>
          <w:tcPr>
            <w:tcW w:w="1276" w:type="dxa"/>
            <w:noWrap w:val="0"/>
            <w:vAlign w:val="top"/>
          </w:tcPr>
          <w:p w14:paraId="7BDF55A8">
            <w:pPr>
              <w:spacing w:line="360" w:lineRule="auto"/>
              <w:jc w:val="center"/>
              <w:rPr>
                <w:rFonts w:hint="eastAsia" w:ascii="宋体" w:hAnsi="宋体" w:cs="宋体"/>
                <w:color w:val="auto"/>
                <w:kern w:val="0"/>
                <w:highlight w:val="none"/>
              </w:rPr>
            </w:pPr>
          </w:p>
        </w:tc>
      </w:tr>
      <w:tr w14:paraId="3CCD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1FF49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3124" w:type="dxa"/>
            <w:noWrap w:val="0"/>
            <w:vAlign w:val="top"/>
          </w:tcPr>
          <w:p w14:paraId="4A60F5BA">
            <w:pPr>
              <w:spacing w:line="360" w:lineRule="auto"/>
              <w:jc w:val="center"/>
              <w:rPr>
                <w:rFonts w:hint="eastAsia" w:ascii="宋体" w:hAnsi="宋体" w:cs="宋体"/>
                <w:color w:val="auto"/>
                <w:kern w:val="0"/>
                <w:highlight w:val="none"/>
              </w:rPr>
            </w:pPr>
          </w:p>
        </w:tc>
        <w:tc>
          <w:tcPr>
            <w:tcW w:w="2938" w:type="dxa"/>
            <w:noWrap w:val="0"/>
            <w:vAlign w:val="top"/>
          </w:tcPr>
          <w:p w14:paraId="2E4F4BB3">
            <w:pPr>
              <w:spacing w:line="360" w:lineRule="auto"/>
              <w:jc w:val="center"/>
              <w:rPr>
                <w:rFonts w:hint="eastAsia" w:ascii="宋体" w:hAnsi="宋体" w:cs="宋体"/>
                <w:color w:val="auto"/>
                <w:kern w:val="0"/>
                <w:highlight w:val="none"/>
              </w:rPr>
            </w:pPr>
          </w:p>
        </w:tc>
        <w:tc>
          <w:tcPr>
            <w:tcW w:w="1276" w:type="dxa"/>
            <w:noWrap w:val="0"/>
            <w:vAlign w:val="top"/>
          </w:tcPr>
          <w:p w14:paraId="3EA37822">
            <w:pPr>
              <w:spacing w:line="360" w:lineRule="auto"/>
              <w:jc w:val="center"/>
              <w:rPr>
                <w:rFonts w:hint="eastAsia" w:ascii="宋体" w:hAnsi="宋体" w:cs="宋体"/>
                <w:color w:val="auto"/>
                <w:kern w:val="0"/>
                <w:highlight w:val="none"/>
              </w:rPr>
            </w:pPr>
          </w:p>
        </w:tc>
      </w:tr>
      <w:tr w14:paraId="5D0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2B96EDF">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3124" w:type="dxa"/>
            <w:noWrap w:val="0"/>
            <w:vAlign w:val="top"/>
          </w:tcPr>
          <w:p w14:paraId="2CAE43B3">
            <w:pPr>
              <w:spacing w:line="360" w:lineRule="auto"/>
              <w:jc w:val="center"/>
              <w:rPr>
                <w:rFonts w:hint="eastAsia" w:ascii="宋体" w:hAnsi="宋体" w:cs="宋体"/>
                <w:color w:val="auto"/>
                <w:kern w:val="0"/>
                <w:highlight w:val="none"/>
              </w:rPr>
            </w:pPr>
          </w:p>
        </w:tc>
        <w:tc>
          <w:tcPr>
            <w:tcW w:w="2938" w:type="dxa"/>
            <w:noWrap w:val="0"/>
            <w:vAlign w:val="top"/>
          </w:tcPr>
          <w:p w14:paraId="773DD28C">
            <w:pPr>
              <w:spacing w:line="360" w:lineRule="auto"/>
              <w:jc w:val="center"/>
              <w:rPr>
                <w:rFonts w:hint="eastAsia" w:ascii="宋体" w:hAnsi="宋体" w:cs="宋体"/>
                <w:color w:val="auto"/>
                <w:kern w:val="0"/>
                <w:highlight w:val="none"/>
              </w:rPr>
            </w:pPr>
          </w:p>
        </w:tc>
        <w:tc>
          <w:tcPr>
            <w:tcW w:w="1276" w:type="dxa"/>
            <w:noWrap w:val="0"/>
            <w:vAlign w:val="top"/>
          </w:tcPr>
          <w:p w14:paraId="387DE443">
            <w:pPr>
              <w:spacing w:line="360" w:lineRule="auto"/>
              <w:jc w:val="center"/>
              <w:rPr>
                <w:rFonts w:hint="eastAsia" w:ascii="宋体" w:hAnsi="宋体" w:cs="宋体"/>
                <w:color w:val="auto"/>
                <w:kern w:val="0"/>
                <w:highlight w:val="none"/>
              </w:rPr>
            </w:pPr>
          </w:p>
        </w:tc>
      </w:tr>
      <w:tr w14:paraId="46B4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41" w:type="dxa"/>
            <w:gridSpan w:val="2"/>
            <w:noWrap w:val="0"/>
            <w:vAlign w:val="top"/>
          </w:tcPr>
          <w:p w14:paraId="7E319673">
            <w:pPr>
              <w:spacing w:line="360" w:lineRule="exact"/>
              <w:ind w:firstLine="435"/>
              <w:jc w:val="right"/>
              <w:rPr>
                <w:rFonts w:hint="eastAsia"/>
                <w:color w:val="auto"/>
                <w:highlight w:val="none"/>
              </w:rPr>
            </w:pPr>
          </w:p>
          <w:p w14:paraId="5A5B1A8D">
            <w:pPr>
              <w:spacing w:line="360" w:lineRule="exact"/>
              <w:ind w:firstLine="435"/>
              <w:jc w:val="center"/>
              <w:rPr>
                <w:rFonts w:hint="eastAsia"/>
                <w:color w:val="auto"/>
                <w:highlight w:val="none"/>
              </w:rPr>
            </w:pPr>
          </w:p>
          <w:p w14:paraId="2E3A838E">
            <w:pPr>
              <w:spacing w:line="360" w:lineRule="exact"/>
              <w:ind w:firstLine="435"/>
              <w:jc w:val="center"/>
              <w:rPr>
                <w:rFonts w:hint="eastAsia"/>
                <w:color w:val="auto"/>
                <w:highlight w:val="none"/>
              </w:rPr>
            </w:pPr>
            <w:r>
              <w:rPr>
                <w:rFonts w:hint="eastAsia"/>
                <w:color w:val="auto"/>
                <w:highlight w:val="none"/>
              </w:rPr>
              <w:t>发包人代表签字：</w:t>
            </w:r>
          </w:p>
          <w:p w14:paraId="6D297386">
            <w:pPr>
              <w:spacing w:line="360" w:lineRule="exact"/>
              <w:ind w:firstLine="435"/>
              <w:jc w:val="center"/>
              <w:rPr>
                <w:rFonts w:hint="eastAsia"/>
                <w:color w:val="auto"/>
                <w:highlight w:val="none"/>
              </w:rPr>
            </w:pPr>
          </w:p>
          <w:p w14:paraId="106119F9">
            <w:pPr>
              <w:spacing w:line="360" w:lineRule="exact"/>
              <w:ind w:firstLine="435"/>
              <w:jc w:val="center"/>
              <w:rPr>
                <w:rFonts w:hint="eastAsia"/>
                <w:color w:val="auto"/>
                <w:highlight w:val="none"/>
              </w:rPr>
            </w:pPr>
            <w:r>
              <w:rPr>
                <w:rFonts w:hint="eastAsia"/>
                <w:color w:val="auto"/>
                <w:highlight w:val="none"/>
              </w:rPr>
              <w:t>发包人（盖公章）</w:t>
            </w:r>
          </w:p>
          <w:p w14:paraId="64ED9C0E">
            <w:pPr>
              <w:spacing w:line="360" w:lineRule="exact"/>
              <w:ind w:firstLine="435"/>
              <w:jc w:val="center"/>
              <w:rPr>
                <w:rFonts w:hint="eastAsia"/>
                <w:color w:val="auto"/>
                <w:highlight w:val="none"/>
              </w:rPr>
            </w:pPr>
          </w:p>
          <w:p w14:paraId="22F2413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4214" w:type="dxa"/>
            <w:gridSpan w:val="2"/>
            <w:noWrap w:val="0"/>
            <w:vAlign w:val="top"/>
          </w:tcPr>
          <w:p w14:paraId="3697B0A3">
            <w:pPr>
              <w:spacing w:line="360" w:lineRule="exact"/>
              <w:ind w:firstLine="435"/>
              <w:jc w:val="center"/>
              <w:rPr>
                <w:rFonts w:hint="eastAsia"/>
                <w:color w:val="auto"/>
                <w:highlight w:val="none"/>
              </w:rPr>
            </w:pPr>
          </w:p>
          <w:p w14:paraId="627814EB">
            <w:pPr>
              <w:spacing w:line="360" w:lineRule="exact"/>
              <w:ind w:firstLine="435"/>
              <w:jc w:val="center"/>
              <w:rPr>
                <w:rFonts w:hint="eastAsia"/>
                <w:color w:val="auto"/>
                <w:highlight w:val="none"/>
                <w:u w:val="single"/>
              </w:rPr>
            </w:pPr>
          </w:p>
          <w:p w14:paraId="59E6DDAC">
            <w:pPr>
              <w:spacing w:line="360" w:lineRule="exact"/>
              <w:ind w:firstLine="435"/>
              <w:jc w:val="center"/>
              <w:rPr>
                <w:rFonts w:hint="eastAsia"/>
                <w:color w:val="auto"/>
                <w:highlight w:val="none"/>
              </w:rPr>
            </w:pPr>
            <w:r>
              <w:rPr>
                <w:rFonts w:hint="eastAsia"/>
                <w:color w:val="auto"/>
                <w:highlight w:val="none"/>
              </w:rPr>
              <w:t>承包人代表签字：</w:t>
            </w:r>
          </w:p>
          <w:p w14:paraId="551DB867">
            <w:pPr>
              <w:spacing w:line="360" w:lineRule="exact"/>
              <w:ind w:firstLine="435"/>
              <w:jc w:val="center"/>
              <w:rPr>
                <w:rFonts w:hint="eastAsia"/>
                <w:color w:val="auto"/>
                <w:highlight w:val="none"/>
              </w:rPr>
            </w:pPr>
          </w:p>
          <w:p w14:paraId="754BE775">
            <w:pPr>
              <w:spacing w:line="360" w:lineRule="exact"/>
              <w:ind w:firstLine="435"/>
              <w:jc w:val="center"/>
              <w:rPr>
                <w:rFonts w:hint="eastAsia"/>
                <w:color w:val="auto"/>
                <w:highlight w:val="none"/>
              </w:rPr>
            </w:pPr>
            <w:r>
              <w:rPr>
                <w:rFonts w:hint="eastAsia"/>
                <w:color w:val="auto"/>
                <w:highlight w:val="none"/>
              </w:rPr>
              <w:t>承包人（盖公章）</w:t>
            </w:r>
          </w:p>
          <w:p w14:paraId="44BC8B14">
            <w:pPr>
              <w:spacing w:line="360" w:lineRule="exact"/>
              <w:ind w:firstLine="435"/>
              <w:jc w:val="center"/>
              <w:rPr>
                <w:rFonts w:hint="eastAsia"/>
                <w:color w:val="auto"/>
                <w:highlight w:val="none"/>
              </w:rPr>
            </w:pPr>
          </w:p>
          <w:p w14:paraId="736CF78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0AD0A134">
      <w:pPr>
        <w:rPr>
          <w:color w:val="000000" w:themeColor="text1"/>
          <w14:textFill>
            <w14:solidFill>
              <w14:schemeClr w14:val="tx1"/>
            </w14:solidFill>
          </w14:textFill>
        </w:rPr>
      </w:pPr>
    </w:p>
    <w:sectPr>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CE5F">
    <w:pPr>
      <w:pStyle w:val="29"/>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C3BD">
    <w:pPr>
      <w:pStyle w:val="2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5D13207F"/>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FT5rQAAAAAwEAAA8AAAAAAAAAAQAgAAAAIgAAAGRycy9kb3ducmV2LnhtbFBLAQIUABQA&#10;AAAIAIdO4kBDutmH+AEAAAEEAAAOAAAAAAAAAAEAIAAAAB8BAABkcnMvZTJvRG9jLnhtbFBLBQYA&#10;AAAABgAGAFkBAACJBQAAAAA=&#10;">
              <v:fill on="f" focussize="0,0"/>
              <v:stroke on="f"/>
              <v:imagedata o:title=""/>
              <o:lock v:ext="edit" aspectratio="f"/>
              <v:textbox inset="0mm,0mm,0mm,0mm" style="mso-fit-shape-to-text:t;">
                <w:txbxContent>
                  <w:p w14:paraId="5D13207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05E8">
    <w:pPr>
      <w:pStyle w:val="29"/>
      <w:tabs>
        <w:tab w:val="center" w:pos="4439"/>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9BB0">
    <w:pPr>
      <w:pStyle w:val="2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669B958D"/>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F22M1vkBAAABBAAADgAAAAAAAAABACAAAAAfAQAAZHJzL2Uyb0RvYy54bWxQSwUG&#10;AAAAAAYABgBZAQAAigUAAAAA&#10;">
              <v:fill on="f" focussize="0,0"/>
              <v:stroke on="f"/>
              <v:imagedata o:title=""/>
              <o:lock v:ext="edit" aspectratio="f"/>
              <v:textbox inset="0mm,0mm,0mm,0mm" style="mso-fit-shape-to-text:t;">
                <w:txbxContent>
                  <w:p w14:paraId="669B958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59BC">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EF040">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8EF040">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1F507BCA">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C8C3">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0CD0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70CD0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9BFB">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1ABA7">
                          <w:pPr>
                            <w:pStyle w:val="2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11ABA7">
                    <w:pPr>
                      <w:pStyle w:val="2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F534">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A8B8">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99AD">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A4FB5"/>
    <w:multiLevelType w:val="multilevel"/>
    <w:tmpl w:val="2D8A4FB5"/>
    <w:lvl w:ilvl="0" w:tentative="0">
      <w:start w:val="2"/>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324499CC"/>
    <w:multiLevelType w:val="singleLevel"/>
    <w:tmpl w:val="324499CC"/>
    <w:lvl w:ilvl="0" w:tentative="0">
      <w:start w:val="2"/>
      <w:numFmt w:val="decimal"/>
      <w:suff w:val="nothing"/>
      <w:lvlText w:val="（%1）"/>
      <w:lvlJc w:val="left"/>
      <w:rPr>
        <w:rFonts w:cs="Times New Roman"/>
      </w:r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
    <w:nsid w:val="5498E193"/>
    <w:multiLevelType w:val="singleLevel"/>
    <w:tmpl w:val="5498E193"/>
    <w:lvl w:ilvl="0" w:tentative="0">
      <w:start w:val="11"/>
      <w:numFmt w:val="decimal"/>
      <w:suff w:val="space"/>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MmRmNjg3MTA2NzgxNTRmYTMwNzM5MGYxZWFiZWY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C92"/>
    <w:rsid w:val="00025E36"/>
    <w:rsid w:val="000260F7"/>
    <w:rsid w:val="000260FF"/>
    <w:rsid w:val="00026855"/>
    <w:rsid w:val="00026886"/>
    <w:rsid w:val="000273DE"/>
    <w:rsid w:val="0002754F"/>
    <w:rsid w:val="0002785D"/>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313"/>
    <w:rsid w:val="0008473C"/>
    <w:rsid w:val="00084E4F"/>
    <w:rsid w:val="00085193"/>
    <w:rsid w:val="0008520B"/>
    <w:rsid w:val="0008527B"/>
    <w:rsid w:val="000857DE"/>
    <w:rsid w:val="000860BD"/>
    <w:rsid w:val="000871B8"/>
    <w:rsid w:val="00087B0A"/>
    <w:rsid w:val="00090339"/>
    <w:rsid w:val="00090ADF"/>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1A3F"/>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2D"/>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0A83"/>
    <w:rsid w:val="00141455"/>
    <w:rsid w:val="0014190C"/>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253"/>
    <w:rsid w:val="0017267A"/>
    <w:rsid w:val="0017286C"/>
    <w:rsid w:val="00172CA8"/>
    <w:rsid w:val="00173256"/>
    <w:rsid w:val="00173B0E"/>
    <w:rsid w:val="00173D86"/>
    <w:rsid w:val="00173E03"/>
    <w:rsid w:val="0017405A"/>
    <w:rsid w:val="001741C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873"/>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19E"/>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3E"/>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4E8A"/>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0FC"/>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467"/>
    <w:rsid w:val="002807B0"/>
    <w:rsid w:val="00281B9B"/>
    <w:rsid w:val="00282446"/>
    <w:rsid w:val="002826C2"/>
    <w:rsid w:val="0028282C"/>
    <w:rsid w:val="00282D56"/>
    <w:rsid w:val="002835B0"/>
    <w:rsid w:val="002837F3"/>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47B"/>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0F1A"/>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A7A"/>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27A2F"/>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0CF2"/>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0E23"/>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BF"/>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705"/>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429"/>
    <w:rsid w:val="003C2A23"/>
    <w:rsid w:val="003C33A0"/>
    <w:rsid w:val="003C350C"/>
    <w:rsid w:val="003C3733"/>
    <w:rsid w:val="003C3903"/>
    <w:rsid w:val="003C3BA0"/>
    <w:rsid w:val="003C4580"/>
    <w:rsid w:val="003C51C0"/>
    <w:rsid w:val="003C553C"/>
    <w:rsid w:val="003C5C5E"/>
    <w:rsid w:val="003C6436"/>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757"/>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FD5"/>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A9D"/>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5C59"/>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F44"/>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35F"/>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4F6"/>
    <w:rsid w:val="00560D81"/>
    <w:rsid w:val="00561730"/>
    <w:rsid w:val="00561913"/>
    <w:rsid w:val="00561B97"/>
    <w:rsid w:val="00562149"/>
    <w:rsid w:val="00562285"/>
    <w:rsid w:val="0056248C"/>
    <w:rsid w:val="005640EB"/>
    <w:rsid w:val="00565559"/>
    <w:rsid w:val="005666A4"/>
    <w:rsid w:val="00567B5D"/>
    <w:rsid w:val="00570593"/>
    <w:rsid w:val="00570757"/>
    <w:rsid w:val="0057257D"/>
    <w:rsid w:val="00572DBE"/>
    <w:rsid w:val="00573293"/>
    <w:rsid w:val="00573733"/>
    <w:rsid w:val="00573DBC"/>
    <w:rsid w:val="00573E08"/>
    <w:rsid w:val="00573F8B"/>
    <w:rsid w:val="005743E0"/>
    <w:rsid w:val="00574554"/>
    <w:rsid w:val="00574E06"/>
    <w:rsid w:val="005751BB"/>
    <w:rsid w:val="00575713"/>
    <w:rsid w:val="00576089"/>
    <w:rsid w:val="0057633D"/>
    <w:rsid w:val="005764B1"/>
    <w:rsid w:val="00576852"/>
    <w:rsid w:val="00576D06"/>
    <w:rsid w:val="005779E4"/>
    <w:rsid w:val="00577E82"/>
    <w:rsid w:val="00580B89"/>
    <w:rsid w:val="00580EC7"/>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4F85"/>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BE5"/>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185"/>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011"/>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1FEE"/>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337"/>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47F"/>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0F14"/>
    <w:rsid w:val="0076106D"/>
    <w:rsid w:val="007610DA"/>
    <w:rsid w:val="007618A5"/>
    <w:rsid w:val="007623FB"/>
    <w:rsid w:val="00762517"/>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489"/>
    <w:rsid w:val="007A27DD"/>
    <w:rsid w:val="007A2D2A"/>
    <w:rsid w:val="007A3C3F"/>
    <w:rsid w:val="007A41BF"/>
    <w:rsid w:val="007A490A"/>
    <w:rsid w:val="007A4F24"/>
    <w:rsid w:val="007A549E"/>
    <w:rsid w:val="007A54DC"/>
    <w:rsid w:val="007A5D50"/>
    <w:rsid w:val="007A5F90"/>
    <w:rsid w:val="007A6811"/>
    <w:rsid w:val="007A7289"/>
    <w:rsid w:val="007A7A78"/>
    <w:rsid w:val="007A7B95"/>
    <w:rsid w:val="007B0297"/>
    <w:rsid w:val="007B02FA"/>
    <w:rsid w:val="007B0F53"/>
    <w:rsid w:val="007B110A"/>
    <w:rsid w:val="007B1A4D"/>
    <w:rsid w:val="007B1DA9"/>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2C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FC6"/>
    <w:rsid w:val="00824306"/>
    <w:rsid w:val="00824B1F"/>
    <w:rsid w:val="00825C74"/>
    <w:rsid w:val="00825CFA"/>
    <w:rsid w:val="00825F10"/>
    <w:rsid w:val="00826AB9"/>
    <w:rsid w:val="00826E0E"/>
    <w:rsid w:val="00826EB7"/>
    <w:rsid w:val="00827BF8"/>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30F"/>
    <w:rsid w:val="008545CE"/>
    <w:rsid w:val="0085572E"/>
    <w:rsid w:val="00856238"/>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197"/>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B90"/>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57BA"/>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4B16"/>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2E0"/>
    <w:rsid w:val="009C6606"/>
    <w:rsid w:val="009C6CE5"/>
    <w:rsid w:val="009C6D50"/>
    <w:rsid w:val="009C72B2"/>
    <w:rsid w:val="009C7547"/>
    <w:rsid w:val="009D05EC"/>
    <w:rsid w:val="009D18D4"/>
    <w:rsid w:val="009D1E82"/>
    <w:rsid w:val="009D1FCF"/>
    <w:rsid w:val="009D2F60"/>
    <w:rsid w:val="009D3A2E"/>
    <w:rsid w:val="009D3E61"/>
    <w:rsid w:val="009D4C2E"/>
    <w:rsid w:val="009D507D"/>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59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208"/>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DE9"/>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006"/>
    <w:rsid w:val="00AA7931"/>
    <w:rsid w:val="00AA7BE1"/>
    <w:rsid w:val="00AB03FD"/>
    <w:rsid w:val="00AB09B8"/>
    <w:rsid w:val="00AB1678"/>
    <w:rsid w:val="00AB199F"/>
    <w:rsid w:val="00AB1C40"/>
    <w:rsid w:val="00AB2000"/>
    <w:rsid w:val="00AB21CC"/>
    <w:rsid w:val="00AB2BE2"/>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1DE4"/>
    <w:rsid w:val="00AD21D4"/>
    <w:rsid w:val="00AD23EF"/>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1CF2"/>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17F"/>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3357"/>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F01C5"/>
    <w:rsid w:val="00BF061A"/>
    <w:rsid w:val="00BF066A"/>
    <w:rsid w:val="00BF0771"/>
    <w:rsid w:val="00BF0EDE"/>
    <w:rsid w:val="00BF14CC"/>
    <w:rsid w:val="00BF1821"/>
    <w:rsid w:val="00BF214F"/>
    <w:rsid w:val="00BF22E9"/>
    <w:rsid w:val="00BF3FE4"/>
    <w:rsid w:val="00BF4342"/>
    <w:rsid w:val="00BF465E"/>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D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77A42"/>
    <w:rsid w:val="00C8063F"/>
    <w:rsid w:val="00C808BE"/>
    <w:rsid w:val="00C80D3C"/>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63C"/>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CCC"/>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832"/>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0225"/>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8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6CE"/>
    <w:rsid w:val="00DE57D0"/>
    <w:rsid w:val="00DE5E82"/>
    <w:rsid w:val="00DE5EC5"/>
    <w:rsid w:val="00DE5F7F"/>
    <w:rsid w:val="00DE5FA6"/>
    <w:rsid w:val="00DE5FC9"/>
    <w:rsid w:val="00DE6535"/>
    <w:rsid w:val="00DE6792"/>
    <w:rsid w:val="00DE6AA1"/>
    <w:rsid w:val="00DE77A3"/>
    <w:rsid w:val="00DE7EF7"/>
    <w:rsid w:val="00DF015B"/>
    <w:rsid w:val="00DF02EC"/>
    <w:rsid w:val="00DF0AA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28"/>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78C"/>
    <w:rsid w:val="00E14FAC"/>
    <w:rsid w:val="00E15007"/>
    <w:rsid w:val="00E15102"/>
    <w:rsid w:val="00E15DC6"/>
    <w:rsid w:val="00E16277"/>
    <w:rsid w:val="00E16EC7"/>
    <w:rsid w:val="00E17DCC"/>
    <w:rsid w:val="00E20627"/>
    <w:rsid w:val="00E219CE"/>
    <w:rsid w:val="00E21D93"/>
    <w:rsid w:val="00E22A86"/>
    <w:rsid w:val="00E22D2A"/>
    <w:rsid w:val="00E235E4"/>
    <w:rsid w:val="00E24071"/>
    <w:rsid w:val="00E24142"/>
    <w:rsid w:val="00E24DCA"/>
    <w:rsid w:val="00E24EBC"/>
    <w:rsid w:val="00E2522C"/>
    <w:rsid w:val="00E2552F"/>
    <w:rsid w:val="00E2599B"/>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1F9F"/>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49B"/>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4C7"/>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2C1"/>
    <w:rsid w:val="00ED3688"/>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B9"/>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3DE"/>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276F2"/>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1E3D92"/>
    <w:rsid w:val="01261715"/>
    <w:rsid w:val="012C5FAF"/>
    <w:rsid w:val="0194674A"/>
    <w:rsid w:val="01AF3D99"/>
    <w:rsid w:val="02493090"/>
    <w:rsid w:val="02511F9D"/>
    <w:rsid w:val="026E376C"/>
    <w:rsid w:val="02ED1C6E"/>
    <w:rsid w:val="03800D34"/>
    <w:rsid w:val="03A314B8"/>
    <w:rsid w:val="03D42E2E"/>
    <w:rsid w:val="03D8291E"/>
    <w:rsid w:val="03D82B98"/>
    <w:rsid w:val="03F83E8B"/>
    <w:rsid w:val="0422003D"/>
    <w:rsid w:val="04B50EB1"/>
    <w:rsid w:val="058E6171"/>
    <w:rsid w:val="05C56868"/>
    <w:rsid w:val="0620235A"/>
    <w:rsid w:val="069E3F1E"/>
    <w:rsid w:val="07A539BD"/>
    <w:rsid w:val="07B72767"/>
    <w:rsid w:val="08077E72"/>
    <w:rsid w:val="08882DD0"/>
    <w:rsid w:val="09063A89"/>
    <w:rsid w:val="093700E7"/>
    <w:rsid w:val="093F1C24"/>
    <w:rsid w:val="09816C5A"/>
    <w:rsid w:val="09CC2AAC"/>
    <w:rsid w:val="0A652D3E"/>
    <w:rsid w:val="0ACC0D02"/>
    <w:rsid w:val="0AFE4195"/>
    <w:rsid w:val="0AFF69E2"/>
    <w:rsid w:val="0B326F2A"/>
    <w:rsid w:val="0C1E2888"/>
    <w:rsid w:val="0C1F089E"/>
    <w:rsid w:val="0C3B6140"/>
    <w:rsid w:val="0C767D18"/>
    <w:rsid w:val="0C92213C"/>
    <w:rsid w:val="0CC2027E"/>
    <w:rsid w:val="0CD36378"/>
    <w:rsid w:val="0D84032B"/>
    <w:rsid w:val="0E087ECA"/>
    <w:rsid w:val="0ECD6DF7"/>
    <w:rsid w:val="0EDE4D64"/>
    <w:rsid w:val="0F1F58A5"/>
    <w:rsid w:val="0F2A74C4"/>
    <w:rsid w:val="0F532D2B"/>
    <w:rsid w:val="10466E61"/>
    <w:rsid w:val="10A27F31"/>
    <w:rsid w:val="10BB15FD"/>
    <w:rsid w:val="10C863FA"/>
    <w:rsid w:val="11907472"/>
    <w:rsid w:val="11927058"/>
    <w:rsid w:val="11E76A58"/>
    <w:rsid w:val="120E171E"/>
    <w:rsid w:val="12977E48"/>
    <w:rsid w:val="131E40C5"/>
    <w:rsid w:val="13962EF3"/>
    <w:rsid w:val="13AF4F03"/>
    <w:rsid w:val="14736E66"/>
    <w:rsid w:val="147F458F"/>
    <w:rsid w:val="148B7E23"/>
    <w:rsid w:val="1534169A"/>
    <w:rsid w:val="15C03E03"/>
    <w:rsid w:val="162A25EB"/>
    <w:rsid w:val="16353C00"/>
    <w:rsid w:val="16585FF5"/>
    <w:rsid w:val="16735895"/>
    <w:rsid w:val="16FD2A55"/>
    <w:rsid w:val="17067C1A"/>
    <w:rsid w:val="17366761"/>
    <w:rsid w:val="177C01F0"/>
    <w:rsid w:val="179E3EFA"/>
    <w:rsid w:val="17CE6630"/>
    <w:rsid w:val="18F27B86"/>
    <w:rsid w:val="194A1770"/>
    <w:rsid w:val="19517522"/>
    <w:rsid w:val="1A7A6085"/>
    <w:rsid w:val="1AFF0AFE"/>
    <w:rsid w:val="1B4F19F8"/>
    <w:rsid w:val="1C52084A"/>
    <w:rsid w:val="1CAB69CA"/>
    <w:rsid w:val="1DCB4E4A"/>
    <w:rsid w:val="1E6C3F8B"/>
    <w:rsid w:val="1E94348E"/>
    <w:rsid w:val="1ECC44FA"/>
    <w:rsid w:val="1F063325"/>
    <w:rsid w:val="1F86727A"/>
    <w:rsid w:val="1FBC5DF5"/>
    <w:rsid w:val="1FE91445"/>
    <w:rsid w:val="1FF90588"/>
    <w:rsid w:val="20AE6A88"/>
    <w:rsid w:val="20C3623F"/>
    <w:rsid w:val="215869F4"/>
    <w:rsid w:val="21781212"/>
    <w:rsid w:val="21AB746C"/>
    <w:rsid w:val="21B83F86"/>
    <w:rsid w:val="21BE719F"/>
    <w:rsid w:val="221178A8"/>
    <w:rsid w:val="221213CF"/>
    <w:rsid w:val="22327A92"/>
    <w:rsid w:val="231D53A2"/>
    <w:rsid w:val="23244DE0"/>
    <w:rsid w:val="236D5383"/>
    <w:rsid w:val="23B7504C"/>
    <w:rsid w:val="24571307"/>
    <w:rsid w:val="25110A2A"/>
    <w:rsid w:val="256C0944"/>
    <w:rsid w:val="26446DE3"/>
    <w:rsid w:val="26877DFE"/>
    <w:rsid w:val="269669E7"/>
    <w:rsid w:val="26A270C1"/>
    <w:rsid w:val="26D7699F"/>
    <w:rsid w:val="28B46C06"/>
    <w:rsid w:val="28DC43AF"/>
    <w:rsid w:val="28E13773"/>
    <w:rsid w:val="28F74D45"/>
    <w:rsid w:val="29A273A6"/>
    <w:rsid w:val="29D75F7F"/>
    <w:rsid w:val="2A1A5AA6"/>
    <w:rsid w:val="2B774624"/>
    <w:rsid w:val="2C370752"/>
    <w:rsid w:val="2C6474B6"/>
    <w:rsid w:val="2C7A72BE"/>
    <w:rsid w:val="2C9A7D75"/>
    <w:rsid w:val="2CC17412"/>
    <w:rsid w:val="2CD95759"/>
    <w:rsid w:val="2D7C1E99"/>
    <w:rsid w:val="2DB640F0"/>
    <w:rsid w:val="2E0917A2"/>
    <w:rsid w:val="2E2B796A"/>
    <w:rsid w:val="2E3031D3"/>
    <w:rsid w:val="2E9976CE"/>
    <w:rsid w:val="2EE61893"/>
    <w:rsid w:val="2EF01DEE"/>
    <w:rsid w:val="2F401D3C"/>
    <w:rsid w:val="2F5B24E1"/>
    <w:rsid w:val="2F860BD0"/>
    <w:rsid w:val="2FA95C88"/>
    <w:rsid w:val="2FE76D67"/>
    <w:rsid w:val="3041370F"/>
    <w:rsid w:val="30B87FED"/>
    <w:rsid w:val="312B50A3"/>
    <w:rsid w:val="31426680"/>
    <w:rsid w:val="31894FD2"/>
    <w:rsid w:val="320D3746"/>
    <w:rsid w:val="32453A27"/>
    <w:rsid w:val="3263064A"/>
    <w:rsid w:val="32A43132"/>
    <w:rsid w:val="32AC0C06"/>
    <w:rsid w:val="331A1D5C"/>
    <w:rsid w:val="33344EF5"/>
    <w:rsid w:val="34CA77B1"/>
    <w:rsid w:val="34CE3DAC"/>
    <w:rsid w:val="35020CF9"/>
    <w:rsid w:val="3537750C"/>
    <w:rsid w:val="3537798C"/>
    <w:rsid w:val="35B63763"/>
    <w:rsid w:val="35C13FC9"/>
    <w:rsid w:val="35FF41CE"/>
    <w:rsid w:val="36372B05"/>
    <w:rsid w:val="364257B6"/>
    <w:rsid w:val="377F1EFC"/>
    <w:rsid w:val="37A54F57"/>
    <w:rsid w:val="37EA5922"/>
    <w:rsid w:val="38276B93"/>
    <w:rsid w:val="382E58B8"/>
    <w:rsid w:val="38AC3431"/>
    <w:rsid w:val="38CB4668"/>
    <w:rsid w:val="392F2E16"/>
    <w:rsid w:val="39E00529"/>
    <w:rsid w:val="3A0B64A7"/>
    <w:rsid w:val="3A574DDA"/>
    <w:rsid w:val="3ACD1DA9"/>
    <w:rsid w:val="3AD3075A"/>
    <w:rsid w:val="3AEA64B7"/>
    <w:rsid w:val="3AF74C02"/>
    <w:rsid w:val="3B146A06"/>
    <w:rsid w:val="3C0059A5"/>
    <w:rsid w:val="3C134E78"/>
    <w:rsid w:val="3C5759D7"/>
    <w:rsid w:val="3C9838E2"/>
    <w:rsid w:val="3CB8475C"/>
    <w:rsid w:val="3D583BAC"/>
    <w:rsid w:val="3DA0781E"/>
    <w:rsid w:val="3DF6345D"/>
    <w:rsid w:val="3E2B5515"/>
    <w:rsid w:val="3E4D4F28"/>
    <w:rsid w:val="3EA11583"/>
    <w:rsid w:val="3ED92EC4"/>
    <w:rsid w:val="3EE13701"/>
    <w:rsid w:val="3F1A4BB3"/>
    <w:rsid w:val="40192BA6"/>
    <w:rsid w:val="40295CD4"/>
    <w:rsid w:val="41766EA9"/>
    <w:rsid w:val="41870F04"/>
    <w:rsid w:val="422229DB"/>
    <w:rsid w:val="42550A18"/>
    <w:rsid w:val="429D496A"/>
    <w:rsid w:val="42BF46CD"/>
    <w:rsid w:val="42F473A1"/>
    <w:rsid w:val="437217EA"/>
    <w:rsid w:val="43AB7156"/>
    <w:rsid w:val="43FF60DE"/>
    <w:rsid w:val="441E62C0"/>
    <w:rsid w:val="44B71CCD"/>
    <w:rsid w:val="45325D14"/>
    <w:rsid w:val="45575091"/>
    <w:rsid w:val="45811C7C"/>
    <w:rsid w:val="45906116"/>
    <w:rsid w:val="45931B8C"/>
    <w:rsid w:val="45DB42AF"/>
    <w:rsid w:val="45EF2552"/>
    <w:rsid w:val="45F57653"/>
    <w:rsid w:val="468B3EFB"/>
    <w:rsid w:val="470A6193"/>
    <w:rsid w:val="47385210"/>
    <w:rsid w:val="4747174D"/>
    <w:rsid w:val="475510F8"/>
    <w:rsid w:val="47DC4F5C"/>
    <w:rsid w:val="47E30E5E"/>
    <w:rsid w:val="48B40671"/>
    <w:rsid w:val="48EC789E"/>
    <w:rsid w:val="499B5738"/>
    <w:rsid w:val="499F244D"/>
    <w:rsid w:val="4A973F3F"/>
    <w:rsid w:val="4AF96BC7"/>
    <w:rsid w:val="4B2257F9"/>
    <w:rsid w:val="4B315A3D"/>
    <w:rsid w:val="4B62209A"/>
    <w:rsid w:val="4B862A85"/>
    <w:rsid w:val="4B8D35BB"/>
    <w:rsid w:val="4B95246F"/>
    <w:rsid w:val="4CEF36E2"/>
    <w:rsid w:val="4CEF4DC5"/>
    <w:rsid w:val="4DF362B0"/>
    <w:rsid w:val="4E201FB0"/>
    <w:rsid w:val="4E257655"/>
    <w:rsid w:val="4EF548FB"/>
    <w:rsid w:val="4F0C5D1C"/>
    <w:rsid w:val="4F372380"/>
    <w:rsid w:val="4F372FFB"/>
    <w:rsid w:val="4FB1539E"/>
    <w:rsid w:val="4FB94926"/>
    <w:rsid w:val="4FDA66A3"/>
    <w:rsid w:val="500927E1"/>
    <w:rsid w:val="5025116D"/>
    <w:rsid w:val="50F47C38"/>
    <w:rsid w:val="51707F6E"/>
    <w:rsid w:val="52395ECD"/>
    <w:rsid w:val="52A31394"/>
    <w:rsid w:val="52C10D75"/>
    <w:rsid w:val="5302649D"/>
    <w:rsid w:val="532A1829"/>
    <w:rsid w:val="53C27FF8"/>
    <w:rsid w:val="53FD3717"/>
    <w:rsid w:val="54806794"/>
    <w:rsid w:val="5492579E"/>
    <w:rsid w:val="549E1A80"/>
    <w:rsid w:val="54C658F4"/>
    <w:rsid w:val="550C4BD7"/>
    <w:rsid w:val="554C1D56"/>
    <w:rsid w:val="55572986"/>
    <w:rsid w:val="562C577E"/>
    <w:rsid w:val="565340FA"/>
    <w:rsid w:val="569C6DA8"/>
    <w:rsid w:val="56AD5F59"/>
    <w:rsid w:val="56C60774"/>
    <w:rsid w:val="56E542AB"/>
    <w:rsid w:val="56EA35A2"/>
    <w:rsid w:val="56FA1EA1"/>
    <w:rsid w:val="573D7E6E"/>
    <w:rsid w:val="57805D82"/>
    <w:rsid w:val="57A56C58"/>
    <w:rsid w:val="57B12A52"/>
    <w:rsid w:val="57D31CF4"/>
    <w:rsid w:val="580544D9"/>
    <w:rsid w:val="58931AE5"/>
    <w:rsid w:val="5A2F2CC8"/>
    <w:rsid w:val="5C10702D"/>
    <w:rsid w:val="5C152601"/>
    <w:rsid w:val="5C591F03"/>
    <w:rsid w:val="5C8A1B2F"/>
    <w:rsid w:val="5C9875E2"/>
    <w:rsid w:val="5CB7658D"/>
    <w:rsid w:val="5E341674"/>
    <w:rsid w:val="5E977899"/>
    <w:rsid w:val="5F561B72"/>
    <w:rsid w:val="5F655EC4"/>
    <w:rsid w:val="5F9A5E4E"/>
    <w:rsid w:val="601F4B13"/>
    <w:rsid w:val="606007BB"/>
    <w:rsid w:val="60AC7F66"/>
    <w:rsid w:val="60B3274D"/>
    <w:rsid w:val="61BF10D9"/>
    <w:rsid w:val="62124EDD"/>
    <w:rsid w:val="62261C1B"/>
    <w:rsid w:val="62605BA7"/>
    <w:rsid w:val="626C1660"/>
    <w:rsid w:val="62774225"/>
    <w:rsid w:val="628726BA"/>
    <w:rsid w:val="62AC22DC"/>
    <w:rsid w:val="62BF00A6"/>
    <w:rsid w:val="62D06DC0"/>
    <w:rsid w:val="63464323"/>
    <w:rsid w:val="63605F67"/>
    <w:rsid w:val="63A22BFD"/>
    <w:rsid w:val="64DD1E43"/>
    <w:rsid w:val="64E45EF7"/>
    <w:rsid w:val="64F94BC3"/>
    <w:rsid w:val="667F3EFA"/>
    <w:rsid w:val="66803B32"/>
    <w:rsid w:val="6691014E"/>
    <w:rsid w:val="66C87CCE"/>
    <w:rsid w:val="66F03998"/>
    <w:rsid w:val="677435B2"/>
    <w:rsid w:val="677F6056"/>
    <w:rsid w:val="67C223E6"/>
    <w:rsid w:val="67EF75F1"/>
    <w:rsid w:val="67F04ECE"/>
    <w:rsid w:val="680C31AE"/>
    <w:rsid w:val="683E7CBF"/>
    <w:rsid w:val="684F4F11"/>
    <w:rsid w:val="68F71C1C"/>
    <w:rsid w:val="69124F16"/>
    <w:rsid w:val="698945D6"/>
    <w:rsid w:val="69CD5C14"/>
    <w:rsid w:val="69CF0D33"/>
    <w:rsid w:val="69EA42D6"/>
    <w:rsid w:val="6B9946B3"/>
    <w:rsid w:val="6BB42357"/>
    <w:rsid w:val="6BE518DA"/>
    <w:rsid w:val="6C276F3A"/>
    <w:rsid w:val="6C6B4DFB"/>
    <w:rsid w:val="6C7007C7"/>
    <w:rsid w:val="6D723F67"/>
    <w:rsid w:val="6DBE0F5A"/>
    <w:rsid w:val="6DE76850"/>
    <w:rsid w:val="6EC82DF0"/>
    <w:rsid w:val="6EF52990"/>
    <w:rsid w:val="6FB20BD4"/>
    <w:rsid w:val="6FBA59BE"/>
    <w:rsid w:val="70296B3E"/>
    <w:rsid w:val="7047792D"/>
    <w:rsid w:val="70611204"/>
    <w:rsid w:val="70B218CF"/>
    <w:rsid w:val="7165620F"/>
    <w:rsid w:val="717039F8"/>
    <w:rsid w:val="72060127"/>
    <w:rsid w:val="722515A8"/>
    <w:rsid w:val="739534EB"/>
    <w:rsid w:val="739F35DC"/>
    <w:rsid w:val="73D261B3"/>
    <w:rsid w:val="745F3497"/>
    <w:rsid w:val="74D13AD5"/>
    <w:rsid w:val="74FA2C30"/>
    <w:rsid w:val="754D5C4B"/>
    <w:rsid w:val="758331B5"/>
    <w:rsid w:val="766D24C9"/>
    <w:rsid w:val="76C240A7"/>
    <w:rsid w:val="76DA416A"/>
    <w:rsid w:val="7725204A"/>
    <w:rsid w:val="775246B7"/>
    <w:rsid w:val="779C67B0"/>
    <w:rsid w:val="781E69D1"/>
    <w:rsid w:val="78380281"/>
    <w:rsid w:val="786C1733"/>
    <w:rsid w:val="78EA354B"/>
    <w:rsid w:val="7901747F"/>
    <w:rsid w:val="7905244A"/>
    <w:rsid w:val="791B4953"/>
    <w:rsid w:val="79B44116"/>
    <w:rsid w:val="79C30024"/>
    <w:rsid w:val="7A035425"/>
    <w:rsid w:val="7A263B6B"/>
    <w:rsid w:val="7A2A00A3"/>
    <w:rsid w:val="7AF46346"/>
    <w:rsid w:val="7B0F5EBF"/>
    <w:rsid w:val="7B130FB9"/>
    <w:rsid w:val="7BD71E38"/>
    <w:rsid w:val="7BF64EDE"/>
    <w:rsid w:val="7C400C1E"/>
    <w:rsid w:val="7C724C5F"/>
    <w:rsid w:val="7DB75840"/>
    <w:rsid w:val="7DC0313A"/>
    <w:rsid w:val="7DD11708"/>
    <w:rsid w:val="7DEE4A4F"/>
    <w:rsid w:val="7E1D4C4C"/>
    <w:rsid w:val="7E521976"/>
    <w:rsid w:val="7EAE6230"/>
    <w:rsid w:val="7EBD579E"/>
    <w:rsid w:val="7EC167BD"/>
    <w:rsid w:val="7EE04BDD"/>
    <w:rsid w:val="7F272D9E"/>
    <w:rsid w:val="7F477001"/>
    <w:rsid w:val="7F9F34DE"/>
    <w:rsid w:val="979F7D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9"/>
    <w:qFormat/>
    <w:uiPriority w:val="99"/>
    <w:pPr>
      <w:keepNext/>
      <w:keepLines/>
      <w:spacing w:before="340" w:after="330" w:line="578" w:lineRule="auto"/>
      <w:outlineLvl w:val="0"/>
    </w:pPr>
    <w:rPr>
      <w:b/>
      <w:kern w:val="44"/>
      <w:sz w:val="44"/>
      <w:szCs w:val="20"/>
    </w:rPr>
  </w:style>
  <w:style w:type="paragraph" w:styleId="3">
    <w:name w:val="heading 2"/>
    <w:basedOn w:val="1"/>
    <w:next w:val="1"/>
    <w:link w:val="90"/>
    <w:autoRedefine/>
    <w:qFormat/>
    <w:uiPriority w:val="99"/>
    <w:pPr>
      <w:keepNext/>
      <w:keepLines/>
      <w:spacing w:before="260" w:after="260" w:line="416" w:lineRule="auto"/>
      <w:outlineLvl w:val="1"/>
    </w:pPr>
    <w:rPr>
      <w:rFonts w:ascii="Cambria" w:hAnsi="Cambria"/>
      <w:b/>
      <w:sz w:val="32"/>
      <w:szCs w:val="20"/>
    </w:rPr>
  </w:style>
  <w:style w:type="paragraph" w:styleId="4">
    <w:name w:val="heading 3"/>
    <w:basedOn w:val="1"/>
    <w:next w:val="1"/>
    <w:link w:val="91"/>
    <w:qFormat/>
    <w:uiPriority w:val="99"/>
    <w:pPr>
      <w:keepNext/>
      <w:keepLines/>
      <w:spacing w:before="260" w:after="260" w:line="416" w:lineRule="auto"/>
      <w:outlineLvl w:val="2"/>
    </w:pPr>
    <w:rPr>
      <w:b/>
      <w:sz w:val="32"/>
      <w:szCs w:val="20"/>
    </w:rPr>
  </w:style>
  <w:style w:type="paragraph" w:styleId="5">
    <w:name w:val="heading 4"/>
    <w:basedOn w:val="1"/>
    <w:next w:val="1"/>
    <w:link w:val="92"/>
    <w:qFormat/>
    <w:uiPriority w:val="99"/>
    <w:pPr>
      <w:keepNext/>
      <w:keepLines/>
      <w:spacing w:line="360" w:lineRule="auto"/>
      <w:outlineLvl w:val="3"/>
    </w:pPr>
    <w:rPr>
      <w:rFonts w:ascii="Arial" w:hAnsi="Arial"/>
      <w:b/>
      <w:sz w:val="28"/>
      <w:szCs w:val="20"/>
    </w:rPr>
  </w:style>
  <w:style w:type="paragraph" w:styleId="6">
    <w:name w:val="heading 5"/>
    <w:basedOn w:val="1"/>
    <w:next w:val="7"/>
    <w:link w:val="93"/>
    <w:qFormat/>
    <w:uiPriority w:val="99"/>
    <w:pPr>
      <w:keepNext/>
      <w:keepLines/>
      <w:spacing w:before="280" w:after="290" w:line="376" w:lineRule="auto"/>
      <w:outlineLvl w:val="4"/>
    </w:pPr>
    <w:rPr>
      <w:b/>
      <w:sz w:val="28"/>
      <w:szCs w:val="20"/>
    </w:rPr>
  </w:style>
  <w:style w:type="paragraph" w:styleId="8">
    <w:name w:val="heading 6"/>
    <w:basedOn w:val="1"/>
    <w:next w:val="1"/>
    <w:link w:val="69"/>
    <w:autoRedefine/>
    <w:qFormat/>
    <w:uiPriority w:val="99"/>
    <w:pPr>
      <w:keepNext/>
      <w:keepLines/>
      <w:spacing w:before="240" w:after="64" w:line="317" w:lineRule="auto"/>
      <w:outlineLvl w:val="5"/>
    </w:pPr>
    <w:rPr>
      <w:rFonts w:ascii="Cambria" w:hAnsi="Cambria"/>
      <w:b/>
      <w:bCs/>
      <w:kern w:val="0"/>
      <w:sz w:val="24"/>
    </w:rPr>
  </w:style>
  <w:style w:type="paragraph" w:styleId="9">
    <w:name w:val="heading 7"/>
    <w:basedOn w:val="1"/>
    <w:next w:val="1"/>
    <w:link w:val="70"/>
    <w:autoRedefine/>
    <w:qFormat/>
    <w:uiPriority w:val="99"/>
    <w:pPr>
      <w:keepNext/>
      <w:keepLines/>
      <w:spacing w:before="240" w:after="64" w:line="317" w:lineRule="auto"/>
      <w:outlineLvl w:val="6"/>
    </w:pPr>
    <w:rPr>
      <w:b/>
      <w:bCs/>
      <w:kern w:val="0"/>
      <w:sz w:val="24"/>
    </w:rPr>
  </w:style>
  <w:style w:type="paragraph" w:styleId="10">
    <w:name w:val="heading 8"/>
    <w:basedOn w:val="1"/>
    <w:next w:val="1"/>
    <w:link w:val="71"/>
    <w:autoRedefine/>
    <w:qFormat/>
    <w:uiPriority w:val="9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2"/>
    <w:qFormat/>
    <w:uiPriority w:val="99"/>
    <w:pPr>
      <w:keepNext/>
      <w:keepLines/>
      <w:spacing w:before="240" w:after="64" w:line="317" w:lineRule="auto"/>
      <w:outlineLvl w:val="8"/>
    </w:pPr>
    <w:rPr>
      <w:rFonts w:ascii="Cambria" w:hAnsi="Cambria"/>
      <w:kern w:val="0"/>
      <w:sz w:val="20"/>
      <w:szCs w:val="21"/>
    </w:rPr>
  </w:style>
  <w:style w:type="character" w:default="1" w:styleId="46">
    <w:name w:val="Default Paragraph Font"/>
    <w:autoRedefine/>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4"/>
    <w:qFormat/>
    <w:uiPriority w:val="99"/>
    <w:pPr>
      <w:ind w:firstLine="420"/>
    </w:pPr>
    <w:rPr>
      <w:szCs w:val="20"/>
    </w:rPr>
  </w:style>
  <w:style w:type="paragraph" w:styleId="12">
    <w:name w:val="toc 7"/>
    <w:basedOn w:val="1"/>
    <w:next w:val="1"/>
    <w:qFormat/>
    <w:uiPriority w:val="99"/>
    <w:pPr>
      <w:ind w:left="2520" w:leftChars="1200"/>
    </w:pPr>
    <w:rPr>
      <w:rFonts w:ascii="Calibri" w:hAnsi="Calibri" w:cs="Calibri"/>
      <w:szCs w:val="21"/>
    </w:r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95"/>
    <w:qFormat/>
    <w:uiPriority w:val="99"/>
    <w:pPr>
      <w:shd w:val="clear" w:color="auto" w:fill="000080"/>
    </w:pPr>
    <w:rPr>
      <w:sz w:val="24"/>
      <w:szCs w:val="20"/>
      <w:shd w:val="clear" w:color="auto" w:fill="000080"/>
    </w:rPr>
  </w:style>
  <w:style w:type="paragraph" w:styleId="16">
    <w:name w:val="annotation text"/>
    <w:basedOn w:val="1"/>
    <w:link w:val="96"/>
    <w:autoRedefine/>
    <w:qFormat/>
    <w:uiPriority w:val="99"/>
    <w:pPr>
      <w:jc w:val="left"/>
    </w:pPr>
    <w:rPr>
      <w:sz w:val="24"/>
      <w:szCs w:val="20"/>
    </w:rPr>
  </w:style>
  <w:style w:type="paragraph" w:styleId="17">
    <w:name w:val="Body Text 3"/>
    <w:basedOn w:val="1"/>
    <w:link w:val="75"/>
    <w:autoRedefine/>
    <w:qFormat/>
    <w:uiPriority w:val="99"/>
    <w:pPr>
      <w:spacing w:after="120"/>
    </w:pPr>
    <w:rPr>
      <w:sz w:val="16"/>
      <w:szCs w:val="16"/>
    </w:rPr>
  </w:style>
  <w:style w:type="paragraph" w:styleId="18">
    <w:name w:val="Body Text"/>
    <w:basedOn w:val="1"/>
    <w:link w:val="76"/>
    <w:autoRedefine/>
    <w:qFormat/>
    <w:uiPriority w:val="99"/>
    <w:pPr>
      <w:spacing w:after="120"/>
    </w:pPr>
  </w:style>
  <w:style w:type="paragraph" w:styleId="19">
    <w:name w:val="Body Text Indent"/>
    <w:basedOn w:val="1"/>
    <w:link w:val="97"/>
    <w:qFormat/>
    <w:uiPriority w:val="99"/>
    <w:pPr>
      <w:ind w:firstLine="830" w:firstLineChars="352"/>
    </w:pPr>
    <w:rPr>
      <w:rFonts w:ascii="仿宋_GB2312" w:eastAsia="仿宋_GB2312"/>
      <w:kern w:val="0"/>
      <w:sz w:val="20"/>
      <w:szCs w:val="20"/>
    </w:rPr>
  </w:style>
  <w:style w:type="paragraph" w:styleId="20">
    <w:name w:val="List 2"/>
    <w:basedOn w:val="1"/>
    <w:qFormat/>
    <w:uiPriority w:val="99"/>
    <w:pPr>
      <w:ind w:left="100" w:leftChars="200" w:hanging="200" w:hangingChars="200"/>
      <w:contextualSpacing/>
    </w:pPr>
  </w:style>
  <w:style w:type="paragraph" w:styleId="21">
    <w:name w:val="index 4"/>
    <w:basedOn w:val="1"/>
    <w:next w:val="1"/>
    <w:semiHidden/>
    <w:qFormat/>
    <w:uiPriority w:val="99"/>
    <w:pPr>
      <w:ind w:left="600" w:leftChars="600"/>
    </w:pPr>
    <w:rPr>
      <w:szCs w:val="21"/>
    </w:rPr>
  </w:style>
  <w:style w:type="paragraph" w:styleId="22">
    <w:name w:val="toc 5"/>
    <w:basedOn w:val="1"/>
    <w:next w:val="1"/>
    <w:qFormat/>
    <w:uiPriority w:val="99"/>
    <w:pPr>
      <w:ind w:left="1680" w:leftChars="800"/>
    </w:pPr>
    <w:rPr>
      <w:rFonts w:ascii="Calibri" w:hAnsi="Calibri" w:cs="Calibri"/>
      <w:szCs w:val="21"/>
    </w:rPr>
  </w:style>
  <w:style w:type="paragraph" w:styleId="23">
    <w:name w:val="toc 3"/>
    <w:basedOn w:val="1"/>
    <w:next w:val="1"/>
    <w:qFormat/>
    <w:uiPriority w:val="99"/>
    <w:pPr>
      <w:ind w:left="840" w:leftChars="400"/>
    </w:pPr>
    <w:rPr>
      <w:szCs w:val="21"/>
    </w:rPr>
  </w:style>
  <w:style w:type="paragraph" w:styleId="24">
    <w:name w:val="Plain Text"/>
    <w:basedOn w:val="1"/>
    <w:link w:val="98"/>
    <w:qFormat/>
    <w:uiPriority w:val="99"/>
    <w:rPr>
      <w:rFonts w:ascii="宋体" w:hAnsi="Courier New"/>
      <w:kern w:val="0"/>
      <w:szCs w:val="20"/>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99"/>
    <w:qFormat/>
    <w:uiPriority w:val="99"/>
    <w:pPr>
      <w:ind w:left="100" w:leftChars="2500"/>
    </w:pPr>
    <w:rPr>
      <w:sz w:val="24"/>
      <w:szCs w:val="20"/>
    </w:rPr>
  </w:style>
  <w:style w:type="paragraph" w:styleId="27">
    <w:name w:val="Body Text Indent 2"/>
    <w:basedOn w:val="1"/>
    <w:link w:val="100"/>
    <w:qFormat/>
    <w:uiPriority w:val="99"/>
    <w:pPr>
      <w:spacing w:after="120" w:line="480" w:lineRule="auto"/>
      <w:ind w:left="420" w:leftChars="200"/>
    </w:pPr>
    <w:rPr>
      <w:sz w:val="24"/>
      <w:szCs w:val="20"/>
    </w:rPr>
  </w:style>
  <w:style w:type="paragraph" w:styleId="28">
    <w:name w:val="Balloon Text"/>
    <w:basedOn w:val="1"/>
    <w:link w:val="101"/>
    <w:qFormat/>
    <w:uiPriority w:val="99"/>
    <w:rPr>
      <w:sz w:val="18"/>
      <w:szCs w:val="20"/>
    </w:rPr>
  </w:style>
  <w:style w:type="paragraph" w:styleId="29">
    <w:name w:val="footer"/>
    <w:basedOn w:val="1"/>
    <w:next w:val="30"/>
    <w:link w:val="102"/>
    <w:qFormat/>
    <w:uiPriority w:val="99"/>
    <w:pPr>
      <w:tabs>
        <w:tab w:val="center" w:pos="4153"/>
        <w:tab w:val="right" w:pos="8306"/>
      </w:tabs>
      <w:snapToGrid w:val="0"/>
      <w:jc w:val="left"/>
    </w:pPr>
    <w:rPr>
      <w:kern w:val="0"/>
      <w:sz w:val="18"/>
      <w:szCs w:val="20"/>
    </w:rPr>
  </w:style>
  <w:style w:type="paragraph" w:styleId="30">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31">
    <w:name w:val="header"/>
    <w:basedOn w:val="1"/>
    <w:link w:val="103"/>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1"/>
    <w:basedOn w:val="1"/>
    <w:next w:val="1"/>
    <w:qFormat/>
    <w:uiPriority w:val="99"/>
  </w:style>
  <w:style w:type="paragraph" w:styleId="33">
    <w:name w:val="toc 4"/>
    <w:basedOn w:val="1"/>
    <w:next w:val="1"/>
    <w:qFormat/>
    <w:uiPriority w:val="99"/>
    <w:pPr>
      <w:ind w:left="1260" w:leftChars="600"/>
    </w:pPr>
    <w:rPr>
      <w:rFonts w:ascii="Calibri" w:hAnsi="Calibri" w:cs="Calibri"/>
      <w:szCs w:val="21"/>
    </w:rPr>
  </w:style>
  <w:style w:type="paragraph" w:styleId="34">
    <w:name w:val="Subtitle"/>
    <w:basedOn w:val="1"/>
    <w:next w:val="1"/>
    <w:link w:val="84"/>
    <w:qFormat/>
    <w:uiPriority w:val="99"/>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99"/>
    <w:pPr>
      <w:ind w:left="2100" w:leftChars="1000"/>
    </w:pPr>
    <w:rPr>
      <w:rFonts w:ascii="Calibri" w:hAnsi="Calibri" w:cs="Calibri"/>
      <w:szCs w:val="21"/>
    </w:rPr>
  </w:style>
  <w:style w:type="paragraph" w:styleId="37">
    <w:name w:val="toc 2"/>
    <w:basedOn w:val="1"/>
    <w:next w:val="1"/>
    <w:qFormat/>
    <w:uiPriority w:val="99"/>
    <w:pPr>
      <w:tabs>
        <w:tab w:val="right" w:leader="dot" w:pos="8296"/>
      </w:tabs>
      <w:ind w:left="420" w:leftChars="200"/>
    </w:pPr>
  </w:style>
  <w:style w:type="paragraph" w:styleId="38">
    <w:name w:val="toc 9"/>
    <w:basedOn w:val="1"/>
    <w:next w:val="1"/>
    <w:qFormat/>
    <w:uiPriority w:val="99"/>
    <w:pPr>
      <w:ind w:left="3360" w:leftChars="1600"/>
    </w:pPr>
    <w:rPr>
      <w:rFonts w:ascii="Calibri" w:hAnsi="Calibri" w:cs="Calibri"/>
      <w:szCs w:val="21"/>
    </w:rPr>
  </w:style>
  <w:style w:type="paragraph" w:styleId="39">
    <w:name w:val="HTML Preformatted"/>
    <w:basedOn w:val="1"/>
    <w:link w:val="8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rPr>
      <w:rFonts w:ascii="Calibri" w:hAnsi="Calibri"/>
      <w:kern w:val="0"/>
      <w:sz w:val="24"/>
    </w:rPr>
  </w:style>
  <w:style w:type="paragraph" w:styleId="41">
    <w:name w:val="Title"/>
    <w:basedOn w:val="1"/>
    <w:next w:val="1"/>
    <w:link w:val="105"/>
    <w:autoRedefine/>
    <w:qFormat/>
    <w:uiPriority w:val="99"/>
    <w:pPr>
      <w:spacing w:before="240" w:after="60"/>
      <w:jc w:val="center"/>
      <w:outlineLvl w:val="0"/>
    </w:pPr>
    <w:rPr>
      <w:rFonts w:ascii="Cambria" w:hAnsi="Cambria"/>
      <w:b/>
      <w:sz w:val="32"/>
      <w:szCs w:val="20"/>
    </w:rPr>
  </w:style>
  <w:style w:type="paragraph" w:styleId="42">
    <w:name w:val="annotation subject"/>
    <w:basedOn w:val="16"/>
    <w:next w:val="16"/>
    <w:link w:val="106"/>
    <w:autoRedefine/>
    <w:qFormat/>
    <w:uiPriority w:val="99"/>
    <w:rPr>
      <w:b/>
    </w:rPr>
  </w:style>
  <w:style w:type="paragraph" w:styleId="43">
    <w:name w:val="Body Text First Indent"/>
    <w:basedOn w:val="18"/>
    <w:next w:val="1"/>
    <w:autoRedefine/>
    <w:qFormat/>
    <w:locked/>
    <w:uiPriority w:val="0"/>
    <w:pPr>
      <w:ind w:firstLine="420" w:firstLineChars="100"/>
    </w:pPr>
    <w:rPr>
      <w:rFonts w:ascii="宋体" w:hAnsi="Courier New"/>
      <w:kern w:val="0"/>
      <w:sz w:val="20"/>
      <w:szCs w:val="21"/>
    </w:rPr>
  </w:style>
  <w:style w:type="table" w:styleId="45">
    <w:name w:val="Table Grid"/>
    <w:basedOn w:val="4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autoRedefine/>
    <w:qFormat/>
    <w:uiPriority w:val="99"/>
    <w:rPr>
      <w:rFonts w:cs="Times New Roman"/>
      <w:b/>
    </w:rPr>
  </w:style>
  <w:style w:type="character" w:styleId="48">
    <w:name w:val="endnote reference"/>
    <w:basedOn w:val="46"/>
    <w:autoRedefine/>
    <w:qFormat/>
    <w:uiPriority w:val="99"/>
    <w:rPr>
      <w:rFonts w:cs="Times New Roman"/>
      <w:vertAlign w:val="superscript"/>
    </w:rPr>
  </w:style>
  <w:style w:type="character" w:styleId="49">
    <w:name w:val="page number"/>
    <w:basedOn w:val="46"/>
    <w:autoRedefine/>
    <w:qFormat/>
    <w:uiPriority w:val="99"/>
    <w:rPr>
      <w:rFonts w:cs="Times New Roman"/>
    </w:rPr>
  </w:style>
  <w:style w:type="character" w:styleId="50">
    <w:name w:val="Emphasis"/>
    <w:basedOn w:val="46"/>
    <w:autoRedefine/>
    <w:qFormat/>
    <w:uiPriority w:val="99"/>
    <w:rPr>
      <w:rFonts w:cs="Times New Roman"/>
      <w:i/>
    </w:rPr>
  </w:style>
  <w:style w:type="character" w:styleId="51">
    <w:name w:val="HTML Definition"/>
    <w:basedOn w:val="46"/>
    <w:autoRedefine/>
    <w:qFormat/>
    <w:uiPriority w:val="99"/>
    <w:rPr>
      <w:rFonts w:cs="Times New Roman"/>
    </w:rPr>
  </w:style>
  <w:style w:type="character" w:styleId="52">
    <w:name w:val="HTML Typewriter"/>
    <w:basedOn w:val="46"/>
    <w:autoRedefine/>
    <w:qFormat/>
    <w:uiPriority w:val="99"/>
    <w:rPr>
      <w:rFonts w:ascii="monospace" w:hAnsi="monospace" w:cs="monospace"/>
      <w:sz w:val="20"/>
    </w:rPr>
  </w:style>
  <w:style w:type="character" w:styleId="53">
    <w:name w:val="HTML Acronym"/>
    <w:basedOn w:val="46"/>
    <w:autoRedefine/>
    <w:qFormat/>
    <w:uiPriority w:val="99"/>
    <w:rPr>
      <w:rFonts w:cs="Times New Roman"/>
    </w:rPr>
  </w:style>
  <w:style w:type="character" w:styleId="54">
    <w:name w:val="HTML Variable"/>
    <w:basedOn w:val="46"/>
    <w:autoRedefine/>
    <w:qFormat/>
    <w:uiPriority w:val="99"/>
    <w:rPr>
      <w:rFonts w:cs="Times New Roman"/>
    </w:rPr>
  </w:style>
  <w:style w:type="character" w:styleId="55">
    <w:name w:val="Hyperlink"/>
    <w:basedOn w:val="46"/>
    <w:autoRedefine/>
    <w:qFormat/>
    <w:uiPriority w:val="99"/>
    <w:rPr>
      <w:rFonts w:cs="Times New Roman"/>
      <w:color w:val="0000FF"/>
      <w:u w:val="single"/>
    </w:rPr>
  </w:style>
  <w:style w:type="character" w:styleId="56">
    <w:name w:val="HTML Code"/>
    <w:basedOn w:val="46"/>
    <w:autoRedefine/>
    <w:qFormat/>
    <w:uiPriority w:val="99"/>
    <w:rPr>
      <w:rFonts w:ascii="monospace" w:hAnsi="monospace" w:cs="monospace"/>
      <w:sz w:val="20"/>
    </w:rPr>
  </w:style>
  <w:style w:type="character" w:styleId="57">
    <w:name w:val="annotation reference"/>
    <w:basedOn w:val="46"/>
    <w:autoRedefine/>
    <w:qFormat/>
    <w:uiPriority w:val="99"/>
    <w:rPr>
      <w:rFonts w:cs="Times New Roman"/>
      <w:sz w:val="21"/>
    </w:rPr>
  </w:style>
  <w:style w:type="character" w:styleId="58">
    <w:name w:val="HTML Cite"/>
    <w:basedOn w:val="46"/>
    <w:autoRedefine/>
    <w:qFormat/>
    <w:uiPriority w:val="99"/>
    <w:rPr>
      <w:rFonts w:cs="Times New Roman"/>
    </w:rPr>
  </w:style>
  <w:style w:type="character" w:styleId="59">
    <w:name w:val="footnote reference"/>
    <w:basedOn w:val="46"/>
    <w:autoRedefine/>
    <w:qFormat/>
    <w:uiPriority w:val="99"/>
    <w:rPr>
      <w:rFonts w:cs="Times New Roman"/>
      <w:vertAlign w:val="superscript"/>
    </w:rPr>
  </w:style>
  <w:style w:type="character" w:styleId="60">
    <w:name w:val="HTML Keyboard"/>
    <w:basedOn w:val="46"/>
    <w:autoRedefine/>
    <w:qFormat/>
    <w:uiPriority w:val="99"/>
    <w:rPr>
      <w:rFonts w:ascii="monospace" w:hAnsi="monospace" w:cs="monospace"/>
      <w:sz w:val="20"/>
    </w:rPr>
  </w:style>
  <w:style w:type="character" w:styleId="61">
    <w:name w:val="HTML Sample"/>
    <w:basedOn w:val="46"/>
    <w:autoRedefine/>
    <w:qFormat/>
    <w:uiPriority w:val="99"/>
    <w:rPr>
      <w:rFonts w:ascii="monospace" w:hAnsi="monospace" w:cs="monospace"/>
    </w:rPr>
  </w:style>
  <w:style w:type="paragraph" w:customStyle="1" w:styleId="62">
    <w:name w:val="正文2"/>
    <w:basedOn w:val="1"/>
    <w:next w:val="1"/>
    <w:link w:val="165"/>
    <w:qFormat/>
    <w:uiPriority w:val="99"/>
    <w:pPr>
      <w:adjustRightInd w:val="0"/>
      <w:spacing w:before="156" w:line="360" w:lineRule="auto"/>
      <w:ind w:firstLine="510" w:firstLineChars="200"/>
    </w:pPr>
    <w:rPr>
      <w:sz w:val="24"/>
      <w:szCs w:val="20"/>
    </w:rPr>
  </w:style>
  <w:style w:type="paragraph" w:customStyle="1" w:styleId="63">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64">
    <w:name w:val="Heading 1 Char"/>
    <w:basedOn w:val="46"/>
    <w:autoRedefine/>
    <w:qFormat/>
    <w:uiPriority w:val="99"/>
    <w:rPr>
      <w:rFonts w:eastAsia="宋体" w:cs="Times New Roman"/>
      <w:b/>
      <w:kern w:val="44"/>
      <w:sz w:val="44"/>
      <w:lang w:val="en-US" w:eastAsia="zh-CN"/>
    </w:rPr>
  </w:style>
  <w:style w:type="character" w:customStyle="1" w:styleId="65">
    <w:name w:val="Heading 2 Char"/>
    <w:basedOn w:val="46"/>
    <w:autoRedefine/>
    <w:qFormat/>
    <w:uiPriority w:val="99"/>
    <w:rPr>
      <w:rFonts w:ascii="Arial" w:hAnsi="Arial" w:eastAsia="黑体" w:cs="Times New Roman"/>
      <w:b/>
      <w:kern w:val="2"/>
      <w:sz w:val="32"/>
      <w:lang w:val="en-US" w:eastAsia="zh-CN"/>
    </w:rPr>
  </w:style>
  <w:style w:type="character" w:customStyle="1" w:styleId="66">
    <w:name w:val="Heading 3 Char"/>
    <w:basedOn w:val="46"/>
    <w:autoRedefine/>
    <w:qFormat/>
    <w:uiPriority w:val="99"/>
    <w:rPr>
      <w:rFonts w:cs="Times New Roman"/>
      <w:b/>
      <w:kern w:val="2"/>
      <w:sz w:val="32"/>
    </w:rPr>
  </w:style>
  <w:style w:type="character" w:customStyle="1" w:styleId="67">
    <w:name w:val="Heading 4 Char"/>
    <w:basedOn w:val="46"/>
    <w:autoRedefine/>
    <w:qFormat/>
    <w:uiPriority w:val="99"/>
    <w:rPr>
      <w:rFonts w:ascii="Arial" w:hAnsi="Arial" w:eastAsia="宋体" w:cs="Times New Roman"/>
      <w:b/>
      <w:kern w:val="2"/>
      <w:sz w:val="28"/>
      <w:lang w:val="en-US" w:eastAsia="zh-CN"/>
    </w:rPr>
  </w:style>
  <w:style w:type="character" w:customStyle="1" w:styleId="68">
    <w:name w:val="Heading 5 Char"/>
    <w:basedOn w:val="46"/>
    <w:autoRedefine/>
    <w:qFormat/>
    <w:uiPriority w:val="99"/>
    <w:rPr>
      <w:rFonts w:eastAsia="宋体" w:cs="Times New Roman"/>
      <w:b/>
      <w:kern w:val="2"/>
      <w:sz w:val="28"/>
      <w:lang w:val="en-US" w:eastAsia="zh-CN"/>
    </w:rPr>
  </w:style>
  <w:style w:type="character" w:customStyle="1" w:styleId="69">
    <w:name w:val="标题 6 Char"/>
    <w:basedOn w:val="46"/>
    <w:link w:val="8"/>
    <w:autoRedefine/>
    <w:qFormat/>
    <w:locked/>
    <w:uiPriority w:val="99"/>
    <w:rPr>
      <w:rFonts w:ascii="Cambria" w:hAnsi="Cambria" w:cs="Times New Roman"/>
      <w:b/>
      <w:sz w:val="24"/>
    </w:rPr>
  </w:style>
  <w:style w:type="character" w:customStyle="1" w:styleId="70">
    <w:name w:val="标题 7 Char"/>
    <w:basedOn w:val="46"/>
    <w:link w:val="9"/>
    <w:autoRedefine/>
    <w:qFormat/>
    <w:locked/>
    <w:uiPriority w:val="99"/>
    <w:rPr>
      <w:rFonts w:cs="Times New Roman"/>
      <w:b/>
      <w:sz w:val="24"/>
    </w:rPr>
  </w:style>
  <w:style w:type="character" w:customStyle="1" w:styleId="71">
    <w:name w:val="标题 8 Char1"/>
    <w:basedOn w:val="46"/>
    <w:link w:val="10"/>
    <w:autoRedefine/>
    <w:semiHidden/>
    <w:qFormat/>
    <w:locked/>
    <w:uiPriority w:val="99"/>
    <w:rPr>
      <w:rFonts w:ascii="等线 Light" w:hAnsi="等线 Light" w:eastAsia="等线 Light" w:cs="Times New Roman"/>
      <w:kern w:val="2"/>
      <w:sz w:val="24"/>
    </w:rPr>
  </w:style>
  <w:style w:type="character" w:customStyle="1" w:styleId="72">
    <w:name w:val="标题 9 Char"/>
    <w:basedOn w:val="46"/>
    <w:link w:val="11"/>
    <w:autoRedefine/>
    <w:qFormat/>
    <w:locked/>
    <w:uiPriority w:val="99"/>
    <w:rPr>
      <w:rFonts w:ascii="Cambria" w:hAnsi="Cambria" w:cs="Times New Roman"/>
      <w:sz w:val="21"/>
    </w:rPr>
  </w:style>
  <w:style w:type="character" w:customStyle="1" w:styleId="73">
    <w:name w:val="Document Map Char"/>
    <w:basedOn w:val="46"/>
    <w:autoRedefine/>
    <w:qFormat/>
    <w:uiPriority w:val="99"/>
    <w:rPr>
      <w:rFonts w:eastAsia="宋体" w:cs="Times New Roman"/>
      <w:kern w:val="2"/>
      <w:sz w:val="24"/>
      <w:lang w:val="en-US" w:eastAsia="zh-CN"/>
    </w:rPr>
  </w:style>
  <w:style w:type="character" w:customStyle="1" w:styleId="74">
    <w:name w:val="Comment Text Char"/>
    <w:basedOn w:val="46"/>
    <w:autoRedefine/>
    <w:qFormat/>
    <w:uiPriority w:val="99"/>
    <w:rPr>
      <w:rFonts w:cs="Times New Roman"/>
      <w:sz w:val="24"/>
    </w:rPr>
  </w:style>
  <w:style w:type="character" w:customStyle="1" w:styleId="75">
    <w:name w:val="正文文本 3 Char"/>
    <w:basedOn w:val="46"/>
    <w:link w:val="17"/>
    <w:autoRedefine/>
    <w:semiHidden/>
    <w:qFormat/>
    <w:locked/>
    <w:uiPriority w:val="99"/>
    <w:rPr>
      <w:rFonts w:cs="Times New Roman"/>
      <w:kern w:val="2"/>
      <w:sz w:val="16"/>
    </w:rPr>
  </w:style>
  <w:style w:type="character" w:customStyle="1" w:styleId="76">
    <w:name w:val="正文文本 Char1"/>
    <w:basedOn w:val="46"/>
    <w:link w:val="18"/>
    <w:autoRedefine/>
    <w:qFormat/>
    <w:locked/>
    <w:uiPriority w:val="99"/>
    <w:rPr>
      <w:rFonts w:ascii="Times New Roman" w:hAnsi="Times New Roman" w:cs="Times New Roman"/>
      <w:kern w:val="2"/>
      <w:sz w:val="24"/>
    </w:rPr>
  </w:style>
  <w:style w:type="character" w:customStyle="1" w:styleId="77">
    <w:name w:val="Body Text Indent Char"/>
    <w:basedOn w:val="46"/>
    <w:autoRedefine/>
    <w:qFormat/>
    <w:uiPriority w:val="99"/>
    <w:rPr>
      <w:rFonts w:ascii="宋体" w:hAnsi="宋体" w:eastAsia="宋体" w:cs="Times New Roman"/>
      <w:kern w:val="2"/>
      <w:sz w:val="21"/>
      <w:lang w:val="en-US" w:eastAsia="zh-CN"/>
    </w:rPr>
  </w:style>
  <w:style w:type="character" w:customStyle="1" w:styleId="78">
    <w:name w:val="Plain Text Char"/>
    <w:basedOn w:val="46"/>
    <w:autoRedefine/>
    <w:qFormat/>
    <w:uiPriority w:val="99"/>
    <w:rPr>
      <w:rFonts w:ascii="宋体" w:hAnsi="Courier New" w:eastAsia="宋体" w:cs="Times New Roman"/>
      <w:sz w:val="24"/>
    </w:rPr>
  </w:style>
  <w:style w:type="character" w:customStyle="1" w:styleId="79">
    <w:name w:val="Date Char"/>
    <w:basedOn w:val="46"/>
    <w:autoRedefine/>
    <w:qFormat/>
    <w:uiPriority w:val="99"/>
    <w:rPr>
      <w:rFonts w:eastAsia="宋体" w:cs="Times New Roman"/>
      <w:kern w:val="2"/>
      <w:sz w:val="24"/>
      <w:lang w:val="en-US" w:eastAsia="zh-CN"/>
    </w:rPr>
  </w:style>
  <w:style w:type="character" w:customStyle="1" w:styleId="80">
    <w:name w:val="Body Text Indent 2 Char"/>
    <w:basedOn w:val="46"/>
    <w:autoRedefine/>
    <w:qFormat/>
    <w:uiPriority w:val="99"/>
    <w:rPr>
      <w:rFonts w:eastAsia="宋体" w:cs="Times New Roman"/>
      <w:kern w:val="2"/>
      <w:sz w:val="24"/>
      <w:lang w:val="en-US" w:eastAsia="zh-CN"/>
    </w:rPr>
  </w:style>
  <w:style w:type="character" w:customStyle="1" w:styleId="81">
    <w:name w:val="Balloon Text Char"/>
    <w:basedOn w:val="46"/>
    <w:autoRedefine/>
    <w:qFormat/>
    <w:uiPriority w:val="99"/>
    <w:rPr>
      <w:rFonts w:cs="Times New Roman"/>
      <w:sz w:val="18"/>
    </w:rPr>
  </w:style>
  <w:style w:type="character" w:customStyle="1" w:styleId="82">
    <w:name w:val="Footer Char"/>
    <w:basedOn w:val="46"/>
    <w:autoRedefine/>
    <w:qFormat/>
    <w:uiPriority w:val="99"/>
    <w:rPr>
      <w:rFonts w:eastAsia="宋体" w:cs="Times New Roman"/>
      <w:kern w:val="2"/>
      <w:sz w:val="18"/>
      <w:lang w:val="en-US" w:eastAsia="zh-CN"/>
    </w:rPr>
  </w:style>
  <w:style w:type="character" w:customStyle="1" w:styleId="83">
    <w:name w:val="Header Char"/>
    <w:basedOn w:val="46"/>
    <w:autoRedefine/>
    <w:qFormat/>
    <w:uiPriority w:val="99"/>
    <w:rPr>
      <w:rFonts w:eastAsia="宋体" w:cs="Times New Roman"/>
      <w:kern w:val="2"/>
      <w:sz w:val="18"/>
      <w:lang w:val="en-US" w:eastAsia="zh-CN"/>
    </w:rPr>
  </w:style>
  <w:style w:type="character" w:customStyle="1" w:styleId="84">
    <w:name w:val="副标题 Char"/>
    <w:basedOn w:val="46"/>
    <w:link w:val="34"/>
    <w:autoRedefine/>
    <w:qFormat/>
    <w:locked/>
    <w:uiPriority w:val="99"/>
    <w:rPr>
      <w:rFonts w:ascii="Cambria" w:hAnsi="Cambria" w:cs="Times New Roman"/>
      <w:b/>
      <w:kern w:val="28"/>
      <w:sz w:val="32"/>
    </w:rPr>
  </w:style>
  <w:style w:type="character" w:customStyle="1" w:styleId="85">
    <w:name w:val="Footnote Text Char"/>
    <w:basedOn w:val="46"/>
    <w:autoRedefine/>
    <w:qFormat/>
    <w:uiPriority w:val="99"/>
    <w:rPr>
      <w:rFonts w:eastAsia="宋体" w:cs="Times New Roman"/>
      <w:sz w:val="18"/>
      <w:lang w:val="en-US" w:eastAsia="zh-CN"/>
    </w:rPr>
  </w:style>
  <w:style w:type="character" w:customStyle="1" w:styleId="86">
    <w:name w:val="HTML 预设格式 Char"/>
    <w:basedOn w:val="46"/>
    <w:link w:val="39"/>
    <w:autoRedefine/>
    <w:qFormat/>
    <w:locked/>
    <w:uiPriority w:val="99"/>
    <w:rPr>
      <w:rFonts w:ascii="宋体" w:eastAsia="宋体" w:cs="Times New Roman"/>
      <w:sz w:val="24"/>
    </w:rPr>
  </w:style>
  <w:style w:type="character" w:customStyle="1" w:styleId="87">
    <w:name w:val="Title Char"/>
    <w:basedOn w:val="46"/>
    <w:autoRedefine/>
    <w:qFormat/>
    <w:uiPriority w:val="99"/>
    <w:rPr>
      <w:rFonts w:ascii="Cambria" w:hAnsi="Cambria" w:cs="Times New Roman"/>
      <w:b/>
      <w:sz w:val="32"/>
    </w:rPr>
  </w:style>
  <w:style w:type="character" w:customStyle="1" w:styleId="88">
    <w:name w:val="Comment Subject Char"/>
    <w:basedOn w:val="74"/>
    <w:autoRedefine/>
    <w:qFormat/>
    <w:uiPriority w:val="99"/>
    <w:rPr>
      <w:rFonts w:cs="Times New Roman"/>
      <w:b/>
      <w:sz w:val="24"/>
    </w:rPr>
  </w:style>
  <w:style w:type="character" w:customStyle="1" w:styleId="89">
    <w:name w:val="标题 1 Char"/>
    <w:link w:val="2"/>
    <w:autoRedefine/>
    <w:qFormat/>
    <w:locked/>
    <w:uiPriority w:val="99"/>
    <w:rPr>
      <w:b/>
      <w:kern w:val="44"/>
      <w:sz w:val="44"/>
    </w:rPr>
  </w:style>
  <w:style w:type="character" w:customStyle="1" w:styleId="90">
    <w:name w:val="标题 2 Char1"/>
    <w:link w:val="3"/>
    <w:autoRedefine/>
    <w:qFormat/>
    <w:locked/>
    <w:uiPriority w:val="99"/>
    <w:rPr>
      <w:rFonts w:ascii="Cambria" w:hAnsi="Cambria" w:eastAsia="宋体"/>
      <w:b/>
      <w:kern w:val="2"/>
      <w:sz w:val="32"/>
    </w:rPr>
  </w:style>
  <w:style w:type="character" w:customStyle="1" w:styleId="91">
    <w:name w:val="标题 3 Char"/>
    <w:link w:val="4"/>
    <w:autoRedefine/>
    <w:qFormat/>
    <w:locked/>
    <w:uiPriority w:val="99"/>
    <w:rPr>
      <w:b/>
      <w:kern w:val="2"/>
      <w:sz w:val="32"/>
    </w:rPr>
  </w:style>
  <w:style w:type="character" w:customStyle="1" w:styleId="92">
    <w:name w:val="标题 4 Char"/>
    <w:link w:val="5"/>
    <w:autoRedefine/>
    <w:qFormat/>
    <w:locked/>
    <w:uiPriority w:val="99"/>
    <w:rPr>
      <w:rFonts w:ascii="Arial" w:hAnsi="Arial"/>
      <w:b/>
      <w:kern w:val="2"/>
      <w:sz w:val="28"/>
    </w:rPr>
  </w:style>
  <w:style w:type="character" w:customStyle="1" w:styleId="93">
    <w:name w:val="标题 5 Char"/>
    <w:link w:val="6"/>
    <w:autoRedefine/>
    <w:qFormat/>
    <w:locked/>
    <w:uiPriority w:val="99"/>
    <w:rPr>
      <w:rFonts w:ascii="Times New Roman" w:hAnsi="Times New Roman"/>
      <w:b/>
      <w:kern w:val="2"/>
      <w:sz w:val="28"/>
    </w:rPr>
  </w:style>
  <w:style w:type="character" w:customStyle="1" w:styleId="94">
    <w:name w:val="正文缩进 Char"/>
    <w:link w:val="7"/>
    <w:autoRedefine/>
    <w:qFormat/>
    <w:locked/>
    <w:uiPriority w:val="99"/>
    <w:rPr>
      <w:kern w:val="2"/>
      <w:sz w:val="21"/>
    </w:rPr>
  </w:style>
  <w:style w:type="character" w:customStyle="1" w:styleId="95">
    <w:name w:val="文档结构图 Char"/>
    <w:link w:val="15"/>
    <w:autoRedefine/>
    <w:qFormat/>
    <w:locked/>
    <w:uiPriority w:val="99"/>
    <w:rPr>
      <w:kern w:val="2"/>
      <w:sz w:val="24"/>
      <w:shd w:val="clear" w:color="auto" w:fill="000080"/>
    </w:rPr>
  </w:style>
  <w:style w:type="character" w:customStyle="1" w:styleId="96">
    <w:name w:val="批注文字 Char1"/>
    <w:link w:val="16"/>
    <w:autoRedefine/>
    <w:qFormat/>
    <w:locked/>
    <w:uiPriority w:val="99"/>
    <w:rPr>
      <w:rFonts w:ascii="Times New Roman" w:hAnsi="Times New Roman"/>
      <w:kern w:val="2"/>
      <w:sz w:val="24"/>
    </w:rPr>
  </w:style>
  <w:style w:type="character" w:customStyle="1" w:styleId="97">
    <w:name w:val="正文文本缩进 Char"/>
    <w:link w:val="19"/>
    <w:autoRedefine/>
    <w:qFormat/>
    <w:locked/>
    <w:uiPriority w:val="99"/>
    <w:rPr>
      <w:rFonts w:ascii="仿宋_GB2312" w:hAnsi="Times New Roman" w:eastAsia="仿宋_GB2312"/>
      <w:sz w:val="20"/>
    </w:rPr>
  </w:style>
  <w:style w:type="character" w:customStyle="1" w:styleId="98">
    <w:name w:val="纯文本 Char1"/>
    <w:link w:val="24"/>
    <w:autoRedefine/>
    <w:qFormat/>
    <w:locked/>
    <w:uiPriority w:val="99"/>
    <w:rPr>
      <w:rFonts w:ascii="宋体" w:hAnsi="Courier New" w:eastAsia="宋体"/>
      <w:sz w:val="21"/>
    </w:rPr>
  </w:style>
  <w:style w:type="character" w:customStyle="1" w:styleId="99">
    <w:name w:val="日期 Char"/>
    <w:link w:val="26"/>
    <w:autoRedefine/>
    <w:qFormat/>
    <w:locked/>
    <w:uiPriority w:val="99"/>
    <w:rPr>
      <w:rFonts w:ascii="Times New Roman" w:hAnsi="Times New Roman"/>
      <w:kern w:val="2"/>
      <w:sz w:val="24"/>
    </w:rPr>
  </w:style>
  <w:style w:type="character" w:customStyle="1" w:styleId="100">
    <w:name w:val="正文文本缩进 2 Char"/>
    <w:link w:val="27"/>
    <w:autoRedefine/>
    <w:qFormat/>
    <w:locked/>
    <w:uiPriority w:val="99"/>
    <w:rPr>
      <w:kern w:val="2"/>
      <w:sz w:val="24"/>
    </w:rPr>
  </w:style>
  <w:style w:type="character" w:customStyle="1" w:styleId="101">
    <w:name w:val="批注框文本 Char"/>
    <w:link w:val="28"/>
    <w:autoRedefine/>
    <w:qFormat/>
    <w:locked/>
    <w:uiPriority w:val="99"/>
    <w:rPr>
      <w:kern w:val="2"/>
      <w:sz w:val="18"/>
    </w:rPr>
  </w:style>
  <w:style w:type="character" w:customStyle="1" w:styleId="102">
    <w:name w:val="页脚 Char"/>
    <w:link w:val="29"/>
    <w:autoRedefine/>
    <w:qFormat/>
    <w:locked/>
    <w:uiPriority w:val="99"/>
    <w:rPr>
      <w:sz w:val="18"/>
    </w:rPr>
  </w:style>
  <w:style w:type="character" w:customStyle="1" w:styleId="103">
    <w:name w:val="页眉 Char"/>
    <w:link w:val="31"/>
    <w:autoRedefine/>
    <w:qFormat/>
    <w:locked/>
    <w:uiPriority w:val="99"/>
    <w:rPr>
      <w:sz w:val="18"/>
    </w:rPr>
  </w:style>
  <w:style w:type="character" w:customStyle="1" w:styleId="104">
    <w:name w:val="脚注文本 Char"/>
    <w:link w:val="35"/>
    <w:autoRedefine/>
    <w:qFormat/>
    <w:locked/>
    <w:uiPriority w:val="99"/>
    <w:rPr>
      <w:sz w:val="18"/>
    </w:rPr>
  </w:style>
  <w:style w:type="character" w:customStyle="1" w:styleId="105">
    <w:name w:val="标题 Char"/>
    <w:link w:val="41"/>
    <w:autoRedefine/>
    <w:qFormat/>
    <w:locked/>
    <w:uiPriority w:val="99"/>
    <w:rPr>
      <w:rFonts w:ascii="Cambria" w:hAnsi="Cambria"/>
      <w:b/>
      <w:kern w:val="2"/>
      <w:sz w:val="32"/>
    </w:rPr>
  </w:style>
  <w:style w:type="character" w:customStyle="1" w:styleId="106">
    <w:name w:val="批注主题 Char"/>
    <w:link w:val="42"/>
    <w:autoRedefine/>
    <w:qFormat/>
    <w:locked/>
    <w:uiPriority w:val="99"/>
    <w:rPr>
      <w:rFonts w:ascii="Times New Roman" w:hAnsi="Times New Roman"/>
      <w:b/>
      <w:kern w:val="2"/>
      <w:sz w:val="24"/>
    </w:rPr>
  </w:style>
  <w:style w:type="character" w:customStyle="1" w:styleId="107">
    <w:name w:val="访问过的超链接1"/>
    <w:autoRedefine/>
    <w:qFormat/>
    <w:uiPriority w:val="99"/>
    <w:rPr>
      <w:color w:val="800080"/>
      <w:u w:val="single"/>
    </w:rPr>
  </w:style>
  <w:style w:type="character" w:customStyle="1" w:styleId="108">
    <w:name w:val="书籍标题1"/>
    <w:autoRedefine/>
    <w:qFormat/>
    <w:uiPriority w:val="99"/>
    <w:rPr>
      <w:b/>
      <w:smallCaps/>
      <w:spacing w:val="5"/>
    </w:rPr>
  </w:style>
  <w:style w:type="character" w:customStyle="1" w:styleId="109">
    <w:name w:val="Body text|5_"/>
    <w:link w:val="110"/>
    <w:autoRedefine/>
    <w:qFormat/>
    <w:locked/>
    <w:uiPriority w:val="99"/>
    <w:rPr>
      <w:rFonts w:ascii="宋体" w:eastAsia="宋体"/>
      <w:sz w:val="52"/>
      <w:lang w:val="zh-CN"/>
    </w:rPr>
  </w:style>
  <w:style w:type="paragraph" w:customStyle="1" w:styleId="110">
    <w:name w:val="Body text|5"/>
    <w:basedOn w:val="1"/>
    <w:link w:val="109"/>
    <w:autoRedefine/>
    <w:qFormat/>
    <w:uiPriority w:val="99"/>
    <w:pPr>
      <w:jc w:val="center"/>
    </w:pPr>
    <w:rPr>
      <w:rFonts w:ascii="宋体"/>
      <w:kern w:val="0"/>
      <w:sz w:val="52"/>
      <w:szCs w:val="20"/>
      <w:lang w:val="zh-CN"/>
    </w:rPr>
  </w:style>
  <w:style w:type="character" w:customStyle="1" w:styleId="111">
    <w:name w:val="Body text|1_"/>
    <w:link w:val="112"/>
    <w:autoRedefine/>
    <w:qFormat/>
    <w:locked/>
    <w:uiPriority w:val="99"/>
    <w:rPr>
      <w:rFonts w:ascii="宋体" w:eastAsia="宋体"/>
      <w:kern w:val="2"/>
      <w:sz w:val="21"/>
      <w:lang w:val="zh-CN"/>
    </w:rPr>
  </w:style>
  <w:style w:type="paragraph" w:customStyle="1" w:styleId="112">
    <w:name w:val="Body text|1"/>
    <w:basedOn w:val="1"/>
    <w:link w:val="111"/>
    <w:autoRedefine/>
    <w:qFormat/>
    <w:uiPriority w:val="99"/>
    <w:pPr>
      <w:spacing w:line="360" w:lineRule="auto"/>
      <w:ind w:firstLine="400"/>
    </w:pPr>
    <w:rPr>
      <w:rFonts w:ascii="宋体"/>
      <w:szCs w:val="20"/>
      <w:lang w:val="zh-CN"/>
    </w:rPr>
  </w:style>
  <w:style w:type="character" w:customStyle="1" w:styleId="113">
    <w:name w:val="Table caption|1_"/>
    <w:link w:val="114"/>
    <w:autoRedefine/>
    <w:qFormat/>
    <w:locked/>
    <w:uiPriority w:val="99"/>
    <w:rPr>
      <w:rFonts w:ascii="宋体" w:eastAsia="宋体"/>
      <w:lang w:val="zh-CN"/>
    </w:rPr>
  </w:style>
  <w:style w:type="paragraph" w:customStyle="1" w:styleId="114">
    <w:name w:val="Table caption|1"/>
    <w:basedOn w:val="1"/>
    <w:link w:val="113"/>
    <w:autoRedefine/>
    <w:qFormat/>
    <w:uiPriority w:val="99"/>
    <w:pPr>
      <w:jc w:val="left"/>
    </w:pPr>
    <w:rPr>
      <w:rFonts w:ascii="宋体"/>
      <w:kern w:val="0"/>
      <w:sz w:val="20"/>
      <w:szCs w:val="20"/>
      <w:lang w:val="zh-CN"/>
    </w:rPr>
  </w:style>
  <w:style w:type="character" w:customStyle="1" w:styleId="115">
    <w:name w:val="Heading #4|1_"/>
    <w:link w:val="116"/>
    <w:autoRedefine/>
    <w:qFormat/>
    <w:locked/>
    <w:uiPriority w:val="99"/>
    <w:rPr>
      <w:rFonts w:ascii="宋体" w:eastAsia="宋体"/>
      <w:lang w:val="zh-CN"/>
    </w:rPr>
  </w:style>
  <w:style w:type="paragraph" w:customStyle="1" w:styleId="116">
    <w:name w:val="Heading #4|1"/>
    <w:basedOn w:val="1"/>
    <w:link w:val="115"/>
    <w:autoRedefine/>
    <w:qFormat/>
    <w:uiPriority w:val="99"/>
    <w:pPr>
      <w:spacing w:after="120"/>
      <w:jc w:val="left"/>
      <w:outlineLvl w:val="3"/>
    </w:pPr>
    <w:rPr>
      <w:rFonts w:ascii="宋体"/>
      <w:kern w:val="0"/>
      <w:sz w:val="20"/>
      <w:szCs w:val="20"/>
      <w:lang w:val="zh-CN"/>
    </w:rPr>
  </w:style>
  <w:style w:type="character" w:customStyle="1" w:styleId="117">
    <w:name w:val="Body text|2_"/>
    <w:link w:val="118"/>
    <w:autoRedefine/>
    <w:qFormat/>
    <w:locked/>
    <w:uiPriority w:val="99"/>
    <w:rPr>
      <w:sz w:val="21"/>
    </w:rPr>
  </w:style>
  <w:style w:type="paragraph" w:customStyle="1" w:styleId="118">
    <w:name w:val="Body text|2"/>
    <w:basedOn w:val="1"/>
    <w:link w:val="117"/>
    <w:autoRedefine/>
    <w:qFormat/>
    <w:uiPriority w:val="99"/>
    <w:pPr>
      <w:spacing w:after="30"/>
      <w:ind w:firstLine="420"/>
      <w:jc w:val="left"/>
    </w:pPr>
    <w:rPr>
      <w:kern w:val="0"/>
      <w:szCs w:val="20"/>
    </w:rPr>
  </w:style>
  <w:style w:type="character" w:customStyle="1" w:styleId="119">
    <w:name w:val="Heading #1|1_"/>
    <w:link w:val="120"/>
    <w:autoRedefine/>
    <w:qFormat/>
    <w:locked/>
    <w:uiPriority w:val="99"/>
    <w:rPr>
      <w:rFonts w:ascii="宋体" w:eastAsia="宋体"/>
      <w:sz w:val="38"/>
      <w:lang w:val="zh-CN"/>
    </w:rPr>
  </w:style>
  <w:style w:type="paragraph" w:customStyle="1" w:styleId="120">
    <w:name w:val="Heading #1|1"/>
    <w:basedOn w:val="1"/>
    <w:link w:val="119"/>
    <w:autoRedefine/>
    <w:qFormat/>
    <w:uiPriority w:val="99"/>
    <w:pPr>
      <w:spacing w:after="440" w:line="564" w:lineRule="exact"/>
      <w:jc w:val="center"/>
      <w:outlineLvl w:val="0"/>
    </w:pPr>
    <w:rPr>
      <w:rFonts w:ascii="宋体"/>
      <w:kern w:val="0"/>
      <w:sz w:val="38"/>
      <w:szCs w:val="20"/>
      <w:lang w:val="zh-CN"/>
    </w:rPr>
  </w:style>
  <w:style w:type="character" w:customStyle="1" w:styleId="121">
    <w:name w:val="Header or footer|2_"/>
    <w:link w:val="122"/>
    <w:autoRedefine/>
    <w:qFormat/>
    <w:locked/>
    <w:uiPriority w:val="99"/>
    <w:rPr>
      <w:lang w:val="zh-CN"/>
    </w:rPr>
  </w:style>
  <w:style w:type="paragraph" w:customStyle="1" w:styleId="122">
    <w:name w:val="Header or footer|2"/>
    <w:basedOn w:val="1"/>
    <w:link w:val="121"/>
    <w:autoRedefine/>
    <w:qFormat/>
    <w:uiPriority w:val="99"/>
    <w:pPr>
      <w:jc w:val="left"/>
    </w:pPr>
    <w:rPr>
      <w:kern w:val="0"/>
      <w:sz w:val="20"/>
      <w:szCs w:val="20"/>
      <w:lang w:val="zh-CN"/>
    </w:rPr>
  </w:style>
  <w:style w:type="character" w:customStyle="1" w:styleId="123">
    <w:name w:val="Body text|3_"/>
    <w:link w:val="124"/>
    <w:autoRedefine/>
    <w:qFormat/>
    <w:locked/>
    <w:uiPriority w:val="99"/>
    <w:rPr>
      <w:rFonts w:ascii="宋体" w:eastAsia="宋体"/>
      <w:lang w:val="zh-CN"/>
    </w:rPr>
  </w:style>
  <w:style w:type="paragraph" w:customStyle="1" w:styleId="124">
    <w:name w:val="Body text|3"/>
    <w:basedOn w:val="1"/>
    <w:link w:val="123"/>
    <w:autoRedefine/>
    <w:qFormat/>
    <w:uiPriority w:val="99"/>
    <w:pPr>
      <w:spacing w:after="340"/>
      <w:jc w:val="left"/>
    </w:pPr>
    <w:rPr>
      <w:rFonts w:ascii="宋体"/>
      <w:kern w:val="0"/>
      <w:sz w:val="20"/>
      <w:szCs w:val="20"/>
      <w:lang w:val="zh-CN"/>
    </w:rPr>
  </w:style>
  <w:style w:type="character" w:customStyle="1" w:styleId="125">
    <w:name w:val="Table of contents|1_"/>
    <w:link w:val="126"/>
    <w:autoRedefine/>
    <w:qFormat/>
    <w:locked/>
    <w:uiPriority w:val="99"/>
    <w:rPr>
      <w:rFonts w:ascii="宋体" w:eastAsia="宋体"/>
      <w:lang w:val="zh-CN"/>
    </w:rPr>
  </w:style>
  <w:style w:type="paragraph" w:customStyle="1" w:styleId="126">
    <w:name w:val="Table of contents|1"/>
    <w:basedOn w:val="1"/>
    <w:link w:val="125"/>
    <w:autoRedefine/>
    <w:qFormat/>
    <w:uiPriority w:val="99"/>
    <w:pPr>
      <w:spacing w:after="100"/>
      <w:ind w:firstLine="600"/>
      <w:jc w:val="left"/>
    </w:pPr>
    <w:rPr>
      <w:rFonts w:ascii="宋体"/>
      <w:kern w:val="0"/>
      <w:sz w:val="20"/>
      <w:szCs w:val="20"/>
      <w:lang w:val="zh-CN"/>
    </w:rPr>
  </w:style>
  <w:style w:type="character" w:customStyle="1" w:styleId="127">
    <w:name w:val="Char Char9"/>
    <w:autoRedefine/>
    <w:qFormat/>
    <w:uiPriority w:val="99"/>
    <w:rPr>
      <w:rFonts w:eastAsia="宋体"/>
      <w:b/>
      <w:kern w:val="44"/>
      <w:sz w:val="44"/>
      <w:lang w:val="en-US" w:eastAsia="zh-CN"/>
    </w:rPr>
  </w:style>
  <w:style w:type="character" w:customStyle="1" w:styleId="128">
    <w:name w:val="明显参考1"/>
    <w:autoRedefine/>
    <w:qFormat/>
    <w:uiPriority w:val="99"/>
    <w:rPr>
      <w:b/>
      <w:smallCaps/>
      <w:color w:val="auto"/>
      <w:spacing w:val="5"/>
      <w:u w:val="single"/>
    </w:rPr>
  </w:style>
  <w:style w:type="character" w:customStyle="1" w:styleId="129">
    <w:name w:val="Char Char23"/>
    <w:autoRedefine/>
    <w:qFormat/>
    <w:uiPriority w:val="99"/>
    <w:rPr>
      <w:rFonts w:eastAsia="宋体"/>
      <w:b/>
      <w:kern w:val="44"/>
      <w:sz w:val="44"/>
      <w:lang w:val="en-US" w:eastAsia="zh-CN"/>
    </w:rPr>
  </w:style>
  <w:style w:type="character" w:customStyle="1" w:styleId="130">
    <w:name w:val="Char Char181"/>
    <w:autoRedefine/>
    <w:qFormat/>
    <w:uiPriority w:val="99"/>
    <w:rPr>
      <w:b/>
      <w:kern w:val="44"/>
      <w:sz w:val="44"/>
    </w:rPr>
  </w:style>
  <w:style w:type="character" w:customStyle="1" w:styleId="131">
    <w:name w:val="Char Char22"/>
    <w:autoRedefine/>
    <w:qFormat/>
    <w:uiPriority w:val="99"/>
    <w:rPr>
      <w:rFonts w:ascii="Times New Roman" w:hAnsi="Times New Roman" w:eastAsia="宋体"/>
      <w:b/>
      <w:kern w:val="44"/>
      <w:sz w:val="44"/>
    </w:rPr>
  </w:style>
  <w:style w:type="character" w:customStyle="1" w:styleId="132">
    <w:name w:val="引用 Char1"/>
    <w:autoRedefine/>
    <w:qFormat/>
    <w:uiPriority w:val="99"/>
    <w:rPr>
      <w:rFonts w:ascii="Times New Roman" w:hAnsi="Times New Roman" w:eastAsia="宋体"/>
      <w:i/>
      <w:color w:val="000000"/>
      <w:sz w:val="24"/>
    </w:rPr>
  </w:style>
  <w:style w:type="character" w:customStyle="1" w:styleId="133">
    <w:name w:val="Heading 3 Char1"/>
    <w:autoRedefine/>
    <w:qFormat/>
    <w:uiPriority w:val="99"/>
    <w:rPr>
      <w:rFonts w:eastAsia="宋体"/>
      <w:b/>
      <w:kern w:val="2"/>
      <w:sz w:val="32"/>
      <w:lang w:val="en-US" w:eastAsia="zh-CN"/>
    </w:rPr>
  </w:style>
  <w:style w:type="character" w:customStyle="1" w:styleId="134">
    <w:name w:val="明显强调1"/>
    <w:autoRedefine/>
    <w:qFormat/>
    <w:uiPriority w:val="99"/>
    <w:rPr>
      <w:b/>
      <w:i/>
      <w:color w:val="4F81BD"/>
    </w:rPr>
  </w:style>
  <w:style w:type="character" w:customStyle="1" w:styleId="135">
    <w:name w:val="明显引用 Char1"/>
    <w:autoRedefine/>
    <w:qFormat/>
    <w:uiPriority w:val="99"/>
    <w:rPr>
      <w:rFonts w:ascii="Times New Roman" w:hAnsi="Times New Roman" w:eastAsia="宋体"/>
      <w:b/>
      <w:i/>
      <w:color w:val="4F81BD"/>
      <w:sz w:val="24"/>
    </w:rPr>
  </w:style>
  <w:style w:type="character" w:customStyle="1" w:styleId="136">
    <w:name w:val="标题 Char2"/>
    <w:autoRedefine/>
    <w:qFormat/>
    <w:uiPriority w:val="99"/>
    <w:rPr>
      <w:rFonts w:ascii="Cambria" w:hAnsi="Cambria" w:eastAsia="宋体"/>
      <w:b/>
      <w:sz w:val="32"/>
    </w:rPr>
  </w:style>
  <w:style w:type="character" w:customStyle="1" w:styleId="137">
    <w:name w:val="标题 Char1"/>
    <w:autoRedefine/>
    <w:qFormat/>
    <w:uiPriority w:val="99"/>
    <w:rPr>
      <w:rFonts w:ascii="Cambria" w:hAnsi="Cambria" w:eastAsia="宋体"/>
      <w:b/>
      <w:sz w:val="32"/>
    </w:rPr>
  </w:style>
  <w:style w:type="character" w:customStyle="1" w:styleId="138">
    <w:name w:val="标题 1 字符1"/>
    <w:autoRedefine/>
    <w:qFormat/>
    <w:uiPriority w:val="99"/>
    <w:rPr>
      <w:b/>
      <w:kern w:val="44"/>
      <w:sz w:val="44"/>
    </w:rPr>
  </w:style>
  <w:style w:type="character" w:customStyle="1" w:styleId="139">
    <w:name w:val="明显引用 Char"/>
    <w:link w:val="140"/>
    <w:autoRedefine/>
    <w:qFormat/>
    <w:locked/>
    <w:uiPriority w:val="99"/>
    <w:rPr>
      <w:b/>
      <w:i/>
      <w:color w:val="4F81BD"/>
    </w:rPr>
  </w:style>
  <w:style w:type="paragraph" w:customStyle="1" w:styleId="140">
    <w:name w:val="明显引用1"/>
    <w:basedOn w:val="1"/>
    <w:next w:val="1"/>
    <w:link w:val="139"/>
    <w:autoRedefine/>
    <w:qFormat/>
    <w:uiPriority w:val="99"/>
    <w:pPr>
      <w:pBdr>
        <w:bottom w:val="single" w:color="4F81BD" w:sz="4" w:space="4"/>
      </w:pBdr>
      <w:spacing w:before="200" w:after="280"/>
      <w:ind w:left="936" w:right="936"/>
    </w:pPr>
    <w:rPr>
      <w:b/>
      <w:i/>
      <w:color w:val="4F81BD"/>
      <w:kern w:val="0"/>
      <w:sz w:val="20"/>
      <w:szCs w:val="20"/>
    </w:rPr>
  </w:style>
  <w:style w:type="character" w:customStyle="1" w:styleId="141">
    <w:name w:val="textcontents"/>
    <w:autoRedefine/>
    <w:qFormat/>
    <w:uiPriority w:val="99"/>
  </w:style>
  <w:style w:type="character" w:customStyle="1" w:styleId="142">
    <w:name w:val="Char Char19"/>
    <w:autoRedefine/>
    <w:qFormat/>
    <w:uiPriority w:val="99"/>
    <w:rPr>
      <w:rFonts w:ascii="Arial" w:hAnsi="Arial" w:eastAsia="宋体"/>
      <w:b/>
      <w:sz w:val="28"/>
    </w:rPr>
  </w:style>
  <w:style w:type="character" w:customStyle="1" w:styleId="143">
    <w:name w:val="批注文字 Char"/>
    <w:autoRedefine/>
    <w:qFormat/>
    <w:uiPriority w:val="99"/>
    <w:rPr>
      <w:rFonts w:ascii="Times New Roman" w:hAnsi="Times New Roman"/>
      <w:kern w:val="2"/>
      <w:sz w:val="24"/>
    </w:rPr>
  </w:style>
  <w:style w:type="character" w:customStyle="1" w:styleId="144">
    <w:name w:val="标题5 Char Char"/>
    <w:link w:val="145"/>
    <w:autoRedefine/>
    <w:qFormat/>
    <w:locked/>
    <w:uiPriority w:val="99"/>
    <w:rPr>
      <w:rFonts w:ascii="Arial" w:hAnsi="Arial"/>
      <w:b/>
      <w:sz w:val="32"/>
    </w:rPr>
  </w:style>
  <w:style w:type="paragraph" w:customStyle="1" w:styleId="145">
    <w:name w:val="标题5"/>
    <w:basedOn w:val="4"/>
    <w:link w:val="144"/>
    <w:autoRedefine/>
    <w:qFormat/>
    <w:uiPriority w:val="99"/>
    <w:pPr>
      <w:spacing w:line="413" w:lineRule="auto"/>
    </w:pPr>
    <w:rPr>
      <w:rFonts w:ascii="Arial" w:hAnsi="Arial"/>
      <w:bCs/>
      <w:kern w:val="0"/>
    </w:rPr>
  </w:style>
  <w:style w:type="character" w:customStyle="1" w:styleId="146">
    <w:name w:val="纯文本 字符"/>
    <w:autoRedefine/>
    <w:qFormat/>
    <w:uiPriority w:val="99"/>
    <w:rPr>
      <w:rFonts w:ascii="宋体" w:hAnsi="Courier New" w:eastAsia="宋体"/>
      <w:sz w:val="21"/>
    </w:rPr>
  </w:style>
  <w:style w:type="character" w:customStyle="1" w:styleId="147">
    <w:name w:val="引用 Char"/>
    <w:link w:val="148"/>
    <w:autoRedefine/>
    <w:qFormat/>
    <w:locked/>
    <w:uiPriority w:val="99"/>
    <w:rPr>
      <w:i/>
      <w:color w:val="000000"/>
    </w:rPr>
  </w:style>
  <w:style w:type="paragraph" w:customStyle="1" w:styleId="148">
    <w:name w:val="引用1"/>
    <w:basedOn w:val="1"/>
    <w:next w:val="1"/>
    <w:link w:val="147"/>
    <w:autoRedefine/>
    <w:qFormat/>
    <w:uiPriority w:val="99"/>
    <w:rPr>
      <w:i/>
      <w:color w:val="000000"/>
      <w:kern w:val="0"/>
      <w:sz w:val="20"/>
      <w:szCs w:val="20"/>
    </w:rPr>
  </w:style>
  <w:style w:type="character" w:customStyle="1" w:styleId="149">
    <w:name w:val="纯文本 Char"/>
    <w:autoRedefine/>
    <w:qFormat/>
    <w:uiPriority w:val="99"/>
    <w:rPr>
      <w:rFonts w:ascii="宋体" w:hAnsi="Courier New" w:eastAsia="宋体"/>
      <w:sz w:val="21"/>
    </w:rPr>
  </w:style>
  <w:style w:type="character" w:customStyle="1" w:styleId="150">
    <w:name w:val="日期 Char1"/>
    <w:autoRedefine/>
    <w:qFormat/>
    <w:uiPriority w:val="99"/>
    <w:rPr>
      <w:rFonts w:ascii="Times New Roman" w:hAnsi="Times New Roman" w:eastAsia="宋体"/>
      <w:sz w:val="24"/>
    </w:rPr>
  </w:style>
  <w:style w:type="character" w:customStyle="1" w:styleId="151">
    <w:name w:val="纯文本 字符2"/>
    <w:autoRedefine/>
    <w:qFormat/>
    <w:uiPriority w:val="99"/>
    <w:rPr>
      <w:rFonts w:ascii="宋体" w:hAnsi="Courier New" w:eastAsia="宋体"/>
      <w:sz w:val="21"/>
    </w:rPr>
  </w:style>
  <w:style w:type="character" w:customStyle="1" w:styleId="152">
    <w:name w:val="Char Char91"/>
    <w:autoRedefine/>
    <w:qFormat/>
    <w:uiPriority w:val="99"/>
    <w:rPr>
      <w:rFonts w:eastAsia="宋体"/>
      <w:b/>
      <w:kern w:val="44"/>
      <w:sz w:val="44"/>
      <w:lang w:val="en-US" w:eastAsia="zh-CN"/>
    </w:rPr>
  </w:style>
  <w:style w:type="character" w:customStyle="1" w:styleId="153">
    <w:name w:val="批注文字 字符1"/>
    <w:autoRedefine/>
    <w:qFormat/>
    <w:uiPriority w:val="99"/>
    <w:rPr>
      <w:rFonts w:ascii="Times New Roman" w:hAnsi="Times New Roman"/>
      <w:kern w:val="2"/>
      <w:sz w:val="24"/>
    </w:rPr>
  </w:style>
  <w:style w:type="character" w:customStyle="1" w:styleId="154">
    <w:name w:val="Char Char6"/>
    <w:autoRedefine/>
    <w:qFormat/>
    <w:uiPriority w:val="99"/>
    <w:rPr>
      <w:rFonts w:eastAsia="宋体"/>
      <w:b/>
      <w:kern w:val="44"/>
      <w:sz w:val="44"/>
      <w:lang w:val="en-US" w:eastAsia="zh-CN"/>
    </w:rPr>
  </w:style>
  <w:style w:type="character" w:customStyle="1" w:styleId="155">
    <w:name w:val="正文文本 (26) + 间距 0 pt"/>
    <w:autoRedefine/>
    <w:qFormat/>
    <w:uiPriority w:val="99"/>
    <w:rPr>
      <w:rFonts w:ascii="宋体" w:hAnsi="宋体" w:eastAsia="宋体"/>
      <w:color w:val="000000"/>
      <w:spacing w:val="0"/>
      <w:w w:val="100"/>
      <w:position w:val="0"/>
      <w:sz w:val="22"/>
      <w:u w:val="none"/>
      <w:lang w:val="zh-CN" w:eastAsia="zh-CN"/>
    </w:rPr>
  </w:style>
  <w:style w:type="character" w:customStyle="1" w:styleId="156">
    <w:name w:val="Comment Text Char1"/>
    <w:autoRedefine/>
    <w:qFormat/>
    <w:uiPriority w:val="99"/>
    <w:rPr>
      <w:sz w:val="24"/>
    </w:rPr>
  </w:style>
  <w:style w:type="character" w:customStyle="1" w:styleId="157">
    <w:name w:val="纯文本 字符1"/>
    <w:autoRedefine/>
    <w:qFormat/>
    <w:uiPriority w:val="99"/>
    <w:rPr>
      <w:rFonts w:ascii="宋体" w:hAnsi="Courier New"/>
    </w:rPr>
  </w:style>
  <w:style w:type="character" w:customStyle="1" w:styleId="158">
    <w:name w:val="正文文本 Char"/>
    <w:autoRedefine/>
    <w:qFormat/>
    <w:uiPriority w:val="99"/>
    <w:rPr>
      <w:rFonts w:ascii="Times New Roman" w:hAnsi="Times New Roman"/>
      <w:kern w:val="2"/>
      <w:sz w:val="24"/>
    </w:rPr>
  </w:style>
  <w:style w:type="character" w:customStyle="1" w:styleId="159">
    <w:name w:val="批注文字 字符"/>
    <w:autoRedefine/>
    <w:qFormat/>
    <w:uiPriority w:val="99"/>
    <w:rPr>
      <w:rFonts w:ascii="Times New Roman" w:hAnsi="Times New Roman"/>
      <w:kern w:val="2"/>
      <w:sz w:val="24"/>
    </w:rPr>
  </w:style>
  <w:style w:type="character" w:customStyle="1" w:styleId="160">
    <w:name w:val="标题 2 Char"/>
    <w:autoRedefine/>
    <w:qFormat/>
    <w:uiPriority w:val="99"/>
    <w:rPr>
      <w:rFonts w:ascii="Cambria" w:hAnsi="Cambria" w:eastAsia="宋体"/>
      <w:b/>
      <w:kern w:val="2"/>
      <w:sz w:val="32"/>
    </w:rPr>
  </w:style>
  <w:style w:type="character" w:customStyle="1" w:styleId="161">
    <w:name w:val="标题 8 Char"/>
    <w:autoRedefine/>
    <w:qFormat/>
    <w:uiPriority w:val="99"/>
    <w:rPr>
      <w:rFonts w:ascii="Arial" w:hAnsi="Arial" w:eastAsia="黑体"/>
      <w:kern w:val="2"/>
      <w:sz w:val="24"/>
    </w:rPr>
  </w:style>
  <w:style w:type="character" w:customStyle="1" w:styleId="162">
    <w:name w:val="apple-style-span"/>
    <w:autoRedefine/>
    <w:qFormat/>
    <w:uiPriority w:val="99"/>
  </w:style>
  <w:style w:type="character" w:customStyle="1" w:styleId="163">
    <w:name w:val="正文文本 字符"/>
    <w:autoRedefine/>
    <w:qFormat/>
    <w:uiPriority w:val="99"/>
    <w:rPr>
      <w:rFonts w:ascii="Times New Roman" w:hAnsi="Times New Roman"/>
      <w:kern w:val="2"/>
      <w:sz w:val="24"/>
    </w:rPr>
  </w:style>
  <w:style w:type="character" w:customStyle="1" w:styleId="164">
    <w:name w:val="批注文字 Char2"/>
    <w:autoRedefine/>
    <w:qFormat/>
    <w:uiPriority w:val="99"/>
    <w:rPr>
      <w:rFonts w:ascii="Times New Roman" w:hAnsi="Times New Roman"/>
      <w:kern w:val="2"/>
      <w:sz w:val="24"/>
    </w:rPr>
  </w:style>
  <w:style w:type="character" w:customStyle="1" w:styleId="165">
    <w:name w:val="正文2 Char Char"/>
    <w:link w:val="62"/>
    <w:autoRedefine/>
    <w:qFormat/>
    <w:locked/>
    <w:uiPriority w:val="99"/>
    <w:rPr>
      <w:kern w:val="2"/>
      <w:sz w:val="24"/>
    </w:rPr>
  </w:style>
  <w:style w:type="character" w:customStyle="1" w:styleId="166">
    <w:name w:val="不明显强调1"/>
    <w:autoRedefine/>
    <w:qFormat/>
    <w:uiPriority w:val="99"/>
    <w:rPr>
      <w:i/>
      <w:color w:val="808080"/>
    </w:rPr>
  </w:style>
  <w:style w:type="character" w:customStyle="1" w:styleId="167">
    <w:name w:val="Body text|6_"/>
    <w:link w:val="168"/>
    <w:autoRedefine/>
    <w:qFormat/>
    <w:locked/>
    <w:uiPriority w:val="99"/>
    <w:rPr>
      <w:rFonts w:ascii="Arial" w:hAnsi="Arial"/>
      <w:lang w:val="zh-CN"/>
    </w:rPr>
  </w:style>
  <w:style w:type="paragraph" w:customStyle="1" w:styleId="168">
    <w:name w:val="Body text|6"/>
    <w:basedOn w:val="1"/>
    <w:link w:val="167"/>
    <w:autoRedefine/>
    <w:qFormat/>
    <w:uiPriority w:val="99"/>
    <w:pPr>
      <w:ind w:hanging="2220"/>
      <w:jc w:val="left"/>
    </w:pPr>
    <w:rPr>
      <w:rFonts w:ascii="Arial" w:hAnsi="Arial"/>
      <w:kern w:val="0"/>
      <w:sz w:val="20"/>
      <w:szCs w:val="20"/>
      <w:lang w:val="zh-CN"/>
    </w:rPr>
  </w:style>
  <w:style w:type="character" w:customStyle="1" w:styleId="169">
    <w:name w:val="批注文字 Char Char"/>
    <w:autoRedefine/>
    <w:qFormat/>
    <w:uiPriority w:val="99"/>
    <w:rPr>
      <w:rFonts w:ascii="宋体" w:hAnsi="Times New Roman" w:eastAsia="宋体"/>
      <w:sz w:val="20"/>
    </w:rPr>
  </w:style>
  <w:style w:type="character" w:customStyle="1" w:styleId="170">
    <w:name w:val="文档结构图 Char1"/>
    <w:autoRedefine/>
    <w:qFormat/>
    <w:uiPriority w:val="99"/>
    <w:rPr>
      <w:rFonts w:ascii="宋体" w:hAnsi="Times New Roman" w:eastAsia="宋体"/>
      <w:sz w:val="18"/>
    </w:rPr>
  </w:style>
  <w:style w:type="character" w:customStyle="1" w:styleId="171">
    <w:name w:val="Char Char21"/>
    <w:autoRedefine/>
    <w:qFormat/>
    <w:uiPriority w:val="99"/>
    <w:rPr>
      <w:rFonts w:ascii="Arial" w:hAnsi="Arial" w:eastAsia="黑体"/>
      <w:b/>
      <w:sz w:val="32"/>
    </w:rPr>
  </w:style>
  <w:style w:type="character" w:customStyle="1" w:styleId="172">
    <w:name w:val="Other|1_"/>
    <w:link w:val="173"/>
    <w:autoRedefine/>
    <w:qFormat/>
    <w:locked/>
    <w:uiPriority w:val="99"/>
    <w:rPr>
      <w:rFonts w:ascii="宋体" w:eastAsia="宋体"/>
      <w:lang w:val="zh-CN"/>
    </w:rPr>
  </w:style>
  <w:style w:type="paragraph" w:customStyle="1" w:styleId="173">
    <w:name w:val="Other|1"/>
    <w:basedOn w:val="1"/>
    <w:link w:val="172"/>
    <w:autoRedefine/>
    <w:qFormat/>
    <w:uiPriority w:val="99"/>
    <w:pPr>
      <w:spacing w:line="360" w:lineRule="auto"/>
      <w:ind w:firstLine="400"/>
      <w:jc w:val="left"/>
    </w:pPr>
    <w:rPr>
      <w:rFonts w:ascii="宋体"/>
      <w:kern w:val="0"/>
      <w:sz w:val="20"/>
      <w:szCs w:val="20"/>
      <w:lang w:val="zh-CN"/>
    </w:rPr>
  </w:style>
  <w:style w:type="character" w:customStyle="1" w:styleId="174">
    <w:name w:val="不明显参考1"/>
    <w:autoRedefine/>
    <w:qFormat/>
    <w:uiPriority w:val="99"/>
    <w:rPr>
      <w:smallCaps/>
      <w:color w:val="auto"/>
      <w:u w:val="single"/>
    </w:rPr>
  </w:style>
  <w:style w:type="character" w:customStyle="1" w:styleId="175">
    <w:name w:val="Body text|7_"/>
    <w:link w:val="176"/>
    <w:autoRedefine/>
    <w:qFormat/>
    <w:locked/>
    <w:uiPriority w:val="99"/>
    <w:rPr>
      <w:rFonts w:ascii="Courier New" w:hAnsi="Courier New"/>
      <w:b/>
      <w:sz w:val="8"/>
      <w:lang w:val="zh-CN"/>
    </w:rPr>
  </w:style>
  <w:style w:type="paragraph" w:customStyle="1" w:styleId="176">
    <w:name w:val="Body text|7"/>
    <w:basedOn w:val="1"/>
    <w:link w:val="175"/>
    <w:autoRedefine/>
    <w:qFormat/>
    <w:uiPriority w:val="99"/>
    <w:pPr>
      <w:ind w:hanging="1760"/>
      <w:jc w:val="left"/>
    </w:pPr>
    <w:rPr>
      <w:rFonts w:ascii="Courier New" w:hAnsi="Courier New"/>
      <w:b/>
      <w:kern w:val="0"/>
      <w:sz w:val="8"/>
      <w:szCs w:val="20"/>
      <w:lang w:val="zh-CN"/>
    </w:rPr>
  </w:style>
  <w:style w:type="character" w:customStyle="1" w:styleId="177">
    <w:name w:val="Char Char20"/>
    <w:autoRedefine/>
    <w:qFormat/>
    <w:uiPriority w:val="99"/>
    <w:rPr>
      <w:rFonts w:ascii="Times New Roman" w:hAnsi="Times New Roman" w:eastAsia="宋体"/>
      <w:b/>
      <w:sz w:val="32"/>
    </w:rPr>
  </w:style>
  <w:style w:type="character" w:customStyle="1" w:styleId="178">
    <w:name w:val="Body text|4_"/>
    <w:link w:val="179"/>
    <w:autoRedefine/>
    <w:qFormat/>
    <w:locked/>
    <w:uiPriority w:val="99"/>
    <w:rPr>
      <w:rFonts w:ascii="宋体" w:eastAsia="宋体"/>
      <w:b/>
      <w:sz w:val="17"/>
      <w:lang w:val="zh-CN"/>
    </w:rPr>
  </w:style>
  <w:style w:type="paragraph" w:customStyle="1" w:styleId="179">
    <w:name w:val="Body text|4"/>
    <w:basedOn w:val="1"/>
    <w:link w:val="178"/>
    <w:autoRedefine/>
    <w:qFormat/>
    <w:uiPriority w:val="99"/>
    <w:pPr>
      <w:spacing w:line="281" w:lineRule="exact"/>
      <w:jc w:val="center"/>
    </w:pPr>
    <w:rPr>
      <w:rFonts w:ascii="宋体"/>
      <w:b/>
      <w:kern w:val="0"/>
      <w:sz w:val="17"/>
      <w:szCs w:val="20"/>
      <w:lang w:val="zh-CN"/>
    </w:rPr>
  </w:style>
  <w:style w:type="character" w:customStyle="1" w:styleId="180">
    <w:name w:val="Heading #2|1_"/>
    <w:link w:val="181"/>
    <w:autoRedefine/>
    <w:qFormat/>
    <w:locked/>
    <w:uiPriority w:val="99"/>
    <w:rPr>
      <w:rFonts w:ascii="宋体" w:eastAsia="宋体"/>
      <w:sz w:val="34"/>
      <w:lang w:val="zh-CN"/>
    </w:rPr>
  </w:style>
  <w:style w:type="paragraph" w:customStyle="1" w:styleId="181">
    <w:name w:val="Heading #2|1"/>
    <w:basedOn w:val="1"/>
    <w:link w:val="180"/>
    <w:autoRedefine/>
    <w:qFormat/>
    <w:uiPriority w:val="99"/>
    <w:pPr>
      <w:spacing w:after="900"/>
      <w:jc w:val="center"/>
      <w:outlineLvl w:val="1"/>
    </w:pPr>
    <w:rPr>
      <w:rFonts w:ascii="宋体"/>
      <w:kern w:val="0"/>
      <w:sz w:val="34"/>
      <w:szCs w:val="20"/>
      <w:lang w:val="zh-CN"/>
    </w:rPr>
  </w:style>
  <w:style w:type="character" w:customStyle="1" w:styleId="182">
    <w:name w:val="批注框文本 Char1"/>
    <w:autoRedefine/>
    <w:qFormat/>
    <w:uiPriority w:val="99"/>
    <w:rPr>
      <w:rFonts w:ascii="Times New Roman" w:hAnsi="Times New Roman" w:eastAsia="宋体"/>
      <w:sz w:val="18"/>
    </w:rPr>
  </w:style>
  <w:style w:type="character" w:customStyle="1" w:styleId="183">
    <w:name w:val="Char Char18"/>
    <w:autoRedefine/>
    <w:qFormat/>
    <w:uiPriority w:val="99"/>
    <w:rPr>
      <w:rFonts w:ascii="Times New Roman" w:hAnsi="Times New Roman" w:eastAsia="宋体"/>
      <w:b/>
      <w:sz w:val="28"/>
    </w:rPr>
  </w:style>
  <w:style w:type="character" w:customStyle="1" w:styleId="184">
    <w:name w:val="批注主题 Char1"/>
    <w:autoRedefine/>
    <w:qFormat/>
    <w:uiPriority w:val="99"/>
    <w:rPr>
      <w:rFonts w:ascii="Times New Roman" w:hAnsi="Times New Roman" w:eastAsia="宋体"/>
      <w:b/>
      <w:sz w:val="24"/>
    </w:rPr>
  </w:style>
  <w:style w:type="character" w:customStyle="1" w:styleId="185">
    <w:name w:val="Char Char24"/>
    <w:autoRedefine/>
    <w:qFormat/>
    <w:uiPriority w:val="99"/>
    <w:rPr>
      <w:rFonts w:eastAsia="宋体"/>
      <w:b/>
      <w:kern w:val="44"/>
      <w:sz w:val="44"/>
      <w:lang w:val="en-US" w:eastAsia="zh-CN"/>
    </w:rPr>
  </w:style>
  <w:style w:type="character" w:customStyle="1" w:styleId="186">
    <w:name w:val="标题4 Char Char"/>
    <w:link w:val="187"/>
    <w:autoRedefine/>
    <w:qFormat/>
    <w:locked/>
    <w:uiPriority w:val="99"/>
    <w:rPr>
      <w:rFonts w:ascii="Arial" w:hAnsi="Arial"/>
      <w:b/>
      <w:sz w:val="32"/>
    </w:rPr>
  </w:style>
  <w:style w:type="paragraph" w:customStyle="1" w:styleId="187">
    <w:name w:val="标题4"/>
    <w:basedOn w:val="3"/>
    <w:next w:val="21"/>
    <w:link w:val="186"/>
    <w:autoRedefine/>
    <w:qFormat/>
    <w:uiPriority w:val="99"/>
    <w:pPr>
      <w:spacing w:before="60" w:after="60" w:line="413" w:lineRule="auto"/>
    </w:pPr>
    <w:rPr>
      <w:rFonts w:ascii="Arial" w:hAnsi="Arial"/>
      <w:bCs/>
      <w:kern w:val="0"/>
    </w:rPr>
  </w:style>
  <w:style w:type="character" w:customStyle="1" w:styleId="188">
    <w:name w:val="Header or footer|1_"/>
    <w:link w:val="189"/>
    <w:autoRedefine/>
    <w:qFormat/>
    <w:locked/>
    <w:uiPriority w:val="99"/>
    <w:rPr>
      <w:sz w:val="17"/>
      <w:lang w:val="zh-CN"/>
    </w:rPr>
  </w:style>
  <w:style w:type="paragraph" w:customStyle="1" w:styleId="189">
    <w:name w:val="Header or footer|1"/>
    <w:basedOn w:val="1"/>
    <w:link w:val="188"/>
    <w:autoRedefine/>
    <w:qFormat/>
    <w:uiPriority w:val="99"/>
    <w:pPr>
      <w:jc w:val="center"/>
    </w:pPr>
    <w:rPr>
      <w:kern w:val="0"/>
      <w:sz w:val="17"/>
      <w:szCs w:val="20"/>
      <w:lang w:val="zh-CN"/>
    </w:rPr>
  </w:style>
  <w:style w:type="character" w:customStyle="1" w:styleId="190">
    <w:name w:val="Heading #3|1_"/>
    <w:link w:val="191"/>
    <w:autoRedefine/>
    <w:qFormat/>
    <w:locked/>
    <w:uiPriority w:val="99"/>
    <w:rPr>
      <w:rFonts w:ascii="宋体" w:eastAsia="宋体"/>
      <w:sz w:val="28"/>
      <w:lang w:val="zh-CN"/>
    </w:rPr>
  </w:style>
  <w:style w:type="paragraph" w:customStyle="1" w:styleId="191">
    <w:name w:val="Heading #3|1"/>
    <w:basedOn w:val="1"/>
    <w:link w:val="190"/>
    <w:autoRedefine/>
    <w:qFormat/>
    <w:uiPriority w:val="99"/>
    <w:pPr>
      <w:spacing w:after="570"/>
      <w:jc w:val="center"/>
      <w:outlineLvl w:val="2"/>
    </w:pPr>
    <w:rPr>
      <w:rFonts w:ascii="宋体"/>
      <w:kern w:val="0"/>
      <w:sz w:val="28"/>
      <w:szCs w:val="20"/>
      <w:lang w:val="zh-CN"/>
    </w:rPr>
  </w:style>
  <w:style w:type="character" w:styleId="192">
    <w:name w:val="Placeholder Text"/>
    <w:basedOn w:val="46"/>
    <w:autoRedefine/>
    <w:qFormat/>
    <w:uiPriority w:val="99"/>
    <w:rPr>
      <w:rFonts w:cs="Times New Roman"/>
      <w:color w:val="808080"/>
    </w:rPr>
  </w:style>
  <w:style w:type="paragraph" w:customStyle="1" w:styleId="193">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4">
    <w:name w:val="List Paragraph"/>
    <w:basedOn w:val="1"/>
    <w:autoRedefine/>
    <w:qFormat/>
    <w:uiPriority w:val="99"/>
    <w:pPr>
      <w:ind w:firstLine="420" w:firstLineChars="200"/>
    </w:pPr>
  </w:style>
  <w:style w:type="paragraph" w:customStyle="1" w:styleId="195">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6">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7">
    <w:name w:val="Char Char Char Char Char Char Char"/>
    <w:basedOn w:val="1"/>
    <w:autoRedefine/>
    <w:qFormat/>
    <w:uiPriority w:val="99"/>
    <w:pPr>
      <w:widowControl/>
      <w:spacing w:after="160" w:line="240" w:lineRule="exact"/>
      <w:jc w:val="left"/>
    </w:pPr>
    <w:rPr>
      <w:szCs w:val="21"/>
    </w:rPr>
  </w:style>
  <w:style w:type="paragraph" w:customStyle="1" w:styleId="198">
    <w:name w:val="Char"/>
    <w:basedOn w:val="1"/>
    <w:autoRedefine/>
    <w:qFormat/>
    <w:uiPriority w:val="99"/>
    <w:pPr>
      <w:widowControl/>
      <w:spacing w:after="160" w:line="240" w:lineRule="exact"/>
      <w:jc w:val="left"/>
    </w:pPr>
    <w:rPr>
      <w:szCs w:val="21"/>
    </w:rPr>
  </w:style>
  <w:style w:type="paragraph" w:customStyle="1" w:styleId="199">
    <w:name w:val="默认段落字体 Para Char Char Char Char Char Char Char Char Char1 Char Char Char Char"/>
    <w:basedOn w:val="1"/>
    <w:autoRedefine/>
    <w:qFormat/>
    <w:uiPriority w:val="99"/>
    <w:rPr>
      <w:rFonts w:ascii="Tahoma" w:hAnsi="Tahoma"/>
      <w:sz w:val="24"/>
      <w:szCs w:val="20"/>
    </w:rPr>
  </w:style>
  <w:style w:type="paragraph" w:customStyle="1" w:styleId="200">
    <w:name w:val="Table Paragraph"/>
    <w:basedOn w:val="1"/>
    <w:autoRedefine/>
    <w:qFormat/>
    <w:uiPriority w:val="99"/>
    <w:pPr>
      <w:jc w:val="left"/>
    </w:pPr>
    <w:rPr>
      <w:rFonts w:ascii="Calibri" w:hAnsi="Calibri"/>
      <w:kern w:val="0"/>
      <w:sz w:val="22"/>
      <w:szCs w:val="22"/>
      <w:lang w:eastAsia="en-US"/>
    </w:rPr>
  </w:style>
  <w:style w:type="paragraph" w:customStyle="1" w:styleId="201">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202">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203">
    <w:name w:val="列出段落1"/>
    <w:basedOn w:val="1"/>
    <w:autoRedefine/>
    <w:qFormat/>
    <w:uiPriority w:val="99"/>
    <w:pPr>
      <w:ind w:firstLine="420" w:firstLineChars="200"/>
    </w:pPr>
    <w:rPr>
      <w:rFonts w:ascii="Calibri" w:hAnsi="Calibri" w:cs="Calibri"/>
      <w:szCs w:val="21"/>
    </w:rPr>
  </w:style>
  <w:style w:type="paragraph" w:customStyle="1" w:styleId="204">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5">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6">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207">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08">
    <w:name w:val="p0"/>
    <w:basedOn w:val="1"/>
    <w:autoRedefine/>
    <w:qFormat/>
    <w:uiPriority w:val="99"/>
    <w:pPr>
      <w:widowControl/>
    </w:pPr>
    <w:rPr>
      <w:rFonts w:ascii="Calibri" w:hAnsi="Calibri" w:cs="Calibri"/>
      <w:kern w:val="0"/>
      <w:szCs w:val="21"/>
    </w:rPr>
  </w:style>
  <w:style w:type="paragraph" w:customStyle="1" w:styleId="209">
    <w:name w:val="1"/>
    <w:basedOn w:val="1"/>
    <w:next w:val="1"/>
    <w:autoRedefine/>
    <w:qFormat/>
    <w:uiPriority w:val="99"/>
    <w:rPr>
      <w:szCs w:val="21"/>
    </w:rPr>
  </w:style>
  <w:style w:type="paragraph" w:customStyle="1" w:styleId="210">
    <w:name w:val="列出段落2"/>
    <w:basedOn w:val="1"/>
    <w:autoRedefine/>
    <w:qFormat/>
    <w:uiPriority w:val="99"/>
    <w:pPr>
      <w:ind w:firstLine="420" w:firstLineChars="200"/>
    </w:pPr>
    <w:rPr>
      <w:rFonts w:ascii="Calibri" w:hAnsi="Calibri" w:cs="Calibri"/>
      <w:szCs w:val="21"/>
    </w:rPr>
  </w:style>
  <w:style w:type="paragraph" w:customStyle="1" w:styleId="211">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2">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3">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4">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215">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6">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7">
    <w:name w:val="Char1"/>
    <w:basedOn w:val="1"/>
    <w:autoRedefine/>
    <w:qFormat/>
    <w:uiPriority w:val="99"/>
    <w:pPr>
      <w:widowControl/>
      <w:spacing w:after="160" w:line="240" w:lineRule="exact"/>
      <w:jc w:val="left"/>
    </w:pPr>
    <w:rPr>
      <w:szCs w:val="21"/>
    </w:rPr>
  </w:style>
  <w:style w:type="paragraph" w:customStyle="1" w:styleId="218">
    <w:name w:val="_Style 37"/>
    <w:basedOn w:val="1"/>
    <w:next w:val="1"/>
    <w:autoRedefine/>
    <w:qFormat/>
    <w:uiPriority w:val="99"/>
    <w:rPr>
      <w:szCs w:val="21"/>
    </w:rPr>
  </w:style>
  <w:style w:type="paragraph" w:customStyle="1" w:styleId="219">
    <w:name w:val="样式 标题 3 + (中文) 黑体 小四 非加粗 段前: 7.8 磅 段后: 0 磅 行距: 固定值 20 磅"/>
    <w:basedOn w:val="4"/>
    <w:autoRedefine/>
    <w:qFormat/>
    <w:uiPriority w:val="99"/>
    <w:pPr>
      <w:spacing w:before="0" w:after="0" w:line="400" w:lineRule="exact"/>
    </w:pPr>
    <w:rPr>
      <w:rFonts w:eastAsia="黑体"/>
      <w:b w:val="0"/>
      <w:lang w:val="zh-CN"/>
    </w:rPr>
  </w:style>
  <w:style w:type="paragraph" w:styleId="220">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正正正"/>
    <w:basedOn w:val="18"/>
    <w:autoRedefine/>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2">
    <w:name w:val="_Style 1"/>
    <w:basedOn w:val="1"/>
    <w:autoRedefine/>
    <w:qFormat/>
    <w:uiPriority w:val="99"/>
    <w:pPr>
      <w:ind w:firstLine="420" w:firstLineChars="200"/>
      <w:jc w:val="left"/>
    </w:pPr>
    <w:rPr>
      <w:rFonts w:ascii="Times New Roman)" w:hAnsi="Times New Roman)"/>
      <w:color w:val="000000"/>
      <w:kern w:val="0"/>
      <w:lang w:eastAsia="en-US"/>
    </w:rPr>
  </w:style>
  <w:style w:type="character" w:customStyle="1" w:styleId="223">
    <w:name w:val="bookmark-item"/>
    <w:autoRedefine/>
    <w:qFormat/>
    <w:uiPriority w:val="99"/>
  </w:style>
  <w:style w:type="character" w:customStyle="1" w:styleId="224">
    <w:name w:val="纯文本 Char2"/>
    <w:autoRedefine/>
    <w:qFormat/>
    <w:uiPriority w:val="99"/>
    <w:rPr>
      <w:rFonts w:ascii="宋体" w:hAnsi="Courier New" w:eastAsia="宋体"/>
      <w:sz w:val="21"/>
    </w:rPr>
  </w:style>
  <w:style w:type="character" w:customStyle="1" w:styleId="225">
    <w:name w:val="页脚 Char1"/>
    <w:autoRedefine/>
    <w:qFormat/>
    <w:uiPriority w:val="99"/>
    <w:rPr>
      <w:rFonts w:ascii="Times New Roman" w:hAnsi="Times New Roman" w:eastAsia="宋体"/>
      <w:sz w:val="18"/>
    </w:rPr>
  </w:style>
  <w:style w:type="paragraph" w:customStyle="1" w:styleId="226">
    <w:name w:val="正文_3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正文_3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标题 4_1"/>
    <w:basedOn w:val="229"/>
    <w:next w:val="229"/>
    <w:autoRedefine/>
    <w:qFormat/>
    <w:uiPriority w:val="99"/>
    <w:pPr>
      <w:keepNext/>
      <w:keepLines/>
      <w:spacing w:before="280" w:after="290" w:line="372" w:lineRule="auto"/>
      <w:outlineLvl w:val="3"/>
    </w:pPr>
    <w:rPr>
      <w:rFonts w:ascii="Cambria" w:hAnsi="Cambria"/>
      <w:b/>
      <w:bCs/>
      <w:sz w:val="28"/>
      <w:szCs w:val="28"/>
    </w:rPr>
  </w:style>
  <w:style w:type="paragraph" w:customStyle="1" w:styleId="231">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2">
    <w:name w:val="first-child"/>
    <w:basedOn w:val="46"/>
    <w:autoRedefine/>
    <w:qFormat/>
    <w:uiPriority w:val="99"/>
    <w:rPr>
      <w:rFonts w:cs="Times New Roman"/>
    </w:rPr>
  </w:style>
  <w:style w:type="character" w:customStyle="1" w:styleId="233">
    <w:name w:val="NormalCharacter"/>
    <w:autoRedefine/>
    <w:qFormat/>
    <w:uiPriority w:val="99"/>
  </w:style>
  <w:style w:type="character" w:customStyle="1" w:styleId="234">
    <w:name w:val="layui-layer-tabnow"/>
    <w:basedOn w:val="46"/>
    <w:autoRedefine/>
    <w:qFormat/>
    <w:uiPriority w:val="99"/>
    <w:rPr>
      <w:rFonts w:cs="Times New Roman"/>
      <w:bdr w:val="single" w:color="CCCCCC" w:sz="6" w:space="0"/>
      <w:shd w:val="clear" w:color="auto" w:fill="FFFFFF"/>
    </w:rPr>
  </w:style>
  <w:style w:type="paragraph" w:customStyle="1" w:styleId="235">
    <w:name w:val="Normal_0"/>
    <w:autoRedefine/>
    <w:qFormat/>
    <w:uiPriority w:val="99"/>
    <w:rPr>
      <w:rFonts w:ascii="Times New Roman" w:hAnsi="Times New Roman" w:eastAsia="宋体" w:cs="Times New Roman"/>
      <w:sz w:val="24"/>
      <w:szCs w:val="24"/>
      <w:lang w:val="en-US" w:eastAsia="zh-CN" w:bidi="ar-SA"/>
    </w:rPr>
  </w:style>
  <w:style w:type="paragraph" w:customStyle="1" w:styleId="236">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3"/>
    <w:autoRedefine/>
    <w:qFormat/>
    <w:uiPriority w:val="99"/>
    <w:rPr>
      <w:rFonts w:ascii="Times New Roman" w:hAnsi="Times New Roman" w:eastAsia="宋体" w:cs="Times New Roman"/>
      <w:sz w:val="24"/>
      <w:szCs w:val="24"/>
      <w:lang w:val="en-US" w:eastAsia="zh-CN" w:bidi="ar-SA"/>
    </w:rPr>
  </w:style>
  <w:style w:type="paragraph" w:customStyle="1" w:styleId="238">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0">
    <w:name w:val="正文文本 (2) + 间距 0 pt2"/>
    <w:autoRedefine/>
    <w:unhideWhenUsed/>
    <w:qFormat/>
    <w:uiPriority w:val="0"/>
    <w:rPr>
      <w:rFonts w:ascii="MingLiU" w:hAnsi="MingLiU" w:eastAsia="MingLiU"/>
      <w:color w:val="000000"/>
      <w:sz w:val="22"/>
      <w:shd w:val="clear" w:color="auto" w:fill="FFFFFF"/>
      <w:lang w:val="zh-CN"/>
    </w:rPr>
  </w:style>
  <w:style w:type="table" w:customStyle="1" w:styleId="241">
    <w:name w:val="Table Normal"/>
    <w:autoRedefine/>
    <w:unhideWhenUsed/>
    <w:qFormat/>
    <w:uiPriority w:val="0"/>
    <w:tblPr>
      <w:tblCellMar>
        <w:top w:w="0" w:type="dxa"/>
        <w:left w:w="0" w:type="dxa"/>
        <w:bottom w:w="0" w:type="dxa"/>
        <w:right w:w="0" w:type="dxa"/>
      </w:tblCellMar>
    </w:tblPr>
  </w:style>
  <w:style w:type="paragraph" w:customStyle="1" w:styleId="24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132</Pages>
  <Words>10804</Words>
  <Characters>11627</Characters>
  <Lines>665</Lines>
  <Paragraphs>187</Paragraphs>
  <TotalTime>1</TotalTime>
  <ScaleCrop>false</ScaleCrop>
  <LinksUpToDate>false</LinksUpToDate>
  <CharactersWithSpaces>11665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2023-08-22T07:19:00Z</dcterms:created>
  <dc:creator>唐冰</dc:creator>
  <cp:lastModifiedBy>盛元华梁连莲</cp:lastModifiedBy>
  <cp:lastPrinted>2020-04-02T08:20:00Z</cp:lastPrinted>
  <dcterms:modified xsi:type="dcterms:W3CDTF">2025-01-06T09:40:27Z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A767487EFB3E469EA71FCD22993F321C_13</vt:lpwstr>
  </property>
  <property fmtid="{D5CDD505-2E9C-101B-9397-08002B2CF9AE}" pid="4" name="KSOTemplateDocerSaveRecord">
    <vt:lpwstr>eyJoZGlkIjoiZmUwNjEwZDk1MjQ2Yjg3YmIwNmNhZmIzYjY2YjVhNjIiLCJ1c2VySWQiOiIyMzU2MjMzOTEifQ==</vt:lpwstr>
  </property>
</Properties>
</file>