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40B6E">
      <w:pPr>
        <w:pStyle w:val="3"/>
        <w:spacing w:line="252" w:lineRule="auto"/>
        <w:rPr>
          <w:color w:val="auto"/>
          <w:highlight w:val="none"/>
        </w:rPr>
      </w:pPr>
    </w:p>
    <w:p w14:paraId="4CF86F65">
      <w:pPr>
        <w:spacing w:before="269" w:line="221" w:lineRule="auto"/>
        <w:jc w:val="center"/>
        <w:rPr>
          <w:rFonts w:ascii="宋体" w:hAnsi="宋体" w:eastAsia="宋体" w:cs="宋体"/>
          <w:color w:val="auto"/>
          <w:sz w:val="44"/>
          <w:szCs w:val="44"/>
          <w:highlight w:val="none"/>
        </w:rPr>
      </w:pPr>
      <w:r>
        <w:rPr>
          <w:rFonts w:hint="eastAsia" w:ascii="宋体" w:hAnsi="宋体" w:eastAsia="宋体" w:cs="宋体"/>
          <w:b/>
          <w:bCs/>
          <w:color w:val="auto"/>
          <w:sz w:val="44"/>
          <w:szCs w:val="44"/>
          <w:highlight w:val="none"/>
          <w:lang w:eastAsia="zh-CN"/>
        </w:rPr>
        <w:t>广西中正融创项目工程技术服务有限公司</w:t>
      </w:r>
    </w:p>
    <w:p w14:paraId="1ECBC5E0">
      <w:pPr>
        <w:pStyle w:val="3"/>
        <w:spacing w:line="242" w:lineRule="auto"/>
        <w:rPr>
          <w:color w:val="auto"/>
          <w:highlight w:val="none"/>
        </w:rPr>
      </w:pPr>
    </w:p>
    <w:p w14:paraId="5F89A950">
      <w:pPr>
        <w:pStyle w:val="3"/>
        <w:spacing w:line="242" w:lineRule="auto"/>
        <w:rPr>
          <w:color w:val="auto"/>
          <w:highlight w:val="none"/>
        </w:rPr>
      </w:pPr>
    </w:p>
    <w:p w14:paraId="53A2F3A1">
      <w:pPr>
        <w:pStyle w:val="3"/>
        <w:spacing w:line="242" w:lineRule="auto"/>
        <w:rPr>
          <w:color w:val="auto"/>
          <w:highlight w:val="none"/>
        </w:rPr>
      </w:pPr>
    </w:p>
    <w:p w14:paraId="76543FB5">
      <w:pPr>
        <w:pStyle w:val="3"/>
        <w:spacing w:line="242" w:lineRule="auto"/>
        <w:rPr>
          <w:color w:val="auto"/>
          <w:highlight w:val="none"/>
        </w:rPr>
      </w:pPr>
    </w:p>
    <w:p w14:paraId="7BFB8162">
      <w:pPr>
        <w:pStyle w:val="3"/>
        <w:spacing w:line="242" w:lineRule="auto"/>
        <w:rPr>
          <w:color w:val="auto"/>
          <w:highlight w:val="none"/>
        </w:rPr>
      </w:pPr>
    </w:p>
    <w:p w14:paraId="7922207C">
      <w:pPr>
        <w:pStyle w:val="3"/>
        <w:spacing w:line="242" w:lineRule="auto"/>
        <w:rPr>
          <w:color w:val="auto"/>
          <w:highlight w:val="none"/>
        </w:rPr>
      </w:pPr>
    </w:p>
    <w:p w14:paraId="37625A2F">
      <w:pPr>
        <w:pStyle w:val="3"/>
        <w:spacing w:line="242" w:lineRule="auto"/>
        <w:rPr>
          <w:color w:val="auto"/>
          <w:highlight w:val="none"/>
        </w:rPr>
      </w:pPr>
    </w:p>
    <w:p w14:paraId="1CB02AA1">
      <w:pPr>
        <w:pStyle w:val="3"/>
        <w:spacing w:line="242" w:lineRule="auto"/>
        <w:rPr>
          <w:color w:val="auto"/>
          <w:highlight w:val="none"/>
        </w:rPr>
      </w:pPr>
    </w:p>
    <w:p w14:paraId="37BBCE16">
      <w:pPr>
        <w:pStyle w:val="3"/>
        <w:spacing w:line="242" w:lineRule="auto"/>
        <w:rPr>
          <w:color w:val="auto"/>
          <w:highlight w:val="none"/>
        </w:rPr>
      </w:pPr>
    </w:p>
    <w:p w14:paraId="4C161A09">
      <w:pPr>
        <w:pStyle w:val="3"/>
        <w:spacing w:line="242" w:lineRule="auto"/>
        <w:rPr>
          <w:color w:val="auto"/>
          <w:highlight w:val="none"/>
        </w:rPr>
      </w:pPr>
    </w:p>
    <w:p w14:paraId="355FF79B">
      <w:pPr>
        <w:pStyle w:val="3"/>
        <w:spacing w:line="242" w:lineRule="auto"/>
        <w:rPr>
          <w:color w:val="auto"/>
          <w:highlight w:val="none"/>
        </w:rPr>
      </w:pPr>
    </w:p>
    <w:p w14:paraId="3EF51B82">
      <w:pPr>
        <w:pStyle w:val="3"/>
        <w:spacing w:line="242" w:lineRule="auto"/>
        <w:rPr>
          <w:color w:val="auto"/>
          <w:highlight w:val="none"/>
        </w:rPr>
      </w:pPr>
    </w:p>
    <w:p w14:paraId="49B981D5">
      <w:pPr>
        <w:pStyle w:val="3"/>
        <w:spacing w:line="242" w:lineRule="auto"/>
        <w:rPr>
          <w:color w:val="auto"/>
          <w:highlight w:val="none"/>
        </w:rPr>
      </w:pPr>
    </w:p>
    <w:p w14:paraId="52E1CFE6">
      <w:pPr>
        <w:pStyle w:val="3"/>
        <w:spacing w:line="242" w:lineRule="auto"/>
        <w:rPr>
          <w:color w:val="auto"/>
          <w:highlight w:val="none"/>
        </w:rPr>
      </w:pPr>
    </w:p>
    <w:p w14:paraId="4EFABF2D">
      <w:pPr>
        <w:pStyle w:val="3"/>
        <w:spacing w:line="242" w:lineRule="auto"/>
        <w:rPr>
          <w:color w:val="auto"/>
          <w:highlight w:val="none"/>
        </w:rPr>
      </w:pPr>
    </w:p>
    <w:p w14:paraId="781C75DD">
      <w:pPr>
        <w:spacing w:before="230" w:line="222" w:lineRule="auto"/>
        <w:ind w:left="1946"/>
        <w:rPr>
          <w:rFonts w:ascii="宋体" w:hAnsi="宋体" w:eastAsia="宋体" w:cs="宋体"/>
          <w:color w:val="auto"/>
          <w:sz w:val="71"/>
          <w:szCs w:val="71"/>
          <w:highlight w:val="none"/>
        </w:rPr>
      </w:pPr>
      <w:r>
        <w:rPr>
          <w:rFonts w:ascii="宋体" w:hAnsi="宋体" w:eastAsia="宋体" w:cs="宋体"/>
          <w:color w:val="auto"/>
          <w:spacing w:val="4"/>
          <w:sz w:val="71"/>
          <w:szCs w:val="71"/>
          <w:highlight w:val="none"/>
        </w:rPr>
        <w:t>竞争性磋商文件</w:t>
      </w:r>
    </w:p>
    <w:p w14:paraId="72D46678">
      <w:pPr>
        <w:pStyle w:val="3"/>
        <w:spacing w:line="253" w:lineRule="auto"/>
        <w:rPr>
          <w:color w:val="auto"/>
          <w:highlight w:val="none"/>
        </w:rPr>
      </w:pPr>
    </w:p>
    <w:p w14:paraId="6384AE49">
      <w:pPr>
        <w:pStyle w:val="3"/>
        <w:spacing w:line="253" w:lineRule="auto"/>
        <w:rPr>
          <w:color w:val="auto"/>
          <w:highlight w:val="none"/>
        </w:rPr>
      </w:pPr>
    </w:p>
    <w:p w14:paraId="556D1AA7">
      <w:pPr>
        <w:pStyle w:val="3"/>
        <w:spacing w:line="253" w:lineRule="auto"/>
        <w:rPr>
          <w:color w:val="auto"/>
          <w:highlight w:val="none"/>
        </w:rPr>
      </w:pPr>
    </w:p>
    <w:p w14:paraId="06A835B2">
      <w:pPr>
        <w:pStyle w:val="3"/>
        <w:spacing w:line="254" w:lineRule="auto"/>
        <w:rPr>
          <w:color w:val="auto"/>
          <w:highlight w:val="none"/>
        </w:rPr>
      </w:pPr>
    </w:p>
    <w:p w14:paraId="2317E4B7">
      <w:pPr>
        <w:pStyle w:val="3"/>
        <w:spacing w:line="254" w:lineRule="auto"/>
        <w:rPr>
          <w:color w:val="auto"/>
          <w:highlight w:val="none"/>
        </w:rPr>
      </w:pPr>
    </w:p>
    <w:p w14:paraId="35F8BDD9">
      <w:pPr>
        <w:pStyle w:val="3"/>
        <w:spacing w:line="254" w:lineRule="auto"/>
        <w:rPr>
          <w:color w:val="auto"/>
          <w:highlight w:val="none"/>
        </w:rPr>
      </w:pPr>
    </w:p>
    <w:p w14:paraId="08C4DD35">
      <w:pPr>
        <w:pStyle w:val="3"/>
        <w:spacing w:line="254" w:lineRule="auto"/>
        <w:rPr>
          <w:color w:val="auto"/>
          <w:highlight w:val="none"/>
        </w:rPr>
      </w:pPr>
    </w:p>
    <w:p w14:paraId="36ADC4E6">
      <w:pPr>
        <w:pStyle w:val="3"/>
        <w:spacing w:line="254" w:lineRule="auto"/>
        <w:rPr>
          <w:color w:val="auto"/>
          <w:highlight w:val="none"/>
        </w:rPr>
      </w:pPr>
    </w:p>
    <w:p w14:paraId="315C8D41">
      <w:pPr>
        <w:pStyle w:val="3"/>
        <w:spacing w:line="254" w:lineRule="auto"/>
        <w:rPr>
          <w:color w:val="auto"/>
          <w:highlight w:val="none"/>
        </w:rPr>
      </w:pPr>
    </w:p>
    <w:p w14:paraId="14BF7059">
      <w:pPr>
        <w:pStyle w:val="3"/>
        <w:spacing w:line="254" w:lineRule="auto"/>
        <w:rPr>
          <w:color w:val="auto"/>
          <w:highlight w:val="none"/>
        </w:rPr>
      </w:pPr>
    </w:p>
    <w:p w14:paraId="3B51BF12">
      <w:pPr>
        <w:pStyle w:val="3"/>
        <w:spacing w:line="254" w:lineRule="auto"/>
        <w:rPr>
          <w:color w:val="auto"/>
          <w:highlight w:val="none"/>
        </w:rPr>
      </w:pPr>
    </w:p>
    <w:p w14:paraId="7EC61932">
      <w:pPr>
        <w:pStyle w:val="3"/>
        <w:spacing w:line="254" w:lineRule="auto"/>
        <w:rPr>
          <w:color w:val="auto"/>
          <w:highlight w:val="none"/>
        </w:rPr>
      </w:pPr>
    </w:p>
    <w:p w14:paraId="0E58A447">
      <w:pPr>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ascii="宋体" w:hAnsi="宋体" w:eastAsia="宋体" w:cs="宋体"/>
          <w:b/>
          <w:bCs/>
          <w:color w:val="auto"/>
          <w:spacing w:val="-3"/>
          <w:sz w:val="24"/>
          <w:szCs w:val="24"/>
          <w:highlight w:val="none"/>
        </w:rPr>
      </w:pPr>
    </w:p>
    <w:p w14:paraId="68D39CF8">
      <w:pPr>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宋体" w:hAnsi="宋体" w:eastAsia="宋体" w:cs="宋体"/>
          <w:b/>
          <w:bCs/>
          <w:color w:val="auto"/>
          <w:spacing w:val="-3"/>
          <w:sz w:val="30"/>
          <w:szCs w:val="30"/>
          <w:highlight w:val="none"/>
          <w:lang w:eastAsia="zh-CN"/>
        </w:rPr>
      </w:pPr>
      <w:r>
        <w:rPr>
          <w:rFonts w:ascii="宋体" w:hAnsi="宋体" w:eastAsia="宋体" w:cs="宋体"/>
          <w:b/>
          <w:bCs/>
          <w:color w:val="auto"/>
          <w:spacing w:val="-3"/>
          <w:sz w:val="30"/>
          <w:szCs w:val="30"/>
          <w:highlight w:val="none"/>
        </w:rPr>
        <w:t>项目编号：</w:t>
      </w:r>
      <w:bookmarkStart w:id="543" w:name="_GoBack"/>
      <w:r>
        <w:rPr>
          <w:rFonts w:hint="eastAsia" w:ascii="宋体" w:hAnsi="宋体" w:eastAsia="宋体" w:cs="宋体"/>
          <w:b/>
          <w:bCs/>
          <w:color w:val="auto"/>
          <w:spacing w:val="-3"/>
          <w:sz w:val="30"/>
          <w:szCs w:val="30"/>
          <w:highlight w:val="none"/>
          <w:lang w:eastAsia="zh-CN"/>
        </w:rPr>
        <w:t>BSZC2025-C3-23004</w:t>
      </w:r>
      <w:r>
        <w:rPr>
          <w:rFonts w:hint="eastAsia" w:ascii="宋体" w:hAnsi="宋体" w:eastAsia="宋体" w:cs="宋体"/>
          <w:b/>
          <w:bCs/>
          <w:color w:val="auto"/>
          <w:spacing w:val="-3"/>
          <w:sz w:val="30"/>
          <w:szCs w:val="30"/>
          <w:highlight w:val="none"/>
          <w:lang w:val="en-US" w:eastAsia="zh-CN"/>
        </w:rPr>
        <w:t>3</w:t>
      </w:r>
      <w:r>
        <w:rPr>
          <w:rFonts w:hint="eastAsia" w:ascii="宋体" w:hAnsi="宋体" w:eastAsia="宋体" w:cs="宋体"/>
          <w:b/>
          <w:bCs/>
          <w:color w:val="auto"/>
          <w:spacing w:val="-3"/>
          <w:sz w:val="30"/>
          <w:szCs w:val="30"/>
          <w:highlight w:val="none"/>
          <w:lang w:eastAsia="zh-CN"/>
        </w:rPr>
        <w:t>-GXZZ</w:t>
      </w:r>
    </w:p>
    <w:bookmarkEnd w:id="543"/>
    <w:p w14:paraId="5764E3CB">
      <w:pPr>
        <w:keepNext w:val="0"/>
        <w:keepLines w:val="0"/>
        <w:pageBreakBefore w:val="0"/>
        <w:widowControl/>
        <w:kinsoku w:val="0"/>
        <w:wordWrap/>
        <w:overflowPunct/>
        <w:topLinePunct w:val="0"/>
        <w:autoSpaceDE w:val="0"/>
        <w:autoSpaceDN w:val="0"/>
        <w:bidi w:val="0"/>
        <w:adjustRightInd w:val="0"/>
        <w:snapToGrid w:val="0"/>
        <w:spacing w:before="98" w:line="360" w:lineRule="auto"/>
        <w:ind w:left="1476" w:hanging="1476" w:hangingChars="500"/>
        <w:textAlignment w:val="baseline"/>
        <w:rPr>
          <w:rFonts w:hint="eastAsia" w:ascii="宋体" w:hAnsi="宋体" w:eastAsia="宋体" w:cs="宋体"/>
          <w:b/>
          <w:bCs/>
          <w:color w:val="auto"/>
          <w:spacing w:val="-3"/>
          <w:sz w:val="30"/>
          <w:szCs w:val="30"/>
          <w:highlight w:val="none"/>
          <w:lang w:eastAsia="zh-CN"/>
        </w:rPr>
      </w:pPr>
      <w:r>
        <w:rPr>
          <w:rFonts w:ascii="宋体" w:hAnsi="宋体" w:eastAsia="宋体" w:cs="宋体"/>
          <w:b/>
          <w:bCs/>
          <w:color w:val="auto"/>
          <w:spacing w:val="-3"/>
          <w:sz w:val="30"/>
          <w:szCs w:val="30"/>
          <w:highlight w:val="none"/>
        </w:rPr>
        <w:t>项目名称：</w:t>
      </w:r>
      <w:r>
        <w:rPr>
          <w:rFonts w:hint="eastAsia" w:ascii="宋体" w:hAnsi="宋体" w:eastAsia="宋体" w:cs="宋体"/>
          <w:b/>
          <w:bCs/>
          <w:color w:val="auto"/>
          <w:spacing w:val="-3"/>
          <w:sz w:val="30"/>
          <w:szCs w:val="30"/>
          <w:highlight w:val="none"/>
          <w:lang w:eastAsia="zh-CN"/>
        </w:rPr>
        <w:t>广西平果市古沙水库至罗米水库至右江排洪排水工程勘察设计服务二次招标</w:t>
      </w:r>
    </w:p>
    <w:p w14:paraId="261A3217">
      <w:pPr>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ascii="宋体" w:hAnsi="宋体" w:eastAsia="宋体" w:cs="宋体"/>
          <w:b/>
          <w:bCs/>
          <w:color w:val="auto"/>
          <w:spacing w:val="-3"/>
          <w:sz w:val="30"/>
          <w:szCs w:val="30"/>
          <w:highlight w:val="none"/>
        </w:rPr>
      </w:pPr>
      <w:r>
        <w:rPr>
          <w:rFonts w:ascii="宋体" w:hAnsi="宋体" w:eastAsia="宋体" w:cs="宋体"/>
          <w:b/>
          <w:bCs/>
          <w:color w:val="auto"/>
          <w:spacing w:val="-3"/>
          <w:sz w:val="30"/>
          <w:szCs w:val="30"/>
          <w:highlight w:val="none"/>
        </w:rPr>
        <w:t>采 购 人：</w:t>
      </w:r>
      <w:r>
        <w:rPr>
          <w:rFonts w:hint="eastAsia" w:ascii="宋体" w:hAnsi="宋体" w:eastAsia="宋体" w:cs="宋体"/>
          <w:b/>
          <w:bCs/>
          <w:color w:val="auto"/>
          <w:spacing w:val="-3"/>
          <w:sz w:val="30"/>
          <w:szCs w:val="30"/>
          <w:highlight w:val="none"/>
        </w:rPr>
        <w:t>平果市水利局</w:t>
      </w:r>
    </w:p>
    <w:p w14:paraId="477CAFA7">
      <w:pPr>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采购代理机构：</w:t>
      </w:r>
      <w:r>
        <w:rPr>
          <w:rFonts w:hint="eastAsia" w:ascii="宋体" w:hAnsi="宋体" w:eastAsia="宋体" w:cs="宋体"/>
          <w:b/>
          <w:bCs/>
          <w:color w:val="auto"/>
          <w:spacing w:val="-3"/>
          <w:sz w:val="30"/>
          <w:szCs w:val="30"/>
          <w:highlight w:val="none"/>
        </w:rPr>
        <w:t>广西中正融创项目工程技术服务有限公司</w:t>
      </w:r>
    </w:p>
    <w:p w14:paraId="7F476FB1">
      <w:pPr>
        <w:pStyle w:val="3"/>
        <w:spacing w:line="467" w:lineRule="auto"/>
        <w:rPr>
          <w:color w:val="auto"/>
          <w:sz w:val="30"/>
          <w:szCs w:val="30"/>
          <w:highlight w:val="none"/>
        </w:rPr>
      </w:pPr>
    </w:p>
    <w:p w14:paraId="1621426E">
      <w:pPr>
        <w:spacing w:before="101" w:line="225" w:lineRule="auto"/>
        <w:ind w:left="3519"/>
        <w:rPr>
          <w:rFonts w:ascii="宋体" w:hAnsi="宋体" w:eastAsia="宋体" w:cs="宋体"/>
          <w:color w:val="auto"/>
          <w:sz w:val="30"/>
          <w:szCs w:val="30"/>
          <w:highlight w:val="none"/>
        </w:rPr>
      </w:pPr>
      <w:r>
        <w:rPr>
          <w:rFonts w:ascii="宋体" w:hAnsi="宋体" w:eastAsia="宋体" w:cs="宋体"/>
          <w:b/>
          <w:bCs/>
          <w:color w:val="auto"/>
          <w:spacing w:val="-7"/>
          <w:sz w:val="30"/>
          <w:szCs w:val="30"/>
          <w:highlight w:val="none"/>
        </w:rPr>
        <w:t>202</w:t>
      </w:r>
      <w:r>
        <w:rPr>
          <w:rFonts w:hint="eastAsia" w:ascii="宋体" w:hAnsi="宋体" w:eastAsia="宋体" w:cs="宋体"/>
          <w:b/>
          <w:bCs/>
          <w:color w:val="auto"/>
          <w:spacing w:val="-7"/>
          <w:sz w:val="30"/>
          <w:szCs w:val="30"/>
          <w:highlight w:val="none"/>
          <w:lang w:val="en-US" w:eastAsia="zh-CN"/>
        </w:rPr>
        <w:t>5</w:t>
      </w:r>
      <w:r>
        <w:rPr>
          <w:rFonts w:ascii="宋体" w:hAnsi="宋体" w:eastAsia="宋体" w:cs="宋体"/>
          <w:color w:val="auto"/>
          <w:spacing w:val="-55"/>
          <w:sz w:val="30"/>
          <w:szCs w:val="30"/>
          <w:highlight w:val="none"/>
        </w:rPr>
        <w:t xml:space="preserve"> </w:t>
      </w:r>
      <w:r>
        <w:rPr>
          <w:rFonts w:ascii="宋体" w:hAnsi="宋体" w:eastAsia="宋体" w:cs="宋体"/>
          <w:b/>
          <w:bCs/>
          <w:color w:val="auto"/>
          <w:spacing w:val="-7"/>
          <w:sz w:val="30"/>
          <w:szCs w:val="30"/>
          <w:highlight w:val="none"/>
        </w:rPr>
        <w:t>年</w:t>
      </w:r>
      <w:r>
        <w:rPr>
          <w:rFonts w:ascii="宋体" w:hAnsi="宋体" w:eastAsia="宋体" w:cs="宋体"/>
          <w:color w:val="auto"/>
          <w:spacing w:val="-35"/>
          <w:sz w:val="30"/>
          <w:szCs w:val="30"/>
          <w:highlight w:val="none"/>
        </w:rPr>
        <w:t xml:space="preserve"> </w:t>
      </w:r>
      <w:r>
        <w:rPr>
          <w:rFonts w:hint="eastAsia" w:ascii="宋体" w:hAnsi="宋体" w:eastAsia="宋体" w:cs="宋体"/>
          <w:b/>
          <w:bCs/>
          <w:color w:val="auto"/>
          <w:spacing w:val="-7"/>
          <w:sz w:val="30"/>
          <w:szCs w:val="30"/>
          <w:highlight w:val="none"/>
          <w:lang w:val="en-US" w:eastAsia="zh-CN"/>
        </w:rPr>
        <w:t xml:space="preserve">04 </w:t>
      </w:r>
      <w:r>
        <w:rPr>
          <w:rFonts w:ascii="宋体" w:hAnsi="宋体" w:eastAsia="宋体" w:cs="宋体"/>
          <w:b/>
          <w:bCs/>
          <w:color w:val="auto"/>
          <w:spacing w:val="-7"/>
          <w:sz w:val="30"/>
          <w:szCs w:val="30"/>
          <w:highlight w:val="none"/>
        </w:rPr>
        <w:t>月</w:t>
      </w:r>
    </w:p>
    <w:p w14:paraId="33366252">
      <w:pPr>
        <w:spacing w:line="225" w:lineRule="auto"/>
        <w:rPr>
          <w:rFonts w:ascii="宋体" w:hAnsi="宋体" w:eastAsia="宋体" w:cs="宋体"/>
          <w:color w:val="auto"/>
          <w:sz w:val="30"/>
          <w:szCs w:val="30"/>
          <w:highlight w:val="none"/>
        </w:rPr>
        <w:sectPr>
          <w:pgSz w:w="11906" w:h="16839"/>
          <w:pgMar w:top="1431" w:right="1742" w:bottom="0" w:left="1596" w:header="0" w:footer="0" w:gutter="0"/>
          <w:cols w:space="720" w:num="1"/>
        </w:sectPr>
      </w:pPr>
    </w:p>
    <w:sdt>
      <w:sdtPr>
        <w:rPr>
          <w:rFonts w:ascii="宋体" w:hAnsi="宋体" w:eastAsia="宋体" w:cs="宋体"/>
          <w:color w:val="auto"/>
          <w:sz w:val="43"/>
          <w:szCs w:val="43"/>
          <w:highlight w:val="none"/>
        </w:rPr>
        <w:id w:val="147453751"/>
      </w:sdtPr>
      <w:sdtEndPr>
        <w:rPr>
          <w:rFonts w:ascii="宋体" w:hAnsi="宋体" w:eastAsia="宋体" w:cs="宋体"/>
          <w:color w:val="auto"/>
          <w:sz w:val="20"/>
          <w:szCs w:val="20"/>
          <w:highlight w:val="none"/>
        </w:rPr>
      </w:sdtEndPr>
      <w:sdtContent>
        <w:p w14:paraId="7D5E5A47">
          <w:pPr>
            <w:spacing w:before="101" w:line="225" w:lineRule="auto"/>
            <w:ind w:left="3710"/>
            <w:rPr>
              <w:rFonts w:ascii="宋体" w:hAnsi="宋体" w:eastAsia="宋体" w:cs="宋体"/>
              <w:color w:val="auto"/>
              <w:sz w:val="43"/>
              <w:szCs w:val="43"/>
              <w:highlight w:val="none"/>
            </w:rPr>
          </w:pPr>
          <w:r>
            <w:rPr>
              <w:rFonts w:ascii="宋体" w:hAnsi="宋体" w:eastAsia="宋体" w:cs="宋体"/>
              <w:b/>
              <w:bCs/>
              <w:color w:val="auto"/>
              <w:spacing w:val="-51"/>
              <w:sz w:val="43"/>
              <w:szCs w:val="43"/>
              <w:highlight w:val="none"/>
            </w:rPr>
            <w:t>目</w:t>
          </w:r>
          <w:r>
            <w:rPr>
              <w:rFonts w:ascii="宋体" w:hAnsi="宋体" w:eastAsia="宋体" w:cs="宋体"/>
              <w:color w:val="auto"/>
              <w:spacing w:val="12"/>
              <w:sz w:val="43"/>
              <w:szCs w:val="43"/>
              <w:highlight w:val="none"/>
            </w:rPr>
            <w:t xml:space="preserve">   </w:t>
          </w:r>
          <w:r>
            <w:rPr>
              <w:rFonts w:ascii="宋体" w:hAnsi="宋体" w:eastAsia="宋体" w:cs="宋体"/>
              <w:b/>
              <w:bCs/>
              <w:color w:val="auto"/>
              <w:spacing w:val="-51"/>
              <w:sz w:val="43"/>
              <w:szCs w:val="43"/>
              <w:highlight w:val="none"/>
            </w:rPr>
            <w:t>录</w:t>
          </w:r>
        </w:p>
        <w:p w14:paraId="4AC1DC7B">
          <w:pPr>
            <w:pStyle w:val="3"/>
            <w:spacing w:line="468" w:lineRule="auto"/>
            <w:rPr>
              <w:color w:val="auto"/>
              <w:highlight w:val="none"/>
            </w:rPr>
          </w:pPr>
        </w:p>
        <w:p w14:paraId="727ABDF6">
          <w:pPr>
            <w:tabs>
              <w:tab w:val="right" w:leader="dot" w:pos="8095"/>
            </w:tabs>
            <w:spacing w:before="65" w:line="193" w:lineRule="auto"/>
            <w:ind w:left="228"/>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宋体" w:hAnsi="宋体" w:eastAsia="宋体" w:cs="宋体"/>
              <w:color w:val="auto"/>
              <w:spacing w:val="8"/>
              <w:sz w:val="20"/>
              <w:szCs w:val="20"/>
              <w:highlight w:val="none"/>
            </w:rPr>
            <w:t>第一章 竞争性磋商公告</w:t>
          </w:r>
          <w:r>
            <w:rPr>
              <w:rFonts w:ascii="宋体" w:hAnsi="宋体" w:eastAsia="宋体" w:cs="宋体"/>
              <w:color w:val="auto"/>
              <w:spacing w:val="-25"/>
              <w:sz w:val="20"/>
              <w:szCs w:val="20"/>
              <w:highlight w:val="none"/>
            </w:rPr>
            <w:t xml:space="preserve"> </w:t>
          </w:r>
          <w:r>
            <w:rPr>
              <w:rFonts w:ascii="宋体" w:hAnsi="宋体" w:eastAsia="宋体" w:cs="宋体"/>
              <w:color w:val="auto"/>
              <w:sz w:val="20"/>
              <w:szCs w:val="20"/>
              <w:highlight w:val="none"/>
            </w:rPr>
            <w:tab/>
          </w:r>
          <w:r>
            <w:rPr>
              <w:rFonts w:ascii="宋体" w:hAnsi="宋体" w:eastAsia="宋体" w:cs="宋体"/>
              <w:color w:val="auto"/>
              <w:spacing w:val="-23"/>
              <w:sz w:val="20"/>
              <w:szCs w:val="20"/>
              <w:highlight w:val="none"/>
            </w:rPr>
            <w:t xml:space="preserve"> </w:t>
          </w:r>
          <w:r>
            <w:rPr>
              <w:rFonts w:ascii="宋体" w:hAnsi="宋体" w:eastAsia="宋体" w:cs="宋体"/>
              <w:color w:val="auto"/>
              <w:sz w:val="20"/>
              <w:szCs w:val="20"/>
              <w:highlight w:val="none"/>
            </w:rPr>
            <w:t>1</w:t>
          </w:r>
          <w:r>
            <w:rPr>
              <w:rFonts w:ascii="宋体" w:hAnsi="宋体" w:eastAsia="宋体" w:cs="宋体"/>
              <w:color w:val="auto"/>
              <w:sz w:val="20"/>
              <w:szCs w:val="20"/>
              <w:highlight w:val="none"/>
            </w:rPr>
            <w:fldChar w:fldCharType="end"/>
          </w:r>
        </w:p>
        <w:p w14:paraId="38CBBE80">
          <w:pPr>
            <w:tabs>
              <w:tab w:val="right" w:leader="dot" w:pos="8095"/>
            </w:tabs>
            <w:spacing w:before="258" w:line="193" w:lineRule="auto"/>
            <w:ind w:left="228"/>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8"/>
              <w:sz w:val="20"/>
              <w:szCs w:val="20"/>
              <w:highlight w:val="none"/>
            </w:rPr>
            <w:t>第二章 供应商须知</w:t>
          </w:r>
          <w:r>
            <w:rPr>
              <w:rFonts w:ascii="宋体" w:hAnsi="宋体" w:eastAsia="宋体" w:cs="宋体"/>
              <w:color w:val="auto"/>
              <w:spacing w:val="-29"/>
              <w:sz w:val="20"/>
              <w:szCs w:val="20"/>
              <w:highlight w:val="none"/>
            </w:rPr>
            <w:t xml:space="preserve"> </w:t>
          </w:r>
          <w:r>
            <w:rPr>
              <w:rFonts w:ascii="宋体" w:hAnsi="宋体" w:eastAsia="宋体" w:cs="宋体"/>
              <w:color w:val="auto"/>
              <w:sz w:val="20"/>
              <w:szCs w:val="20"/>
              <w:highlight w:val="none"/>
            </w:rPr>
            <w:tab/>
          </w:r>
          <w:r>
            <w:rPr>
              <w:rFonts w:ascii="宋体" w:hAnsi="宋体" w:eastAsia="宋体" w:cs="宋体"/>
              <w:color w:val="auto"/>
              <w:spacing w:val="-34"/>
              <w:sz w:val="20"/>
              <w:szCs w:val="20"/>
              <w:highlight w:val="none"/>
            </w:rPr>
            <w:t xml:space="preserve"> </w:t>
          </w:r>
          <w:r>
            <w:rPr>
              <w:rFonts w:hint="eastAsia" w:ascii="宋体" w:hAnsi="宋体" w:eastAsia="宋体" w:cs="宋体"/>
              <w:color w:val="auto"/>
              <w:sz w:val="20"/>
              <w:szCs w:val="20"/>
              <w:highlight w:val="none"/>
              <w:lang w:val="en-US" w:eastAsia="zh-CN"/>
            </w:rPr>
            <w:t>6</w:t>
          </w:r>
          <w:r>
            <w:rPr>
              <w:rFonts w:ascii="宋体" w:hAnsi="宋体" w:eastAsia="宋体" w:cs="宋体"/>
              <w:color w:val="auto"/>
              <w:sz w:val="20"/>
              <w:szCs w:val="20"/>
              <w:highlight w:val="none"/>
            </w:rPr>
            <w:fldChar w:fldCharType="end"/>
          </w:r>
        </w:p>
        <w:p w14:paraId="7EBF95EE">
          <w:pPr>
            <w:tabs>
              <w:tab w:val="right" w:leader="dot" w:pos="8095"/>
            </w:tabs>
            <w:spacing w:before="259" w:line="227" w:lineRule="auto"/>
            <w:ind w:left="228"/>
            <w:rPr>
              <w:rFonts w:hint="eastAsia" w:ascii="宋体" w:hAnsi="宋体" w:eastAsia="宋体" w:cs="宋体"/>
              <w:color w:val="auto"/>
              <w:sz w:val="20"/>
              <w:szCs w:val="20"/>
              <w:highlight w:val="none"/>
              <w:lang w:val="en-US" w:eastAsia="zh-CN"/>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宋体" w:hAnsi="宋体" w:eastAsia="宋体" w:cs="宋体"/>
              <w:color w:val="auto"/>
              <w:spacing w:val="8"/>
              <w:sz w:val="20"/>
              <w:szCs w:val="20"/>
              <w:highlight w:val="none"/>
            </w:rPr>
            <w:t>第三章 采购需求</w:t>
          </w:r>
          <w:r>
            <w:rPr>
              <w:rFonts w:ascii="宋体" w:hAnsi="宋体" w:eastAsia="宋体" w:cs="宋体"/>
              <w:color w:val="auto"/>
              <w:spacing w:val="-32"/>
              <w:sz w:val="20"/>
              <w:szCs w:val="20"/>
              <w:highlight w:val="none"/>
            </w:rPr>
            <w:t xml:space="preserve"> </w:t>
          </w:r>
          <w:r>
            <w:rPr>
              <w:rFonts w:ascii="宋体" w:hAnsi="宋体" w:eastAsia="宋体" w:cs="宋体"/>
              <w:color w:val="auto"/>
              <w:sz w:val="20"/>
              <w:szCs w:val="20"/>
              <w:highlight w:val="none"/>
            </w:rPr>
            <w:tab/>
          </w:r>
          <w:r>
            <w:rPr>
              <w:rFonts w:ascii="宋体" w:hAnsi="宋体" w:eastAsia="宋体" w:cs="宋体"/>
              <w:color w:val="auto"/>
              <w:spacing w:val="-35"/>
              <w:sz w:val="20"/>
              <w:szCs w:val="20"/>
              <w:highlight w:val="none"/>
            </w:rPr>
            <w:t xml:space="preserve"> </w:t>
          </w:r>
          <w:r>
            <w:rPr>
              <w:rFonts w:hint="eastAsia" w:ascii="宋体" w:hAnsi="宋体" w:eastAsia="宋体" w:cs="宋体"/>
              <w:color w:val="auto"/>
              <w:spacing w:val="-1"/>
              <w:sz w:val="20"/>
              <w:szCs w:val="20"/>
              <w:highlight w:val="none"/>
              <w:lang w:val="en-US" w:eastAsia="zh-CN"/>
            </w:rPr>
            <w:t>2</w:t>
          </w:r>
          <w:r>
            <w:rPr>
              <w:rFonts w:ascii="宋体" w:hAnsi="宋体" w:eastAsia="宋体" w:cs="宋体"/>
              <w:color w:val="auto"/>
              <w:spacing w:val="-1"/>
              <w:sz w:val="20"/>
              <w:szCs w:val="20"/>
              <w:highlight w:val="none"/>
            </w:rPr>
            <w:fldChar w:fldCharType="end"/>
          </w:r>
          <w:r>
            <w:rPr>
              <w:rFonts w:hint="eastAsia" w:ascii="宋体" w:hAnsi="宋体" w:eastAsia="宋体" w:cs="宋体"/>
              <w:color w:val="auto"/>
              <w:spacing w:val="-1"/>
              <w:sz w:val="20"/>
              <w:szCs w:val="20"/>
              <w:highlight w:val="none"/>
              <w:lang w:val="en-US" w:eastAsia="zh-CN"/>
            </w:rPr>
            <w:t>7</w:t>
          </w:r>
        </w:p>
        <w:p w14:paraId="6769B805">
          <w:pPr>
            <w:tabs>
              <w:tab w:val="right" w:leader="dot" w:pos="8095"/>
            </w:tabs>
            <w:spacing w:before="222" w:line="227" w:lineRule="auto"/>
            <w:ind w:left="228"/>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9"/>
              <w:sz w:val="20"/>
              <w:szCs w:val="20"/>
              <w:highlight w:val="none"/>
            </w:rPr>
            <w:t>第四章 评审程序、评审方法和评审标准</w:t>
          </w:r>
          <w:r>
            <w:rPr>
              <w:rFonts w:ascii="宋体" w:hAnsi="宋体" w:eastAsia="宋体" w:cs="宋体"/>
              <w:color w:val="auto"/>
              <w:spacing w:val="-31"/>
              <w:sz w:val="20"/>
              <w:szCs w:val="20"/>
              <w:highlight w:val="none"/>
            </w:rPr>
            <w:t xml:space="preserve"> </w:t>
          </w:r>
          <w:r>
            <w:rPr>
              <w:rFonts w:ascii="宋体" w:hAnsi="宋体" w:eastAsia="宋体" w:cs="宋体"/>
              <w:color w:val="auto"/>
              <w:sz w:val="20"/>
              <w:szCs w:val="20"/>
              <w:highlight w:val="none"/>
            </w:rPr>
            <w:tab/>
          </w:r>
          <w:r>
            <w:rPr>
              <w:rFonts w:ascii="宋体" w:hAnsi="宋体" w:eastAsia="宋体" w:cs="宋体"/>
              <w:color w:val="auto"/>
              <w:spacing w:val="-35"/>
              <w:sz w:val="20"/>
              <w:szCs w:val="20"/>
              <w:highlight w:val="none"/>
            </w:rPr>
            <w:t xml:space="preserve"> </w:t>
          </w:r>
          <w:r>
            <w:rPr>
              <w:rFonts w:ascii="宋体" w:hAnsi="宋体" w:eastAsia="宋体" w:cs="宋体"/>
              <w:color w:val="auto"/>
              <w:spacing w:val="-1"/>
              <w:sz w:val="20"/>
              <w:szCs w:val="20"/>
              <w:highlight w:val="none"/>
            </w:rPr>
            <w:t>29</w:t>
          </w:r>
          <w:r>
            <w:rPr>
              <w:rFonts w:ascii="宋体" w:hAnsi="宋体" w:eastAsia="宋体" w:cs="宋体"/>
              <w:color w:val="auto"/>
              <w:spacing w:val="-1"/>
              <w:sz w:val="20"/>
              <w:szCs w:val="20"/>
              <w:highlight w:val="none"/>
            </w:rPr>
            <w:fldChar w:fldCharType="end"/>
          </w:r>
        </w:p>
        <w:p w14:paraId="2E6A7B55">
          <w:pPr>
            <w:tabs>
              <w:tab w:val="right" w:leader="dot" w:pos="8095"/>
            </w:tabs>
            <w:spacing w:before="221" w:line="193" w:lineRule="auto"/>
            <w:ind w:left="228"/>
            <w:rPr>
              <w:rFonts w:hint="eastAsia" w:ascii="宋体" w:hAnsi="宋体" w:eastAsia="宋体" w:cs="宋体"/>
              <w:color w:val="auto"/>
              <w:sz w:val="20"/>
              <w:szCs w:val="20"/>
              <w:highlight w:val="none"/>
              <w:lang w:eastAsia="zh-CN"/>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宋体" w:hAnsi="宋体" w:eastAsia="宋体" w:cs="宋体"/>
              <w:color w:val="auto"/>
              <w:spacing w:val="6"/>
              <w:sz w:val="20"/>
              <w:szCs w:val="20"/>
              <w:highlight w:val="none"/>
            </w:rPr>
            <w:t>第五章</w:t>
          </w:r>
          <w:r>
            <w:rPr>
              <w:rFonts w:ascii="宋体" w:hAnsi="宋体" w:eastAsia="宋体" w:cs="宋体"/>
              <w:color w:val="auto"/>
              <w:spacing w:val="29"/>
              <w:sz w:val="20"/>
              <w:szCs w:val="20"/>
              <w:highlight w:val="none"/>
            </w:rPr>
            <w:t xml:space="preserve"> </w:t>
          </w:r>
          <w:r>
            <w:rPr>
              <w:rFonts w:ascii="宋体" w:hAnsi="宋体" w:eastAsia="宋体" w:cs="宋体"/>
              <w:color w:val="auto"/>
              <w:spacing w:val="6"/>
              <w:sz w:val="20"/>
              <w:szCs w:val="20"/>
              <w:highlight w:val="none"/>
            </w:rPr>
            <w:t>响应文件格式</w:t>
          </w:r>
          <w:r>
            <w:rPr>
              <w:rFonts w:ascii="宋体" w:hAnsi="宋体" w:eastAsia="宋体" w:cs="宋体"/>
              <w:color w:val="auto"/>
              <w:spacing w:val="-32"/>
              <w:sz w:val="20"/>
              <w:szCs w:val="20"/>
              <w:highlight w:val="none"/>
            </w:rPr>
            <w:t xml:space="preserve"> </w:t>
          </w:r>
          <w:r>
            <w:rPr>
              <w:rFonts w:ascii="宋体" w:hAnsi="宋体" w:eastAsia="宋体" w:cs="宋体"/>
              <w:color w:val="auto"/>
              <w:sz w:val="20"/>
              <w:szCs w:val="20"/>
              <w:highlight w:val="none"/>
            </w:rPr>
            <w:tab/>
          </w:r>
          <w:r>
            <w:rPr>
              <w:rFonts w:ascii="宋体" w:hAnsi="宋体" w:eastAsia="宋体" w:cs="宋体"/>
              <w:color w:val="auto"/>
              <w:spacing w:val="-33"/>
              <w:sz w:val="20"/>
              <w:szCs w:val="20"/>
              <w:highlight w:val="none"/>
            </w:rPr>
            <w:t xml:space="preserve"> </w:t>
          </w:r>
          <w:r>
            <w:rPr>
              <w:rFonts w:ascii="宋体" w:hAnsi="宋体" w:eastAsia="宋体" w:cs="宋体"/>
              <w:color w:val="auto"/>
              <w:spacing w:val="-2"/>
              <w:sz w:val="20"/>
              <w:szCs w:val="20"/>
              <w:highlight w:val="none"/>
            </w:rPr>
            <w:t>3</w:t>
          </w:r>
          <w:r>
            <w:rPr>
              <w:rFonts w:ascii="宋体" w:hAnsi="宋体" w:eastAsia="宋体" w:cs="宋体"/>
              <w:color w:val="auto"/>
              <w:spacing w:val="-2"/>
              <w:sz w:val="20"/>
              <w:szCs w:val="20"/>
              <w:highlight w:val="none"/>
            </w:rPr>
            <w:fldChar w:fldCharType="end"/>
          </w:r>
          <w:r>
            <w:rPr>
              <w:rFonts w:hint="eastAsia" w:ascii="宋体" w:hAnsi="宋体" w:eastAsia="宋体" w:cs="宋体"/>
              <w:color w:val="auto"/>
              <w:spacing w:val="-2"/>
              <w:sz w:val="20"/>
              <w:szCs w:val="20"/>
              <w:highlight w:val="none"/>
              <w:lang w:val="en-US" w:eastAsia="zh-CN"/>
            </w:rPr>
            <w:t>6</w:t>
          </w:r>
        </w:p>
        <w:p w14:paraId="65CDB041">
          <w:pPr>
            <w:tabs>
              <w:tab w:val="right" w:leader="dot" w:pos="8095"/>
            </w:tabs>
            <w:spacing w:before="260" w:line="227" w:lineRule="auto"/>
            <w:ind w:left="228"/>
            <w:rPr>
              <w:rFonts w:ascii="宋体" w:hAnsi="宋体" w:eastAsia="宋体" w:cs="宋体"/>
              <w:color w:val="auto"/>
              <w:sz w:val="20"/>
              <w:szCs w:val="20"/>
              <w:highlight w:val="none"/>
            </w:rPr>
            <w:sectPr>
              <w:pgSz w:w="11906" w:h="16839"/>
              <w:pgMar w:top="1431" w:right="1785" w:bottom="0" w:left="1785" w:header="0" w:footer="0" w:gutter="0"/>
              <w:cols w:space="720" w:num="1"/>
            </w:sect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宋体" w:hAnsi="宋体" w:eastAsia="宋体" w:cs="宋体"/>
              <w:color w:val="auto"/>
              <w:spacing w:val="8"/>
              <w:sz w:val="20"/>
              <w:szCs w:val="20"/>
              <w:highlight w:val="none"/>
            </w:rPr>
            <w:t>第六章 合同文本</w:t>
          </w:r>
          <w:r>
            <w:rPr>
              <w:rFonts w:ascii="宋体" w:hAnsi="宋体" w:eastAsia="宋体" w:cs="宋体"/>
              <w:color w:val="auto"/>
              <w:spacing w:val="-32"/>
              <w:sz w:val="20"/>
              <w:szCs w:val="20"/>
              <w:highlight w:val="none"/>
            </w:rPr>
            <w:t xml:space="preserve"> </w:t>
          </w:r>
          <w:r>
            <w:rPr>
              <w:rFonts w:ascii="宋体" w:hAnsi="宋体" w:eastAsia="宋体" w:cs="宋体"/>
              <w:color w:val="auto"/>
              <w:sz w:val="20"/>
              <w:szCs w:val="20"/>
              <w:highlight w:val="none"/>
            </w:rPr>
            <w:tab/>
          </w:r>
          <w:r>
            <w:rPr>
              <w:rFonts w:ascii="宋体" w:hAnsi="宋体" w:eastAsia="宋体" w:cs="宋体"/>
              <w:color w:val="auto"/>
              <w:spacing w:val="-33"/>
              <w:sz w:val="20"/>
              <w:szCs w:val="20"/>
              <w:highlight w:val="none"/>
            </w:rPr>
            <w:t xml:space="preserve"> </w:t>
          </w:r>
          <w:r>
            <w:rPr>
              <w:rFonts w:ascii="宋体" w:hAnsi="宋体" w:eastAsia="宋体" w:cs="宋体"/>
              <w:color w:val="auto"/>
              <w:spacing w:val="-2"/>
              <w:sz w:val="20"/>
              <w:szCs w:val="20"/>
              <w:highlight w:val="none"/>
            </w:rPr>
            <w:t>5</w:t>
          </w:r>
          <w:r>
            <w:rPr>
              <w:rFonts w:ascii="宋体" w:hAnsi="宋体" w:eastAsia="宋体" w:cs="宋体"/>
              <w:color w:val="auto"/>
              <w:spacing w:val="-2"/>
              <w:sz w:val="20"/>
              <w:szCs w:val="20"/>
              <w:highlight w:val="none"/>
            </w:rPr>
            <w:fldChar w:fldCharType="end"/>
          </w:r>
          <w:r>
            <w:rPr>
              <w:rFonts w:hint="eastAsia" w:ascii="宋体" w:hAnsi="宋体" w:eastAsia="宋体" w:cs="宋体"/>
              <w:color w:val="auto"/>
              <w:spacing w:val="-2"/>
              <w:sz w:val="20"/>
              <w:szCs w:val="20"/>
              <w:highlight w:val="none"/>
              <w:lang w:val="en-US" w:eastAsia="zh-CN"/>
            </w:rPr>
            <w:t>1</w:t>
          </w:r>
        </w:p>
      </w:sdtContent>
    </w:sdt>
    <w:p w14:paraId="2382BC99">
      <w:pPr>
        <w:spacing w:before="101" w:line="223" w:lineRule="auto"/>
        <w:ind w:left="2854"/>
        <w:outlineLvl w:val="0"/>
        <w:rPr>
          <w:rFonts w:ascii="宋体" w:hAnsi="宋体" w:eastAsia="宋体" w:cs="宋体"/>
          <w:color w:val="auto"/>
          <w:sz w:val="31"/>
          <w:szCs w:val="31"/>
          <w:highlight w:val="none"/>
        </w:rPr>
      </w:pPr>
      <w:bookmarkStart w:id="0" w:name="bookmark1"/>
      <w:bookmarkEnd w:id="0"/>
      <w:r>
        <w:rPr>
          <w:rFonts w:ascii="宋体" w:hAnsi="宋体" w:eastAsia="宋体" w:cs="宋体"/>
          <w:b/>
          <w:bCs/>
          <w:color w:val="auto"/>
          <w:spacing w:val="6"/>
          <w:sz w:val="31"/>
          <w:szCs w:val="31"/>
          <w:highlight w:val="none"/>
        </w:rPr>
        <w:t>第一章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竞争性磋商公告</w:t>
      </w:r>
    </w:p>
    <w:p w14:paraId="727C4158">
      <w:pPr>
        <w:spacing w:before="114"/>
        <w:rPr>
          <w:color w:val="auto"/>
          <w:highlight w:val="none"/>
        </w:rPr>
      </w:pPr>
    </w:p>
    <w:tbl>
      <w:tblPr>
        <w:tblStyle w:val="9"/>
        <w:tblW w:w="90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14:paraId="2443DCC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052" w:type="dxa"/>
            <w:vAlign w:val="top"/>
          </w:tcPr>
          <w:p w14:paraId="5B208863">
            <w:pPr>
              <w:pStyle w:val="10"/>
              <w:spacing w:before="143" w:line="228" w:lineRule="auto"/>
              <w:ind w:left="118"/>
              <w:rPr>
                <w:color w:val="auto"/>
                <w:highlight w:val="none"/>
              </w:rPr>
            </w:pPr>
            <w:r>
              <w:rPr>
                <w:color w:val="auto"/>
                <w:spacing w:val="6"/>
                <w:highlight w:val="none"/>
              </w:rPr>
              <w:t>项目概况</w:t>
            </w:r>
          </w:p>
          <w:p w14:paraId="342B35E3">
            <w:pPr>
              <w:pStyle w:val="10"/>
              <w:spacing w:before="220" w:line="397" w:lineRule="auto"/>
              <w:ind w:left="91" w:right="85" w:firstLine="420"/>
              <w:rPr>
                <w:color w:val="auto"/>
                <w:highlight w:val="none"/>
              </w:rPr>
            </w:pPr>
            <w:r>
              <w:rPr>
                <w:rFonts w:hint="eastAsia"/>
                <w:color w:val="auto"/>
                <w:spacing w:val="8"/>
                <w:highlight w:val="none"/>
                <w:u w:val="single"/>
                <w:lang w:eastAsia="zh-CN"/>
              </w:rPr>
              <w:t>广西平果市古沙水库至罗米水库至右江排洪排水工程勘察设计服务二次招标</w:t>
            </w:r>
            <w:r>
              <w:rPr>
                <w:color w:val="auto"/>
                <w:spacing w:val="8"/>
                <w:highlight w:val="none"/>
              </w:rPr>
              <w:t>采购项目的潜在供应商应在“广西政府采购</w:t>
            </w:r>
            <w:r>
              <w:rPr>
                <w:color w:val="auto"/>
                <w:spacing w:val="10"/>
                <w:highlight w:val="none"/>
              </w:rPr>
              <w:t>云平台</w:t>
            </w:r>
            <w:r>
              <w:rPr>
                <w:color w:val="auto"/>
                <w:spacing w:val="-62"/>
                <w:highlight w:val="none"/>
              </w:rPr>
              <w:t xml:space="preserve"> </w:t>
            </w:r>
            <w:r>
              <w:rPr>
                <w:color w:val="auto"/>
                <w:spacing w:val="10"/>
                <w:highlight w:val="none"/>
              </w:rPr>
              <w:t>”（</w:t>
            </w:r>
            <w:r>
              <w:rPr>
                <w:color w:val="auto"/>
                <w:highlight w:val="none"/>
              </w:rPr>
              <w:t>https</w:t>
            </w:r>
            <w:r>
              <w:rPr>
                <w:color w:val="auto"/>
                <w:spacing w:val="10"/>
                <w:highlight w:val="none"/>
              </w:rPr>
              <w:t>://</w:t>
            </w:r>
            <w:r>
              <w:rPr>
                <w:color w:val="auto"/>
                <w:highlight w:val="none"/>
              </w:rPr>
              <w:t>www</w:t>
            </w:r>
            <w:r>
              <w:rPr>
                <w:color w:val="auto"/>
                <w:spacing w:val="10"/>
                <w:highlight w:val="none"/>
              </w:rPr>
              <w:t>.</w:t>
            </w:r>
            <w:r>
              <w:rPr>
                <w:color w:val="auto"/>
                <w:highlight w:val="none"/>
              </w:rPr>
              <w:t>gcy</w:t>
            </w:r>
            <w:r>
              <w:rPr>
                <w:color w:val="auto"/>
                <w:spacing w:val="10"/>
                <w:highlight w:val="none"/>
              </w:rPr>
              <w:t>.</w:t>
            </w:r>
            <w:r>
              <w:rPr>
                <w:color w:val="auto"/>
                <w:highlight w:val="none"/>
              </w:rPr>
              <w:t>zfcg</w:t>
            </w:r>
            <w:r>
              <w:rPr>
                <w:color w:val="auto"/>
                <w:spacing w:val="10"/>
                <w:highlight w:val="none"/>
              </w:rPr>
              <w:t>.</w:t>
            </w:r>
            <w:r>
              <w:rPr>
                <w:color w:val="auto"/>
                <w:highlight w:val="none"/>
              </w:rPr>
              <w:t>gxzf</w:t>
            </w:r>
            <w:r>
              <w:rPr>
                <w:color w:val="auto"/>
                <w:spacing w:val="10"/>
                <w:highlight w:val="none"/>
              </w:rPr>
              <w:t>.</w:t>
            </w:r>
            <w:r>
              <w:rPr>
                <w:color w:val="auto"/>
                <w:highlight w:val="none"/>
              </w:rPr>
              <w:t>gov</w:t>
            </w:r>
            <w:r>
              <w:rPr>
                <w:color w:val="auto"/>
                <w:spacing w:val="10"/>
                <w:highlight w:val="none"/>
              </w:rPr>
              <w:t>.</w:t>
            </w:r>
            <w:r>
              <w:rPr>
                <w:color w:val="auto"/>
                <w:highlight w:val="none"/>
              </w:rPr>
              <w:t>cn</w:t>
            </w:r>
            <w:r>
              <w:rPr>
                <w:color w:val="auto"/>
                <w:spacing w:val="10"/>
                <w:highlight w:val="none"/>
              </w:rPr>
              <w:t>/）获取竞争性磋商</w:t>
            </w:r>
            <w:r>
              <w:rPr>
                <w:color w:val="auto"/>
                <w:spacing w:val="9"/>
                <w:highlight w:val="none"/>
              </w:rPr>
              <w:t>文件，并于</w:t>
            </w:r>
            <w:r>
              <w:rPr>
                <w:color w:val="auto"/>
                <w:spacing w:val="-30"/>
                <w:highlight w:val="none"/>
              </w:rPr>
              <w:t xml:space="preserve"> </w:t>
            </w:r>
            <w:r>
              <w:rPr>
                <w:color w:val="auto"/>
                <w:spacing w:val="9"/>
                <w:highlight w:val="none"/>
                <w:u w:val="single" w:color="auto"/>
              </w:rPr>
              <w:t>202</w:t>
            </w:r>
            <w:r>
              <w:rPr>
                <w:rFonts w:hint="eastAsia"/>
                <w:color w:val="auto"/>
                <w:spacing w:val="9"/>
                <w:highlight w:val="none"/>
                <w:u w:val="single" w:color="auto"/>
                <w:lang w:val="en-US" w:eastAsia="zh-CN"/>
              </w:rPr>
              <w:t>5</w:t>
            </w:r>
            <w:r>
              <w:rPr>
                <w:color w:val="auto"/>
                <w:spacing w:val="-32"/>
                <w:highlight w:val="none"/>
                <w:u w:val="single" w:color="auto"/>
              </w:rPr>
              <w:t xml:space="preserve"> </w:t>
            </w:r>
            <w:r>
              <w:rPr>
                <w:color w:val="auto"/>
                <w:spacing w:val="9"/>
                <w:highlight w:val="none"/>
                <w:u w:val="single" w:color="auto"/>
              </w:rPr>
              <w:t>年</w:t>
            </w:r>
            <w:r>
              <w:rPr>
                <w:rFonts w:hint="eastAsia"/>
                <w:color w:val="auto"/>
                <w:spacing w:val="9"/>
                <w:highlight w:val="none"/>
                <w:u w:val="single" w:color="auto"/>
                <w:lang w:val="en-US" w:eastAsia="zh-CN"/>
              </w:rPr>
              <w:t xml:space="preserve"> 04 </w:t>
            </w:r>
            <w:r>
              <w:rPr>
                <w:color w:val="auto"/>
                <w:spacing w:val="9"/>
                <w:highlight w:val="none"/>
                <w:u w:val="single" w:color="auto"/>
              </w:rPr>
              <w:t>月</w:t>
            </w:r>
            <w:r>
              <w:rPr>
                <w:rFonts w:hint="eastAsia"/>
                <w:color w:val="auto"/>
                <w:spacing w:val="9"/>
                <w:highlight w:val="none"/>
                <w:u w:val="single" w:color="auto"/>
                <w:lang w:val="en-US" w:eastAsia="zh-CN"/>
              </w:rPr>
              <w:t xml:space="preserve"> 28</w:t>
            </w:r>
            <w:r>
              <w:rPr>
                <w:rFonts w:hint="eastAsia"/>
                <w:color w:val="auto"/>
                <w:spacing w:val="-16"/>
                <w:highlight w:val="none"/>
                <w:u w:val="single" w:color="auto"/>
                <w:lang w:val="en-US" w:eastAsia="zh-CN"/>
              </w:rPr>
              <w:t xml:space="preserve"> </w:t>
            </w:r>
            <w:r>
              <w:rPr>
                <w:color w:val="auto"/>
                <w:spacing w:val="9"/>
                <w:highlight w:val="none"/>
                <w:u w:val="single" w:color="auto"/>
              </w:rPr>
              <w:t>日</w:t>
            </w:r>
            <w:r>
              <w:rPr>
                <w:color w:val="auto"/>
                <w:highlight w:val="none"/>
                <w:u w:val="single"/>
              </w:rPr>
              <w:t xml:space="preserve"> </w:t>
            </w:r>
            <w:r>
              <w:rPr>
                <w:color w:val="auto"/>
                <w:spacing w:val="7"/>
                <w:highlight w:val="none"/>
                <w:u w:val="single" w:color="auto"/>
              </w:rPr>
              <w:t>0</w:t>
            </w:r>
            <w:r>
              <w:rPr>
                <w:rFonts w:hint="eastAsia"/>
                <w:color w:val="auto"/>
                <w:spacing w:val="7"/>
                <w:highlight w:val="none"/>
                <w:u w:val="single" w:color="auto"/>
                <w:lang w:val="en-US" w:eastAsia="zh-CN"/>
              </w:rPr>
              <w:t>9</w:t>
            </w:r>
            <w:r>
              <w:rPr>
                <w:color w:val="auto"/>
                <w:spacing w:val="7"/>
                <w:highlight w:val="none"/>
                <w:u w:val="single" w:color="auto"/>
              </w:rPr>
              <w:t>:</w:t>
            </w:r>
            <w:r>
              <w:rPr>
                <w:rFonts w:hint="eastAsia"/>
                <w:color w:val="auto"/>
                <w:spacing w:val="7"/>
                <w:highlight w:val="none"/>
                <w:u w:val="single" w:color="auto"/>
                <w:lang w:val="en-US" w:eastAsia="zh-CN"/>
              </w:rPr>
              <w:t>3</w:t>
            </w:r>
            <w:r>
              <w:rPr>
                <w:color w:val="auto"/>
                <w:spacing w:val="7"/>
                <w:highlight w:val="none"/>
                <w:u w:val="single" w:color="auto"/>
              </w:rPr>
              <w:t>0</w:t>
            </w:r>
            <w:r>
              <w:rPr>
                <w:color w:val="auto"/>
                <w:spacing w:val="-35"/>
                <w:highlight w:val="none"/>
                <w:u w:val="single" w:color="auto"/>
              </w:rPr>
              <w:t xml:space="preserve"> </w:t>
            </w:r>
            <w:r>
              <w:rPr>
                <w:color w:val="auto"/>
                <w:spacing w:val="7"/>
                <w:highlight w:val="none"/>
                <w:u w:val="single" w:color="auto"/>
              </w:rPr>
              <w:t>分</w:t>
            </w:r>
            <w:r>
              <w:rPr>
                <w:color w:val="auto"/>
                <w:spacing w:val="7"/>
                <w:highlight w:val="none"/>
              </w:rPr>
              <w:t>（北京时间）前递交响应文件。</w:t>
            </w:r>
          </w:p>
        </w:tc>
      </w:tr>
    </w:tbl>
    <w:p w14:paraId="0744D31B">
      <w:pPr>
        <w:spacing w:before="129" w:line="227" w:lineRule="auto"/>
        <w:ind w:left="520"/>
        <w:outlineLvl w:val="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一、项目基本情况</w:t>
      </w:r>
    </w:p>
    <w:p w14:paraId="2394B126">
      <w:pPr>
        <w:spacing w:before="221" w:line="228" w:lineRule="auto"/>
        <w:ind w:left="532"/>
        <w:rPr>
          <w:rFonts w:hint="eastAsia" w:ascii="宋体" w:hAnsi="宋体" w:eastAsia="宋体" w:cs="宋体"/>
          <w:color w:val="auto"/>
          <w:sz w:val="20"/>
          <w:szCs w:val="20"/>
          <w:highlight w:val="none"/>
          <w:lang w:eastAsia="zh-CN"/>
        </w:rPr>
      </w:pPr>
      <w:r>
        <w:rPr>
          <w:rFonts w:ascii="宋体" w:hAnsi="宋体" w:eastAsia="宋体" w:cs="宋体"/>
          <w:color w:val="auto"/>
          <w:spacing w:val="6"/>
          <w:sz w:val="20"/>
          <w:szCs w:val="20"/>
          <w:highlight w:val="none"/>
        </w:rPr>
        <w:t>1.项目编号：</w:t>
      </w:r>
      <w:r>
        <w:rPr>
          <w:rFonts w:hint="eastAsia" w:ascii="宋体" w:hAnsi="宋体" w:eastAsia="宋体" w:cs="宋体"/>
          <w:color w:val="auto"/>
          <w:spacing w:val="6"/>
          <w:sz w:val="20"/>
          <w:szCs w:val="20"/>
          <w:highlight w:val="none"/>
          <w:lang w:eastAsia="zh-CN"/>
        </w:rPr>
        <w:t>BSZC2025-C3-230043-GXZZ</w:t>
      </w:r>
    </w:p>
    <w:p w14:paraId="16E3F070">
      <w:pPr>
        <w:spacing w:before="222" w:line="226" w:lineRule="auto"/>
        <w:ind w:left="519"/>
        <w:rPr>
          <w:rFonts w:hint="eastAsia" w:ascii="宋体" w:hAnsi="宋体" w:eastAsia="宋体" w:cs="宋体"/>
          <w:color w:val="auto"/>
          <w:sz w:val="20"/>
          <w:szCs w:val="20"/>
          <w:highlight w:val="none"/>
          <w:lang w:eastAsia="zh-CN"/>
        </w:rPr>
      </w:pPr>
      <w:r>
        <w:rPr>
          <w:rFonts w:ascii="宋体" w:hAnsi="宋体" w:eastAsia="宋体" w:cs="宋体"/>
          <w:color w:val="auto"/>
          <w:spacing w:val="9"/>
          <w:sz w:val="20"/>
          <w:szCs w:val="20"/>
          <w:highlight w:val="none"/>
        </w:rPr>
        <w:t>2.项目名称：</w:t>
      </w:r>
      <w:r>
        <w:rPr>
          <w:rFonts w:hint="eastAsia" w:ascii="宋体" w:hAnsi="宋体" w:eastAsia="宋体" w:cs="宋体"/>
          <w:color w:val="auto"/>
          <w:spacing w:val="9"/>
          <w:sz w:val="20"/>
          <w:szCs w:val="20"/>
          <w:highlight w:val="none"/>
          <w:lang w:eastAsia="zh-CN"/>
        </w:rPr>
        <w:t>广西平果市古沙水库至罗米水库至右江排洪排水工程勘察设计服务二次招标</w:t>
      </w:r>
    </w:p>
    <w:p w14:paraId="5CFA2D8E">
      <w:pPr>
        <w:spacing w:before="222" w:line="227" w:lineRule="auto"/>
        <w:ind w:left="5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3.采购方式：竞争性磋商</w:t>
      </w:r>
    </w:p>
    <w:p w14:paraId="2B8BAC0D">
      <w:pPr>
        <w:spacing w:before="221" w:line="330" w:lineRule="auto"/>
        <w:ind w:left="99" w:right="87" w:firstLine="422"/>
        <w:rPr>
          <w:rFonts w:hint="eastAsia"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4.预算金额：</w:t>
      </w:r>
      <w:r>
        <w:rPr>
          <w:rFonts w:hint="eastAsia" w:ascii="宋体" w:hAnsi="宋体" w:eastAsia="宋体" w:cs="宋体"/>
          <w:color w:val="auto"/>
          <w:spacing w:val="8"/>
          <w:sz w:val="20"/>
          <w:szCs w:val="20"/>
          <w:highlight w:val="none"/>
        </w:rPr>
        <w:t>916600.00元</w:t>
      </w:r>
    </w:p>
    <w:p w14:paraId="286CDE79">
      <w:pPr>
        <w:spacing w:before="220" w:line="330" w:lineRule="auto"/>
        <w:ind w:left="122" w:right="90" w:firstLine="396"/>
        <w:rPr>
          <w:rFonts w:hint="eastAsia"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5.最高限价：</w:t>
      </w:r>
      <w:r>
        <w:rPr>
          <w:rFonts w:hint="eastAsia" w:ascii="宋体" w:hAnsi="宋体" w:eastAsia="宋体" w:cs="宋体"/>
          <w:color w:val="auto"/>
          <w:spacing w:val="8"/>
          <w:sz w:val="20"/>
          <w:szCs w:val="20"/>
          <w:highlight w:val="none"/>
        </w:rPr>
        <w:t>916600.00元</w:t>
      </w:r>
    </w:p>
    <w:p w14:paraId="0D78C782">
      <w:pPr>
        <w:spacing w:before="220" w:line="381" w:lineRule="auto"/>
        <w:ind w:left="96" w:right="90" w:firstLine="425"/>
        <w:rPr>
          <w:rFonts w:hint="eastAsia" w:ascii="宋体" w:hAnsi="宋体" w:eastAsia="宋体" w:cs="宋体"/>
          <w:color w:val="auto"/>
          <w:spacing w:val="11"/>
          <w:sz w:val="20"/>
          <w:szCs w:val="20"/>
          <w:highlight w:val="none"/>
        </w:rPr>
      </w:pPr>
      <w:r>
        <w:rPr>
          <w:rFonts w:ascii="宋体" w:hAnsi="宋体" w:eastAsia="宋体" w:cs="宋体"/>
          <w:color w:val="auto"/>
          <w:spacing w:val="11"/>
          <w:sz w:val="20"/>
          <w:szCs w:val="20"/>
          <w:highlight w:val="none"/>
        </w:rPr>
        <w:t>6.采购需求：</w:t>
      </w:r>
      <w:r>
        <w:rPr>
          <w:rFonts w:hint="eastAsia" w:ascii="宋体" w:hAnsi="宋体" w:eastAsia="宋体" w:cs="宋体"/>
          <w:color w:val="auto"/>
          <w:spacing w:val="11"/>
          <w:sz w:val="20"/>
          <w:szCs w:val="20"/>
          <w:highlight w:val="none"/>
        </w:rPr>
        <w:t>对平果市古沙水库至罗米水库至右江排洪排水工程勘察设计，编制初步设计、招标设计及施工图设计相关文件，设计成果应达到相应设计深度并获得行政主管部门的批复。其中（1）勘察阶段工作包括初步设计阶段、招标设计阶段、施工图设计阶段的工程勘察、工程测量、周边环境调查、施工配合等后续服务，以及按国家有关报告编制和勘察规程规范的要求应由勘察单位完成的工作；（2）初步设计及概算的编制需通过相关主管部门审批，招标设计、施工图设计需通过相关单位审查，所提供服务和资料应满足国家相关规程规范或行业相关规定或者政策性要求。</w:t>
      </w:r>
    </w:p>
    <w:p w14:paraId="2A4E0562">
      <w:pPr>
        <w:spacing w:before="220" w:line="381" w:lineRule="auto"/>
        <w:ind w:left="96" w:right="90" w:firstLine="42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7.工程规模：</w:t>
      </w:r>
      <w:r>
        <w:rPr>
          <w:rFonts w:hint="eastAsia" w:ascii="宋体" w:hAnsi="宋体" w:eastAsia="宋体" w:cs="宋体"/>
          <w:color w:val="auto"/>
          <w:spacing w:val="11"/>
          <w:sz w:val="20"/>
          <w:szCs w:val="20"/>
          <w:highlight w:val="none"/>
        </w:rPr>
        <w:t>整治河道总长5.817km。新建左、右岸护岸各11.634m</w:t>
      </w:r>
      <w:r>
        <w:rPr>
          <w:rFonts w:hint="eastAsia" w:ascii="宋体" w:hAnsi="宋体" w:eastAsia="宋体" w:cs="宋体"/>
          <w:color w:val="auto"/>
          <w:spacing w:val="11"/>
          <w:sz w:val="20"/>
          <w:szCs w:val="20"/>
          <w:highlight w:val="none"/>
          <w:lang w:val="en-US" w:eastAsia="zh-CN"/>
        </w:rPr>
        <w:t>;</w:t>
      </w:r>
      <w:r>
        <w:rPr>
          <w:rFonts w:hint="eastAsia" w:ascii="宋体" w:hAnsi="宋体" w:eastAsia="宋体" w:cs="宋体"/>
          <w:color w:val="auto"/>
          <w:spacing w:val="11"/>
          <w:sz w:val="20"/>
          <w:szCs w:val="20"/>
          <w:highlight w:val="none"/>
        </w:rPr>
        <w:t>衬砌排洪沟5.817km，建设泥结石防汛道路5.253km。</w:t>
      </w:r>
    </w:p>
    <w:p w14:paraId="7835A71B">
      <w:pPr>
        <w:spacing w:before="221" w:line="227" w:lineRule="auto"/>
        <w:ind w:left="518"/>
        <w:rPr>
          <w:rFonts w:hint="eastAsia"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8.合同履行期限：</w:t>
      </w:r>
      <w:r>
        <w:rPr>
          <w:rFonts w:hint="eastAsia" w:ascii="宋体" w:hAnsi="宋体" w:eastAsia="宋体" w:cs="宋体"/>
          <w:color w:val="auto"/>
          <w:spacing w:val="5"/>
          <w:sz w:val="20"/>
          <w:szCs w:val="20"/>
          <w:highlight w:val="none"/>
        </w:rPr>
        <w:t>40日历天</w:t>
      </w:r>
    </w:p>
    <w:p w14:paraId="4D77C599">
      <w:pPr>
        <w:spacing w:before="221" w:line="227" w:lineRule="auto"/>
        <w:ind w:left="518"/>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（1）勘察、初步设计阶段：自合同签订之日起10日内提交勘察设计报告及初步设计文件编制并提交送审稿，并于初步设计阶段勘察设计文件评审工作结束后10日内提供报批稿报告成果；</w:t>
      </w:r>
    </w:p>
    <w:p w14:paraId="4689C66E">
      <w:pPr>
        <w:spacing w:before="221" w:line="227" w:lineRule="auto"/>
        <w:ind w:left="518"/>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（2）招标设计阶段：初步设计报告获得批复后10日内提交施工招标所需的招标资料、工程量清单、招标控制价等；</w:t>
      </w:r>
    </w:p>
    <w:p w14:paraId="00A88171">
      <w:pPr>
        <w:spacing w:before="221" w:line="227" w:lineRule="auto"/>
        <w:ind w:left="518"/>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（3）施工图设计阶段：在项目签订施工合同后10日内提交施工设计图纸，并按工程进度的要求满足需求；</w:t>
      </w:r>
    </w:p>
    <w:p w14:paraId="06CF190C">
      <w:pPr>
        <w:spacing w:before="221" w:line="227" w:lineRule="auto"/>
        <w:ind w:left="518"/>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（4）技术服务：配合做好设计重大变更的调整、各项阶段的成果审查和审批至工程通过竣工验收结束。</w:t>
      </w:r>
    </w:p>
    <w:p w14:paraId="085E50CC">
      <w:pPr>
        <w:spacing w:before="221" w:line="227" w:lineRule="auto"/>
        <w:ind w:left="5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9.本项目</w:t>
      </w:r>
      <w:r>
        <w:rPr>
          <w:rFonts w:ascii="宋体" w:hAnsi="宋体" w:eastAsia="宋体" w:cs="宋体"/>
          <w:color w:val="auto"/>
          <w:spacing w:val="7"/>
          <w:sz w:val="20"/>
          <w:szCs w:val="20"/>
          <w:highlight w:val="none"/>
          <w:u w:val="single"/>
        </w:rPr>
        <w:t>不接受</w:t>
      </w:r>
      <w:r>
        <w:rPr>
          <w:rFonts w:ascii="宋体" w:hAnsi="宋体" w:eastAsia="宋体" w:cs="宋体"/>
          <w:color w:val="auto"/>
          <w:spacing w:val="7"/>
          <w:sz w:val="20"/>
          <w:szCs w:val="20"/>
          <w:highlight w:val="none"/>
        </w:rPr>
        <w:t>联合体。</w:t>
      </w:r>
    </w:p>
    <w:p w14:paraId="4B8BA5C1">
      <w:pPr>
        <w:pStyle w:val="3"/>
        <w:spacing w:line="275" w:lineRule="auto"/>
        <w:rPr>
          <w:color w:val="auto"/>
          <w:highlight w:val="none"/>
        </w:rPr>
      </w:pPr>
    </w:p>
    <w:p w14:paraId="070D4A21">
      <w:pPr>
        <w:spacing w:before="66" w:line="227" w:lineRule="auto"/>
        <w:ind w:left="520"/>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二、供应商的资格条件：</w:t>
      </w:r>
    </w:p>
    <w:p w14:paraId="78C538D9">
      <w:pPr>
        <w:spacing w:before="222" w:line="364" w:lineRule="auto"/>
        <w:ind w:left="97" w:right="90" w:firstLine="424"/>
        <w:rPr>
          <w:rFonts w:ascii="宋体" w:hAnsi="宋体" w:eastAsia="宋体" w:cs="宋体"/>
          <w:color w:val="auto"/>
          <w:spacing w:val="11"/>
          <w:sz w:val="20"/>
          <w:szCs w:val="20"/>
          <w:highlight w:val="none"/>
        </w:rPr>
      </w:pPr>
      <w:r>
        <w:rPr>
          <w:rFonts w:ascii="宋体" w:hAnsi="宋体" w:eastAsia="宋体" w:cs="宋体"/>
          <w:color w:val="auto"/>
          <w:spacing w:val="11"/>
          <w:sz w:val="20"/>
          <w:szCs w:val="20"/>
          <w:highlight w:val="none"/>
        </w:rPr>
        <w:t>1.满足《中华人民共和国政府采购法》第二十二条规定；</w:t>
      </w:r>
    </w:p>
    <w:p w14:paraId="624A3312">
      <w:pPr>
        <w:spacing w:before="222" w:line="364" w:lineRule="auto"/>
        <w:ind w:left="97" w:right="90" w:firstLine="424"/>
        <w:rPr>
          <w:rFonts w:hint="eastAsia" w:ascii="宋体" w:hAnsi="宋体" w:eastAsia="宋体" w:cs="宋体"/>
          <w:color w:val="auto"/>
          <w:spacing w:val="11"/>
          <w:sz w:val="20"/>
          <w:szCs w:val="20"/>
          <w:highlight w:val="none"/>
        </w:rPr>
      </w:pPr>
      <w:r>
        <w:rPr>
          <w:rFonts w:ascii="宋体" w:hAnsi="宋体" w:eastAsia="宋体" w:cs="宋体"/>
          <w:color w:val="auto"/>
          <w:spacing w:val="11"/>
          <w:sz w:val="20"/>
          <w:szCs w:val="20"/>
          <w:highlight w:val="none"/>
        </w:rPr>
        <w:t>2.</w:t>
      </w:r>
      <w:r>
        <w:rPr>
          <w:rFonts w:hint="eastAsia" w:ascii="宋体" w:hAnsi="宋体" w:eastAsia="宋体" w:cs="宋体"/>
          <w:color w:val="auto"/>
          <w:spacing w:val="11"/>
          <w:sz w:val="20"/>
          <w:szCs w:val="20"/>
          <w:highlight w:val="none"/>
        </w:rPr>
        <w:t>落实政府采购政策需满足的资格要求：本项目为专门面向中小企业采购的项目，供应商为中型企业/小型企业/微型企业。根据《财政部、司法部关于政府采购支持监狱企业发展有关问题的通 知》（财库[2014]68 号）及《关于促进残疾人就业政府采购政策的通知》（财库〔2017〕141 号） 规定，监狱企业、残疾人福利性单位视同小型、微型企业。</w:t>
      </w:r>
    </w:p>
    <w:p w14:paraId="29E4B319">
      <w:pPr>
        <w:spacing w:before="222" w:line="364" w:lineRule="auto"/>
        <w:ind w:left="97" w:right="90" w:firstLine="424"/>
        <w:rPr>
          <w:rFonts w:hint="eastAsia"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rPr>
        <w:t>3.本项目的特定资格要求：</w:t>
      </w:r>
    </w:p>
    <w:p w14:paraId="51BCAAFE">
      <w:pPr>
        <w:spacing w:before="218" w:line="364" w:lineRule="auto"/>
        <w:ind w:left="4" w:firstLine="414"/>
        <w:rPr>
          <w:rFonts w:hint="eastAsia"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rPr>
        <w:t>（1）须同时具备：①工程设计综合甲级资质或工程设计水利行业专业丙级（或以上）资质；②工程勘察综合类甲级或工程勘察专业类（岩土工程（勘察））丙级（或以上）资质，并在人员、设备、信誉等方面具有承担本标段勘察设计的能力；</w:t>
      </w:r>
    </w:p>
    <w:p w14:paraId="2712CBA1">
      <w:pPr>
        <w:spacing w:before="218" w:line="364" w:lineRule="auto"/>
        <w:ind w:left="4" w:firstLine="414"/>
        <w:rPr>
          <w:rFonts w:hint="eastAsia"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rPr>
        <w:t>（2）人员要求：拟投入本工程的勘察设计人员必须是本单位的在岗人员，并持有相应的专业技术职称证书或执业资格证书。①项目负责人（设总）：具有高级（含高级）以上技术职称，且专业是水利水电工程类专业。</w:t>
      </w:r>
    </w:p>
    <w:p w14:paraId="1B2E9A96">
      <w:pPr>
        <w:spacing w:before="218" w:line="364" w:lineRule="auto"/>
        <w:ind w:left="4" w:firstLine="41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4.单位负责人为同一人或者存在直接控股、管理关系的不同供应商，不得参加同一合同</w:t>
      </w:r>
      <w:r>
        <w:rPr>
          <w:rFonts w:ascii="宋体" w:hAnsi="宋体" w:eastAsia="宋体" w:cs="宋体"/>
          <w:color w:val="auto"/>
          <w:spacing w:val="10"/>
          <w:sz w:val="20"/>
          <w:szCs w:val="20"/>
          <w:highlight w:val="none"/>
        </w:rPr>
        <w:t>项下</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的政府采购活动。为本项目提供过整体设计、规范编制或者项目管理、监理、检测等服务的供应</w:t>
      </w:r>
      <w:r>
        <w:rPr>
          <w:rFonts w:ascii="宋体" w:hAnsi="宋体" w:eastAsia="宋体" w:cs="宋体"/>
          <w:color w:val="auto"/>
          <w:spacing w:val="2"/>
          <w:sz w:val="20"/>
          <w:szCs w:val="20"/>
          <w:highlight w:val="none"/>
        </w:rPr>
        <w:t xml:space="preserve"> </w:t>
      </w:r>
      <w:r>
        <w:rPr>
          <w:rFonts w:ascii="宋体" w:hAnsi="宋体" w:eastAsia="宋体" w:cs="宋体"/>
          <w:color w:val="auto"/>
          <w:spacing w:val="9"/>
          <w:sz w:val="20"/>
          <w:szCs w:val="20"/>
          <w:highlight w:val="none"/>
        </w:rPr>
        <w:t>商，不得再参加本项目上述服务以外的其他采购活动。</w:t>
      </w:r>
    </w:p>
    <w:p w14:paraId="76647138">
      <w:pPr>
        <w:spacing w:before="221" w:line="364" w:lineRule="auto"/>
        <w:ind w:firstLine="42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sz w:val="20"/>
          <w:szCs w:val="20"/>
          <w:highlight w:val="none"/>
        </w:rPr>
        <w:t>www</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14"/>
          <w:sz w:val="20"/>
          <w:szCs w:val="20"/>
          <w:highlight w:val="none"/>
        </w:rPr>
        <w:t>) 、中国政府采购网(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sz w:val="20"/>
          <w:szCs w:val="20"/>
          <w:highlight w:val="none"/>
        </w:rPr>
        <w:t>www</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4"/>
          <w:sz w:val="20"/>
          <w:szCs w:val="20"/>
          <w:highlight w:val="none"/>
        </w:rPr>
        <w:t>)</w:t>
      </w:r>
      <w:r>
        <w:rPr>
          <w:rFonts w:ascii="宋体" w:hAnsi="宋体" w:eastAsia="宋体" w:cs="宋体"/>
          <w:color w:val="auto"/>
          <w:spacing w:val="14"/>
          <w:sz w:val="20"/>
          <w:szCs w:val="20"/>
          <w:highlight w:val="none"/>
        </w:rPr>
        <w:fldChar w:fldCharType="end"/>
      </w:r>
      <w:r>
        <w:rPr>
          <w:rFonts w:ascii="宋体" w:hAnsi="宋体" w:eastAsia="宋体" w:cs="宋体"/>
          <w:color w:val="auto"/>
          <w:spacing w:val="9"/>
          <w:sz w:val="20"/>
          <w:szCs w:val="20"/>
          <w:highlight w:val="none"/>
        </w:rPr>
        <w:t xml:space="preserve"> </w:t>
      </w:r>
      <w:r>
        <w:rPr>
          <w:rFonts w:ascii="宋体" w:hAnsi="宋体" w:eastAsia="宋体" w:cs="宋体"/>
          <w:color w:val="auto"/>
          <w:spacing w:val="11"/>
          <w:sz w:val="20"/>
          <w:szCs w:val="20"/>
          <w:highlight w:val="none"/>
        </w:rPr>
        <w:t>被列入失信被执行人、重大税收违法失信主体、政府采购严重违法失信行为记录名单及其他不符</w:t>
      </w:r>
      <w:r>
        <w:rPr>
          <w:rFonts w:ascii="宋体" w:hAnsi="宋体" w:eastAsia="宋体" w:cs="宋体"/>
          <w:color w:val="auto"/>
          <w:spacing w:val="6"/>
          <w:sz w:val="20"/>
          <w:szCs w:val="20"/>
          <w:highlight w:val="none"/>
        </w:rPr>
        <w:t xml:space="preserve"> </w:t>
      </w:r>
      <w:r>
        <w:rPr>
          <w:rFonts w:ascii="宋体" w:hAnsi="宋体" w:eastAsia="宋体" w:cs="宋体"/>
          <w:color w:val="auto"/>
          <w:spacing w:val="10"/>
          <w:sz w:val="20"/>
          <w:szCs w:val="20"/>
          <w:highlight w:val="none"/>
        </w:rPr>
        <w:t>合《中华人民共和国政府采购法》第二十二</w:t>
      </w:r>
      <w:r>
        <w:rPr>
          <w:rFonts w:ascii="宋体" w:hAnsi="宋体" w:eastAsia="宋体" w:cs="宋体"/>
          <w:color w:val="auto"/>
          <w:spacing w:val="9"/>
          <w:sz w:val="20"/>
          <w:szCs w:val="20"/>
          <w:highlight w:val="none"/>
        </w:rPr>
        <w:t>条规定条件的供应商，不得参与政府采购活动。</w:t>
      </w:r>
    </w:p>
    <w:p w14:paraId="6E6DE7F1">
      <w:pPr>
        <w:spacing w:before="221" w:line="228" w:lineRule="auto"/>
        <w:ind w:left="420"/>
        <w:outlineLvl w:val="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三、获取竞争性磋商文件</w:t>
      </w:r>
    </w:p>
    <w:p w14:paraId="69890976">
      <w:pPr>
        <w:spacing w:before="221" w:line="432" w:lineRule="auto"/>
        <w:ind w:firstLine="54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时间：202</w:t>
      </w:r>
      <w:r>
        <w:rPr>
          <w:rFonts w:hint="eastAsia" w:ascii="宋体" w:hAnsi="宋体" w:eastAsia="宋体" w:cs="宋体"/>
          <w:color w:val="auto"/>
          <w:spacing w:val="1"/>
          <w:sz w:val="20"/>
          <w:szCs w:val="20"/>
          <w:highlight w:val="none"/>
          <w:lang w:val="en-US" w:eastAsia="zh-CN"/>
        </w:rPr>
        <w:t>5</w:t>
      </w:r>
      <w:r>
        <w:rPr>
          <w:rFonts w:ascii="宋体" w:hAnsi="宋体" w:eastAsia="宋体" w:cs="宋体"/>
          <w:color w:val="auto"/>
          <w:spacing w:val="-26"/>
          <w:sz w:val="20"/>
          <w:szCs w:val="20"/>
          <w:highlight w:val="none"/>
        </w:rPr>
        <w:t xml:space="preserve"> </w:t>
      </w:r>
      <w:r>
        <w:rPr>
          <w:rFonts w:ascii="宋体" w:hAnsi="宋体" w:eastAsia="宋体" w:cs="宋体"/>
          <w:color w:val="auto"/>
          <w:spacing w:val="1"/>
          <w:sz w:val="20"/>
          <w:szCs w:val="20"/>
          <w:highlight w:val="none"/>
        </w:rPr>
        <w:t>年</w:t>
      </w:r>
      <w:r>
        <w:rPr>
          <w:rFonts w:ascii="宋体" w:hAnsi="宋体" w:eastAsia="宋体" w:cs="宋体"/>
          <w:color w:val="auto"/>
          <w:spacing w:val="-21"/>
          <w:sz w:val="20"/>
          <w:szCs w:val="20"/>
          <w:highlight w:val="none"/>
        </w:rPr>
        <w:t xml:space="preserve"> </w:t>
      </w:r>
      <w:r>
        <w:rPr>
          <w:rFonts w:hint="eastAsia" w:ascii="宋体" w:hAnsi="宋体" w:eastAsia="宋体" w:cs="宋体"/>
          <w:color w:val="auto"/>
          <w:spacing w:val="-21"/>
          <w:sz w:val="20"/>
          <w:szCs w:val="20"/>
          <w:highlight w:val="none"/>
          <w:lang w:val="en-US" w:eastAsia="zh-CN"/>
        </w:rPr>
        <w:t>04</w:t>
      </w:r>
      <w:r>
        <w:rPr>
          <w:rFonts w:ascii="宋体" w:hAnsi="宋体" w:eastAsia="宋体" w:cs="宋体"/>
          <w:color w:val="auto"/>
          <w:spacing w:val="-36"/>
          <w:sz w:val="20"/>
          <w:szCs w:val="20"/>
          <w:highlight w:val="none"/>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35"/>
          <w:sz w:val="20"/>
          <w:szCs w:val="20"/>
          <w:highlight w:val="none"/>
        </w:rPr>
        <w:t xml:space="preserve"> </w:t>
      </w:r>
      <w:r>
        <w:rPr>
          <w:rFonts w:hint="eastAsia" w:ascii="宋体" w:hAnsi="宋体" w:eastAsia="宋体" w:cs="宋体"/>
          <w:color w:val="auto"/>
          <w:spacing w:val="-35"/>
          <w:sz w:val="20"/>
          <w:szCs w:val="20"/>
          <w:highlight w:val="none"/>
          <w:lang w:val="en-US" w:eastAsia="zh-CN"/>
        </w:rPr>
        <w:t>15</w:t>
      </w:r>
      <w:r>
        <w:rPr>
          <w:rFonts w:ascii="宋体" w:hAnsi="宋体" w:eastAsia="宋体" w:cs="宋体"/>
          <w:color w:val="auto"/>
          <w:spacing w:val="1"/>
          <w:sz w:val="20"/>
          <w:szCs w:val="20"/>
          <w:highlight w:val="none"/>
        </w:rPr>
        <w:t xml:space="preserve"> 日 至 202</w:t>
      </w:r>
      <w:r>
        <w:rPr>
          <w:rFonts w:hint="eastAsia" w:ascii="宋体" w:hAnsi="宋体" w:eastAsia="宋体" w:cs="宋体"/>
          <w:color w:val="auto"/>
          <w:spacing w:val="1"/>
          <w:sz w:val="20"/>
          <w:szCs w:val="20"/>
          <w:highlight w:val="none"/>
          <w:lang w:val="en-US" w:eastAsia="zh-CN"/>
        </w:rPr>
        <w:t>5</w:t>
      </w:r>
      <w:r>
        <w:rPr>
          <w:rFonts w:ascii="宋体" w:hAnsi="宋体" w:eastAsia="宋体" w:cs="宋体"/>
          <w:color w:val="auto"/>
          <w:spacing w:val="1"/>
          <w:sz w:val="20"/>
          <w:szCs w:val="20"/>
          <w:highlight w:val="none"/>
        </w:rPr>
        <w:t xml:space="preserve"> 年</w:t>
      </w:r>
      <w:r>
        <w:rPr>
          <w:rFonts w:ascii="宋体" w:hAnsi="宋体" w:eastAsia="宋体" w:cs="宋体"/>
          <w:color w:val="auto"/>
          <w:spacing w:val="-23"/>
          <w:sz w:val="20"/>
          <w:szCs w:val="20"/>
          <w:highlight w:val="none"/>
        </w:rPr>
        <w:t xml:space="preserve"> </w:t>
      </w:r>
      <w:r>
        <w:rPr>
          <w:rFonts w:hint="eastAsia" w:ascii="宋体" w:hAnsi="宋体" w:eastAsia="宋体" w:cs="宋体"/>
          <w:color w:val="auto"/>
          <w:spacing w:val="-23"/>
          <w:sz w:val="20"/>
          <w:szCs w:val="20"/>
          <w:highlight w:val="none"/>
          <w:lang w:val="en-US" w:eastAsia="zh-CN"/>
        </w:rPr>
        <w:t>04</w:t>
      </w:r>
      <w:r>
        <w:rPr>
          <w:rFonts w:ascii="宋体" w:hAnsi="宋体" w:eastAsia="宋体" w:cs="宋体"/>
          <w:color w:val="auto"/>
          <w:spacing w:val="-33"/>
          <w:sz w:val="20"/>
          <w:szCs w:val="20"/>
          <w:highlight w:val="none"/>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24"/>
          <w:sz w:val="20"/>
          <w:szCs w:val="20"/>
          <w:highlight w:val="none"/>
        </w:rPr>
        <w:t xml:space="preserve"> </w:t>
      </w:r>
      <w:r>
        <w:rPr>
          <w:rFonts w:hint="eastAsia" w:ascii="宋体" w:hAnsi="宋体" w:eastAsia="宋体" w:cs="宋体"/>
          <w:color w:val="auto"/>
          <w:spacing w:val="-24"/>
          <w:sz w:val="20"/>
          <w:szCs w:val="20"/>
          <w:highlight w:val="none"/>
          <w:lang w:val="en-US" w:eastAsia="zh-CN"/>
        </w:rPr>
        <w:t>22</w:t>
      </w:r>
      <w:r>
        <w:rPr>
          <w:rFonts w:ascii="宋体" w:hAnsi="宋体" w:eastAsia="宋体" w:cs="宋体"/>
          <w:color w:val="auto"/>
          <w:spacing w:val="1"/>
          <w:sz w:val="20"/>
          <w:szCs w:val="20"/>
          <w:highlight w:val="none"/>
        </w:rPr>
        <w:t xml:space="preserve"> 日，每天</w:t>
      </w:r>
      <w:r>
        <w:rPr>
          <w:rFonts w:ascii="宋体" w:hAnsi="宋体" w:eastAsia="宋体" w:cs="宋体"/>
          <w:color w:val="auto"/>
          <w:spacing w:val="-38"/>
          <w:sz w:val="20"/>
          <w:szCs w:val="20"/>
          <w:highlight w:val="none"/>
        </w:rPr>
        <w:t xml:space="preserve"> </w:t>
      </w:r>
      <w:r>
        <w:rPr>
          <w:rFonts w:ascii="宋体" w:hAnsi="宋体" w:eastAsia="宋体" w:cs="宋体"/>
          <w:color w:val="auto"/>
          <w:spacing w:val="1"/>
          <w:sz w:val="20"/>
          <w:szCs w:val="20"/>
          <w:highlight w:val="none"/>
        </w:rPr>
        <w:t>00：00-23:59（北京时间，法定节</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假日除外）</w:t>
      </w:r>
    </w:p>
    <w:p w14:paraId="5D317A74">
      <w:pPr>
        <w:spacing w:before="221" w:line="364" w:lineRule="auto"/>
        <w:ind w:firstLine="424"/>
        <w:rPr>
          <w:rFonts w:ascii="宋体" w:hAnsi="宋体" w:eastAsia="宋体" w:cs="宋体"/>
          <w:color w:val="auto"/>
          <w:spacing w:val="14"/>
          <w:sz w:val="20"/>
          <w:szCs w:val="20"/>
          <w:highlight w:val="none"/>
        </w:rPr>
      </w:pPr>
      <w:r>
        <w:rPr>
          <w:rFonts w:ascii="宋体" w:hAnsi="宋体" w:eastAsia="宋体" w:cs="宋体"/>
          <w:color w:val="auto"/>
          <w:spacing w:val="13"/>
          <w:sz w:val="20"/>
          <w:szCs w:val="20"/>
          <w:highlight w:val="none"/>
        </w:rPr>
        <w:t>地点：广西政府采购云平台完成报名下载（</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3"/>
          <w:sz w:val="20"/>
          <w:szCs w:val="20"/>
          <w:highlight w:val="none"/>
        </w:rPr>
        <w:t>/</w:t>
      </w:r>
      <w:r>
        <w:rPr>
          <w:rFonts w:ascii="宋体" w:hAnsi="宋体" w:eastAsia="宋体" w:cs="宋体"/>
          <w:color w:val="auto"/>
          <w:spacing w:val="13"/>
          <w:sz w:val="20"/>
          <w:szCs w:val="20"/>
          <w:highlight w:val="none"/>
        </w:rPr>
        <w:fldChar w:fldCharType="end"/>
      </w:r>
      <w:r>
        <w:rPr>
          <w:rFonts w:ascii="宋体" w:hAnsi="宋体" w:eastAsia="宋体" w:cs="宋体"/>
          <w:color w:val="auto"/>
          <w:spacing w:val="13"/>
          <w:sz w:val="20"/>
          <w:szCs w:val="20"/>
          <w:highlight w:val="none"/>
        </w:rPr>
        <w:t>）获取磋</w:t>
      </w:r>
      <w:r>
        <w:rPr>
          <w:rFonts w:ascii="宋体" w:hAnsi="宋体" w:eastAsia="宋体" w:cs="宋体"/>
          <w:color w:val="auto"/>
          <w:spacing w:val="12"/>
          <w:sz w:val="20"/>
          <w:szCs w:val="20"/>
          <w:highlight w:val="none"/>
        </w:rPr>
        <w:t xml:space="preserve"> </w:t>
      </w:r>
      <w:r>
        <w:rPr>
          <w:rFonts w:ascii="宋体" w:hAnsi="宋体" w:eastAsia="宋体" w:cs="宋体"/>
          <w:color w:val="auto"/>
          <w:spacing w:val="4"/>
          <w:sz w:val="20"/>
          <w:szCs w:val="20"/>
          <w:highlight w:val="none"/>
        </w:rPr>
        <w:t>商文件</w:t>
      </w:r>
      <w:r>
        <w:rPr>
          <w:rFonts w:ascii="宋体" w:hAnsi="宋体" w:eastAsia="宋体" w:cs="宋体"/>
          <w:color w:val="auto"/>
          <w:spacing w:val="14"/>
          <w:sz w:val="20"/>
          <w:szCs w:val="20"/>
          <w:highlight w:val="none"/>
        </w:rPr>
        <w:t>。</w:t>
      </w:r>
    </w:p>
    <w:p w14:paraId="26CAD651">
      <w:pPr>
        <w:spacing w:before="221" w:line="364" w:lineRule="auto"/>
        <w:ind w:firstLine="424"/>
        <w:rPr>
          <w:rFonts w:hint="eastAsia" w:ascii="宋体" w:hAnsi="宋体" w:eastAsia="宋体" w:cs="宋体"/>
          <w:color w:val="auto"/>
          <w:spacing w:val="14"/>
          <w:sz w:val="20"/>
          <w:szCs w:val="20"/>
          <w:highlight w:val="none"/>
        </w:rPr>
      </w:pPr>
      <w:r>
        <w:rPr>
          <w:rFonts w:ascii="宋体" w:hAnsi="宋体" w:eastAsia="宋体" w:cs="宋体"/>
          <w:color w:val="auto"/>
          <w:spacing w:val="14"/>
          <w:sz w:val="20"/>
          <w:szCs w:val="20"/>
          <w:highlight w:val="none"/>
        </w:rPr>
        <w:t>方式：</w:t>
      </w:r>
      <w:r>
        <w:rPr>
          <w:rFonts w:hint="eastAsia" w:ascii="宋体" w:hAnsi="宋体" w:eastAsia="宋体" w:cs="宋体"/>
          <w:color w:val="auto"/>
          <w:spacing w:val="14"/>
          <w:sz w:val="20"/>
          <w:szCs w:val="20"/>
          <w:highlight w:val="none"/>
        </w:rPr>
        <w:t>本项目不发放纸质采购文件，供应商可自行在“广西政府政采云”平台（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3"/>
          <w:sz w:val="20"/>
          <w:szCs w:val="20"/>
          <w:highlight w:val="none"/>
        </w:rPr>
        <w:t>/</w:t>
      </w:r>
      <w:r>
        <w:rPr>
          <w:rFonts w:ascii="宋体" w:hAnsi="宋体" w:eastAsia="宋体" w:cs="宋体"/>
          <w:color w:val="auto"/>
          <w:spacing w:val="13"/>
          <w:sz w:val="20"/>
          <w:szCs w:val="20"/>
          <w:highlight w:val="none"/>
        </w:rPr>
        <w:fldChar w:fldCharType="end"/>
      </w:r>
      <w:r>
        <w:rPr>
          <w:rFonts w:hint="eastAsia" w:ascii="宋体" w:hAnsi="宋体" w:eastAsia="宋体" w:cs="宋体"/>
          <w:color w:val="auto"/>
          <w:spacing w:val="14"/>
          <w:sz w:val="20"/>
          <w:szCs w:val="20"/>
          <w:highlight w:val="none"/>
        </w:rPr>
        <w:t>）下载采购文件（操作路径：登录“广西政府政采云”平台-项目采购-获取采购文件-找到本项目-点击“申请获取采购文件”），电子响应文件制作需要基于“广西政府政采云”平台（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3"/>
          <w:sz w:val="20"/>
          <w:szCs w:val="20"/>
          <w:highlight w:val="none"/>
        </w:rPr>
        <w:t>/</w:t>
      </w:r>
      <w:r>
        <w:rPr>
          <w:rFonts w:ascii="宋体" w:hAnsi="宋体" w:eastAsia="宋体" w:cs="宋体"/>
          <w:color w:val="auto"/>
          <w:spacing w:val="13"/>
          <w:sz w:val="20"/>
          <w:szCs w:val="20"/>
          <w:highlight w:val="none"/>
        </w:rPr>
        <w:fldChar w:fldCharType="end"/>
      </w:r>
      <w:r>
        <w:rPr>
          <w:rFonts w:hint="eastAsia" w:ascii="宋体" w:hAnsi="宋体" w:eastAsia="宋体" w:cs="宋体"/>
          <w:color w:val="auto"/>
          <w:spacing w:val="14"/>
          <w:sz w:val="20"/>
          <w:szCs w:val="20"/>
          <w:highlight w:val="none"/>
        </w:rPr>
        <w:t>）获取的采购文件编制。</w:t>
      </w:r>
    </w:p>
    <w:p w14:paraId="30D9642B">
      <w:pPr>
        <w:spacing w:before="221" w:line="364" w:lineRule="auto"/>
        <w:ind w:firstLine="42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售价：0</w:t>
      </w:r>
      <w:r>
        <w:rPr>
          <w:rFonts w:ascii="宋体" w:hAnsi="宋体" w:eastAsia="宋体" w:cs="宋体"/>
          <w:color w:val="auto"/>
          <w:spacing w:val="-38"/>
          <w:sz w:val="20"/>
          <w:szCs w:val="20"/>
          <w:highlight w:val="none"/>
        </w:rPr>
        <w:t xml:space="preserve"> </w:t>
      </w:r>
      <w:r>
        <w:rPr>
          <w:rFonts w:ascii="宋体" w:hAnsi="宋体" w:eastAsia="宋体" w:cs="宋体"/>
          <w:color w:val="auto"/>
          <w:spacing w:val="5"/>
          <w:sz w:val="20"/>
          <w:szCs w:val="20"/>
          <w:highlight w:val="none"/>
        </w:rPr>
        <w:t>元</w:t>
      </w:r>
    </w:p>
    <w:p w14:paraId="4C8AA5B9">
      <w:pPr>
        <w:spacing w:before="223" w:line="228" w:lineRule="auto"/>
        <w:ind w:left="439"/>
        <w:outlineLvl w:val="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四、响应文件提交</w:t>
      </w:r>
    </w:p>
    <w:p w14:paraId="6ED64169">
      <w:pPr>
        <w:spacing w:before="221" w:line="228" w:lineRule="auto"/>
        <w:ind w:left="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提交投标文件截止时间和开标时间：202</w:t>
      </w:r>
      <w:r>
        <w:rPr>
          <w:rFonts w:hint="eastAsia" w:ascii="宋体" w:hAnsi="宋体" w:eastAsia="宋体" w:cs="宋体"/>
          <w:color w:val="auto"/>
          <w:spacing w:val="4"/>
          <w:sz w:val="20"/>
          <w:szCs w:val="20"/>
          <w:highlight w:val="none"/>
          <w:lang w:val="en-US" w:eastAsia="zh-CN"/>
        </w:rPr>
        <w:t>5</w:t>
      </w:r>
      <w:r>
        <w:rPr>
          <w:rFonts w:ascii="宋体" w:hAnsi="宋体" w:eastAsia="宋体" w:cs="宋体"/>
          <w:color w:val="auto"/>
          <w:spacing w:val="4"/>
          <w:sz w:val="20"/>
          <w:szCs w:val="20"/>
          <w:highlight w:val="none"/>
        </w:rPr>
        <w:t xml:space="preserve"> 年</w:t>
      </w:r>
      <w:r>
        <w:rPr>
          <w:rFonts w:ascii="宋体" w:hAnsi="宋体" w:eastAsia="宋体" w:cs="宋体"/>
          <w:color w:val="auto"/>
          <w:spacing w:val="-24"/>
          <w:sz w:val="20"/>
          <w:szCs w:val="20"/>
          <w:highlight w:val="none"/>
        </w:rPr>
        <w:t xml:space="preserve"> </w:t>
      </w:r>
      <w:r>
        <w:rPr>
          <w:rFonts w:hint="eastAsia" w:ascii="宋体" w:hAnsi="宋体" w:eastAsia="宋体" w:cs="宋体"/>
          <w:color w:val="auto"/>
          <w:spacing w:val="-24"/>
          <w:sz w:val="20"/>
          <w:szCs w:val="20"/>
          <w:highlight w:val="none"/>
          <w:lang w:val="en-US" w:eastAsia="zh-CN"/>
        </w:rPr>
        <w:t xml:space="preserve">04 </w:t>
      </w:r>
      <w:r>
        <w:rPr>
          <w:rFonts w:ascii="宋体" w:hAnsi="宋体" w:eastAsia="宋体" w:cs="宋体"/>
          <w:color w:val="auto"/>
          <w:spacing w:val="4"/>
          <w:sz w:val="20"/>
          <w:szCs w:val="20"/>
          <w:highlight w:val="none"/>
        </w:rPr>
        <w:t>月</w:t>
      </w:r>
      <w:r>
        <w:rPr>
          <w:rFonts w:ascii="宋体" w:hAnsi="宋体" w:eastAsia="宋体" w:cs="宋体"/>
          <w:color w:val="auto"/>
          <w:spacing w:val="-24"/>
          <w:sz w:val="20"/>
          <w:szCs w:val="20"/>
          <w:highlight w:val="none"/>
        </w:rPr>
        <w:t xml:space="preserve"> </w:t>
      </w:r>
      <w:r>
        <w:rPr>
          <w:rFonts w:hint="eastAsia" w:ascii="宋体" w:hAnsi="宋体" w:eastAsia="宋体" w:cs="宋体"/>
          <w:color w:val="auto"/>
          <w:spacing w:val="-24"/>
          <w:sz w:val="20"/>
          <w:szCs w:val="20"/>
          <w:highlight w:val="none"/>
          <w:lang w:val="en-US" w:eastAsia="zh-CN"/>
        </w:rPr>
        <w:t>28</w:t>
      </w:r>
      <w:r>
        <w:rPr>
          <w:rFonts w:ascii="宋体" w:hAnsi="宋体" w:eastAsia="宋体" w:cs="宋体"/>
          <w:color w:val="auto"/>
          <w:spacing w:val="4"/>
          <w:sz w:val="20"/>
          <w:szCs w:val="20"/>
          <w:highlight w:val="none"/>
        </w:rPr>
        <w:t xml:space="preserve"> 日</w:t>
      </w:r>
      <w:r>
        <w:rPr>
          <w:rFonts w:ascii="宋体" w:hAnsi="宋体" w:eastAsia="宋体" w:cs="宋体"/>
          <w:color w:val="auto"/>
          <w:spacing w:val="-21"/>
          <w:sz w:val="20"/>
          <w:szCs w:val="20"/>
          <w:highlight w:val="none"/>
        </w:rPr>
        <w:t xml:space="preserve"> </w:t>
      </w:r>
      <w:r>
        <w:rPr>
          <w:rFonts w:hint="eastAsia" w:ascii="宋体" w:hAnsi="宋体" w:eastAsia="宋体" w:cs="宋体"/>
          <w:color w:val="auto"/>
          <w:spacing w:val="-21"/>
          <w:sz w:val="20"/>
          <w:szCs w:val="20"/>
          <w:highlight w:val="none"/>
          <w:lang w:val="en-US" w:eastAsia="zh-CN"/>
        </w:rPr>
        <w:t>09</w:t>
      </w:r>
      <w:r>
        <w:rPr>
          <w:rFonts w:ascii="宋体" w:hAnsi="宋体" w:eastAsia="宋体" w:cs="宋体"/>
          <w:color w:val="auto"/>
          <w:spacing w:val="-31"/>
          <w:sz w:val="20"/>
          <w:szCs w:val="20"/>
          <w:highlight w:val="none"/>
        </w:rPr>
        <w:t xml:space="preserve"> </w:t>
      </w:r>
      <w:r>
        <w:rPr>
          <w:rFonts w:ascii="宋体" w:hAnsi="宋体" w:eastAsia="宋体" w:cs="宋体"/>
          <w:color w:val="auto"/>
          <w:spacing w:val="3"/>
          <w:sz w:val="20"/>
          <w:szCs w:val="20"/>
          <w:highlight w:val="none"/>
        </w:rPr>
        <w:t>时</w:t>
      </w:r>
      <w:r>
        <w:rPr>
          <w:rFonts w:ascii="宋体" w:hAnsi="宋体" w:eastAsia="宋体" w:cs="宋体"/>
          <w:color w:val="auto"/>
          <w:spacing w:val="-37"/>
          <w:sz w:val="20"/>
          <w:szCs w:val="20"/>
          <w:highlight w:val="none"/>
        </w:rPr>
        <w:t xml:space="preserve"> </w:t>
      </w:r>
      <w:r>
        <w:rPr>
          <w:rFonts w:hint="eastAsia" w:ascii="宋体" w:hAnsi="宋体" w:eastAsia="宋体" w:cs="宋体"/>
          <w:color w:val="auto"/>
          <w:spacing w:val="-37"/>
          <w:sz w:val="20"/>
          <w:szCs w:val="20"/>
          <w:highlight w:val="none"/>
          <w:lang w:val="en-US" w:eastAsia="zh-CN"/>
        </w:rPr>
        <w:t>3</w:t>
      </w:r>
      <w:r>
        <w:rPr>
          <w:rFonts w:ascii="宋体" w:hAnsi="宋体" w:eastAsia="宋体" w:cs="宋体"/>
          <w:color w:val="auto"/>
          <w:spacing w:val="3"/>
          <w:sz w:val="20"/>
          <w:szCs w:val="20"/>
          <w:highlight w:val="none"/>
        </w:rPr>
        <w:t>0 分（北京时间）</w:t>
      </w:r>
    </w:p>
    <w:p w14:paraId="0869AD4D">
      <w:pPr>
        <w:spacing w:before="221" w:line="222" w:lineRule="auto"/>
        <w:ind w:left="42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投标和开标地点：广西政府采购云平台（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w:t>
      </w:r>
      <w:r>
        <w:rPr>
          <w:rFonts w:ascii="宋体" w:hAnsi="宋体" w:eastAsia="宋体" w:cs="宋体"/>
          <w:color w:val="auto"/>
          <w:spacing w:val="11"/>
          <w:sz w:val="20"/>
          <w:szCs w:val="20"/>
          <w:highlight w:val="none"/>
        </w:rPr>
        <w:fldChar w:fldCharType="end"/>
      </w:r>
    </w:p>
    <w:p w14:paraId="320B9E3B">
      <w:pPr>
        <w:spacing w:before="228" w:line="432" w:lineRule="auto"/>
        <w:ind w:left="2" w:firstLine="41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注：本项目不要求磋商供应商到达开标现场，但供应商应派法定代表人或委托代理人准时在</w:t>
      </w:r>
      <w:r>
        <w:rPr>
          <w:rFonts w:ascii="宋体" w:hAnsi="宋体" w:eastAsia="宋体" w:cs="宋体"/>
          <w:color w:val="auto"/>
          <w:spacing w:val="8"/>
          <w:sz w:val="20"/>
          <w:szCs w:val="20"/>
          <w:highlight w:val="none"/>
        </w:rPr>
        <w:t xml:space="preserve"> </w:t>
      </w:r>
      <w:r>
        <w:rPr>
          <w:rFonts w:ascii="宋体" w:hAnsi="宋体" w:eastAsia="宋体" w:cs="宋体"/>
          <w:color w:val="auto"/>
          <w:spacing w:val="11"/>
          <w:sz w:val="20"/>
          <w:szCs w:val="20"/>
          <w:highlight w:val="none"/>
        </w:rPr>
        <w:t>线出席电子开评标会议，随时关注开评标进度，如在开评标过程中有电子询标，应在规定的时间</w:t>
      </w:r>
      <w:r>
        <w:rPr>
          <w:rFonts w:ascii="宋体" w:hAnsi="宋体" w:eastAsia="宋体" w:cs="宋体"/>
          <w:color w:val="auto"/>
          <w:spacing w:val="3"/>
          <w:sz w:val="20"/>
          <w:szCs w:val="20"/>
          <w:highlight w:val="none"/>
        </w:rPr>
        <w:t xml:space="preserve"> </w:t>
      </w:r>
      <w:r>
        <w:rPr>
          <w:rFonts w:ascii="宋体" w:hAnsi="宋体" w:eastAsia="宋体" w:cs="宋体"/>
          <w:color w:val="auto"/>
          <w:spacing w:val="8"/>
          <w:sz w:val="20"/>
          <w:szCs w:val="20"/>
          <w:highlight w:val="none"/>
        </w:rPr>
        <w:t>内对电子询标函进行澄清回复。</w:t>
      </w:r>
    </w:p>
    <w:p w14:paraId="134F9507">
      <w:pPr>
        <w:spacing w:line="229" w:lineRule="auto"/>
        <w:ind w:left="423"/>
        <w:outlineLvl w:val="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五、开启</w:t>
      </w:r>
    </w:p>
    <w:p w14:paraId="43A7F5BF">
      <w:pPr>
        <w:spacing w:before="219" w:line="228"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1.时间：202</w:t>
      </w:r>
      <w:r>
        <w:rPr>
          <w:rFonts w:hint="eastAsia" w:ascii="宋体" w:hAnsi="宋体" w:eastAsia="宋体" w:cs="宋体"/>
          <w:color w:val="auto"/>
          <w:spacing w:val="1"/>
          <w:sz w:val="20"/>
          <w:szCs w:val="20"/>
          <w:highlight w:val="none"/>
          <w:lang w:val="en-US" w:eastAsia="zh-CN"/>
        </w:rPr>
        <w:t>5</w:t>
      </w:r>
      <w:r>
        <w:rPr>
          <w:rFonts w:ascii="宋体" w:hAnsi="宋体" w:eastAsia="宋体" w:cs="宋体"/>
          <w:color w:val="auto"/>
          <w:spacing w:val="1"/>
          <w:sz w:val="20"/>
          <w:szCs w:val="20"/>
          <w:highlight w:val="none"/>
        </w:rPr>
        <w:t xml:space="preserve"> 年</w:t>
      </w:r>
      <w:r>
        <w:rPr>
          <w:rFonts w:ascii="宋体" w:hAnsi="宋体" w:eastAsia="宋体" w:cs="宋体"/>
          <w:color w:val="auto"/>
          <w:spacing w:val="-24"/>
          <w:sz w:val="20"/>
          <w:szCs w:val="20"/>
          <w:highlight w:val="none"/>
        </w:rPr>
        <w:t xml:space="preserve"> </w:t>
      </w:r>
      <w:r>
        <w:rPr>
          <w:rFonts w:hint="eastAsia" w:ascii="宋体" w:hAnsi="宋体" w:eastAsia="宋体" w:cs="宋体"/>
          <w:color w:val="auto"/>
          <w:spacing w:val="-24"/>
          <w:sz w:val="20"/>
          <w:szCs w:val="20"/>
          <w:highlight w:val="none"/>
          <w:lang w:val="en-US" w:eastAsia="zh-CN"/>
        </w:rPr>
        <w:t>04</w:t>
      </w:r>
      <w:r>
        <w:rPr>
          <w:rFonts w:ascii="宋体" w:hAnsi="宋体" w:eastAsia="宋体" w:cs="宋体"/>
          <w:color w:val="auto"/>
          <w:spacing w:val="-33"/>
          <w:sz w:val="20"/>
          <w:szCs w:val="20"/>
          <w:highlight w:val="none"/>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24"/>
          <w:sz w:val="20"/>
          <w:szCs w:val="20"/>
          <w:highlight w:val="none"/>
        </w:rPr>
        <w:t xml:space="preserve"> </w:t>
      </w:r>
      <w:r>
        <w:rPr>
          <w:rFonts w:hint="eastAsia" w:ascii="宋体" w:hAnsi="宋体" w:eastAsia="宋体" w:cs="宋体"/>
          <w:color w:val="auto"/>
          <w:spacing w:val="-24"/>
          <w:sz w:val="20"/>
          <w:szCs w:val="20"/>
          <w:highlight w:val="none"/>
          <w:lang w:val="en-US" w:eastAsia="zh-CN"/>
        </w:rPr>
        <w:t>28</w:t>
      </w:r>
      <w:r>
        <w:rPr>
          <w:rFonts w:ascii="宋体" w:hAnsi="宋体" w:eastAsia="宋体" w:cs="宋体"/>
          <w:color w:val="auto"/>
          <w:spacing w:val="1"/>
          <w:sz w:val="20"/>
          <w:szCs w:val="20"/>
          <w:highlight w:val="none"/>
        </w:rPr>
        <w:t xml:space="preserve"> 日</w:t>
      </w:r>
      <w:r>
        <w:rPr>
          <w:rFonts w:ascii="宋体" w:hAnsi="宋体" w:eastAsia="宋体" w:cs="宋体"/>
          <w:color w:val="auto"/>
          <w:spacing w:val="-21"/>
          <w:sz w:val="20"/>
          <w:szCs w:val="20"/>
          <w:highlight w:val="none"/>
        </w:rPr>
        <w:t xml:space="preserve"> </w:t>
      </w:r>
      <w:r>
        <w:rPr>
          <w:rFonts w:hint="eastAsia" w:ascii="宋体" w:hAnsi="宋体" w:eastAsia="宋体" w:cs="宋体"/>
          <w:color w:val="auto"/>
          <w:spacing w:val="-21"/>
          <w:sz w:val="20"/>
          <w:szCs w:val="20"/>
          <w:highlight w:val="none"/>
          <w:lang w:val="en-US" w:eastAsia="zh-CN"/>
        </w:rPr>
        <w:t>09</w:t>
      </w:r>
      <w:r>
        <w:rPr>
          <w:rFonts w:ascii="宋体" w:hAnsi="宋体" w:eastAsia="宋体" w:cs="宋体"/>
          <w:color w:val="auto"/>
          <w:spacing w:val="-31"/>
          <w:sz w:val="20"/>
          <w:szCs w:val="20"/>
          <w:highlight w:val="none"/>
        </w:rPr>
        <w:t xml:space="preserve"> </w:t>
      </w:r>
      <w:r>
        <w:rPr>
          <w:rFonts w:ascii="宋体" w:hAnsi="宋体" w:eastAsia="宋体" w:cs="宋体"/>
          <w:color w:val="auto"/>
          <w:sz w:val="20"/>
          <w:szCs w:val="20"/>
          <w:highlight w:val="none"/>
        </w:rPr>
        <w:t xml:space="preserve">时 </w:t>
      </w:r>
      <w:r>
        <w:rPr>
          <w:rFonts w:hint="eastAsia" w:ascii="宋体" w:hAnsi="宋体" w:eastAsia="宋体" w:cs="宋体"/>
          <w:color w:val="auto"/>
          <w:sz w:val="20"/>
          <w:szCs w:val="20"/>
          <w:highlight w:val="none"/>
          <w:lang w:val="en-US" w:eastAsia="zh-CN"/>
        </w:rPr>
        <w:t>3</w:t>
      </w:r>
      <w:r>
        <w:rPr>
          <w:rFonts w:ascii="宋体" w:hAnsi="宋体" w:eastAsia="宋体" w:cs="宋体"/>
          <w:color w:val="auto"/>
          <w:sz w:val="20"/>
          <w:szCs w:val="20"/>
          <w:highlight w:val="none"/>
        </w:rPr>
        <w:t>0</w:t>
      </w:r>
      <w:r>
        <w:rPr>
          <w:rFonts w:ascii="宋体" w:hAnsi="宋体" w:eastAsia="宋体" w:cs="宋体"/>
          <w:color w:val="auto"/>
          <w:spacing w:val="18"/>
          <w:sz w:val="20"/>
          <w:szCs w:val="20"/>
          <w:highlight w:val="none"/>
        </w:rPr>
        <w:t xml:space="preserve"> </w:t>
      </w:r>
      <w:r>
        <w:rPr>
          <w:rFonts w:ascii="宋体" w:hAnsi="宋体" w:eastAsia="宋体" w:cs="宋体"/>
          <w:color w:val="auto"/>
          <w:sz w:val="20"/>
          <w:szCs w:val="20"/>
          <w:highlight w:val="none"/>
        </w:rPr>
        <w:t>分（北京时间）</w:t>
      </w:r>
    </w:p>
    <w:p w14:paraId="70E622DF">
      <w:pPr>
        <w:spacing w:before="221" w:line="222" w:lineRule="auto"/>
        <w:ind w:left="422"/>
        <w:rPr>
          <w:rFonts w:ascii="宋体" w:hAnsi="宋体" w:eastAsia="宋体" w:cs="宋体"/>
          <w:color w:val="auto"/>
          <w:spacing w:val="11"/>
          <w:sz w:val="20"/>
          <w:szCs w:val="20"/>
          <w:highlight w:val="none"/>
        </w:rPr>
      </w:pPr>
      <w:r>
        <w:rPr>
          <w:rFonts w:ascii="宋体" w:hAnsi="宋体" w:eastAsia="宋体" w:cs="宋体"/>
          <w:color w:val="auto"/>
          <w:spacing w:val="11"/>
          <w:sz w:val="20"/>
          <w:szCs w:val="20"/>
          <w:highlight w:val="none"/>
        </w:rPr>
        <w:t>2.地点：广西政府采购云平台（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w:t>
      </w:r>
      <w:r>
        <w:rPr>
          <w:rFonts w:ascii="宋体" w:hAnsi="宋体" w:eastAsia="宋体" w:cs="宋体"/>
          <w:color w:val="auto"/>
          <w:spacing w:val="11"/>
          <w:sz w:val="20"/>
          <w:szCs w:val="20"/>
          <w:highlight w:val="none"/>
        </w:rPr>
        <w:fldChar w:fldCharType="end"/>
      </w:r>
    </w:p>
    <w:p w14:paraId="375BC03B">
      <w:pPr>
        <w:spacing w:before="152" w:line="355" w:lineRule="auto"/>
        <w:ind w:left="20" w:right="2" w:firstLine="419"/>
        <w:rPr>
          <w:rFonts w:hint="eastAsia" w:ascii="宋体" w:hAnsi="宋体" w:eastAsia="宋体" w:cs="宋体"/>
          <w:color w:val="auto"/>
          <w:spacing w:val="11"/>
          <w:sz w:val="20"/>
          <w:szCs w:val="20"/>
          <w:highlight w:val="none"/>
          <w:lang w:val="en-US" w:eastAsia="zh-CN"/>
        </w:rPr>
      </w:pPr>
      <w:r>
        <w:rPr>
          <w:rFonts w:hint="eastAsia" w:ascii="宋体" w:hAnsi="宋体" w:eastAsia="宋体" w:cs="宋体"/>
          <w:color w:val="auto"/>
          <w:spacing w:val="11"/>
          <w:sz w:val="20"/>
          <w:szCs w:val="20"/>
          <w:highlight w:val="none"/>
          <w:lang w:val="en-US" w:eastAsia="zh-CN"/>
        </w:rPr>
        <w:t>3.开标地点：本项目为远程异地全流程电子评标，主会场在广西百永工程咨询有限公司（地址：平果市马头镇教育路万冠新天地三期原售楼部二层），副会场在华伦中建建设股份有限崇左分公司(地址：崇左市江州区花山路（嘉苑小区）T组团T-06号)。</w:t>
      </w:r>
    </w:p>
    <w:p w14:paraId="6054FF89">
      <w:pPr>
        <w:spacing w:before="221" w:line="222" w:lineRule="auto"/>
        <w:ind w:left="422"/>
        <w:rPr>
          <w:rFonts w:hint="default" w:ascii="宋体" w:hAnsi="宋体" w:eastAsia="宋体" w:cs="宋体"/>
          <w:color w:val="auto"/>
          <w:spacing w:val="11"/>
          <w:sz w:val="20"/>
          <w:szCs w:val="20"/>
          <w:highlight w:val="none"/>
          <w:lang w:val="en-US" w:eastAsia="zh-CN"/>
        </w:rPr>
      </w:pPr>
    </w:p>
    <w:p w14:paraId="5902A6D8">
      <w:pPr>
        <w:spacing w:before="228" w:line="226" w:lineRule="auto"/>
        <w:ind w:left="421"/>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六、公告期限</w:t>
      </w:r>
    </w:p>
    <w:p w14:paraId="7C8DCD0E">
      <w:pPr>
        <w:spacing w:before="223" w:line="226" w:lineRule="auto"/>
        <w:ind w:left="45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自本公告发布之日起</w:t>
      </w:r>
      <w:r>
        <w:rPr>
          <w:rFonts w:ascii="宋体" w:hAnsi="宋体" w:eastAsia="宋体" w:cs="宋体"/>
          <w:color w:val="auto"/>
          <w:spacing w:val="-28"/>
          <w:sz w:val="20"/>
          <w:szCs w:val="20"/>
          <w:highlight w:val="none"/>
        </w:rPr>
        <w:t xml:space="preserve"> </w:t>
      </w:r>
      <w:r>
        <w:rPr>
          <w:rFonts w:ascii="宋体" w:hAnsi="宋体" w:eastAsia="宋体" w:cs="宋体"/>
          <w:color w:val="auto"/>
          <w:spacing w:val="4"/>
          <w:sz w:val="20"/>
          <w:szCs w:val="20"/>
          <w:highlight w:val="none"/>
        </w:rPr>
        <w:t>5</w:t>
      </w:r>
      <w:r>
        <w:rPr>
          <w:rFonts w:ascii="宋体" w:hAnsi="宋体" w:eastAsia="宋体" w:cs="宋体"/>
          <w:color w:val="auto"/>
          <w:spacing w:val="-38"/>
          <w:sz w:val="20"/>
          <w:szCs w:val="20"/>
          <w:highlight w:val="none"/>
        </w:rPr>
        <w:t xml:space="preserve"> </w:t>
      </w:r>
      <w:r>
        <w:rPr>
          <w:rFonts w:ascii="宋体" w:hAnsi="宋体" w:eastAsia="宋体" w:cs="宋体"/>
          <w:color w:val="auto"/>
          <w:spacing w:val="4"/>
          <w:sz w:val="20"/>
          <w:szCs w:val="20"/>
          <w:highlight w:val="none"/>
        </w:rPr>
        <w:t>个工作日。</w:t>
      </w:r>
    </w:p>
    <w:p w14:paraId="11F065C1">
      <w:pPr>
        <w:spacing w:before="224" w:line="228" w:lineRule="auto"/>
        <w:ind w:left="419"/>
        <w:outlineLvl w:val="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七、其他补充事宜</w:t>
      </w:r>
    </w:p>
    <w:p w14:paraId="5BFF0681">
      <w:pPr>
        <w:spacing w:before="221" w:line="229" w:lineRule="auto"/>
        <w:ind w:left="43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1.网上查询地址</w:t>
      </w:r>
    </w:p>
    <w:p w14:paraId="6885FF4A">
      <w:pPr>
        <w:spacing w:before="228" w:line="432" w:lineRule="auto"/>
        <w:ind w:left="2" w:firstLine="417"/>
        <w:rPr>
          <w:rFonts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lang w:val="en-US" w:eastAsia="zh-CN"/>
        </w:rPr>
        <w:t>中国政府采购网（ htt</w:t>
      </w:r>
      <w:r>
        <w:rPr>
          <w:rFonts w:hint="eastAsia" w:ascii="宋体" w:hAnsi="宋体" w:eastAsia="宋体" w:cs="宋体"/>
          <w:color w:val="auto"/>
          <w:spacing w:val="11"/>
          <w:sz w:val="20"/>
          <w:szCs w:val="20"/>
          <w:highlight w:val="none"/>
          <w:lang w:val="en-US" w:eastAsia="zh-CN"/>
        </w:rPr>
        <w:fldChar w:fldCharType="begin"/>
      </w:r>
      <w:r>
        <w:rPr>
          <w:rFonts w:hint="eastAsia" w:ascii="宋体" w:hAnsi="宋体" w:eastAsia="宋体" w:cs="宋体"/>
          <w:color w:val="auto"/>
          <w:spacing w:val="11"/>
          <w:sz w:val="20"/>
          <w:szCs w:val="20"/>
          <w:highlight w:val="none"/>
          <w:lang w:val="en-US" w:eastAsia="zh-CN"/>
        </w:rPr>
        <w:instrText xml:space="preserve"> HYPERLINK "http://www.ccgp.gov.cn/" </w:instrText>
      </w:r>
      <w:r>
        <w:rPr>
          <w:rFonts w:hint="eastAsia" w:ascii="宋体" w:hAnsi="宋体" w:eastAsia="宋体" w:cs="宋体"/>
          <w:color w:val="auto"/>
          <w:spacing w:val="11"/>
          <w:sz w:val="20"/>
          <w:szCs w:val="20"/>
          <w:highlight w:val="none"/>
          <w:lang w:val="en-US" w:eastAsia="zh-CN"/>
        </w:rPr>
        <w:fldChar w:fldCharType="separate"/>
      </w:r>
      <w:r>
        <w:rPr>
          <w:rFonts w:hint="eastAsia" w:ascii="宋体" w:hAnsi="宋体" w:eastAsia="宋体" w:cs="宋体"/>
          <w:color w:val="auto"/>
          <w:spacing w:val="11"/>
          <w:sz w:val="20"/>
          <w:szCs w:val="20"/>
          <w:highlight w:val="none"/>
          <w:lang w:val="en-US" w:eastAsia="zh-CN"/>
        </w:rPr>
        <w:t>p://www.ccgp.gov.cn</w:t>
      </w:r>
      <w:r>
        <w:rPr>
          <w:rFonts w:hint="eastAsia" w:ascii="宋体" w:hAnsi="宋体" w:eastAsia="宋体" w:cs="宋体"/>
          <w:color w:val="auto"/>
          <w:spacing w:val="11"/>
          <w:sz w:val="20"/>
          <w:szCs w:val="20"/>
          <w:highlight w:val="none"/>
          <w:lang w:val="en-US" w:eastAsia="zh-CN"/>
        </w:rPr>
        <w:fldChar w:fldCharType="end"/>
      </w:r>
      <w:r>
        <w:rPr>
          <w:rFonts w:hint="eastAsia" w:ascii="宋体" w:hAnsi="宋体" w:eastAsia="宋体" w:cs="宋体"/>
          <w:color w:val="auto"/>
          <w:spacing w:val="11"/>
          <w:sz w:val="20"/>
          <w:szCs w:val="20"/>
          <w:highlight w:val="none"/>
          <w:lang w:val="en-US" w:eastAsia="zh-CN"/>
        </w:rPr>
        <w:t>）、广西壮族自治区政府采购网（http://zfcg.gxzf.gov.cn/）。</w:t>
      </w:r>
    </w:p>
    <w:p w14:paraId="3095A3CC">
      <w:pPr>
        <w:spacing w:before="228" w:line="432" w:lineRule="auto"/>
        <w:ind w:left="2" w:firstLine="417"/>
        <w:rPr>
          <w:rFonts w:hint="eastAsia" w:ascii="宋体" w:hAnsi="宋体" w:eastAsia="宋体" w:cs="宋体"/>
          <w:color w:val="auto"/>
          <w:spacing w:val="11"/>
          <w:sz w:val="20"/>
          <w:szCs w:val="20"/>
          <w:highlight w:val="none"/>
          <w:lang w:val="en-US" w:eastAsia="zh-CN"/>
        </w:rPr>
      </w:pPr>
      <w:r>
        <w:rPr>
          <w:rFonts w:hint="eastAsia" w:ascii="宋体" w:hAnsi="宋体" w:eastAsia="宋体" w:cs="宋体"/>
          <w:color w:val="auto"/>
          <w:spacing w:val="11"/>
          <w:sz w:val="20"/>
          <w:szCs w:val="20"/>
          <w:highlight w:val="none"/>
          <w:lang w:val="en-US" w:eastAsia="zh-CN"/>
        </w:rPr>
        <w:t>2.</w:t>
      </w:r>
      <w:r>
        <w:rPr>
          <w:rFonts w:ascii="宋体" w:hAnsi="宋体" w:eastAsia="宋体" w:cs="宋体"/>
          <w:color w:val="auto"/>
          <w:spacing w:val="11"/>
          <w:sz w:val="20"/>
          <w:szCs w:val="20"/>
          <w:highlight w:val="none"/>
        </w:rPr>
        <w:t>磋商保证金（人民币）：</w:t>
      </w:r>
      <w:r>
        <w:rPr>
          <w:rFonts w:hint="eastAsia" w:ascii="宋体" w:hAnsi="宋体" w:eastAsia="宋体" w:cs="宋体"/>
          <w:color w:val="auto"/>
          <w:spacing w:val="11"/>
          <w:sz w:val="20"/>
          <w:szCs w:val="20"/>
          <w:highlight w:val="none"/>
          <w:lang w:val="en-US" w:eastAsia="zh-CN"/>
        </w:rPr>
        <w:t>根据“百政办电[2021]34号文件，鼓励免收投标保证金”，本项目不收取磋商保证金。</w:t>
      </w:r>
    </w:p>
    <w:p w14:paraId="75D82101">
      <w:pPr>
        <w:spacing w:before="221" w:line="229" w:lineRule="auto"/>
        <w:ind w:left="43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3.本项目需要落实的政府采购政策</w:t>
      </w:r>
    </w:p>
    <w:p w14:paraId="70739C47">
      <w:pPr>
        <w:spacing w:before="222" w:line="227"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（1）政府采购促进中小企业发展。</w:t>
      </w:r>
    </w:p>
    <w:p w14:paraId="7939FA1B">
      <w:pPr>
        <w:spacing w:before="222"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（2）政府采购支持采用本国产品的政策。</w:t>
      </w:r>
    </w:p>
    <w:p w14:paraId="4FD313B3">
      <w:pPr>
        <w:spacing w:before="222"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（3）强制采购节能产品；优先采购节能产</w:t>
      </w:r>
      <w:r>
        <w:rPr>
          <w:rFonts w:ascii="宋体" w:hAnsi="宋体" w:eastAsia="宋体" w:cs="宋体"/>
          <w:color w:val="auto"/>
          <w:spacing w:val="8"/>
          <w:sz w:val="20"/>
          <w:szCs w:val="20"/>
          <w:highlight w:val="none"/>
        </w:rPr>
        <w:t>品、环境标志产品。</w:t>
      </w:r>
    </w:p>
    <w:p w14:paraId="503B36D9">
      <w:pPr>
        <w:spacing w:before="222" w:line="227"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（4）政府采购促进残疾人就业政策。</w:t>
      </w:r>
    </w:p>
    <w:p w14:paraId="32C050D6">
      <w:pPr>
        <w:spacing w:before="222" w:line="227"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（5）政府采购支持监狱企业发展。</w:t>
      </w:r>
    </w:p>
    <w:p w14:paraId="53633E7F">
      <w:pPr>
        <w:spacing w:before="222"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（6）政府采购扶持不发达地区和少数民族地区政策。</w:t>
      </w:r>
    </w:p>
    <w:p w14:paraId="05B0685D">
      <w:pPr>
        <w:spacing w:before="221" w:line="364" w:lineRule="auto"/>
        <w:ind w:firstLine="43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本项目实行电子投标，供应商应按照本项目采购文件和广西政府政采云平台的要求编制、加密并提交响应文件。供应商在使用系统参与竞标过程中遇到涉及平台使用的任何问题，可致电广西政府政采云平台技术支持热线咨询，联系方式：400-881-7190。</w:t>
      </w:r>
    </w:p>
    <w:p w14:paraId="20BA9D97">
      <w:pPr>
        <w:spacing w:before="228" w:line="432" w:lineRule="auto"/>
        <w:ind w:left="2" w:firstLine="417"/>
        <w:rPr>
          <w:rFonts w:hint="eastAsia"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lang w:val="en-US" w:eastAsia="zh-CN"/>
        </w:rPr>
        <w:t>5</w:t>
      </w:r>
      <w:r>
        <w:rPr>
          <w:rFonts w:hint="eastAsia" w:ascii="宋体" w:hAnsi="宋体" w:eastAsia="宋体" w:cs="宋体"/>
          <w:color w:val="auto"/>
          <w:spacing w:val="11"/>
          <w:sz w:val="20"/>
          <w:szCs w:val="20"/>
          <w:highlight w:val="none"/>
        </w:rPr>
        <w:t>.供应商应及时完成CA申领和绑定（见广西壮族自治区政府采购网—办事服务—下载专区-广西政府政采云CA证书办理操作指南）</w:t>
      </w:r>
    </w:p>
    <w:p w14:paraId="0D68B918">
      <w:pPr>
        <w:spacing w:before="228" w:line="432" w:lineRule="auto"/>
        <w:ind w:left="2" w:firstLine="417"/>
        <w:rPr>
          <w:rFonts w:hint="eastAsia"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lang w:val="en-US" w:eastAsia="zh-CN"/>
        </w:rPr>
        <w:t>6</w:t>
      </w:r>
      <w:r>
        <w:rPr>
          <w:rFonts w:hint="eastAsia" w:ascii="宋体" w:hAnsi="宋体" w:eastAsia="宋体" w:cs="宋体"/>
          <w:color w:val="auto"/>
          <w:spacing w:val="11"/>
          <w:sz w:val="20"/>
          <w:szCs w:val="20"/>
          <w:highlight w:val="none"/>
        </w:rPr>
        <w:t>.本项目通过”广西政府政采云”网上招投标系统实行在线竞标响应（电子投标），为确保网上操作合法、有效和安全，供应商在参加项目竞标前，应在“广西政府政采云”平台完成信息注册及身份认证，确保在电子投标过程中能够对相关数据电文进行加密和使用电子签章。使用“广西政府政采云电子交易客户端”需要提前申领CA数字证书，办理好CA数字证书后，请下载广西壮族自治区全流程电子招投标项目管理系统--供应商客户端。</w:t>
      </w:r>
    </w:p>
    <w:p w14:paraId="3E723FF3">
      <w:pPr>
        <w:spacing w:before="228" w:line="432" w:lineRule="auto"/>
        <w:ind w:left="2" w:firstLine="417"/>
        <w:rPr>
          <w:rFonts w:hint="eastAsia"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lang w:val="en-US" w:eastAsia="zh-CN"/>
        </w:rPr>
        <w:t>7</w:t>
      </w:r>
      <w:r>
        <w:rPr>
          <w:rFonts w:hint="eastAsia" w:ascii="宋体" w:hAnsi="宋体" w:eastAsia="宋体" w:cs="宋体"/>
          <w:color w:val="auto"/>
          <w:spacing w:val="11"/>
          <w:sz w:val="20"/>
          <w:szCs w:val="20"/>
          <w:highlight w:val="none"/>
        </w:rPr>
        <w:t>.因未注册入库、未办理CA数字证书、CA证书故障、操作不当等原因造成无法投标或投标失败等后果由供应商自行承担。</w:t>
      </w:r>
    </w:p>
    <w:p w14:paraId="63CA9DAC">
      <w:pPr>
        <w:spacing w:before="228" w:line="432" w:lineRule="auto"/>
        <w:ind w:left="2" w:firstLine="417"/>
        <w:rPr>
          <w:rFonts w:hint="eastAsia"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lang w:val="en-US" w:eastAsia="zh-CN"/>
        </w:rPr>
        <w:t>8</w:t>
      </w:r>
      <w:r>
        <w:rPr>
          <w:rFonts w:hint="eastAsia" w:ascii="宋体" w:hAnsi="宋体" w:eastAsia="宋体" w:cs="宋体"/>
          <w:color w:val="auto"/>
          <w:spacing w:val="11"/>
          <w:sz w:val="20"/>
          <w:szCs w:val="20"/>
          <w:highlight w:val="none"/>
        </w:rPr>
        <w:t>.响应文件网上递交截止后，广西政府政采云（电子标系统）自动提取所有响应文件，各供应商须在开启程序开始后30分钟内对上传广西政府政采云的响应文件进行解密，所有供应商在规定的解密时限内解密完成或解密时限结束后，我公司开启响应文件；供应商超过解密时限的，系统默认自动放弃。</w:t>
      </w:r>
    </w:p>
    <w:p w14:paraId="70C324D2">
      <w:pPr>
        <w:spacing w:before="228" w:line="432" w:lineRule="auto"/>
        <w:ind w:left="2" w:firstLine="417"/>
        <w:rPr>
          <w:rFonts w:hint="eastAsia"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lang w:val="en-US" w:eastAsia="zh-CN"/>
        </w:rPr>
        <w:t>9</w:t>
      </w:r>
      <w:r>
        <w:rPr>
          <w:rFonts w:hint="eastAsia" w:ascii="宋体" w:hAnsi="宋体" w:eastAsia="宋体" w:cs="宋体"/>
          <w:color w:val="auto"/>
          <w:spacing w:val="11"/>
          <w:sz w:val="20"/>
          <w:szCs w:val="20"/>
          <w:highlight w:val="none"/>
        </w:rPr>
        <w:t>. 政府采购项目履行全过程须接受财政部门的备案和监督，《政府采购合同书》须在“政府采购云平台（https://www.gcy.zfcg.gxzf.gov.cn/），以下简称“广西政府政采云”备案公示（中标（成交）单位须在合同签订之日起2个工作日内将合同原件或扫描件发送到代理公司项目负责人处备案登记）。即项目承接（包）竞标人须在“广西政府政采云”完成所有注册事项（如在注册操作过程中遇到问题或者需要技术支持，请致电“广西政府政采云”客服热线：400-881-7190）后与项目采购人签订的《政府采购合同书》方可生效，并由“广西政府政采云”对项目承接（包）竞标人的诚信情况予以监督。因参与本项目投标的竞标人未按时注册导致的一切后果（包括但不限于《政府采购合同书》被拒签，生效及其备案事项延期引致的项目延期赔付，诚信评价扣分等）由该竞标人承担。</w:t>
      </w:r>
    </w:p>
    <w:p w14:paraId="78EE4770">
      <w:pPr>
        <w:spacing w:before="228" w:line="432" w:lineRule="auto"/>
        <w:ind w:left="2" w:firstLine="417"/>
        <w:rPr>
          <w:rFonts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lang w:val="en-US" w:eastAsia="zh-CN"/>
        </w:rPr>
        <w:t>10</w:t>
      </w:r>
      <w:r>
        <w:rPr>
          <w:rFonts w:hint="eastAsia" w:ascii="宋体" w:hAnsi="宋体" w:eastAsia="宋体" w:cs="宋体"/>
          <w:color w:val="auto"/>
          <w:spacing w:val="11"/>
          <w:sz w:val="20"/>
          <w:szCs w:val="20"/>
          <w:highlight w:val="none"/>
        </w:rPr>
        <w:t>.需要落实的政府采购政策：《政府采购促进中小企业发展管理办法》、《关于我区政府采购支持监狱企业发展有关问题的通知》、《三部门联合发布关于促进残疾人就业政府采购政策的通知》。</w:t>
      </w:r>
    </w:p>
    <w:p w14:paraId="7B12A6DF">
      <w:pPr>
        <w:spacing w:before="222" w:line="227" w:lineRule="auto"/>
        <w:ind w:left="425"/>
        <w:outlineLvl w:val="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八、凡对本次采购提出询问，请按以下方式联系。</w:t>
      </w:r>
    </w:p>
    <w:p w14:paraId="1C8E9566">
      <w:pPr>
        <w:spacing w:before="222" w:line="227" w:lineRule="auto"/>
        <w:ind w:left="43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1.采购人信息</w:t>
      </w:r>
    </w:p>
    <w:p w14:paraId="008A734D">
      <w:pPr>
        <w:spacing w:before="222" w:line="227" w:lineRule="auto"/>
        <w:ind w:left="445"/>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名称：</w:t>
      </w:r>
      <w:r>
        <w:rPr>
          <w:rFonts w:hint="eastAsia" w:ascii="宋体" w:hAnsi="宋体" w:eastAsia="宋体" w:cs="宋体"/>
          <w:color w:val="auto"/>
          <w:spacing w:val="17"/>
          <w:sz w:val="20"/>
          <w:szCs w:val="20"/>
          <w:highlight w:val="none"/>
        </w:rPr>
        <w:t>平果市水利局</w:t>
      </w:r>
    </w:p>
    <w:p w14:paraId="530601EB">
      <w:pPr>
        <w:spacing w:before="222" w:line="227" w:lineRule="auto"/>
        <w:ind w:left="443"/>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地址：</w:t>
      </w:r>
      <w:r>
        <w:rPr>
          <w:rFonts w:hint="eastAsia" w:ascii="宋体" w:hAnsi="宋体" w:eastAsia="宋体" w:cs="宋体"/>
          <w:color w:val="auto"/>
          <w:spacing w:val="13"/>
          <w:sz w:val="20"/>
          <w:szCs w:val="20"/>
          <w:highlight w:val="none"/>
        </w:rPr>
        <w:t>广西壮族自治区百色市平果市工会大厦1104室</w:t>
      </w:r>
    </w:p>
    <w:p w14:paraId="1CC57764">
      <w:pPr>
        <w:spacing w:before="223" w:line="227" w:lineRule="auto"/>
        <w:ind w:left="44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联系人：黄源颖 </w:t>
      </w:r>
    </w:p>
    <w:p w14:paraId="135E1599">
      <w:pPr>
        <w:spacing w:before="223" w:line="227" w:lineRule="auto"/>
        <w:ind w:left="444"/>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联系电话：0776-5828079</w:t>
      </w:r>
    </w:p>
    <w:p w14:paraId="1D494A92">
      <w:pPr>
        <w:spacing w:before="222" w:line="227" w:lineRule="auto"/>
        <w:ind w:left="445"/>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2.采购代理机构信息</w:t>
      </w:r>
    </w:p>
    <w:p w14:paraId="0E01ABA6">
      <w:pPr>
        <w:spacing w:before="223" w:line="227" w:lineRule="auto"/>
        <w:ind w:left="44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名称：广西中正融创项目工程技术服务有限公司</w:t>
      </w:r>
    </w:p>
    <w:p w14:paraId="1D32E0F6">
      <w:pPr>
        <w:spacing w:before="223" w:line="227" w:lineRule="auto"/>
        <w:ind w:left="44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地址：广西壮族自治区百色市平果市马头镇城北社区教育路5号</w:t>
      </w:r>
    </w:p>
    <w:p w14:paraId="78CBE606">
      <w:pPr>
        <w:spacing w:before="223" w:line="227" w:lineRule="auto"/>
        <w:ind w:left="44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项目联系人：黄秋萍</w:t>
      </w:r>
    </w:p>
    <w:p w14:paraId="70A5066B">
      <w:pPr>
        <w:spacing w:before="223" w:line="227" w:lineRule="auto"/>
        <w:ind w:left="444"/>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联系方式： 0776-5669554</w:t>
      </w:r>
      <w:r>
        <w:rPr>
          <w:rFonts w:hint="eastAsia" w:ascii="宋体" w:hAnsi="宋体" w:eastAsia="宋体" w:cs="宋体"/>
          <w:color w:val="auto"/>
          <w:sz w:val="20"/>
          <w:szCs w:val="20"/>
          <w:highlight w:val="none"/>
          <w:lang w:val="en-US" w:eastAsia="zh-CN"/>
        </w:rPr>
        <w:t>/19883314100</w:t>
      </w:r>
    </w:p>
    <w:p w14:paraId="2AD10D4A">
      <w:pPr>
        <w:pStyle w:val="3"/>
        <w:spacing w:line="271" w:lineRule="auto"/>
        <w:rPr>
          <w:color w:val="auto"/>
          <w:highlight w:val="none"/>
        </w:rPr>
      </w:pPr>
    </w:p>
    <w:p w14:paraId="0D859CC8">
      <w:pPr>
        <w:pStyle w:val="3"/>
        <w:spacing w:line="271" w:lineRule="auto"/>
        <w:rPr>
          <w:color w:val="auto"/>
          <w:highlight w:val="none"/>
        </w:rPr>
      </w:pPr>
    </w:p>
    <w:p w14:paraId="0EA90847">
      <w:pPr>
        <w:pStyle w:val="3"/>
        <w:spacing w:line="271" w:lineRule="auto"/>
        <w:rPr>
          <w:color w:val="auto"/>
          <w:highlight w:val="none"/>
        </w:rPr>
      </w:pPr>
    </w:p>
    <w:p w14:paraId="3F332DB3">
      <w:pPr>
        <w:pStyle w:val="3"/>
        <w:spacing w:line="271" w:lineRule="auto"/>
        <w:rPr>
          <w:color w:val="auto"/>
          <w:highlight w:val="none"/>
        </w:rPr>
      </w:pPr>
    </w:p>
    <w:p w14:paraId="72BF27E7">
      <w:pPr>
        <w:pStyle w:val="3"/>
        <w:spacing w:line="271" w:lineRule="auto"/>
        <w:rPr>
          <w:color w:val="auto"/>
          <w:highlight w:val="none"/>
        </w:rPr>
      </w:pPr>
    </w:p>
    <w:p w14:paraId="2BC197AD">
      <w:pPr>
        <w:pStyle w:val="3"/>
        <w:spacing w:line="271" w:lineRule="auto"/>
        <w:rPr>
          <w:color w:val="auto"/>
          <w:highlight w:val="none"/>
        </w:rPr>
      </w:pPr>
    </w:p>
    <w:p w14:paraId="681F3C5E">
      <w:pPr>
        <w:pStyle w:val="3"/>
        <w:spacing w:line="271" w:lineRule="auto"/>
        <w:rPr>
          <w:color w:val="auto"/>
          <w:highlight w:val="none"/>
        </w:rPr>
      </w:pPr>
    </w:p>
    <w:p w14:paraId="4A59A1DF">
      <w:pPr>
        <w:pStyle w:val="3"/>
        <w:spacing w:line="271" w:lineRule="auto"/>
        <w:rPr>
          <w:color w:val="auto"/>
          <w:highlight w:val="none"/>
        </w:rPr>
      </w:pPr>
    </w:p>
    <w:p w14:paraId="4022BCB0">
      <w:pPr>
        <w:pStyle w:val="3"/>
        <w:spacing w:line="271" w:lineRule="auto"/>
        <w:rPr>
          <w:color w:val="auto"/>
          <w:highlight w:val="none"/>
        </w:rPr>
      </w:pPr>
    </w:p>
    <w:p w14:paraId="6529C879">
      <w:pPr>
        <w:pStyle w:val="3"/>
        <w:spacing w:line="271" w:lineRule="auto"/>
        <w:rPr>
          <w:color w:val="auto"/>
          <w:highlight w:val="none"/>
        </w:rPr>
      </w:pPr>
    </w:p>
    <w:p w14:paraId="0C85C147">
      <w:pPr>
        <w:pStyle w:val="3"/>
        <w:spacing w:line="271" w:lineRule="auto"/>
        <w:rPr>
          <w:color w:val="auto"/>
          <w:highlight w:val="none"/>
        </w:rPr>
      </w:pPr>
    </w:p>
    <w:p w14:paraId="1DB87863">
      <w:pPr>
        <w:pStyle w:val="3"/>
        <w:spacing w:line="271" w:lineRule="auto"/>
        <w:rPr>
          <w:color w:val="auto"/>
          <w:highlight w:val="none"/>
        </w:rPr>
      </w:pPr>
    </w:p>
    <w:p w14:paraId="2BE9961C">
      <w:pPr>
        <w:pStyle w:val="3"/>
        <w:spacing w:line="271" w:lineRule="auto"/>
        <w:rPr>
          <w:color w:val="auto"/>
          <w:highlight w:val="none"/>
        </w:rPr>
      </w:pPr>
    </w:p>
    <w:p w14:paraId="20764D65">
      <w:pPr>
        <w:pStyle w:val="3"/>
        <w:spacing w:line="271" w:lineRule="auto"/>
        <w:rPr>
          <w:color w:val="auto"/>
          <w:highlight w:val="none"/>
        </w:rPr>
      </w:pPr>
    </w:p>
    <w:p w14:paraId="59B1FD00">
      <w:pPr>
        <w:pStyle w:val="3"/>
        <w:spacing w:line="271" w:lineRule="auto"/>
        <w:rPr>
          <w:color w:val="auto"/>
          <w:highlight w:val="none"/>
        </w:rPr>
      </w:pPr>
    </w:p>
    <w:p w14:paraId="4073D3F3">
      <w:pPr>
        <w:pStyle w:val="3"/>
        <w:spacing w:line="271" w:lineRule="auto"/>
        <w:rPr>
          <w:color w:val="auto"/>
          <w:highlight w:val="none"/>
        </w:rPr>
      </w:pPr>
    </w:p>
    <w:p w14:paraId="09F7A8DC">
      <w:pPr>
        <w:spacing w:before="66" w:line="228" w:lineRule="auto"/>
        <w:ind w:left="3303"/>
        <w:jc w:val="right"/>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广西中正融创项目工程技术服务有限公司</w:t>
      </w:r>
    </w:p>
    <w:p w14:paraId="26F9A375">
      <w:pPr>
        <w:spacing w:before="220" w:line="228" w:lineRule="auto"/>
        <w:ind w:left="3384" w:firstLine="2940" w:firstLineChars="1500"/>
        <w:outlineLvl w:val="0"/>
        <w:rPr>
          <w:rFonts w:ascii="宋体" w:hAnsi="宋体" w:eastAsia="宋体" w:cs="宋体"/>
          <w:color w:val="auto"/>
          <w:sz w:val="20"/>
          <w:szCs w:val="20"/>
          <w:highlight w:val="none"/>
        </w:rPr>
      </w:pPr>
      <w:bookmarkStart w:id="1" w:name="bookmark2"/>
      <w:bookmarkEnd w:id="1"/>
      <w:r>
        <w:rPr>
          <w:rFonts w:ascii="宋体" w:hAnsi="宋体" w:eastAsia="宋体" w:cs="宋体"/>
          <w:color w:val="auto"/>
          <w:spacing w:val="-2"/>
          <w:sz w:val="20"/>
          <w:szCs w:val="20"/>
          <w:highlight w:val="none"/>
        </w:rPr>
        <w:t>202</w:t>
      </w:r>
      <w:r>
        <w:rPr>
          <w:rFonts w:hint="eastAsia" w:ascii="宋体" w:hAnsi="宋体" w:eastAsia="宋体" w:cs="宋体"/>
          <w:color w:val="auto"/>
          <w:spacing w:val="-2"/>
          <w:sz w:val="20"/>
          <w:szCs w:val="20"/>
          <w:highlight w:val="none"/>
          <w:lang w:val="en-US" w:eastAsia="zh-CN"/>
        </w:rPr>
        <w:t>5</w:t>
      </w:r>
      <w:r>
        <w:rPr>
          <w:rFonts w:ascii="宋体" w:hAnsi="宋体" w:eastAsia="宋体" w:cs="宋体"/>
          <w:color w:val="auto"/>
          <w:spacing w:val="-31"/>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23"/>
          <w:sz w:val="20"/>
          <w:szCs w:val="20"/>
          <w:highlight w:val="none"/>
        </w:rPr>
        <w:t xml:space="preserve"> </w:t>
      </w:r>
      <w:r>
        <w:rPr>
          <w:rFonts w:hint="eastAsia" w:ascii="宋体" w:hAnsi="宋体" w:eastAsia="宋体" w:cs="宋体"/>
          <w:color w:val="auto"/>
          <w:spacing w:val="-23"/>
          <w:sz w:val="20"/>
          <w:szCs w:val="20"/>
          <w:highlight w:val="none"/>
          <w:lang w:val="en-US" w:eastAsia="zh-CN"/>
        </w:rPr>
        <w:t>04</w:t>
      </w:r>
      <w:r>
        <w:rPr>
          <w:rFonts w:ascii="宋体" w:hAnsi="宋体" w:eastAsia="宋体" w:cs="宋体"/>
          <w:color w:val="auto"/>
          <w:spacing w:val="-36"/>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32"/>
          <w:sz w:val="20"/>
          <w:szCs w:val="20"/>
          <w:highlight w:val="none"/>
        </w:rPr>
        <w:t xml:space="preserve"> </w:t>
      </w:r>
      <w:r>
        <w:rPr>
          <w:rFonts w:hint="eastAsia" w:ascii="宋体" w:hAnsi="宋体" w:eastAsia="宋体" w:cs="宋体"/>
          <w:color w:val="auto"/>
          <w:spacing w:val="-32"/>
          <w:sz w:val="20"/>
          <w:szCs w:val="20"/>
          <w:highlight w:val="none"/>
          <w:lang w:val="en-US" w:eastAsia="zh-CN"/>
        </w:rPr>
        <w:t>14</w:t>
      </w:r>
      <w:r>
        <w:rPr>
          <w:rFonts w:ascii="宋体" w:hAnsi="宋体" w:eastAsia="宋体" w:cs="宋体"/>
          <w:color w:val="auto"/>
          <w:spacing w:val="-2"/>
          <w:sz w:val="20"/>
          <w:szCs w:val="20"/>
          <w:highlight w:val="none"/>
        </w:rPr>
        <w:t xml:space="preserve"> 日</w:t>
      </w:r>
    </w:p>
    <w:p w14:paraId="2FFD01EE">
      <w:pPr>
        <w:rPr>
          <w:color w:val="auto"/>
          <w:highlight w:val="none"/>
        </w:rPr>
      </w:pPr>
      <w:r>
        <w:rPr>
          <w:color w:val="auto"/>
          <w:highlight w:val="none"/>
        </w:rPr>
        <w:br w:type="page"/>
      </w:r>
    </w:p>
    <w:p w14:paraId="44A2242A">
      <w:pPr>
        <w:spacing w:before="101" w:line="224" w:lineRule="auto"/>
        <w:ind w:left="3104"/>
        <w:outlineLvl w:val="0"/>
        <w:rPr>
          <w:rFonts w:ascii="宋体" w:hAnsi="宋体" w:eastAsia="宋体" w:cs="宋体"/>
          <w:color w:val="auto"/>
          <w:sz w:val="31"/>
          <w:szCs w:val="31"/>
          <w:highlight w:val="none"/>
        </w:rPr>
      </w:pPr>
      <w:bookmarkStart w:id="2" w:name="bookmark7"/>
      <w:bookmarkEnd w:id="2"/>
      <w:r>
        <w:rPr>
          <w:rFonts w:ascii="宋体" w:hAnsi="宋体" w:eastAsia="宋体" w:cs="宋体"/>
          <w:b/>
          <w:bCs/>
          <w:color w:val="auto"/>
          <w:spacing w:val="5"/>
          <w:sz w:val="31"/>
          <w:szCs w:val="31"/>
          <w:highlight w:val="none"/>
        </w:rPr>
        <w:t>第二章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供应商须知</w:t>
      </w:r>
    </w:p>
    <w:p w14:paraId="5BE93E01">
      <w:pPr>
        <w:pStyle w:val="3"/>
        <w:spacing w:line="298" w:lineRule="auto"/>
        <w:rPr>
          <w:color w:val="auto"/>
          <w:highlight w:val="none"/>
        </w:rPr>
      </w:pPr>
    </w:p>
    <w:p w14:paraId="4F09512B">
      <w:pPr>
        <w:spacing w:before="101" w:line="224" w:lineRule="auto"/>
        <w:ind w:left="3183"/>
        <w:rPr>
          <w:color w:val="auto"/>
          <w:highlight w:val="none"/>
        </w:rPr>
      </w:pPr>
      <w:r>
        <w:rPr>
          <w:rFonts w:ascii="宋体" w:hAnsi="宋体" w:eastAsia="宋体" w:cs="宋体"/>
          <w:b/>
          <w:bCs/>
          <w:color w:val="auto"/>
          <w:spacing w:val="6"/>
          <w:sz w:val="31"/>
          <w:szCs w:val="31"/>
          <w:highlight w:val="none"/>
        </w:rPr>
        <w:t>供应商须知前附表</w:t>
      </w:r>
    </w:p>
    <w:tbl>
      <w:tblPr>
        <w:tblStyle w:val="9"/>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29161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6" w:type="dxa"/>
            <w:vAlign w:val="top"/>
          </w:tcPr>
          <w:p w14:paraId="623EB0F5">
            <w:pPr>
              <w:pStyle w:val="10"/>
              <w:spacing w:before="132" w:line="228" w:lineRule="auto"/>
              <w:ind w:left="190"/>
              <w:rPr>
                <w:color w:val="auto"/>
                <w:highlight w:val="none"/>
              </w:rPr>
            </w:pPr>
            <w:r>
              <w:rPr>
                <w:b/>
                <w:bCs/>
                <w:color w:val="auto"/>
                <w:spacing w:val="5"/>
                <w:highlight w:val="none"/>
              </w:rPr>
              <w:t>条款号</w:t>
            </w:r>
          </w:p>
        </w:tc>
        <w:tc>
          <w:tcPr>
            <w:tcW w:w="7912" w:type="dxa"/>
            <w:vAlign w:val="top"/>
          </w:tcPr>
          <w:p w14:paraId="2711E784">
            <w:pPr>
              <w:pStyle w:val="10"/>
              <w:spacing w:before="132" w:line="228" w:lineRule="auto"/>
              <w:ind w:left="3564"/>
              <w:rPr>
                <w:color w:val="auto"/>
                <w:highlight w:val="none"/>
              </w:rPr>
            </w:pPr>
            <w:r>
              <w:rPr>
                <w:b/>
                <w:bCs/>
                <w:color w:val="auto"/>
                <w:spacing w:val="-15"/>
                <w:highlight w:val="none"/>
              </w:rPr>
              <w:t>内</w:t>
            </w:r>
            <w:r>
              <w:rPr>
                <w:color w:val="auto"/>
                <w:spacing w:val="8"/>
                <w:highlight w:val="none"/>
              </w:rPr>
              <w:t xml:space="preserve">    </w:t>
            </w:r>
            <w:r>
              <w:rPr>
                <w:b/>
                <w:bCs/>
                <w:color w:val="auto"/>
                <w:spacing w:val="-15"/>
                <w:highlight w:val="none"/>
              </w:rPr>
              <w:t>容</w:t>
            </w:r>
          </w:p>
        </w:tc>
      </w:tr>
      <w:tr w14:paraId="2D23C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437ADC03">
            <w:pPr>
              <w:pStyle w:val="10"/>
              <w:spacing w:before="164" w:line="189" w:lineRule="auto"/>
              <w:ind w:left="454"/>
              <w:rPr>
                <w:color w:val="auto"/>
                <w:highlight w:val="none"/>
              </w:rPr>
            </w:pPr>
            <w:r>
              <w:rPr>
                <w:color w:val="auto"/>
                <w:highlight w:val="none"/>
              </w:rPr>
              <w:t>3</w:t>
            </w:r>
          </w:p>
        </w:tc>
        <w:tc>
          <w:tcPr>
            <w:tcW w:w="7912" w:type="dxa"/>
            <w:vAlign w:val="top"/>
          </w:tcPr>
          <w:p w14:paraId="0ED956D0">
            <w:pPr>
              <w:pStyle w:val="10"/>
              <w:spacing w:before="131" w:line="226" w:lineRule="auto"/>
              <w:ind w:left="111"/>
              <w:rPr>
                <w:color w:val="auto"/>
                <w:highlight w:val="none"/>
              </w:rPr>
            </w:pPr>
            <w:r>
              <w:rPr>
                <w:color w:val="auto"/>
                <w:spacing w:val="9"/>
                <w:highlight w:val="none"/>
              </w:rPr>
              <w:t>供应商的资格条件：详见竞争性磋商公告</w:t>
            </w:r>
          </w:p>
        </w:tc>
      </w:tr>
      <w:tr w14:paraId="6AA08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63E15C89">
            <w:pPr>
              <w:pStyle w:val="10"/>
              <w:spacing w:before="162" w:line="190" w:lineRule="auto"/>
              <w:ind w:left="350"/>
              <w:rPr>
                <w:color w:val="auto"/>
                <w:highlight w:val="none"/>
              </w:rPr>
            </w:pPr>
            <w:r>
              <w:rPr>
                <w:color w:val="auto"/>
                <w:spacing w:val="1"/>
                <w:highlight w:val="none"/>
              </w:rPr>
              <w:t>5.1</w:t>
            </w:r>
          </w:p>
        </w:tc>
        <w:tc>
          <w:tcPr>
            <w:tcW w:w="7912" w:type="dxa"/>
            <w:vAlign w:val="top"/>
          </w:tcPr>
          <w:p w14:paraId="7F188D17">
            <w:pPr>
              <w:pStyle w:val="10"/>
              <w:spacing w:before="131" w:line="226" w:lineRule="auto"/>
              <w:ind w:left="114"/>
              <w:rPr>
                <w:color w:val="auto"/>
                <w:highlight w:val="none"/>
              </w:rPr>
            </w:pPr>
            <w:r>
              <w:rPr>
                <w:color w:val="auto"/>
                <w:spacing w:val="6"/>
                <w:highlight w:val="none"/>
              </w:rPr>
              <w:t>是否接受联合体竞标</w:t>
            </w:r>
            <w:r>
              <w:rPr>
                <w:color w:val="auto"/>
                <w:spacing w:val="-44"/>
                <w:highlight w:val="none"/>
              </w:rPr>
              <w:t xml:space="preserve"> </w:t>
            </w:r>
            <w:r>
              <w:rPr>
                <w:color w:val="auto"/>
                <w:spacing w:val="6"/>
                <w:highlight w:val="none"/>
              </w:rPr>
              <w:t>: 详见竞争性磋商公告</w:t>
            </w:r>
          </w:p>
        </w:tc>
      </w:tr>
      <w:tr w14:paraId="2B61A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5BAEB8A4">
            <w:pPr>
              <w:pStyle w:val="10"/>
              <w:spacing w:before="163" w:line="189" w:lineRule="auto"/>
              <w:ind w:left="350"/>
              <w:rPr>
                <w:color w:val="auto"/>
                <w:highlight w:val="none"/>
              </w:rPr>
            </w:pPr>
            <w:r>
              <w:rPr>
                <w:color w:val="auto"/>
                <w:spacing w:val="1"/>
                <w:highlight w:val="none"/>
              </w:rPr>
              <w:t>5.2</w:t>
            </w:r>
          </w:p>
        </w:tc>
        <w:tc>
          <w:tcPr>
            <w:tcW w:w="7912" w:type="dxa"/>
            <w:vAlign w:val="top"/>
          </w:tcPr>
          <w:p w14:paraId="5CD329BB">
            <w:pPr>
              <w:pStyle w:val="10"/>
              <w:spacing w:before="130" w:line="228" w:lineRule="auto"/>
              <w:ind w:left="114"/>
              <w:rPr>
                <w:color w:val="auto"/>
                <w:highlight w:val="none"/>
              </w:rPr>
            </w:pPr>
            <w:r>
              <w:rPr>
                <w:color w:val="auto"/>
                <w:spacing w:val="9"/>
                <w:highlight w:val="none"/>
              </w:rPr>
              <w:t>如接受联合体竞标，联合体竞标要求如下：无</w:t>
            </w:r>
          </w:p>
        </w:tc>
      </w:tr>
      <w:tr w14:paraId="5A4CD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420E3D67">
            <w:pPr>
              <w:pStyle w:val="10"/>
              <w:spacing w:before="162" w:line="189" w:lineRule="auto"/>
              <w:ind w:left="348"/>
              <w:rPr>
                <w:color w:val="auto"/>
                <w:highlight w:val="none"/>
              </w:rPr>
            </w:pPr>
            <w:r>
              <w:rPr>
                <w:color w:val="auto"/>
                <w:spacing w:val="1"/>
                <w:highlight w:val="none"/>
              </w:rPr>
              <w:t>6.2</w:t>
            </w:r>
          </w:p>
        </w:tc>
        <w:tc>
          <w:tcPr>
            <w:tcW w:w="7912" w:type="dxa"/>
            <w:vAlign w:val="top"/>
          </w:tcPr>
          <w:p w14:paraId="2703F671">
            <w:pPr>
              <w:pStyle w:val="10"/>
              <w:spacing w:before="129" w:line="228" w:lineRule="auto"/>
              <w:ind w:left="132"/>
              <w:rPr>
                <w:color w:val="auto"/>
                <w:highlight w:val="none"/>
              </w:rPr>
            </w:pPr>
            <w:r>
              <w:rPr>
                <w:color w:val="auto"/>
                <w:spacing w:val="5"/>
                <w:highlight w:val="none"/>
              </w:rPr>
              <w:t>■不允许分包</w:t>
            </w:r>
          </w:p>
        </w:tc>
      </w:tr>
      <w:tr w14:paraId="3432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2" w:hRule="atLeast"/>
        </w:trPr>
        <w:tc>
          <w:tcPr>
            <w:tcW w:w="996" w:type="dxa"/>
            <w:vAlign w:val="top"/>
          </w:tcPr>
          <w:p w14:paraId="51F4410A">
            <w:pPr>
              <w:spacing w:line="243" w:lineRule="auto"/>
              <w:rPr>
                <w:rFonts w:ascii="Arial"/>
                <w:color w:val="auto"/>
                <w:sz w:val="21"/>
                <w:highlight w:val="none"/>
              </w:rPr>
            </w:pPr>
          </w:p>
          <w:p w14:paraId="169B4B23">
            <w:pPr>
              <w:spacing w:line="243" w:lineRule="auto"/>
              <w:rPr>
                <w:rFonts w:ascii="Arial"/>
                <w:color w:val="auto"/>
                <w:sz w:val="21"/>
                <w:highlight w:val="none"/>
              </w:rPr>
            </w:pPr>
          </w:p>
          <w:p w14:paraId="185C8508">
            <w:pPr>
              <w:spacing w:line="243" w:lineRule="auto"/>
              <w:rPr>
                <w:rFonts w:ascii="Arial"/>
                <w:color w:val="auto"/>
                <w:sz w:val="21"/>
                <w:highlight w:val="none"/>
              </w:rPr>
            </w:pPr>
          </w:p>
          <w:p w14:paraId="3EC8391E">
            <w:pPr>
              <w:spacing w:line="243" w:lineRule="auto"/>
              <w:rPr>
                <w:rFonts w:ascii="Arial"/>
                <w:color w:val="auto"/>
                <w:sz w:val="21"/>
                <w:highlight w:val="none"/>
              </w:rPr>
            </w:pPr>
          </w:p>
          <w:p w14:paraId="23626877">
            <w:pPr>
              <w:spacing w:line="243" w:lineRule="auto"/>
              <w:rPr>
                <w:rFonts w:ascii="Arial"/>
                <w:color w:val="auto"/>
                <w:sz w:val="21"/>
                <w:highlight w:val="none"/>
              </w:rPr>
            </w:pPr>
          </w:p>
          <w:p w14:paraId="16873D46">
            <w:pPr>
              <w:spacing w:line="243" w:lineRule="auto"/>
              <w:rPr>
                <w:rFonts w:ascii="Arial"/>
                <w:color w:val="auto"/>
                <w:sz w:val="21"/>
                <w:highlight w:val="none"/>
              </w:rPr>
            </w:pPr>
          </w:p>
          <w:p w14:paraId="36E53C4A">
            <w:pPr>
              <w:spacing w:line="243" w:lineRule="auto"/>
              <w:rPr>
                <w:rFonts w:ascii="Arial"/>
                <w:color w:val="auto"/>
                <w:sz w:val="21"/>
                <w:highlight w:val="none"/>
              </w:rPr>
            </w:pPr>
          </w:p>
          <w:p w14:paraId="46BAC968">
            <w:pPr>
              <w:spacing w:line="243" w:lineRule="auto"/>
              <w:rPr>
                <w:rFonts w:ascii="Arial"/>
                <w:color w:val="auto"/>
                <w:sz w:val="21"/>
                <w:highlight w:val="none"/>
              </w:rPr>
            </w:pPr>
          </w:p>
          <w:p w14:paraId="6B57E59E">
            <w:pPr>
              <w:spacing w:line="243" w:lineRule="auto"/>
              <w:rPr>
                <w:rFonts w:ascii="Arial"/>
                <w:color w:val="auto"/>
                <w:sz w:val="21"/>
                <w:highlight w:val="none"/>
              </w:rPr>
            </w:pPr>
          </w:p>
          <w:p w14:paraId="51EF3C35">
            <w:pPr>
              <w:spacing w:line="243" w:lineRule="auto"/>
              <w:rPr>
                <w:rFonts w:ascii="Arial"/>
                <w:color w:val="auto"/>
                <w:sz w:val="21"/>
                <w:highlight w:val="none"/>
              </w:rPr>
            </w:pPr>
          </w:p>
          <w:p w14:paraId="3A390C00">
            <w:pPr>
              <w:spacing w:line="243" w:lineRule="auto"/>
              <w:rPr>
                <w:rFonts w:ascii="Arial"/>
                <w:color w:val="auto"/>
                <w:sz w:val="21"/>
                <w:highlight w:val="none"/>
              </w:rPr>
            </w:pPr>
          </w:p>
          <w:p w14:paraId="5C41816D">
            <w:pPr>
              <w:spacing w:line="243" w:lineRule="auto"/>
              <w:rPr>
                <w:rFonts w:ascii="Arial"/>
                <w:color w:val="auto"/>
                <w:sz w:val="21"/>
                <w:highlight w:val="none"/>
              </w:rPr>
            </w:pPr>
          </w:p>
          <w:p w14:paraId="4A3C2026">
            <w:pPr>
              <w:spacing w:line="243" w:lineRule="auto"/>
              <w:rPr>
                <w:rFonts w:ascii="Arial"/>
                <w:color w:val="auto"/>
                <w:sz w:val="21"/>
                <w:highlight w:val="none"/>
              </w:rPr>
            </w:pPr>
          </w:p>
          <w:p w14:paraId="0A43C5D2">
            <w:pPr>
              <w:spacing w:line="243" w:lineRule="auto"/>
              <w:rPr>
                <w:rFonts w:ascii="Arial"/>
                <w:color w:val="auto"/>
                <w:sz w:val="21"/>
                <w:highlight w:val="none"/>
              </w:rPr>
            </w:pPr>
          </w:p>
          <w:p w14:paraId="4E97D3E3">
            <w:pPr>
              <w:spacing w:line="243" w:lineRule="auto"/>
              <w:rPr>
                <w:rFonts w:ascii="Arial"/>
                <w:color w:val="auto"/>
                <w:sz w:val="21"/>
                <w:highlight w:val="none"/>
              </w:rPr>
            </w:pPr>
          </w:p>
          <w:p w14:paraId="4AFD6D9B">
            <w:pPr>
              <w:spacing w:line="243" w:lineRule="auto"/>
              <w:rPr>
                <w:rFonts w:ascii="Arial"/>
                <w:color w:val="auto"/>
                <w:sz w:val="21"/>
                <w:highlight w:val="none"/>
              </w:rPr>
            </w:pPr>
          </w:p>
          <w:p w14:paraId="1D19F9AA">
            <w:pPr>
              <w:spacing w:line="244" w:lineRule="auto"/>
              <w:rPr>
                <w:rFonts w:ascii="Arial"/>
                <w:color w:val="auto"/>
                <w:sz w:val="21"/>
                <w:highlight w:val="none"/>
              </w:rPr>
            </w:pPr>
          </w:p>
          <w:p w14:paraId="0AEDE178">
            <w:pPr>
              <w:spacing w:line="244" w:lineRule="auto"/>
              <w:rPr>
                <w:rFonts w:ascii="Arial"/>
                <w:color w:val="auto"/>
                <w:sz w:val="21"/>
                <w:highlight w:val="none"/>
              </w:rPr>
            </w:pPr>
          </w:p>
          <w:p w14:paraId="5E7BA3EF">
            <w:pPr>
              <w:spacing w:line="244" w:lineRule="auto"/>
              <w:rPr>
                <w:rFonts w:ascii="Arial"/>
                <w:color w:val="auto"/>
                <w:sz w:val="21"/>
                <w:highlight w:val="none"/>
              </w:rPr>
            </w:pPr>
          </w:p>
          <w:p w14:paraId="67A4CBFA">
            <w:pPr>
              <w:pStyle w:val="10"/>
              <w:spacing w:before="65" w:line="190" w:lineRule="auto"/>
              <w:ind w:left="203"/>
              <w:rPr>
                <w:color w:val="auto"/>
                <w:highlight w:val="none"/>
              </w:rPr>
            </w:pPr>
            <w:r>
              <w:rPr>
                <w:color w:val="auto"/>
                <w:spacing w:val="1"/>
                <w:highlight w:val="none"/>
              </w:rPr>
              <w:t>12.1.1</w:t>
            </w:r>
          </w:p>
        </w:tc>
        <w:tc>
          <w:tcPr>
            <w:tcW w:w="7912" w:type="dxa"/>
            <w:vMerge w:val="restart"/>
            <w:vAlign w:val="top"/>
          </w:tcPr>
          <w:p w14:paraId="332A7CA8">
            <w:pPr>
              <w:pStyle w:val="10"/>
              <w:spacing w:before="30" w:line="228" w:lineRule="auto"/>
              <w:ind w:left="120"/>
              <w:rPr>
                <w:color w:val="auto"/>
                <w:highlight w:val="none"/>
              </w:rPr>
            </w:pPr>
            <w:r>
              <w:rPr>
                <w:b/>
                <w:bCs/>
                <w:color w:val="auto"/>
                <w:spacing w:val="5"/>
                <w:highlight w:val="none"/>
              </w:rPr>
              <w:t>资格证明文件</w:t>
            </w:r>
          </w:p>
          <w:p w14:paraId="41022E4A">
            <w:pPr>
              <w:pStyle w:val="10"/>
              <w:spacing w:before="159" w:line="353" w:lineRule="auto"/>
              <w:ind w:left="110" w:right="109" w:firstLine="5"/>
              <w:rPr>
                <w:color w:val="auto"/>
                <w:spacing w:val="10"/>
                <w:highlight w:val="none"/>
              </w:rPr>
            </w:pPr>
            <w:r>
              <w:rPr>
                <w:rFonts w:hint="eastAsia"/>
                <w:color w:val="auto"/>
                <w:spacing w:val="7"/>
                <w:highlight w:val="none"/>
                <w:lang w:val="en-US" w:eastAsia="zh-CN"/>
              </w:rPr>
              <w:t>1.</w:t>
            </w:r>
            <w:r>
              <w:rPr>
                <w:color w:val="auto"/>
                <w:spacing w:val="7"/>
                <w:highlight w:val="none"/>
              </w:rPr>
              <w:t>供应商为法人或者其他组织的提供其营业执照等证明文件（如营业执照或者事业单</w:t>
            </w:r>
            <w:r>
              <w:rPr>
                <w:color w:val="auto"/>
                <w:spacing w:val="3"/>
                <w:highlight w:val="none"/>
              </w:rPr>
              <w:t xml:space="preserve"> </w:t>
            </w:r>
            <w:r>
              <w:rPr>
                <w:color w:val="auto"/>
                <w:spacing w:val="10"/>
                <w:highlight w:val="none"/>
              </w:rPr>
              <w:t>位法人证书或者执业许可证等</w:t>
            </w:r>
            <w:r>
              <w:rPr>
                <w:color w:val="auto"/>
                <w:spacing w:val="-13"/>
                <w:highlight w:val="none"/>
              </w:rPr>
              <w:t>），</w:t>
            </w:r>
            <w:r>
              <w:rPr>
                <w:color w:val="auto"/>
                <w:spacing w:val="10"/>
                <w:highlight w:val="none"/>
              </w:rPr>
              <w:t>供应商为自然人的提供其身份证复印件</w:t>
            </w:r>
            <w:r>
              <w:rPr>
                <w:color w:val="auto"/>
                <w:spacing w:val="-13"/>
                <w:highlight w:val="none"/>
              </w:rPr>
              <w:t>；（</w:t>
            </w:r>
            <w:r>
              <w:rPr>
                <w:b/>
                <w:bCs/>
                <w:color w:val="auto"/>
                <w:spacing w:val="10"/>
                <w:highlight w:val="none"/>
              </w:rPr>
              <w:t>必</w:t>
            </w:r>
            <w:r>
              <w:rPr>
                <w:b/>
                <w:bCs/>
                <w:color w:val="auto"/>
                <w:spacing w:val="9"/>
                <w:highlight w:val="none"/>
              </w:rPr>
              <w:t>须提 供</w:t>
            </w:r>
            <w:r>
              <w:rPr>
                <w:b/>
                <w:bCs/>
                <w:color w:val="auto"/>
                <w:spacing w:val="10"/>
                <w:highlight w:val="none"/>
              </w:rPr>
              <w:t>，否则响应文件按无效响应处理</w:t>
            </w:r>
            <w:r>
              <w:rPr>
                <w:color w:val="auto"/>
                <w:spacing w:val="10"/>
                <w:highlight w:val="none"/>
              </w:rPr>
              <w:t>）</w:t>
            </w:r>
          </w:p>
          <w:p w14:paraId="4EE91787">
            <w:pPr>
              <w:pStyle w:val="10"/>
              <w:spacing w:before="159" w:line="353" w:lineRule="auto"/>
              <w:ind w:left="110" w:right="109" w:firstLine="5"/>
              <w:rPr>
                <w:rFonts w:hint="default"/>
                <w:color w:val="auto"/>
                <w:spacing w:val="10"/>
                <w:highlight w:val="none"/>
                <w:lang w:val="en-US" w:eastAsia="zh-CN"/>
              </w:rPr>
            </w:pPr>
            <w:r>
              <w:rPr>
                <w:rFonts w:hint="eastAsia"/>
                <w:color w:val="auto"/>
                <w:spacing w:val="10"/>
                <w:highlight w:val="none"/>
                <w:lang w:val="en-US" w:eastAsia="zh-CN"/>
              </w:rPr>
              <w:t>2.供应商有效的资质证书副本；</w:t>
            </w:r>
            <w:r>
              <w:rPr>
                <w:color w:val="auto"/>
                <w:spacing w:val="10"/>
                <w:highlight w:val="none"/>
              </w:rPr>
              <w:t>（</w:t>
            </w:r>
            <w:r>
              <w:rPr>
                <w:b/>
                <w:bCs/>
                <w:color w:val="auto"/>
                <w:spacing w:val="10"/>
                <w:highlight w:val="none"/>
              </w:rPr>
              <w:t>必须提供，否则响应文件按无效响应处理</w:t>
            </w:r>
            <w:r>
              <w:rPr>
                <w:color w:val="auto"/>
                <w:spacing w:val="10"/>
                <w:highlight w:val="none"/>
              </w:rPr>
              <w:t>）</w:t>
            </w:r>
          </w:p>
          <w:p w14:paraId="0123A025">
            <w:pPr>
              <w:pStyle w:val="10"/>
              <w:spacing w:before="159" w:line="353" w:lineRule="auto"/>
              <w:ind w:left="110" w:right="109" w:firstLine="5"/>
              <w:rPr>
                <w:color w:val="auto"/>
                <w:spacing w:val="10"/>
                <w:highlight w:val="none"/>
              </w:rPr>
            </w:pPr>
            <w:r>
              <w:rPr>
                <w:rFonts w:hint="eastAsia"/>
                <w:color w:val="auto"/>
                <w:spacing w:val="10"/>
                <w:highlight w:val="none"/>
                <w:lang w:val="en-US" w:eastAsia="zh-CN"/>
              </w:rPr>
              <w:t>3</w:t>
            </w:r>
            <w:r>
              <w:rPr>
                <w:color w:val="auto"/>
                <w:spacing w:val="10"/>
                <w:highlight w:val="none"/>
              </w:rPr>
              <w:t>.供应商依法缴纳税收的相关材料（202</w:t>
            </w:r>
            <w:r>
              <w:rPr>
                <w:rFonts w:hint="eastAsia"/>
                <w:color w:val="auto"/>
                <w:spacing w:val="10"/>
                <w:highlight w:val="none"/>
                <w:lang w:val="en-US" w:eastAsia="zh-CN"/>
              </w:rPr>
              <w:t>5</w:t>
            </w:r>
            <w:r>
              <w:rPr>
                <w:color w:val="auto"/>
                <w:spacing w:val="10"/>
                <w:highlight w:val="none"/>
              </w:rPr>
              <w:t xml:space="preserve"> 年内任意 1 个月的依法缴纳税收的凭据复印件；依法免税的供应商，必须提供相应文件证明其依法免税。从取得营业执照时间 起到投标文件提交截止时间为止不足要求月数的，只需提供从取得营业执照起的依法 缴纳税收相应证明文件）；（</w:t>
            </w:r>
            <w:r>
              <w:rPr>
                <w:b/>
                <w:bCs/>
                <w:color w:val="auto"/>
                <w:spacing w:val="10"/>
                <w:highlight w:val="none"/>
              </w:rPr>
              <w:t>必须提供，否则响应文件按无效响应处理</w:t>
            </w:r>
            <w:r>
              <w:rPr>
                <w:color w:val="auto"/>
                <w:spacing w:val="10"/>
                <w:highlight w:val="none"/>
              </w:rPr>
              <w:t>）</w:t>
            </w:r>
          </w:p>
          <w:p w14:paraId="58E643BE">
            <w:pPr>
              <w:pStyle w:val="10"/>
              <w:spacing w:before="159" w:line="353" w:lineRule="auto"/>
              <w:ind w:left="110" w:right="109" w:firstLine="5"/>
              <w:rPr>
                <w:rFonts w:hint="default"/>
                <w:color w:val="auto"/>
                <w:spacing w:val="10"/>
                <w:highlight w:val="none"/>
                <w:lang w:val="en-US" w:eastAsia="zh-CN"/>
              </w:rPr>
            </w:pPr>
            <w:r>
              <w:rPr>
                <w:rFonts w:hint="eastAsia"/>
                <w:color w:val="auto"/>
                <w:spacing w:val="10"/>
                <w:highlight w:val="none"/>
                <w:lang w:val="en-US" w:eastAsia="zh-CN"/>
              </w:rPr>
              <w:t>4.拟投入项目负责人有效的职称证书；</w:t>
            </w:r>
            <w:r>
              <w:rPr>
                <w:color w:val="auto"/>
                <w:spacing w:val="10"/>
                <w:highlight w:val="none"/>
              </w:rPr>
              <w:t>（</w:t>
            </w:r>
            <w:r>
              <w:rPr>
                <w:b/>
                <w:bCs/>
                <w:color w:val="auto"/>
                <w:spacing w:val="10"/>
                <w:highlight w:val="none"/>
              </w:rPr>
              <w:t>必须提供，否则响应文件按无效响应处理</w:t>
            </w:r>
            <w:r>
              <w:rPr>
                <w:color w:val="auto"/>
                <w:spacing w:val="10"/>
                <w:highlight w:val="none"/>
              </w:rPr>
              <w:t>）</w:t>
            </w:r>
          </w:p>
          <w:p w14:paraId="418FDE68">
            <w:pPr>
              <w:pStyle w:val="10"/>
              <w:spacing w:before="159" w:line="353" w:lineRule="auto"/>
              <w:ind w:left="110" w:right="109" w:firstLine="5"/>
              <w:rPr>
                <w:color w:val="auto"/>
                <w:highlight w:val="none"/>
              </w:rPr>
            </w:pPr>
            <w:r>
              <w:rPr>
                <w:rFonts w:hint="eastAsia"/>
                <w:color w:val="auto"/>
                <w:spacing w:val="10"/>
                <w:highlight w:val="none"/>
                <w:lang w:val="en-US" w:eastAsia="zh-CN"/>
              </w:rPr>
              <w:t>5</w:t>
            </w:r>
            <w:r>
              <w:rPr>
                <w:color w:val="auto"/>
                <w:spacing w:val="10"/>
                <w:highlight w:val="none"/>
              </w:rPr>
              <w:t>.供应商依法缴纳社会保障资金的相关材料</w:t>
            </w:r>
            <w:r>
              <w:rPr>
                <w:color w:val="auto"/>
                <w:spacing w:val="62"/>
                <w:highlight w:val="none"/>
              </w:rPr>
              <w:t xml:space="preserve"> </w:t>
            </w:r>
            <w:r>
              <w:rPr>
                <w:color w:val="auto"/>
                <w:spacing w:val="6"/>
                <w:highlight w:val="none"/>
              </w:rPr>
              <w:t>[202</w:t>
            </w:r>
            <w:r>
              <w:rPr>
                <w:rFonts w:hint="eastAsia"/>
                <w:color w:val="auto"/>
                <w:spacing w:val="6"/>
                <w:highlight w:val="none"/>
                <w:lang w:val="en-US" w:eastAsia="zh-CN"/>
              </w:rPr>
              <w:t>5</w:t>
            </w:r>
            <w:r>
              <w:rPr>
                <w:color w:val="auto"/>
                <w:spacing w:val="-38"/>
                <w:highlight w:val="none"/>
              </w:rPr>
              <w:t xml:space="preserve"> </w:t>
            </w:r>
            <w:r>
              <w:rPr>
                <w:color w:val="auto"/>
                <w:spacing w:val="6"/>
                <w:highlight w:val="none"/>
              </w:rPr>
              <w:t>年内任意</w:t>
            </w:r>
            <w:r>
              <w:rPr>
                <w:color w:val="auto"/>
                <w:spacing w:val="-21"/>
                <w:highlight w:val="none"/>
              </w:rPr>
              <w:t xml:space="preserve"> </w:t>
            </w:r>
            <w:r>
              <w:rPr>
                <w:color w:val="auto"/>
                <w:spacing w:val="6"/>
                <w:highlight w:val="none"/>
              </w:rPr>
              <w:t>1</w:t>
            </w:r>
            <w:r>
              <w:rPr>
                <w:color w:val="auto"/>
                <w:spacing w:val="-40"/>
                <w:highlight w:val="none"/>
              </w:rPr>
              <w:t xml:space="preserve"> </w:t>
            </w:r>
            <w:r>
              <w:rPr>
                <w:color w:val="auto"/>
                <w:spacing w:val="6"/>
                <w:highlight w:val="none"/>
              </w:rPr>
              <w:t>个月的依法缴纳社会</w:t>
            </w:r>
            <w:r>
              <w:rPr>
                <w:color w:val="auto"/>
                <w:highlight w:val="none"/>
              </w:rPr>
              <w:t xml:space="preserve">  </w:t>
            </w:r>
            <w:r>
              <w:rPr>
                <w:color w:val="auto"/>
                <w:spacing w:val="8"/>
                <w:highlight w:val="none"/>
              </w:rPr>
              <w:t>保障资金的缴费凭证（专用收据或者社会保险缴纳清单）复印</w:t>
            </w:r>
            <w:r>
              <w:rPr>
                <w:color w:val="auto"/>
                <w:spacing w:val="7"/>
                <w:highlight w:val="none"/>
              </w:rPr>
              <w:t>件；依法不需要缴纳社</w:t>
            </w:r>
            <w:r>
              <w:rPr>
                <w:color w:val="auto"/>
                <w:highlight w:val="none"/>
              </w:rPr>
              <w:t xml:space="preserve"> </w:t>
            </w:r>
            <w:r>
              <w:rPr>
                <w:color w:val="auto"/>
                <w:spacing w:val="8"/>
                <w:highlight w:val="none"/>
              </w:rPr>
              <w:t>会保障资金的供应商，必须提供相应文件证明不需要缴纳社会</w:t>
            </w:r>
            <w:r>
              <w:rPr>
                <w:color w:val="auto"/>
                <w:spacing w:val="7"/>
                <w:highlight w:val="none"/>
              </w:rPr>
              <w:t>保障资金。从取得营业</w:t>
            </w:r>
            <w:r>
              <w:rPr>
                <w:color w:val="auto"/>
                <w:highlight w:val="none"/>
              </w:rPr>
              <w:t xml:space="preserve"> </w:t>
            </w:r>
            <w:r>
              <w:rPr>
                <w:color w:val="auto"/>
                <w:spacing w:val="10"/>
                <w:highlight w:val="none"/>
              </w:rPr>
              <w:t>执照时间起到首次响应文件提交截止时间为止不足要求月</w:t>
            </w:r>
            <w:r>
              <w:rPr>
                <w:color w:val="auto"/>
                <w:spacing w:val="9"/>
                <w:highlight w:val="none"/>
              </w:rPr>
              <w:t>数的只需提供从取得营业</w:t>
            </w:r>
            <w:r>
              <w:rPr>
                <w:color w:val="auto"/>
                <w:highlight w:val="none"/>
              </w:rPr>
              <w:t xml:space="preserve">  </w:t>
            </w:r>
            <w:r>
              <w:rPr>
                <w:color w:val="auto"/>
                <w:spacing w:val="10"/>
                <w:highlight w:val="none"/>
              </w:rPr>
              <w:t>执照起的依法缴纳社会保障资金的相应证明文件]</w:t>
            </w:r>
            <w:r>
              <w:rPr>
                <w:color w:val="auto"/>
                <w:spacing w:val="-7"/>
                <w:highlight w:val="none"/>
              </w:rPr>
              <w:t>；（</w:t>
            </w:r>
            <w:r>
              <w:rPr>
                <w:b/>
                <w:bCs/>
                <w:color w:val="auto"/>
                <w:spacing w:val="10"/>
                <w:highlight w:val="none"/>
              </w:rPr>
              <w:t>必须提供，否则响应文件按无</w:t>
            </w:r>
            <w:r>
              <w:rPr>
                <w:color w:val="auto"/>
                <w:spacing w:val="1"/>
                <w:highlight w:val="none"/>
              </w:rPr>
              <w:t xml:space="preserve"> </w:t>
            </w:r>
            <w:r>
              <w:rPr>
                <w:b/>
                <w:bCs/>
                <w:color w:val="auto"/>
                <w:spacing w:val="5"/>
                <w:highlight w:val="none"/>
              </w:rPr>
              <w:t>效响应处理</w:t>
            </w:r>
            <w:r>
              <w:rPr>
                <w:color w:val="auto"/>
                <w:spacing w:val="5"/>
                <w:highlight w:val="none"/>
              </w:rPr>
              <w:t>）</w:t>
            </w:r>
          </w:p>
          <w:p w14:paraId="1056E137">
            <w:pPr>
              <w:pStyle w:val="10"/>
              <w:spacing w:before="163" w:line="358" w:lineRule="auto"/>
              <w:ind w:left="110" w:right="85"/>
              <w:rPr>
                <w:color w:val="auto"/>
                <w:highlight w:val="none"/>
              </w:rPr>
            </w:pPr>
            <w:r>
              <w:rPr>
                <w:rFonts w:hint="eastAsia"/>
                <w:color w:val="auto"/>
                <w:spacing w:val="8"/>
                <w:highlight w:val="none"/>
                <w:lang w:val="en-US" w:eastAsia="zh-CN"/>
              </w:rPr>
              <w:t>6</w:t>
            </w:r>
            <w:r>
              <w:rPr>
                <w:color w:val="auto"/>
                <w:spacing w:val="8"/>
                <w:highlight w:val="none"/>
              </w:rPr>
              <w:t>.供应商财务状况报告[2023</w:t>
            </w:r>
            <w:r>
              <w:rPr>
                <w:color w:val="auto"/>
                <w:spacing w:val="-34"/>
                <w:highlight w:val="none"/>
              </w:rPr>
              <w:t xml:space="preserve"> </w:t>
            </w:r>
            <w:r>
              <w:rPr>
                <w:color w:val="auto"/>
                <w:spacing w:val="8"/>
                <w:highlight w:val="none"/>
              </w:rPr>
              <w:t>年度财务状况报告复印件，供应商是法人的，应提供经</w:t>
            </w:r>
            <w:r>
              <w:rPr>
                <w:color w:val="auto"/>
                <w:highlight w:val="none"/>
              </w:rPr>
              <w:t xml:space="preserve"> </w:t>
            </w:r>
            <w:r>
              <w:rPr>
                <w:color w:val="auto"/>
                <w:spacing w:val="8"/>
                <w:highlight w:val="none"/>
              </w:rPr>
              <w:t>审计的财务报告（包括“三表一注</w:t>
            </w:r>
            <w:r>
              <w:rPr>
                <w:color w:val="auto"/>
                <w:spacing w:val="-70"/>
                <w:highlight w:val="none"/>
              </w:rPr>
              <w:t xml:space="preserve"> </w:t>
            </w:r>
            <w:r>
              <w:rPr>
                <w:color w:val="auto"/>
                <w:spacing w:val="8"/>
                <w:highlight w:val="none"/>
              </w:rPr>
              <w:t>”，即资</w:t>
            </w:r>
            <w:r>
              <w:rPr>
                <w:color w:val="auto"/>
                <w:spacing w:val="7"/>
                <w:highlight w:val="none"/>
              </w:rPr>
              <w:t>产负债表、利润表、现金流量表及附注，</w:t>
            </w:r>
            <w:r>
              <w:rPr>
                <w:color w:val="auto"/>
                <w:highlight w:val="none"/>
              </w:rPr>
              <w:t xml:space="preserve"> </w:t>
            </w:r>
            <w:r>
              <w:rPr>
                <w:color w:val="auto"/>
                <w:spacing w:val="8"/>
                <w:highlight w:val="none"/>
              </w:rPr>
              <w:t>属于小微企业的无须提供现金流量表）或者其基本开户银行</w:t>
            </w:r>
            <w:r>
              <w:rPr>
                <w:color w:val="auto"/>
                <w:spacing w:val="7"/>
                <w:highlight w:val="none"/>
              </w:rPr>
              <w:t>出具的资信证明（注明有</w:t>
            </w:r>
            <w:r>
              <w:rPr>
                <w:color w:val="auto"/>
                <w:highlight w:val="none"/>
              </w:rPr>
              <w:t xml:space="preserve"> </w:t>
            </w:r>
            <w:r>
              <w:rPr>
                <w:color w:val="auto"/>
                <w:spacing w:val="10"/>
                <w:highlight w:val="none"/>
              </w:rPr>
              <w:t>效期的，应在有效期内；未注明有效期的，出具时间至</w:t>
            </w:r>
            <w:r>
              <w:rPr>
                <w:color w:val="auto"/>
                <w:spacing w:val="9"/>
                <w:highlight w:val="none"/>
              </w:rPr>
              <w:t>投标截止时间不超过一年</w:t>
            </w:r>
            <w:r>
              <w:rPr>
                <w:color w:val="auto"/>
                <w:spacing w:val="-16"/>
                <w:highlight w:val="none"/>
              </w:rPr>
              <w:t>）；</w:t>
            </w:r>
            <w:r>
              <w:rPr>
                <w:color w:val="auto"/>
                <w:spacing w:val="1"/>
                <w:highlight w:val="none"/>
              </w:rPr>
              <w:t xml:space="preserve"> </w:t>
            </w:r>
            <w:r>
              <w:rPr>
                <w:color w:val="auto"/>
                <w:spacing w:val="7"/>
                <w:highlight w:val="none"/>
              </w:rPr>
              <w:t>供应商是其他组织或者自然人的，应提供经审计的财务报告（包括“三表一</w:t>
            </w:r>
            <w:r>
              <w:rPr>
                <w:color w:val="auto"/>
                <w:spacing w:val="6"/>
                <w:highlight w:val="none"/>
              </w:rPr>
              <w:t>注</w:t>
            </w:r>
            <w:r>
              <w:rPr>
                <w:color w:val="auto"/>
                <w:spacing w:val="-70"/>
                <w:highlight w:val="none"/>
              </w:rPr>
              <w:t xml:space="preserve"> </w:t>
            </w:r>
            <w:r>
              <w:rPr>
                <w:color w:val="auto"/>
                <w:spacing w:val="6"/>
                <w:highlight w:val="none"/>
              </w:rPr>
              <w:t>”，即</w:t>
            </w:r>
            <w:r>
              <w:rPr>
                <w:color w:val="auto"/>
                <w:highlight w:val="none"/>
              </w:rPr>
              <w:t xml:space="preserve"> </w:t>
            </w:r>
            <w:r>
              <w:rPr>
                <w:color w:val="auto"/>
                <w:spacing w:val="10"/>
                <w:highlight w:val="none"/>
              </w:rPr>
              <w:t>资产负债表、利润表、现金流量表及附注，属于</w:t>
            </w:r>
            <w:r>
              <w:rPr>
                <w:color w:val="auto"/>
                <w:spacing w:val="9"/>
                <w:highlight w:val="none"/>
              </w:rPr>
              <w:t>小微企业的无须提供现金流量表)或</w:t>
            </w:r>
            <w:r>
              <w:rPr>
                <w:color w:val="auto"/>
                <w:highlight w:val="none"/>
              </w:rPr>
              <w:t xml:space="preserve"> </w:t>
            </w:r>
            <w:r>
              <w:rPr>
                <w:color w:val="auto"/>
                <w:spacing w:val="8"/>
                <w:highlight w:val="none"/>
              </w:rPr>
              <w:t>者银行出具的资信证明（注明有效期的，应在有效期内；未</w:t>
            </w:r>
            <w:r>
              <w:rPr>
                <w:color w:val="auto"/>
                <w:spacing w:val="7"/>
                <w:highlight w:val="none"/>
              </w:rPr>
              <w:t>注明有效期的，出具时间</w:t>
            </w:r>
            <w:r>
              <w:rPr>
                <w:color w:val="auto"/>
                <w:highlight w:val="none"/>
              </w:rPr>
              <w:t xml:space="preserve"> </w:t>
            </w:r>
            <w:r>
              <w:rPr>
                <w:color w:val="auto"/>
                <w:spacing w:val="8"/>
                <w:highlight w:val="none"/>
              </w:rPr>
              <w:t>至投标截止时间不超过一年）] （</w:t>
            </w:r>
            <w:r>
              <w:rPr>
                <w:b/>
                <w:bCs/>
                <w:color w:val="auto"/>
                <w:spacing w:val="8"/>
                <w:highlight w:val="none"/>
              </w:rPr>
              <w:t>必须提供，否则响应文件按无效响应处理</w:t>
            </w:r>
            <w:r>
              <w:rPr>
                <w:color w:val="auto"/>
                <w:spacing w:val="8"/>
                <w:highlight w:val="none"/>
              </w:rPr>
              <w:t>）</w:t>
            </w:r>
          </w:p>
          <w:p w14:paraId="6CF15552">
            <w:pPr>
              <w:keepNext w:val="0"/>
              <w:keepLines w:val="0"/>
              <w:pageBreakBefore w:val="0"/>
              <w:widowControl/>
              <w:kinsoku w:val="0"/>
              <w:wordWrap/>
              <w:overflowPunct/>
              <w:topLinePunct w:val="0"/>
              <w:autoSpaceDE w:val="0"/>
              <w:autoSpaceDN w:val="0"/>
              <w:bidi w:val="0"/>
              <w:adjustRightInd w:val="0"/>
              <w:snapToGrid w:val="0"/>
              <w:spacing w:before="160" w:line="219" w:lineRule="auto"/>
              <w:ind w:left="42" w:leftChars="20"/>
              <w:jc w:val="both"/>
              <w:textAlignment w:val="baseline"/>
              <w:rPr>
                <w:color w:val="auto"/>
                <w:highlight w:val="none"/>
              </w:rPr>
            </w:pPr>
            <w:r>
              <w:rPr>
                <w:rFonts w:hint="eastAsia" w:ascii="宋体" w:hAnsi="宋体" w:eastAsia="宋体" w:cs="宋体"/>
                <w:snapToGrid w:val="0"/>
                <w:color w:val="auto"/>
                <w:spacing w:val="9"/>
                <w:kern w:val="0"/>
                <w:sz w:val="20"/>
                <w:szCs w:val="20"/>
                <w:highlight w:val="none"/>
                <w:lang w:val="en-US" w:eastAsia="zh-CN" w:bidi="ar-SA"/>
              </w:rPr>
              <w:t>7</w:t>
            </w:r>
            <w:r>
              <w:rPr>
                <w:rFonts w:ascii="宋体" w:hAnsi="宋体" w:eastAsia="宋体" w:cs="宋体"/>
                <w:snapToGrid w:val="0"/>
                <w:color w:val="auto"/>
                <w:spacing w:val="9"/>
                <w:kern w:val="0"/>
                <w:sz w:val="20"/>
                <w:szCs w:val="20"/>
                <w:highlight w:val="none"/>
                <w:lang w:val="en-US" w:eastAsia="en-US" w:bidi="ar-SA"/>
              </w:rPr>
              <w:t>.供应商基本情况表（格式后附</w:t>
            </w:r>
            <w:r>
              <w:rPr>
                <w:color w:val="auto"/>
                <w:spacing w:val="-9"/>
                <w:highlight w:val="none"/>
              </w:rPr>
              <w:t>）；（</w:t>
            </w:r>
            <w:r>
              <w:rPr>
                <w:b/>
                <w:bCs/>
                <w:color w:val="auto"/>
                <w:spacing w:val="8"/>
                <w:highlight w:val="none"/>
              </w:rPr>
              <w:t>必须提供，否则响应文件按无</w:t>
            </w:r>
            <w:r>
              <w:rPr>
                <w:b/>
                <w:bCs/>
                <w:color w:val="auto"/>
                <w:spacing w:val="4"/>
                <w:highlight w:val="none"/>
              </w:rPr>
              <w:t>效响应处理</w:t>
            </w:r>
            <w:r>
              <w:rPr>
                <w:color w:val="auto"/>
                <w:spacing w:val="4"/>
                <w:highlight w:val="none"/>
              </w:rPr>
              <w:t>）</w:t>
            </w:r>
          </w:p>
          <w:p w14:paraId="01CD7069">
            <w:pPr>
              <w:pStyle w:val="10"/>
              <w:spacing w:before="160" w:line="227" w:lineRule="auto"/>
              <w:ind w:left="113"/>
              <w:rPr>
                <w:color w:val="auto"/>
                <w:highlight w:val="none"/>
              </w:rPr>
            </w:pPr>
            <w:r>
              <w:rPr>
                <w:rFonts w:hint="eastAsia"/>
                <w:color w:val="auto"/>
                <w:spacing w:val="9"/>
                <w:highlight w:val="none"/>
                <w:lang w:val="en-US" w:eastAsia="zh-CN"/>
              </w:rPr>
              <w:t>8</w:t>
            </w:r>
            <w:r>
              <w:rPr>
                <w:color w:val="auto"/>
                <w:spacing w:val="9"/>
                <w:highlight w:val="none"/>
              </w:rPr>
              <w:t>.竞标声明（格式后附</w:t>
            </w:r>
            <w:r>
              <w:rPr>
                <w:color w:val="auto"/>
                <w:spacing w:val="1"/>
                <w:highlight w:val="none"/>
              </w:rPr>
              <w:t>）；（</w:t>
            </w:r>
            <w:r>
              <w:rPr>
                <w:b/>
                <w:bCs/>
                <w:color w:val="auto"/>
                <w:spacing w:val="9"/>
                <w:highlight w:val="none"/>
              </w:rPr>
              <w:t>必须提供，否则响应文件按无效响应处理</w:t>
            </w:r>
            <w:r>
              <w:rPr>
                <w:color w:val="auto"/>
                <w:spacing w:val="9"/>
                <w:highlight w:val="none"/>
              </w:rPr>
              <w:t>）</w:t>
            </w:r>
          </w:p>
          <w:p w14:paraId="4E044DF9">
            <w:pPr>
              <w:pStyle w:val="10"/>
              <w:spacing w:before="162" w:line="302" w:lineRule="auto"/>
              <w:ind w:left="110" w:right="111" w:firstLine="5"/>
              <w:rPr>
                <w:color w:val="auto"/>
                <w:highlight w:val="none"/>
              </w:rPr>
            </w:pPr>
            <w:r>
              <w:rPr>
                <w:rFonts w:hint="eastAsia"/>
                <w:color w:val="auto"/>
                <w:spacing w:val="9"/>
                <w:highlight w:val="none"/>
                <w:lang w:val="en-US" w:eastAsia="zh-CN"/>
              </w:rPr>
              <w:t>9</w:t>
            </w:r>
            <w:r>
              <w:rPr>
                <w:color w:val="auto"/>
                <w:spacing w:val="9"/>
                <w:highlight w:val="none"/>
              </w:rPr>
              <w:t>.具备履行合同所必需的设备和专业技术能力的证明材料</w:t>
            </w:r>
            <w:r>
              <w:rPr>
                <w:color w:val="auto"/>
                <w:spacing w:val="-33"/>
                <w:highlight w:val="none"/>
              </w:rPr>
              <w:t>；（</w:t>
            </w:r>
            <w:r>
              <w:rPr>
                <w:b/>
                <w:bCs/>
                <w:color w:val="auto"/>
                <w:spacing w:val="9"/>
                <w:highlight w:val="none"/>
              </w:rPr>
              <w:t>必须提供，否则响</w:t>
            </w:r>
            <w:r>
              <w:rPr>
                <w:b/>
                <w:bCs/>
                <w:color w:val="auto"/>
                <w:spacing w:val="8"/>
                <w:highlight w:val="none"/>
              </w:rPr>
              <w:t>应文</w:t>
            </w:r>
            <w:r>
              <w:rPr>
                <w:color w:val="auto"/>
                <w:highlight w:val="none"/>
              </w:rPr>
              <w:t xml:space="preserve"> </w:t>
            </w:r>
            <w:r>
              <w:rPr>
                <w:b/>
                <w:bCs/>
                <w:color w:val="auto"/>
                <w:spacing w:val="6"/>
                <w:highlight w:val="none"/>
              </w:rPr>
              <w:t>件按无效响应处理</w:t>
            </w:r>
            <w:r>
              <w:rPr>
                <w:color w:val="auto"/>
                <w:spacing w:val="6"/>
                <w:highlight w:val="none"/>
              </w:rPr>
              <w:t>）</w:t>
            </w:r>
          </w:p>
          <w:p w14:paraId="4BD54C55">
            <w:pPr>
              <w:pStyle w:val="10"/>
              <w:spacing w:before="160" w:line="302" w:lineRule="auto"/>
              <w:ind w:left="111" w:right="109"/>
              <w:rPr>
                <w:color w:val="auto"/>
                <w:highlight w:val="none"/>
              </w:rPr>
            </w:pPr>
            <w:r>
              <w:rPr>
                <w:rFonts w:hint="eastAsia"/>
                <w:color w:val="auto"/>
                <w:spacing w:val="10"/>
                <w:highlight w:val="none"/>
                <w:lang w:val="en-US" w:eastAsia="zh-CN"/>
              </w:rPr>
              <w:t>10</w:t>
            </w:r>
            <w:r>
              <w:rPr>
                <w:color w:val="auto"/>
                <w:spacing w:val="10"/>
                <w:highlight w:val="none"/>
              </w:rPr>
              <w:t>.参加政府采购活动前三年内在经营活动中没有</w:t>
            </w:r>
            <w:r>
              <w:rPr>
                <w:b/>
                <w:bCs/>
                <w:color w:val="auto"/>
                <w:spacing w:val="10"/>
                <w:highlight w:val="none"/>
              </w:rPr>
              <w:t>重大违法记录</w:t>
            </w:r>
            <w:r>
              <w:rPr>
                <w:color w:val="auto"/>
                <w:spacing w:val="10"/>
                <w:highlight w:val="none"/>
              </w:rPr>
              <w:t>的</w:t>
            </w:r>
            <w:r>
              <w:rPr>
                <w:b/>
                <w:bCs/>
                <w:color w:val="auto"/>
                <w:spacing w:val="10"/>
                <w:highlight w:val="none"/>
              </w:rPr>
              <w:t>书面</w:t>
            </w:r>
            <w:r>
              <w:rPr>
                <w:b/>
                <w:bCs/>
                <w:color w:val="auto"/>
                <w:spacing w:val="9"/>
                <w:highlight w:val="none"/>
              </w:rPr>
              <w:t>声明</w:t>
            </w:r>
            <w:r>
              <w:rPr>
                <w:color w:val="auto"/>
                <w:spacing w:val="-46"/>
                <w:highlight w:val="none"/>
              </w:rPr>
              <w:t>；（</w:t>
            </w:r>
            <w:r>
              <w:rPr>
                <w:color w:val="auto"/>
                <w:spacing w:val="9"/>
                <w:highlight w:val="none"/>
              </w:rPr>
              <w:t>格式自</w:t>
            </w:r>
            <w:r>
              <w:rPr>
                <w:color w:val="auto"/>
                <w:highlight w:val="none"/>
              </w:rPr>
              <w:t xml:space="preserve"> </w:t>
            </w:r>
            <w:r>
              <w:rPr>
                <w:color w:val="auto"/>
                <w:spacing w:val="9"/>
                <w:highlight w:val="none"/>
              </w:rPr>
              <w:t>拟</w:t>
            </w:r>
            <w:r>
              <w:rPr>
                <w:color w:val="auto"/>
                <w:spacing w:val="-2"/>
                <w:highlight w:val="none"/>
              </w:rPr>
              <w:t>）（</w:t>
            </w:r>
            <w:r>
              <w:rPr>
                <w:b/>
                <w:bCs/>
                <w:color w:val="auto"/>
                <w:spacing w:val="9"/>
                <w:highlight w:val="none"/>
              </w:rPr>
              <w:t>必须提供，否则响应文件按无效响应处理</w:t>
            </w:r>
            <w:r>
              <w:rPr>
                <w:color w:val="auto"/>
                <w:spacing w:val="9"/>
                <w:highlight w:val="none"/>
              </w:rPr>
              <w:t>）</w:t>
            </w:r>
          </w:p>
          <w:p w14:paraId="51E5F7CF">
            <w:pPr>
              <w:pStyle w:val="10"/>
              <w:spacing w:before="164" w:line="227" w:lineRule="auto"/>
              <w:ind w:left="112"/>
              <w:rPr>
                <w:color w:val="auto"/>
                <w:highlight w:val="none"/>
              </w:rPr>
            </w:pPr>
            <w:r>
              <w:rPr>
                <w:rFonts w:hint="eastAsia"/>
                <w:color w:val="auto"/>
                <w:spacing w:val="9"/>
                <w:highlight w:val="none"/>
                <w:lang w:val="en-US" w:eastAsia="zh-CN"/>
              </w:rPr>
              <w:t>11</w:t>
            </w:r>
            <w:r>
              <w:rPr>
                <w:color w:val="auto"/>
                <w:spacing w:val="9"/>
                <w:highlight w:val="none"/>
              </w:rPr>
              <w:t>.中小型企业声明函（格式后附</w:t>
            </w:r>
            <w:r>
              <w:rPr>
                <w:color w:val="auto"/>
                <w:highlight w:val="none"/>
              </w:rPr>
              <w:t>）（</w:t>
            </w:r>
            <w:r>
              <w:rPr>
                <w:b/>
                <w:bCs/>
                <w:color w:val="auto"/>
                <w:spacing w:val="9"/>
                <w:highlight w:val="none"/>
              </w:rPr>
              <w:t>如有请提供</w:t>
            </w:r>
            <w:r>
              <w:rPr>
                <w:color w:val="auto"/>
                <w:spacing w:val="9"/>
                <w:highlight w:val="none"/>
              </w:rPr>
              <w:t>）</w:t>
            </w:r>
          </w:p>
          <w:p w14:paraId="7DFE7262">
            <w:pPr>
              <w:pStyle w:val="10"/>
              <w:spacing w:before="163" w:line="227" w:lineRule="auto"/>
              <w:ind w:left="127"/>
              <w:rPr>
                <w:color w:val="auto"/>
                <w:highlight w:val="none"/>
              </w:rPr>
            </w:pPr>
            <w:r>
              <w:rPr>
                <w:color w:val="auto"/>
                <w:spacing w:val="8"/>
                <w:highlight w:val="none"/>
              </w:rPr>
              <w:t>1</w:t>
            </w:r>
            <w:r>
              <w:rPr>
                <w:rFonts w:hint="eastAsia"/>
                <w:color w:val="auto"/>
                <w:spacing w:val="8"/>
                <w:highlight w:val="none"/>
                <w:lang w:val="en-US" w:eastAsia="zh-CN"/>
              </w:rPr>
              <w:t>2</w:t>
            </w:r>
            <w:r>
              <w:rPr>
                <w:color w:val="auto"/>
                <w:spacing w:val="8"/>
                <w:highlight w:val="none"/>
              </w:rPr>
              <w:t>.除磋商文件规定必须提供以外，供应商认为需要提供的其他证明材料；</w:t>
            </w:r>
          </w:p>
          <w:p w14:paraId="6E5260DC">
            <w:pPr>
              <w:pStyle w:val="10"/>
              <w:spacing w:before="161" w:line="378" w:lineRule="auto"/>
              <w:ind w:left="112" w:right="109" w:hanging="1"/>
              <w:rPr>
                <w:color w:val="auto"/>
                <w:highlight w:val="none"/>
              </w:rPr>
            </w:pPr>
            <w:r>
              <w:rPr>
                <w:b/>
                <w:bCs/>
                <w:color w:val="auto"/>
                <w:spacing w:val="7"/>
                <w:highlight w:val="none"/>
              </w:rPr>
              <w:t>注：1.</w:t>
            </w:r>
            <w:r>
              <w:rPr>
                <w:color w:val="auto"/>
                <w:spacing w:val="38"/>
                <w:highlight w:val="none"/>
              </w:rPr>
              <w:t xml:space="preserve"> </w:t>
            </w:r>
            <w:r>
              <w:rPr>
                <w:b/>
                <w:bCs/>
                <w:color w:val="auto"/>
                <w:spacing w:val="7"/>
                <w:highlight w:val="none"/>
              </w:rPr>
              <w:t>以上标明“必须提供</w:t>
            </w:r>
            <w:r>
              <w:rPr>
                <w:color w:val="auto"/>
                <w:spacing w:val="-72"/>
                <w:highlight w:val="none"/>
              </w:rPr>
              <w:t xml:space="preserve"> </w:t>
            </w:r>
            <w:r>
              <w:rPr>
                <w:b/>
                <w:bCs/>
                <w:color w:val="auto"/>
                <w:spacing w:val="7"/>
                <w:highlight w:val="none"/>
              </w:rPr>
              <w:t>”的材料属于</w:t>
            </w:r>
            <w:r>
              <w:rPr>
                <w:b/>
                <w:bCs/>
                <w:color w:val="auto"/>
                <w:spacing w:val="6"/>
                <w:highlight w:val="none"/>
              </w:rPr>
              <w:t>复印件的，必须加盖投标人公章，否则按</w:t>
            </w:r>
            <w:r>
              <w:rPr>
                <w:color w:val="auto"/>
                <w:highlight w:val="none"/>
              </w:rPr>
              <w:t xml:space="preserve"> </w:t>
            </w:r>
            <w:r>
              <w:rPr>
                <w:b/>
                <w:bCs/>
                <w:color w:val="auto"/>
                <w:spacing w:val="5"/>
                <w:highlight w:val="none"/>
              </w:rPr>
              <w:t>无效投标处理。</w:t>
            </w:r>
          </w:p>
          <w:p w14:paraId="3D0E7F16">
            <w:pPr>
              <w:pStyle w:val="10"/>
              <w:spacing w:line="302" w:lineRule="auto"/>
              <w:ind w:left="117" w:right="54" w:hanging="3"/>
              <w:rPr>
                <w:color w:val="auto"/>
                <w:highlight w:val="none"/>
              </w:rPr>
            </w:pPr>
            <w:r>
              <w:rPr>
                <w:b/>
                <w:bCs/>
                <w:color w:val="auto"/>
                <w:spacing w:val="7"/>
                <w:highlight w:val="none"/>
              </w:rPr>
              <w:t>2.竞标声明必须由法定代表人或者委托代理人在规定签章处签字</w:t>
            </w:r>
            <w:r>
              <w:rPr>
                <w:b/>
                <w:bCs/>
                <w:color w:val="auto"/>
                <w:spacing w:val="6"/>
                <w:highlight w:val="none"/>
              </w:rPr>
              <w:t>并加盖投标人公章，</w:t>
            </w:r>
            <w:r>
              <w:rPr>
                <w:color w:val="auto"/>
                <w:highlight w:val="none"/>
              </w:rPr>
              <w:t xml:space="preserve"> </w:t>
            </w:r>
            <w:r>
              <w:rPr>
                <w:b/>
                <w:bCs/>
                <w:color w:val="auto"/>
                <w:spacing w:val="6"/>
                <w:highlight w:val="none"/>
              </w:rPr>
              <w:t>否则按无效投标处理。</w:t>
            </w:r>
          </w:p>
          <w:p w14:paraId="5BBC3568">
            <w:pPr>
              <w:pStyle w:val="10"/>
              <w:spacing w:before="161" w:line="302" w:lineRule="auto"/>
              <w:ind w:left="111" w:right="109" w:firstLine="4"/>
              <w:rPr>
                <w:color w:val="auto"/>
                <w:highlight w:val="none"/>
              </w:rPr>
            </w:pPr>
            <w:r>
              <w:rPr>
                <w:b/>
                <w:bCs/>
                <w:color w:val="auto"/>
                <w:spacing w:val="5"/>
                <w:highlight w:val="none"/>
              </w:rPr>
              <w:t>3.投标人直接控股、管理关系信息表必须由法定代表人或者委托代理人在规定签章处</w:t>
            </w:r>
            <w:r>
              <w:rPr>
                <w:color w:val="auto"/>
                <w:spacing w:val="11"/>
                <w:highlight w:val="none"/>
              </w:rPr>
              <w:t xml:space="preserve"> </w:t>
            </w:r>
            <w:r>
              <w:rPr>
                <w:b/>
                <w:bCs/>
                <w:color w:val="auto"/>
                <w:spacing w:val="7"/>
                <w:highlight w:val="none"/>
              </w:rPr>
              <w:t>签字并加盖投标人公章，否则按无效投标处理。</w:t>
            </w:r>
          </w:p>
          <w:p w14:paraId="78720275">
            <w:pPr>
              <w:pStyle w:val="10"/>
              <w:spacing w:before="166" w:line="339" w:lineRule="auto"/>
              <w:ind w:left="110" w:right="109"/>
              <w:rPr>
                <w:color w:val="auto"/>
                <w:highlight w:val="none"/>
              </w:rPr>
            </w:pPr>
            <w:r>
              <w:rPr>
                <w:b/>
                <w:bCs/>
                <w:color w:val="auto"/>
                <w:spacing w:val="10"/>
                <w:highlight w:val="none"/>
              </w:rPr>
              <w:t>4.电子投标文件中所须加盖公章部分均采用</w:t>
            </w:r>
            <w:r>
              <w:rPr>
                <w:b/>
                <w:bCs/>
                <w:color w:val="auto"/>
                <w:highlight w:val="none"/>
              </w:rPr>
              <w:t>CA</w:t>
            </w:r>
            <w:r>
              <w:rPr>
                <w:color w:val="auto"/>
                <w:spacing w:val="-40"/>
                <w:highlight w:val="none"/>
              </w:rPr>
              <w:t xml:space="preserve"> </w:t>
            </w:r>
            <w:r>
              <w:rPr>
                <w:b/>
                <w:bCs/>
                <w:color w:val="auto"/>
                <w:spacing w:val="10"/>
                <w:highlight w:val="none"/>
              </w:rPr>
              <w:t>签章</w:t>
            </w:r>
            <w:r>
              <w:rPr>
                <w:b/>
                <w:bCs/>
                <w:color w:val="auto"/>
                <w:spacing w:val="9"/>
                <w:highlight w:val="none"/>
              </w:rPr>
              <w:t>。若招标文件中有专门标注的某</w:t>
            </w:r>
            <w:r>
              <w:rPr>
                <w:color w:val="auto"/>
                <w:highlight w:val="none"/>
              </w:rPr>
              <w:t xml:space="preserve"> </w:t>
            </w:r>
            <w:r>
              <w:rPr>
                <w:b/>
                <w:bCs/>
                <w:color w:val="auto"/>
                <w:spacing w:val="6"/>
                <w:highlight w:val="none"/>
              </w:rPr>
              <w:t>关联点，并要求供应商在电子投标系统中作出</w:t>
            </w:r>
            <w:r>
              <w:rPr>
                <w:b/>
                <w:bCs/>
                <w:color w:val="auto"/>
                <w:spacing w:val="5"/>
                <w:highlight w:val="none"/>
              </w:rPr>
              <w:t>投标响应的，如供应商未对关联点进行</w:t>
            </w:r>
            <w:r>
              <w:rPr>
                <w:color w:val="auto"/>
                <w:highlight w:val="none"/>
              </w:rPr>
              <w:t xml:space="preserve"> </w:t>
            </w:r>
            <w:r>
              <w:rPr>
                <w:b/>
                <w:bCs/>
                <w:color w:val="auto"/>
                <w:spacing w:val="6"/>
                <w:highlight w:val="none"/>
              </w:rPr>
              <w:t>响应或者在投标文件其它内容进行描述，造成电子</w:t>
            </w:r>
            <w:r>
              <w:rPr>
                <w:b/>
                <w:bCs/>
                <w:color w:val="auto"/>
                <w:spacing w:val="5"/>
                <w:highlight w:val="none"/>
              </w:rPr>
              <w:t>评审不能查询的责任由供应商自行</w:t>
            </w:r>
            <w:r>
              <w:rPr>
                <w:color w:val="auto"/>
                <w:highlight w:val="none"/>
              </w:rPr>
              <w:t xml:space="preserve"> </w:t>
            </w:r>
            <w:r>
              <w:rPr>
                <w:b/>
                <w:bCs/>
                <w:color w:val="auto"/>
                <w:spacing w:val="1"/>
                <w:highlight w:val="none"/>
              </w:rPr>
              <w:t>承担。</w:t>
            </w:r>
          </w:p>
        </w:tc>
      </w:tr>
      <w:tr w14:paraId="1E192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0" w:hRule="atLeast"/>
        </w:trPr>
        <w:tc>
          <w:tcPr>
            <w:tcW w:w="996" w:type="dxa"/>
            <w:vAlign w:val="top"/>
          </w:tcPr>
          <w:p w14:paraId="6EAE3C0F">
            <w:pPr>
              <w:rPr>
                <w:rFonts w:ascii="Arial"/>
                <w:color w:val="auto"/>
                <w:sz w:val="21"/>
                <w:highlight w:val="none"/>
              </w:rPr>
            </w:pPr>
          </w:p>
        </w:tc>
        <w:tc>
          <w:tcPr>
            <w:tcW w:w="7912" w:type="dxa"/>
            <w:vMerge w:val="continue"/>
            <w:vAlign w:val="top"/>
          </w:tcPr>
          <w:p w14:paraId="3DD59A41">
            <w:pPr>
              <w:pStyle w:val="10"/>
              <w:spacing w:before="166" w:line="339" w:lineRule="auto"/>
              <w:ind w:left="110" w:right="109"/>
              <w:rPr>
                <w:color w:val="auto"/>
                <w:highlight w:val="none"/>
              </w:rPr>
            </w:pPr>
          </w:p>
        </w:tc>
      </w:tr>
      <w:tr w14:paraId="377F5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5" w:hRule="atLeast"/>
        </w:trPr>
        <w:tc>
          <w:tcPr>
            <w:tcW w:w="996" w:type="dxa"/>
            <w:vAlign w:val="top"/>
          </w:tcPr>
          <w:p w14:paraId="440F786D">
            <w:pPr>
              <w:spacing w:line="243" w:lineRule="auto"/>
              <w:rPr>
                <w:rFonts w:ascii="Arial"/>
                <w:color w:val="auto"/>
                <w:sz w:val="21"/>
                <w:highlight w:val="none"/>
              </w:rPr>
            </w:pPr>
          </w:p>
          <w:p w14:paraId="3B32F881">
            <w:pPr>
              <w:spacing w:line="243" w:lineRule="auto"/>
              <w:rPr>
                <w:rFonts w:ascii="Arial"/>
                <w:color w:val="auto"/>
                <w:sz w:val="21"/>
                <w:highlight w:val="none"/>
              </w:rPr>
            </w:pPr>
          </w:p>
          <w:p w14:paraId="3CC3AA09">
            <w:pPr>
              <w:spacing w:line="244" w:lineRule="auto"/>
              <w:rPr>
                <w:rFonts w:ascii="Arial"/>
                <w:color w:val="auto"/>
                <w:sz w:val="21"/>
                <w:highlight w:val="none"/>
              </w:rPr>
            </w:pPr>
          </w:p>
          <w:p w14:paraId="5B8428F1">
            <w:pPr>
              <w:spacing w:line="244" w:lineRule="auto"/>
              <w:rPr>
                <w:rFonts w:ascii="Arial"/>
                <w:color w:val="auto"/>
                <w:sz w:val="21"/>
                <w:highlight w:val="none"/>
              </w:rPr>
            </w:pPr>
          </w:p>
          <w:p w14:paraId="5DEB2AAB">
            <w:pPr>
              <w:spacing w:line="244" w:lineRule="auto"/>
              <w:rPr>
                <w:rFonts w:ascii="Arial"/>
                <w:color w:val="auto"/>
                <w:sz w:val="21"/>
                <w:highlight w:val="none"/>
              </w:rPr>
            </w:pPr>
          </w:p>
          <w:p w14:paraId="6D23DCD5">
            <w:pPr>
              <w:spacing w:line="244" w:lineRule="auto"/>
              <w:rPr>
                <w:rFonts w:ascii="Arial"/>
                <w:color w:val="auto"/>
                <w:sz w:val="21"/>
                <w:highlight w:val="none"/>
              </w:rPr>
            </w:pPr>
          </w:p>
          <w:p w14:paraId="1BD1E47C">
            <w:pPr>
              <w:spacing w:line="244" w:lineRule="auto"/>
              <w:rPr>
                <w:rFonts w:ascii="Arial"/>
                <w:color w:val="auto"/>
                <w:sz w:val="21"/>
                <w:highlight w:val="none"/>
              </w:rPr>
            </w:pPr>
          </w:p>
          <w:p w14:paraId="0E9EAC32">
            <w:pPr>
              <w:spacing w:line="244" w:lineRule="auto"/>
              <w:rPr>
                <w:rFonts w:ascii="Arial"/>
                <w:color w:val="auto"/>
                <w:sz w:val="21"/>
                <w:highlight w:val="none"/>
              </w:rPr>
            </w:pPr>
          </w:p>
          <w:p w14:paraId="571148DA">
            <w:pPr>
              <w:spacing w:line="244" w:lineRule="auto"/>
              <w:rPr>
                <w:rFonts w:ascii="Arial"/>
                <w:color w:val="auto"/>
                <w:sz w:val="21"/>
                <w:highlight w:val="none"/>
              </w:rPr>
            </w:pPr>
          </w:p>
          <w:p w14:paraId="0D2E72D8">
            <w:pPr>
              <w:spacing w:line="244" w:lineRule="auto"/>
              <w:rPr>
                <w:rFonts w:ascii="Arial"/>
                <w:color w:val="auto"/>
                <w:sz w:val="21"/>
                <w:highlight w:val="none"/>
              </w:rPr>
            </w:pPr>
          </w:p>
          <w:p w14:paraId="1C2F6A8D">
            <w:pPr>
              <w:spacing w:line="244" w:lineRule="auto"/>
              <w:rPr>
                <w:rFonts w:ascii="Arial"/>
                <w:color w:val="auto"/>
                <w:sz w:val="21"/>
                <w:highlight w:val="none"/>
              </w:rPr>
            </w:pPr>
          </w:p>
          <w:p w14:paraId="62451AC6">
            <w:pPr>
              <w:spacing w:line="244" w:lineRule="auto"/>
              <w:rPr>
                <w:rFonts w:ascii="Arial"/>
                <w:color w:val="auto"/>
                <w:sz w:val="21"/>
                <w:highlight w:val="none"/>
              </w:rPr>
            </w:pPr>
          </w:p>
          <w:p w14:paraId="6129B3C1">
            <w:pPr>
              <w:pStyle w:val="10"/>
              <w:spacing w:before="65" w:line="190" w:lineRule="auto"/>
              <w:ind w:left="203"/>
              <w:rPr>
                <w:color w:val="auto"/>
                <w:highlight w:val="none"/>
              </w:rPr>
            </w:pPr>
            <w:r>
              <w:rPr>
                <w:color w:val="auto"/>
                <w:spacing w:val="1"/>
                <w:highlight w:val="none"/>
              </w:rPr>
              <w:t>12.1.2</w:t>
            </w:r>
          </w:p>
        </w:tc>
        <w:tc>
          <w:tcPr>
            <w:tcW w:w="7912" w:type="dxa"/>
            <w:vAlign w:val="top"/>
          </w:tcPr>
          <w:p w14:paraId="17E8671B">
            <w:pPr>
              <w:pStyle w:val="10"/>
              <w:spacing w:before="174" w:line="226" w:lineRule="auto"/>
              <w:ind w:left="109"/>
              <w:rPr>
                <w:color w:val="auto"/>
                <w:highlight w:val="none"/>
              </w:rPr>
            </w:pPr>
            <w:r>
              <w:rPr>
                <w:color w:val="auto"/>
                <w:spacing w:val="8"/>
                <w:highlight w:val="none"/>
              </w:rPr>
              <w:t>报价商务技术文件</w:t>
            </w:r>
          </w:p>
          <w:p w14:paraId="073FACE0">
            <w:pPr>
              <w:pStyle w:val="10"/>
              <w:spacing w:before="196" w:line="226" w:lineRule="auto"/>
              <w:ind w:left="127"/>
              <w:rPr>
                <w:color w:val="auto"/>
                <w:highlight w:val="none"/>
              </w:rPr>
            </w:pPr>
            <w:r>
              <w:rPr>
                <w:color w:val="auto"/>
                <w:spacing w:val="9"/>
                <w:highlight w:val="none"/>
              </w:rPr>
              <w:t>1.竞标报价表（格式后附</w:t>
            </w:r>
            <w:r>
              <w:rPr>
                <w:color w:val="auto"/>
                <w:spacing w:val="-1"/>
                <w:highlight w:val="none"/>
              </w:rPr>
              <w:t>）；</w:t>
            </w:r>
            <w:r>
              <w:rPr>
                <w:b/>
                <w:bCs/>
                <w:color w:val="auto"/>
                <w:spacing w:val="-1"/>
                <w:highlight w:val="none"/>
              </w:rPr>
              <w:t>（</w:t>
            </w:r>
            <w:r>
              <w:rPr>
                <w:b/>
                <w:bCs/>
                <w:color w:val="auto"/>
                <w:spacing w:val="9"/>
                <w:highlight w:val="none"/>
              </w:rPr>
              <w:t>必须提供，否则响</w:t>
            </w:r>
            <w:r>
              <w:rPr>
                <w:b/>
                <w:bCs/>
                <w:color w:val="auto"/>
                <w:spacing w:val="8"/>
                <w:highlight w:val="none"/>
              </w:rPr>
              <w:t>应文件按无效响应处理）</w:t>
            </w:r>
          </w:p>
          <w:p w14:paraId="0605BC8E">
            <w:pPr>
              <w:pStyle w:val="10"/>
              <w:spacing w:before="194" w:line="226" w:lineRule="auto"/>
              <w:ind w:left="114"/>
              <w:rPr>
                <w:color w:val="auto"/>
                <w:highlight w:val="none"/>
              </w:rPr>
            </w:pPr>
            <w:r>
              <w:rPr>
                <w:color w:val="auto"/>
                <w:spacing w:val="8"/>
                <w:highlight w:val="none"/>
              </w:rPr>
              <w:t>2.竞标报价明细表</w:t>
            </w:r>
            <w:r>
              <w:rPr>
                <w:b/>
                <w:bCs/>
                <w:color w:val="auto"/>
                <w:spacing w:val="8"/>
                <w:highlight w:val="none"/>
              </w:rPr>
              <w:t>（格式自拟，必须提供，否则响应文件按无效响应处理）</w:t>
            </w:r>
          </w:p>
          <w:p w14:paraId="78D74D22">
            <w:pPr>
              <w:pStyle w:val="10"/>
              <w:spacing w:before="193" w:line="323" w:lineRule="auto"/>
              <w:ind w:left="114" w:right="109" w:firstLine="1"/>
              <w:rPr>
                <w:color w:val="auto"/>
                <w:highlight w:val="none"/>
              </w:rPr>
            </w:pPr>
            <w:r>
              <w:rPr>
                <w:color w:val="auto"/>
                <w:spacing w:val="8"/>
                <w:highlight w:val="none"/>
              </w:rPr>
              <w:t>3.无串通竞标行为的承诺函（格式后附</w:t>
            </w:r>
            <w:r>
              <w:rPr>
                <w:color w:val="auto"/>
                <w:spacing w:val="-13"/>
                <w:highlight w:val="none"/>
              </w:rPr>
              <w:t>）；</w:t>
            </w:r>
            <w:r>
              <w:rPr>
                <w:b/>
                <w:bCs/>
                <w:color w:val="auto"/>
                <w:spacing w:val="-13"/>
                <w:highlight w:val="none"/>
              </w:rPr>
              <w:t>（</w:t>
            </w:r>
            <w:r>
              <w:rPr>
                <w:b/>
                <w:bCs/>
                <w:color w:val="auto"/>
                <w:spacing w:val="8"/>
                <w:highlight w:val="none"/>
              </w:rPr>
              <w:t>必须提供，否则响应文件按无效响应处</w:t>
            </w:r>
            <w:r>
              <w:rPr>
                <w:color w:val="auto"/>
                <w:spacing w:val="2"/>
                <w:highlight w:val="none"/>
              </w:rPr>
              <w:t xml:space="preserve"> </w:t>
            </w:r>
            <w:r>
              <w:rPr>
                <w:b/>
                <w:bCs/>
                <w:color w:val="auto"/>
                <w:spacing w:val="-3"/>
                <w:highlight w:val="none"/>
              </w:rPr>
              <w:t>理）</w:t>
            </w:r>
          </w:p>
          <w:p w14:paraId="1D84A82B">
            <w:pPr>
              <w:pStyle w:val="10"/>
              <w:spacing w:before="182" w:line="316" w:lineRule="auto"/>
              <w:ind w:left="145" w:right="109" w:hanging="35"/>
              <w:rPr>
                <w:color w:val="auto"/>
                <w:highlight w:val="none"/>
              </w:rPr>
            </w:pPr>
            <w:r>
              <w:rPr>
                <w:color w:val="auto"/>
                <w:spacing w:val="10"/>
                <w:highlight w:val="none"/>
              </w:rPr>
              <w:t>4.法定代表人身份证明书及法定代表人有效身份证正反</w:t>
            </w:r>
            <w:r>
              <w:rPr>
                <w:color w:val="auto"/>
                <w:spacing w:val="9"/>
                <w:highlight w:val="none"/>
              </w:rPr>
              <w:t>面复印件（格式后附</w:t>
            </w:r>
            <w:r>
              <w:rPr>
                <w:color w:val="auto"/>
                <w:spacing w:val="-20"/>
                <w:highlight w:val="none"/>
              </w:rPr>
              <w:t>）；</w:t>
            </w:r>
            <w:r>
              <w:rPr>
                <w:b/>
                <w:bCs/>
                <w:color w:val="auto"/>
                <w:spacing w:val="-20"/>
                <w:highlight w:val="none"/>
              </w:rPr>
              <w:t>（</w:t>
            </w:r>
            <w:r>
              <w:rPr>
                <w:b/>
                <w:bCs/>
                <w:color w:val="auto"/>
                <w:spacing w:val="9"/>
                <w:highlight w:val="none"/>
              </w:rPr>
              <w:t>除</w:t>
            </w:r>
            <w:r>
              <w:rPr>
                <w:color w:val="auto"/>
                <w:spacing w:val="2"/>
                <w:highlight w:val="none"/>
              </w:rPr>
              <w:t xml:space="preserve"> </w:t>
            </w:r>
            <w:r>
              <w:rPr>
                <w:b/>
                <w:bCs/>
                <w:color w:val="auto"/>
                <w:spacing w:val="6"/>
                <w:highlight w:val="none"/>
              </w:rPr>
              <w:t>自然人竞标外必须提供，否则响应文件按无效响应处理）</w:t>
            </w:r>
          </w:p>
          <w:p w14:paraId="44EF81E1">
            <w:pPr>
              <w:pStyle w:val="10"/>
              <w:spacing w:before="196" w:line="316" w:lineRule="auto"/>
              <w:ind w:left="111" w:right="109" w:firstLine="4"/>
              <w:rPr>
                <w:color w:val="auto"/>
                <w:highlight w:val="none"/>
              </w:rPr>
            </w:pPr>
            <w:r>
              <w:rPr>
                <w:color w:val="auto"/>
                <w:spacing w:val="10"/>
                <w:highlight w:val="none"/>
              </w:rPr>
              <w:t>5.法定代表人授权委托书及委托代理人有效</w:t>
            </w:r>
            <w:r>
              <w:rPr>
                <w:color w:val="auto"/>
                <w:spacing w:val="9"/>
                <w:highlight w:val="none"/>
              </w:rPr>
              <w:t>身份证正反面复印件（格式后附</w:t>
            </w:r>
            <w:r>
              <w:rPr>
                <w:color w:val="auto"/>
                <w:spacing w:val="-20"/>
                <w:highlight w:val="none"/>
              </w:rPr>
              <w:t>）；</w:t>
            </w:r>
            <w:r>
              <w:rPr>
                <w:b/>
                <w:bCs/>
                <w:color w:val="auto"/>
                <w:spacing w:val="-20"/>
                <w:highlight w:val="none"/>
              </w:rPr>
              <w:t>（</w:t>
            </w:r>
            <w:r>
              <w:rPr>
                <w:b/>
                <w:bCs/>
                <w:color w:val="auto"/>
                <w:spacing w:val="9"/>
                <w:highlight w:val="none"/>
              </w:rPr>
              <w:t>委</w:t>
            </w:r>
            <w:r>
              <w:rPr>
                <w:color w:val="auto"/>
                <w:spacing w:val="2"/>
                <w:highlight w:val="none"/>
              </w:rPr>
              <w:t xml:space="preserve"> </w:t>
            </w:r>
            <w:r>
              <w:rPr>
                <w:b/>
                <w:bCs/>
                <w:color w:val="auto"/>
                <w:spacing w:val="7"/>
                <w:highlight w:val="none"/>
              </w:rPr>
              <w:t>托时必须提供，否则响应文件按无效响应处理）</w:t>
            </w:r>
          </w:p>
          <w:p w14:paraId="7170D911">
            <w:pPr>
              <w:pStyle w:val="10"/>
              <w:spacing w:before="193" w:line="227" w:lineRule="auto"/>
              <w:ind w:left="113"/>
              <w:rPr>
                <w:color w:val="auto"/>
                <w:highlight w:val="none"/>
              </w:rPr>
            </w:pPr>
            <w:r>
              <w:rPr>
                <w:color w:val="auto"/>
                <w:spacing w:val="9"/>
                <w:highlight w:val="none"/>
              </w:rPr>
              <w:t>6.商务</w:t>
            </w:r>
            <w:r>
              <w:rPr>
                <w:rFonts w:hint="eastAsia"/>
                <w:color w:val="auto"/>
                <w:spacing w:val="9"/>
                <w:highlight w:val="none"/>
                <w:lang w:eastAsia="zh-CN"/>
              </w:rPr>
              <w:t>、</w:t>
            </w:r>
            <w:r>
              <w:rPr>
                <w:color w:val="auto"/>
                <w:spacing w:val="9"/>
                <w:highlight w:val="none"/>
              </w:rPr>
              <w:t>技术</w:t>
            </w:r>
            <w:r>
              <w:rPr>
                <w:rFonts w:hint="eastAsia"/>
                <w:color w:val="auto"/>
                <w:spacing w:val="9"/>
                <w:highlight w:val="none"/>
                <w:lang w:eastAsia="zh-CN"/>
              </w:rPr>
              <w:t>评分</w:t>
            </w:r>
            <w:r>
              <w:rPr>
                <w:color w:val="auto"/>
                <w:spacing w:val="9"/>
                <w:highlight w:val="none"/>
              </w:rPr>
              <w:t>表（格式后附</w:t>
            </w:r>
            <w:r>
              <w:rPr>
                <w:color w:val="auto"/>
                <w:spacing w:val="2"/>
                <w:highlight w:val="none"/>
              </w:rPr>
              <w:t>）；</w:t>
            </w:r>
            <w:r>
              <w:rPr>
                <w:b/>
                <w:bCs/>
                <w:color w:val="auto"/>
                <w:spacing w:val="2"/>
                <w:highlight w:val="none"/>
              </w:rPr>
              <w:t>（</w:t>
            </w:r>
            <w:r>
              <w:rPr>
                <w:b/>
                <w:bCs/>
                <w:color w:val="auto"/>
                <w:spacing w:val="9"/>
                <w:highlight w:val="none"/>
              </w:rPr>
              <w:t>必须提供，否则响应文件按无效响应处理）</w:t>
            </w:r>
          </w:p>
          <w:p w14:paraId="4777FEA9">
            <w:pPr>
              <w:pStyle w:val="10"/>
              <w:spacing w:before="196" w:line="227" w:lineRule="auto"/>
              <w:ind w:left="116"/>
              <w:rPr>
                <w:color w:val="auto"/>
                <w:highlight w:val="none"/>
              </w:rPr>
            </w:pPr>
            <w:r>
              <w:rPr>
                <w:color w:val="auto"/>
                <w:spacing w:val="9"/>
                <w:highlight w:val="none"/>
              </w:rPr>
              <w:t>7.服务方案（由投标人根据本项目服务采购需求自行编写，如有请提供</w:t>
            </w:r>
            <w:r>
              <w:rPr>
                <w:color w:val="auto"/>
                <w:spacing w:val="3"/>
                <w:highlight w:val="none"/>
              </w:rPr>
              <w:t>）；</w:t>
            </w:r>
          </w:p>
          <w:p w14:paraId="110801A4">
            <w:pPr>
              <w:pStyle w:val="10"/>
              <w:spacing w:before="193" w:line="227" w:lineRule="auto"/>
              <w:ind w:left="112"/>
              <w:rPr>
                <w:color w:val="auto"/>
                <w:highlight w:val="none"/>
              </w:rPr>
            </w:pPr>
            <w:r>
              <w:rPr>
                <w:color w:val="auto"/>
                <w:spacing w:val="9"/>
                <w:highlight w:val="none"/>
              </w:rPr>
              <w:t>8.拟投入项目实施人员一览表（格式后附，如有请提供</w:t>
            </w:r>
            <w:r>
              <w:rPr>
                <w:color w:val="auto"/>
                <w:spacing w:val="2"/>
                <w:highlight w:val="none"/>
              </w:rPr>
              <w:t>）；</w:t>
            </w:r>
          </w:p>
          <w:p w14:paraId="750BE9DE">
            <w:pPr>
              <w:pStyle w:val="10"/>
              <w:spacing w:before="194" w:line="317" w:lineRule="auto"/>
              <w:ind w:left="114" w:right="56" w:hanging="2"/>
              <w:rPr>
                <w:color w:val="auto"/>
                <w:highlight w:val="none"/>
              </w:rPr>
            </w:pPr>
            <w:r>
              <w:rPr>
                <w:color w:val="auto"/>
                <w:spacing w:val="10"/>
                <w:highlight w:val="none"/>
              </w:rPr>
              <w:t>9.服务承诺书(由投标人根据本项目服务采购需求、特点及投标人自身的处理能力自</w:t>
            </w:r>
            <w:r>
              <w:rPr>
                <w:color w:val="auto"/>
                <w:spacing w:val="4"/>
                <w:highlight w:val="none"/>
              </w:rPr>
              <w:t xml:space="preserve"> </w:t>
            </w:r>
            <w:r>
              <w:rPr>
                <w:color w:val="auto"/>
                <w:spacing w:val="3"/>
                <w:highlight w:val="none"/>
              </w:rPr>
              <w:t>行编写，承诺书内容至少应包括“服务采购需求</w:t>
            </w:r>
            <w:r>
              <w:rPr>
                <w:color w:val="auto"/>
                <w:spacing w:val="-70"/>
                <w:highlight w:val="none"/>
              </w:rPr>
              <w:t xml:space="preserve"> </w:t>
            </w:r>
            <w:r>
              <w:rPr>
                <w:color w:val="auto"/>
                <w:spacing w:val="3"/>
                <w:highlight w:val="none"/>
              </w:rPr>
              <w:t>”中的所有</w:t>
            </w:r>
            <w:r>
              <w:rPr>
                <w:color w:val="auto"/>
                <w:spacing w:val="2"/>
                <w:highlight w:val="none"/>
              </w:rPr>
              <w:t>服务条款，如有请提供) ；</w:t>
            </w:r>
          </w:p>
        </w:tc>
      </w:tr>
    </w:tbl>
    <w:p w14:paraId="2B1FB00E">
      <w:pPr>
        <w:rPr>
          <w:color w:val="auto"/>
          <w:highlight w:val="none"/>
        </w:rPr>
        <w:sectPr>
          <w:footerReference r:id="rId5" w:type="default"/>
          <w:pgSz w:w="11906" w:h="16839"/>
          <w:pgMar w:top="1431" w:right="1423" w:bottom="1362" w:left="1569" w:header="0" w:footer="1200" w:gutter="0"/>
          <w:pgNumType w:fmt="decimal" w:start="1"/>
          <w:cols w:space="720" w:num="1"/>
        </w:sectPr>
      </w:pPr>
    </w:p>
    <w:p w14:paraId="6BC81E40">
      <w:pPr>
        <w:spacing w:line="91" w:lineRule="auto"/>
        <w:rPr>
          <w:rFonts w:ascii="Arial"/>
          <w:color w:val="auto"/>
          <w:sz w:val="2"/>
          <w:highlight w:val="none"/>
        </w:rPr>
      </w:pPr>
    </w:p>
    <w:tbl>
      <w:tblPr>
        <w:tblStyle w:val="9"/>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742BB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996" w:type="dxa"/>
            <w:vAlign w:val="top"/>
          </w:tcPr>
          <w:p w14:paraId="7D57FB2E">
            <w:pPr>
              <w:rPr>
                <w:rFonts w:ascii="Arial"/>
                <w:color w:val="auto"/>
                <w:sz w:val="21"/>
                <w:highlight w:val="none"/>
              </w:rPr>
            </w:pPr>
          </w:p>
        </w:tc>
        <w:tc>
          <w:tcPr>
            <w:tcW w:w="7912" w:type="dxa"/>
            <w:vAlign w:val="top"/>
          </w:tcPr>
          <w:p w14:paraId="7CC9E7BF">
            <w:pPr>
              <w:pStyle w:val="10"/>
              <w:spacing w:before="176" w:line="227" w:lineRule="auto"/>
              <w:ind w:left="127"/>
              <w:rPr>
                <w:color w:val="auto"/>
                <w:highlight w:val="none"/>
              </w:rPr>
            </w:pPr>
            <w:r>
              <w:rPr>
                <w:color w:val="auto"/>
                <w:spacing w:val="8"/>
                <w:highlight w:val="none"/>
              </w:rPr>
              <w:t>10.对应采购需求的技术需求、商务条款提供的其他文件资料；</w:t>
            </w:r>
          </w:p>
          <w:p w14:paraId="3D668629">
            <w:pPr>
              <w:pStyle w:val="10"/>
              <w:spacing w:before="195" w:line="227" w:lineRule="auto"/>
              <w:ind w:left="127"/>
              <w:rPr>
                <w:color w:val="auto"/>
                <w:highlight w:val="none"/>
              </w:rPr>
            </w:pPr>
            <w:r>
              <w:rPr>
                <w:color w:val="auto"/>
                <w:spacing w:val="7"/>
                <w:highlight w:val="none"/>
              </w:rPr>
              <w:t>11.供应商认为需要提供的其他有关资料。</w:t>
            </w:r>
          </w:p>
          <w:p w14:paraId="3740F9BC">
            <w:pPr>
              <w:pStyle w:val="10"/>
              <w:spacing w:before="192" w:line="407" w:lineRule="auto"/>
              <w:ind w:left="112" w:right="109" w:hanging="1"/>
              <w:rPr>
                <w:color w:val="auto"/>
                <w:highlight w:val="none"/>
              </w:rPr>
            </w:pPr>
            <w:r>
              <w:rPr>
                <w:b/>
                <w:bCs/>
                <w:color w:val="auto"/>
                <w:spacing w:val="7"/>
                <w:highlight w:val="none"/>
              </w:rPr>
              <w:t>注：</w:t>
            </w:r>
            <w:r>
              <w:rPr>
                <w:color w:val="auto"/>
                <w:spacing w:val="48"/>
                <w:highlight w:val="none"/>
              </w:rPr>
              <w:t xml:space="preserve"> </w:t>
            </w:r>
            <w:r>
              <w:rPr>
                <w:b/>
                <w:bCs/>
                <w:color w:val="auto"/>
                <w:spacing w:val="7"/>
                <w:highlight w:val="none"/>
              </w:rPr>
              <w:t>1.授权委托书必须由法定代表人及委托代理人签字，并加盖投标人公章，否则</w:t>
            </w:r>
            <w:r>
              <w:rPr>
                <w:color w:val="auto"/>
                <w:highlight w:val="none"/>
              </w:rPr>
              <w:t xml:space="preserve"> </w:t>
            </w:r>
            <w:r>
              <w:rPr>
                <w:b/>
                <w:bCs/>
                <w:color w:val="auto"/>
                <w:spacing w:val="5"/>
                <w:highlight w:val="none"/>
              </w:rPr>
              <w:t>按无效投标处理。</w:t>
            </w:r>
          </w:p>
          <w:p w14:paraId="07B0E401">
            <w:pPr>
              <w:pStyle w:val="10"/>
              <w:spacing w:before="1" w:line="316" w:lineRule="auto"/>
              <w:ind w:left="113" w:right="109" w:firstLine="420"/>
              <w:rPr>
                <w:color w:val="auto"/>
                <w:highlight w:val="none"/>
              </w:rPr>
            </w:pPr>
            <w:r>
              <w:rPr>
                <w:b/>
                <w:bCs/>
                <w:color w:val="auto"/>
                <w:spacing w:val="6"/>
                <w:highlight w:val="none"/>
              </w:rPr>
              <w:t>2.</w:t>
            </w:r>
            <w:r>
              <w:rPr>
                <w:color w:val="auto"/>
                <w:spacing w:val="49"/>
                <w:highlight w:val="none"/>
              </w:rPr>
              <w:t xml:space="preserve"> </w:t>
            </w:r>
            <w:r>
              <w:rPr>
                <w:b/>
                <w:bCs/>
                <w:color w:val="auto"/>
                <w:spacing w:val="6"/>
                <w:highlight w:val="none"/>
              </w:rPr>
              <w:t>以上标明“必须提供</w:t>
            </w:r>
            <w:r>
              <w:rPr>
                <w:color w:val="auto"/>
                <w:spacing w:val="-70"/>
                <w:highlight w:val="none"/>
              </w:rPr>
              <w:t xml:space="preserve"> </w:t>
            </w:r>
            <w:r>
              <w:rPr>
                <w:b/>
                <w:bCs/>
                <w:color w:val="auto"/>
                <w:spacing w:val="6"/>
                <w:highlight w:val="none"/>
              </w:rPr>
              <w:t>”的材料属于复印件的，必须加盖投标人公章，否则按</w:t>
            </w:r>
            <w:r>
              <w:rPr>
                <w:color w:val="auto"/>
                <w:highlight w:val="none"/>
              </w:rPr>
              <w:t xml:space="preserve"> </w:t>
            </w:r>
            <w:r>
              <w:rPr>
                <w:b/>
                <w:bCs/>
                <w:color w:val="auto"/>
                <w:spacing w:val="5"/>
                <w:highlight w:val="none"/>
              </w:rPr>
              <w:t>无效投标处理。</w:t>
            </w:r>
          </w:p>
          <w:p w14:paraId="2688A679">
            <w:pPr>
              <w:pStyle w:val="10"/>
              <w:spacing w:before="190" w:line="362" w:lineRule="auto"/>
              <w:ind w:left="109" w:right="109" w:firstLine="418"/>
              <w:rPr>
                <w:color w:val="auto"/>
                <w:highlight w:val="none"/>
              </w:rPr>
            </w:pPr>
            <w:r>
              <w:rPr>
                <w:b/>
                <w:bCs/>
                <w:color w:val="auto"/>
                <w:spacing w:val="10"/>
                <w:highlight w:val="none"/>
              </w:rPr>
              <w:t>3.电子投标文件中所须加盖公章部分均采用</w:t>
            </w:r>
            <w:r>
              <w:rPr>
                <w:b/>
                <w:bCs/>
                <w:color w:val="auto"/>
                <w:highlight w:val="none"/>
              </w:rPr>
              <w:t>CA</w:t>
            </w:r>
            <w:r>
              <w:rPr>
                <w:color w:val="auto"/>
                <w:spacing w:val="-40"/>
                <w:highlight w:val="none"/>
              </w:rPr>
              <w:t xml:space="preserve"> </w:t>
            </w:r>
            <w:r>
              <w:rPr>
                <w:b/>
                <w:bCs/>
                <w:color w:val="auto"/>
                <w:spacing w:val="10"/>
                <w:highlight w:val="none"/>
              </w:rPr>
              <w:t>签章。若</w:t>
            </w:r>
            <w:r>
              <w:rPr>
                <w:b/>
                <w:bCs/>
                <w:color w:val="auto"/>
                <w:spacing w:val="9"/>
                <w:highlight w:val="none"/>
              </w:rPr>
              <w:t>招标文件中有专门标注</w:t>
            </w:r>
            <w:r>
              <w:rPr>
                <w:color w:val="auto"/>
                <w:highlight w:val="none"/>
              </w:rPr>
              <w:t xml:space="preserve"> </w:t>
            </w:r>
            <w:r>
              <w:rPr>
                <w:b/>
                <w:bCs/>
                <w:color w:val="auto"/>
                <w:spacing w:val="6"/>
                <w:highlight w:val="none"/>
              </w:rPr>
              <w:t>的某关联点，并要求供应商在电子投标系统中作出投标</w:t>
            </w:r>
            <w:r>
              <w:rPr>
                <w:b/>
                <w:bCs/>
                <w:color w:val="auto"/>
                <w:spacing w:val="5"/>
                <w:highlight w:val="none"/>
              </w:rPr>
              <w:t>响应的，如供应商未对关联点</w:t>
            </w:r>
            <w:r>
              <w:rPr>
                <w:color w:val="auto"/>
                <w:highlight w:val="none"/>
              </w:rPr>
              <w:t xml:space="preserve"> </w:t>
            </w:r>
            <w:r>
              <w:rPr>
                <w:b/>
                <w:bCs/>
                <w:color w:val="auto"/>
                <w:spacing w:val="6"/>
                <w:highlight w:val="none"/>
              </w:rPr>
              <w:t>进行响应或者在投标文件其它内容进行描述，造</w:t>
            </w:r>
            <w:r>
              <w:rPr>
                <w:b/>
                <w:bCs/>
                <w:color w:val="auto"/>
                <w:spacing w:val="5"/>
                <w:highlight w:val="none"/>
              </w:rPr>
              <w:t>成电子评审不能查询的责任由供应商</w:t>
            </w:r>
            <w:r>
              <w:rPr>
                <w:color w:val="auto"/>
                <w:highlight w:val="none"/>
              </w:rPr>
              <w:t xml:space="preserve"> </w:t>
            </w:r>
            <w:r>
              <w:rPr>
                <w:b/>
                <w:bCs/>
                <w:color w:val="auto"/>
                <w:spacing w:val="5"/>
                <w:highlight w:val="none"/>
              </w:rPr>
              <w:t>自行承担。</w:t>
            </w:r>
          </w:p>
        </w:tc>
      </w:tr>
      <w:tr w14:paraId="02E4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trPr>
        <w:tc>
          <w:tcPr>
            <w:tcW w:w="996" w:type="dxa"/>
            <w:vAlign w:val="top"/>
          </w:tcPr>
          <w:p w14:paraId="3A97F53F">
            <w:pPr>
              <w:rPr>
                <w:rFonts w:ascii="Arial"/>
                <w:color w:val="auto"/>
                <w:sz w:val="21"/>
                <w:highlight w:val="none"/>
              </w:rPr>
            </w:pPr>
          </w:p>
          <w:p w14:paraId="7B06FC90">
            <w:pPr>
              <w:rPr>
                <w:rFonts w:ascii="Arial"/>
                <w:color w:val="auto"/>
                <w:sz w:val="21"/>
                <w:highlight w:val="none"/>
              </w:rPr>
            </w:pPr>
          </w:p>
          <w:p w14:paraId="704C0E9D">
            <w:pPr>
              <w:rPr>
                <w:rFonts w:ascii="Arial"/>
                <w:color w:val="auto"/>
                <w:sz w:val="21"/>
                <w:highlight w:val="none"/>
              </w:rPr>
            </w:pPr>
          </w:p>
          <w:p w14:paraId="55E2F02A">
            <w:pPr>
              <w:rPr>
                <w:rFonts w:ascii="Arial"/>
                <w:color w:val="auto"/>
                <w:sz w:val="21"/>
                <w:highlight w:val="none"/>
              </w:rPr>
            </w:pPr>
          </w:p>
          <w:p w14:paraId="24E351AD">
            <w:pPr>
              <w:rPr>
                <w:rFonts w:ascii="Arial"/>
                <w:color w:val="auto"/>
                <w:sz w:val="21"/>
                <w:highlight w:val="none"/>
              </w:rPr>
            </w:pPr>
          </w:p>
          <w:p w14:paraId="2C251A50">
            <w:pPr>
              <w:rPr>
                <w:rFonts w:ascii="Arial"/>
                <w:color w:val="auto"/>
                <w:sz w:val="21"/>
                <w:highlight w:val="none"/>
              </w:rPr>
            </w:pPr>
          </w:p>
          <w:p w14:paraId="2B96AC1E">
            <w:pPr>
              <w:rPr>
                <w:rFonts w:ascii="Arial"/>
                <w:color w:val="auto"/>
                <w:sz w:val="21"/>
                <w:highlight w:val="none"/>
              </w:rPr>
            </w:pPr>
          </w:p>
          <w:p w14:paraId="09ADF979">
            <w:pPr>
              <w:pStyle w:val="10"/>
              <w:spacing w:before="65" w:line="190" w:lineRule="auto"/>
              <w:jc w:val="center"/>
              <w:rPr>
                <w:color w:val="auto"/>
                <w:highlight w:val="none"/>
              </w:rPr>
            </w:pPr>
            <w:r>
              <w:rPr>
                <w:color w:val="auto"/>
                <w:spacing w:val="-1"/>
                <w:highlight w:val="none"/>
              </w:rPr>
              <w:t>15.2</w:t>
            </w:r>
          </w:p>
        </w:tc>
        <w:tc>
          <w:tcPr>
            <w:tcW w:w="7912" w:type="dxa"/>
            <w:vAlign w:val="top"/>
          </w:tcPr>
          <w:p w14:paraId="3DE3F21B">
            <w:pPr>
              <w:pStyle w:val="10"/>
              <w:spacing w:before="176" w:line="227" w:lineRule="auto"/>
              <w:ind w:left="127"/>
              <w:rPr>
                <w:rFonts w:hint="eastAsia" w:ascii="宋体" w:hAnsi="宋体" w:eastAsia="宋体" w:cs="宋体"/>
                <w:color w:val="auto"/>
                <w:spacing w:val="8"/>
                <w:highlight w:val="none"/>
              </w:rPr>
            </w:pPr>
            <w:r>
              <w:rPr>
                <w:rFonts w:hint="eastAsia" w:ascii="宋体" w:hAnsi="宋体" w:eastAsia="宋体" w:cs="宋体"/>
                <w:color w:val="auto"/>
                <w:spacing w:val="8"/>
                <w:highlight w:val="none"/>
                <w:lang w:val="en-US" w:eastAsia="zh-CN"/>
              </w:rPr>
              <w:t>1.</w:t>
            </w:r>
            <w:r>
              <w:rPr>
                <w:rFonts w:hint="eastAsia" w:ascii="宋体" w:hAnsi="宋体" w:eastAsia="宋体" w:cs="宋体"/>
                <w:color w:val="auto"/>
                <w:spacing w:val="8"/>
                <w:highlight w:val="none"/>
              </w:rPr>
              <w:t xml:space="preserve"> 磋商报价应按磋商文件中相关附表格式填写。项目工程的勘察设计费控制价暂定为9</w:t>
            </w:r>
            <w:r>
              <w:rPr>
                <w:rFonts w:hint="eastAsia" w:cs="宋体"/>
                <w:color w:val="auto"/>
                <w:spacing w:val="8"/>
                <w:highlight w:val="none"/>
                <w:lang w:val="en-US" w:eastAsia="zh-CN"/>
              </w:rPr>
              <w:t>1</w:t>
            </w:r>
            <w:r>
              <w:rPr>
                <w:rFonts w:hint="eastAsia" w:ascii="宋体" w:hAnsi="宋体" w:eastAsia="宋体" w:cs="宋体"/>
                <w:color w:val="auto"/>
                <w:spacing w:val="8"/>
                <w:highlight w:val="none"/>
              </w:rPr>
              <w:t>6600.00元，本项目采用费率报价。</w:t>
            </w:r>
          </w:p>
          <w:p w14:paraId="4A1A740F">
            <w:pPr>
              <w:pStyle w:val="10"/>
              <w:spacing w:before="176" w:line="227" w:lineRule="auto"/>
              <w:ind w:left="127"/>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费率报价有效报价范围：0%≤投标报价（投标费率） ≤</w:t>
            </w:r>
            <w:r>
              <w:rPr>
                <w:rFonts w:hint="eastAsia" w:cs="宋体"/>
                <w:color w:val="auto"/>
                <w:spacing w:val="8"/>
                <w:highlight w:val="none"/>
                <w:lang w:val="en-US" w:eastAsia="zh-CN"/>
              </w:rPr>
              <w:t>2.88</w:t>
            </w:r>
            <w:r>
              <w:rPr>
                <w:rFonts w:hint="eastAsia" w:ascii="宋体" w:hAnsi="宋体" w:eastAsia="宋体" w:cs="宋体"/>
                <w:color w:val="auto"/>
                <w:spacing w:val="8"/>
                <w:highlight w:val="none"/>
              </w:rPr>
              <w:t>%。实际支付的勘察设计费用=上级部门批复的初步设计概算中建安费×中标费率（若勘察设计人在勘察设计范围内中投资超过本项目估算总投资的，发包人不给予增加设计费）供应商报价超出采购上限控制费率的，响应文件按无效处理。</w:t>
            </w:r>
          </w:p>
          <w:p w14:paraId="0424D755">
            <w:pPr>
              <w:pStyle w:val="10"/>
              <w:spacing w:before="176" w:line="227" w:lineRule="auto"/>
              <w:ind w:left="127"/>
              <w:rPr>
                <w:rFonts w:hint="eastAsia" w:ascii="宋体" w:hAnsi="宋体" w:eastAsia="宋体" w:cs="宋体"/>
                <w:color w:val="auto"/>
                <w:spacing w:val="8"/>
                <w:highlight w:val="none"/>
              </w:rPr>
            </w:pPr>
            <w:r>
              <w:rPr>
                <w:rFonts w:hint="eastAsia" w:ascii="宋体" w:hAnsi="宋体" w:eastAsia="宋体" w:cs="宋体"/>
                <w:color w:val="auto"/>
                <w:spacing w:val="8"/>
                <w:highlight w:val="none"/>
                <w:lang w:val="en-US" w:eastAsia="zh-CN"/>
              </w:rPr>
              <w:t>2.</w:t>
            </w:r>
            <w:r>
              <w:rPr>
                <w:rFonts w:hint="eastAsia" w:ascii="宋体" w:hAnsi="宋体" w:eastAsia="宋体" w:cs="宋体"/>
                <w:color w:val="auto"/>
                <w:spacing w:val="8"/>
                <w:highlight w:val="none"/>
              </w:rPr>
              <w:t xml:space="preserve"> 供应商必须就“采购需求 ”中所有内容作完整唯一报价，否则，其响应文件无效；响应文件只允许有一个报价，有选择的或有条件的报价将不予接受。</w:t>
            </w:r>
          </w:p>
          <w:p w14:paraId="3D05784F">
            <w:pPr>
              <w:pStyle w:val="10"/>
              <w:spacing w:before="176" w:line="227" w:lineRule="auto"/>
              <w:ind w:left="127"/>
              <w:rPr>
                <w:color w:val="auto"/>
                <w:highlight w:val="none"/>
              </w:rPr>
            </w:pPr>
            <w:r>
              <w:rPr>
                <w:rFonts w:hint="eastAsia" w:ascii="宋体" w:hAnsi="宋体" w:eastAsia="宋体" w:cs="宋体"/>
                <w:color w:val="auto"/>
                <w:spacing w:val="8"/>
                <w:highlight w:val="none"/>
                <w:lang w:val="en-US" w:eastAsia="zh-CN"/>
              </w:rPr>
              <w:t>3.</w:t>
            </w:r>
            <w:r>
              <w:rPr>
                <w:rFonts w:hint="eastAsia" w:ascii="宋体" w:hAnsi="宋体" w:eastAsia="宋体" w:cs="宋体"/>
                <w:color w:val="auto"/>
                <w:spacing w:val="8"/>
                <w:highlight w:val="none"/>
              </w:rPr>
              <w:t xml:space="preserve"> 供应商应在规定时间内在“广西政府采购云平台 ”在线提交最后报价，其最后报价不得超出最高限价；磋商过程中磋商文件未作实质性变动的，最后报价不得超过首次报价。</w:t>
            </w:r>
          </w:p>
        </w:tc>
      </w:tr>
      <w:tr w14:paraId="7BE31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50D04E7E">
            <w:pPr>
              <w:pStyle w:val="10"/>
              <w:spacing w:before="165" w:line="190" w:lineRule="auto"/>
              <w:ind w:left="309"/>
              <w:rPr>
                <w:color w:val="auto"/>
                <w:highlight w:val="none"/>
              </w:rPr>
            </w:pPr>
            <w:r>
              <w:rPr>
                <w:color w:val="auto"/>
                <w:spacing w:val="-1"/>
                <w:highlight w:val="none"/>
              </w:rPr>
              <w:t>16.2</w:t>
            </w:r>
          </w:p>
        </w:tc>
        <w:tc>
          <w:tcPr>
            <w:tcW w:w="7912" w:type="dxa"/>
            <w:vAlign w:val="top"/>
          </w:tcPr>
          <w:p w14:paraId="7656003C">
            <w:pPr>
              <w:pStyle w:val="10"/>
              <w:spacing w:before="65" w:line="228" w:lineRule="auto"/>
              <w:ind w:left="127"/>
              <w:rPr>
                <w:color w:val="auto"/>
                <w:highlight w:val="none"/>
              </w:rPr>
            </w:pPr>
            <w:r>
              <w:rPr>
                <w:color w:val="auto"/>
                <w:spacing w:val="3"/>
                <w:highlight w:val="none"/>
              </w:rPr>
              <w:t>1.竞标有效期：</w:t>
            </w:r>
            <w:r>
              <w:rPr>
                <w:color w:val="auto"/>
                <w:spacing w:val="-46"/>
                <w:highlight w:val="none"/>
              </w:rPr>
              <w:t xml:space="preserve"> </w:t>
            </w:r>
            <w:r>
              <w:rPr>
                <w:color w:val="auto"/>
                <w:spacing w:val="3"/>
                <w:highlight w:val="none"/>
              </w:rPr>
              <w:t>自首次响应文件提交截止之日起</w:t>
            </w:r>
            <w:r>
              <w:rPr>
                <w:rFonts w:hint="eastAsia"/>
                <w:color w:val="auto"/>
                <w:spacing w:val="-35"/>
                <w:highlight w:val="none"/>
                <w:lang w:val="en-US" w:eastAsia="zh-CN"/>
              </w:rPr>
              <w:t xml:space="preserve"> </w:t>
            </w:r>
            <w:r>
              <w:rPr>
                <w:rFonts w:hint="eastAsia"/>
                <w:color w:val="auto"/>
                <w:spacing w:val="-35"/>
                <w:highlight w:val="none"/>
                <w:u w:val="single"/>
                <w:lang w:val="en-US" w:eastAsia="zh-CN"/>
              </w:rPr>
              <w:t xml:space="preserve"> 9 0</w:t>
            </w:r>
            <w:r>
              <w:rPr>
                <w:color w:val="auto"/>
                <w:spacing w:val="-56"/>
                <w:highlight w:val="none"/>
                <w:u w:val="single"/>
              </w:rPr>
              <w:t xml:space="preserve"> </w:t>
            </w:r>
            <w:r>
              <w:rPr>
                <w:rFonts w:hint="eastAsia"/>
                <w:color w:val="auto"/>
                <w:spacing w:val="-56"/>
                <w:highlight w:val="none"/>
                <w:u w:val="single"/>
                <w:lang w:val="en-US" w:eastAsia="zh-CN"/>
              </w:rPr>
              <w:t xml:space="preserve"> </w:t>
            </w:r>
            <w:r>
              <w:rPr>
                <w:color w:val="auto"/>
                <w:spacing w:val="3"/>
                <w:highlight w:val="none"/>
              </w:rPr>
              <w:t>日。</w:t>
            </w:r>
          </w:p>
        </w:tc>
      </w:tr>
      <w:tr w14:paraId="07B4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58147832">
            <w:pPr>
              <w:pStyle w:val="10"/>
              <w:spacing w:before="65" w:line="190" w:lineRule="auto"/>
              <w:jc w:val="center"/>
              <w:rPr>
                <w:color w:val="auto"/>
                <w:spacing w:val="-1"/>
                <w:highlight w:val="none"/>
              </w:rPr>
            </w:pPr>
          </w:p>
          <w:p w14:paraId="44742C18">
            <w:pPr>
              <w:pStyle w:val="10"/>
              <w:spacing w:before="65" w:line="190" w:lineRule="auto"/>
              <w:jc w:val="center"/>
              <w:rPr>
                <w:color w:val="auto"/>
                <w:highlight w:val="none"/>
              </w:rPr>
            </w:pPr>
            <w:r>
              <w:rPr>
                <w:color w:val="auto"/>
                <w:spacing w:val="-1"/>
                <w:highlight w:val="none"/>
              </w:rPr>
              <w:t>17.1</w:t>
            </w:r>
          </w:p>
        </w:tc>
        <w:tc>
          <w:tcPr>
            <w:tcW w:w="7912" w:type="dxa"/>
            <w:vAlign w:val="top"/>
          </w:tcPr>
          <w:p w14:paraId="7DF66C86">
            <w:pPr>
              <w:pStyle w:val="10"/>
              <w:spacing w:before="176" w:line="227" w:lineRule="auto"/>
              <w:ind w:left="127"/>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磋商保证金的交纳方式：根据“百政办电[2021]34号文件，鼓励免收投标保证金”，</w:t>
            </w:r>
          </w:p>
          <w:p w14:paraId="5895858C">
            <w:pPr>
              <w:pStyle w:val="10"/>
              <w:spacing w:before="176" w:line="227" w:lineRule="auto"/>
              <w:ind w:left="127"/>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本项目不收取磋商保证金</w:t>
            </w:r>
          </w:p>
          <w:p w14:paraId="20D19D2D">
            <w:pPr>
              <w:pStyle w:val="10"/>
              <w:spacing w:before="161" w:line="227" w:lineRule="auto"/>
              <w:ind w:right="14"/>
              <w:jc w:val="right"/>
              <w:rPr>
                <w:color w:val="auto"/>
                <w:highlight w:val="none"/>
              </w:rPr>
            </w:pPr>
          </w:p>
        </w:tc>
      </w:tr>
      <w:tr w14:paraId="58910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21531D9E">
            <w:pPr>
              <w:pStyle w:val="10"/>
              <w:spacing w:before="162" w:line="190" w:lineRule="auto"/>
              <w:ind w:left="309"/>
              <w:rPr>
                <w:color w:val="auto"/>
                <w:highlight w:val="none"/>
              </w:rPr>
            </w:pPr>
            <w:r>
              <w:rPr>
                <w:color w:val="auto"/>
                <w:spacing w:val="-1"/>
                <w:highlight w:val="none"/>
              </w:rPr>
              <w:t>18.2</w:t>
            </w:r>
          </w:p>
        </w:tc>
        <w:tc>
          <w:tcPr>
            <w:tcW w:w="7912" w:type="dxa"/>
            <w:vAlign w:val="top"/>
          </w:tcPr>
          <w:p w14:paraId="19B8F038">
            <w:pPr>
              <w:pStyle w:val="10"/>
              <w:spacing w:before="130" w:line="226" w:lineRule="auto"/>
              <w:ind w:left="122"/>
              <w:rPr>
                <w:color w:val="auto"/>
                <w:highlight w:val="none"/>
              </w:rPr>
            </w:pPr>
            <w:r>
              <w:rPr>
                <w:color w:val="auto"/>
                <w:spacing w:val="9"/>
                <w:highlight w:val="none"/>
              </w:rPr>
              <w:t>响应文件编制按资格证明文件、报价文件、商务技术文件分别编制</w:t>
            </w:r>
          </w:p>
        </w:tc>
      </w:tr>
      <w:tr w14:paraId="42806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996" w:type="dxa"/>
            <w:vAlign w:val="top"/>
          </w:tcPr>
          <w:p w14:paraId="3D310D27">
            <w:pPr>
              <w:spacing w:line="299" w:lineRule="auto"/>
              <w:rPr>
                <w:rFonts w:ascii="Arial"/>
                <w:color w:val="auto"/>
                <w:sz w:val="21"/>
                <w:highlight w:val="none"/>
              </w:rPr>
            </w:pPr>
          </w:p>
          <w:p w14:paraId="720BB356">
            <w:pPr>
              <w:pStyle w:val="10"/>
              <w:spacing w:before="65" w:line="190" w:lineRule="auto"/>
              <w:ind w:left="296"/>
              <w:rPr>
                <w:color w:val="auto"/>
                <w:highlight w:val="none"/>
              </w:rPr>
            </w:pPr>
            <w:r>
              <w:rPr>
                <w:color w:val="auto"/>
                <w:spacing w:val="2"/>
                <w:highlight w:val="none"/>
              </w:rPr>
              <w:t>20.1</w:t>
            </w:r>
          </w:p>
        </w:tc>
        <w:tc>
          <w:tcPr>
            <w:tcW w:w="7912" w:type="dxa"/>
            <w:vAlign w:val="top"/>
          </w:tcPr>
          <w:p w14:paraId="40259A64">
            <w:pPr>
              <w:pStyle w:val="10"/>
              <w:spacing w:before="34" w:line="226" w:lineRule="auto"/>
              <w:ind w:left="127"/>
              <w:rPr>
                <w:color w:val="auto"/>
                <w:highlight w:val="none"/>
              </w:rPr>
            </w:pPr>
            <w:r>
              <w:rPr>
                <w:color w:val="auto"/>
                <w:spacing w:val="8"/>
                <w:highlight w:val="none"/>
              </w:rPr>
              <w:t>1.提交响应文件截止时间：见磋商公告</w:t>
            </w:r>
          </w:p>
          <w:p w14:paraId="7CA9A51E">
            <w:pPr>
              <w:pStyle w:val="10"/>
              <w:spacing w:before="258" w:line="227" w:lineRule="auto"/>
              <w:ind w:left="114"/>
              <w:rPr>
                <w:color w:val="auto"/>
                <w:highlight w:val="none"/>
              </w:rPr>
            </w:pPr>
            <w:r>
              <w:rPr>
                <w:color w:val="auto"/>
                <w:spacing w:val="8"/>
                <w:highlight w:val="none"/>
              </w:rPr>
              <w:t>2.投标地点：广西政府采购云平台在线投标</w:t>
            </w:r>
          </w:p>
        </w:tc>
      </w:tr>
      <w:tr w14:paraId="7D58C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11E91C06">
            <w:pPr>
              <w:pStyle w:val="10"/>
              <w:spacing w:before="164" w:line="190" w:lineRule="auto"/>
              <w:ind w:left="296"/>
              <w:rPr>
                <w:color w:val="auto"/>
                <w:highlight w:val="none"/>
              </w:rPr>
            </w:pPr>
            <w:r>
              <w:rPr>
                <w:color w:val="auto"/>
                <w:spacing w:val="2"/>
                <w:highlight w:val="none"/>
              </w:rPr>
              <w:t>24.1</w:t>
            </w:r>
          </w:p>
        </w:tc>
        <w:tc>
          <w:tcPr>
            <w:tcW w:w="7912" w:type="dxa"/>
            <w:vAlign w:val="top"/>
          </w:tcPr>
          <w:p w14:paraId="3AE853EB">
            <w:pPr>
              <w:pStyle w:val="10"/>
              <w:spacing w:before="62" w:line="228" w:lineRule="auto"/>
              <w:ind w:left="110"/>
              <w:rPr>
                <w:color w:val="auto"/>
                <w:highlight w:val="none"/>
              </w:rPr>
            </w:pPr>
            <w:r>
              <w:rPr>
                <w:color w:val="auto"/>
                <w:spacing w:val="6"/>
                <w:highlight w:val="none"/>
              </w:rPr>
              <w:t>磋商小组的人数：</w:t>
            </w:r>
            <w:r>
              <w:rPr>
                <w:color w:val="auto"/>
                <w:spacing w:val="6"/>
                <w:highlight w:val="none"/>
                <w:u w:val="single" w:color="auto"/>
              </w:rPr>
              <w:t xml:space="preserve">  3  </w:t>
            </w:r>
            <w:r>
              <w:rPr>
                <w:color w:val="auto"/>
                <w:spacing w:val="-84"/>
                <w:highlight w:val="none"/>
              </w:rPr>
              <w:t xml:space="preserve"> </w:t>
            </w:r>
            <w:r>
              <w:rPr>
                <w:color w:val="auto"/>
                <w:spacing w:val="6"/>
                <w:highlight w:val="none"/>
              </w:rPr>
              <w:t>人。</w:t>
            </w:r>
          </w:p>
        </w:tc>
      </w:tr>
      <w:tr w14:paraId="0DA59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Merge w:val="restart"/>
            <w:tcBorders>
              <w:bottom w:val="nil"/>
            </w:tcBorders>
            <w:vAlign w:val="top"/>
          </w:tcPr>
          <w:p w14:paraId="461AEE6E">
            <w:pPr>
              <w:spacing w:line="341" w:lineRule="auto"/>
              <w:rPr>
                <w:rFonts w:ascii="Arial"/>
                <w:color w:val="auto"/>
                <w:sz w:val="21"/>
                <w:highlight w:val="none"/>
              </w:rPr>
            </w:pPr>
          </w:p>
          <w:p w14:paraId="5F8781B0">
            <w:pPr>
              <w:spacing w:line="342" w:lineRule="auto"/>
              <w:rPr>
                <w:rFonts w:ascii="Arial"/>
                <w:color w:val="auto"/>
                <w:sz w:val="21"/>
                <w:highlight w:val="none"/>
              </w:rPr>
            </w:pPr>
          </w:p>
          <w:p w14:paraId="452F56E7">
            <w:pPr>
              <w:pStyle w:val="10"/>
              <w:spacing w:before="65" w:line="189" w:lineRule="auto"/>
              <w:ind w:left="296"/>
              <w:rPr>
                <w:color w:val="auto"/>
                <w:highlight w:val="none"/>
              </w:rPr>
            </w:pPr>
            <w:r>
              <w:rPr>
                <w:color w:val="auto"/>
                <w:spacing w:val="2"/>
                <w:highlight w:val="none"/>
              </w:rPr>
              <w:t>26.2</w:t>
            </w:r>
          </w:p>
        </w:tc>
        <w:tc>
          <w:tcPr>
            <w:tcW w:w="7912" w:type="dxa"/>
            <w:vAlign w:val="top"/>
          </w:tcPr>
          <w:p w14:paraId="62F43CD0">
            <w:pPr>
              <w:pStyle w:val="10"/>
              <w:spacing w:before="34" w:line="359" w:lineRule="auto"/>
              <w:ind w:left="112" w:right="3656" w:firstLine="3"/>
              <w:rPr>
                <w:color w:val="auto"/>
                <w:highlight w:val="none"/>
              </w:rPr>
            </w:pPr>
            <w:r>
              <w:rPr>
                <w:color w:val="auto"/>
                <w:spacing w:val="8"/>
                <w:highlight w:val="none"/>
              </w:rPr>
              <w:t>商务条款评审中允许负偏离的条款数为：0</w:t>
            </w:r>
            <w:r>
              <w:rPr>
                <w:color w:val="auto"/>
                <w:spacing w:val="-26"/>
                <w:highlight w:val="none"/>
              </w:rPr>
              <w:t xml:space="preserve"> </w:t>
            </w:r>
            <w:r>
              <w:rPr>
                <w:color w:val="auto"/>
                <w:spacing w:val="8"/>
                <w:highlight w:val="none"/>
              </w:rPr>
              <w:t>项</w:t>
            </w:r>
            <w:r>
              <w:rPr>
                <w:color w:val="auto"/>
                <w:highlight w:val="none"/>
              </w:rPr>
              <w:t xml:space="preserve"> </w:t>
            </w:r>
            <w:r>
              <w:rPr>
                <w:color w:val="auto"/>
                <w:spacing w:val="8"/>
                <w:highlight w:val="none"/>
              </w:rPr>
              <w:t>技术需求评审中允许负偏离的条款数为：0</w:t>
            </w:r>
            <w:r>
              <w:rPr>
                <w:color w:val="auto"/>
                <w:spacing w:val="-23"/>
                <w:highlight w:val="none"/>
              </w:rPr>
              <w:t xml:space="preserve"> </w:t>
            </w:r>
            <w:r>
              <w:rPr>
                <w:color w:val="auto"/>
                <w:spacing w:val="8"/>
                <w:highlight w:val="none"/>
              </w:rPr>
              <w:t>项</w:t>
            </w:r>
          </w:p>
        </w:tc>
      </w:tr>
      <w:tr w14:paraId="4F6D1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Merge w:val="continue"/>
            <w:tcBorders>
              <w:top w:val="nil"/>
            </w:tcBorders>
            <w:vAlign w:val="top"/>
          </w:tcPr>
          <w:p w14:paraId="40C68CEC">
            <w:pPr>
              <w:rPr>
                <w:rFonts w:ascii="Arial"/>
                <w:color w:val="auto"/>
                <w:sz w:val="21"/>
                <w:highlight w:val="none"/>
              </w:rPr>
            </w:pPr>
          </w:p>
        </w:tc>
        <w:tc>
          <w:tcPr>
            <w:tcW w:w="7912" w:type="dxa"/>
            <w:vAlign w:val="top"/>
          </w:tcPr>
          <w:p w14:paraId="4B658160">
            <w:pPr>
              <w:pStyle w:val="10"/>
              <w:spacing w:before="34" w:line="228" w:lineRule="auto"/>
              <w:ind w:left="110"/>
              <w:rPr>
                <w:color w:val="auto"/>
                <w:highlight w:val="none"/>
              </w:rPr>
            </w:pPr>
            <w:r>
              <w:rPr>
                <w:color w:val="auto"/>
                <w:spacing w:val="6"/>
                <w:highlight w:val="none"/>
              </w:rPr>
              <w:t>磋商的顺序：</w:t>
            </w:r>
          </w:p>
          <w:p w14:paraId="11D992F8">
            <w:pPr>
              <w:pStyle w:val="10"/>
              <w:spacing w:before="160" w:line="227" w:lineRule="auto"/>
              <w:ind w:left="132"/>
              <w:rPr>
                <w:color w:val="auto"/>
                <w:highlight w:val="none"/>
              </w:rPr>
            </w:pPr>
            <w:r>
              <w:rPr>
                <w:color w:val="auto"/>
                <w:spacing w:val="3"/>
                <w:highlight w:val="none"/>
              </w:rPr>
              <w:t>■随机排序。</w:t>
            </w:r>
          </w:p>
        </w:tc>
      </w:tr>
      <w:tr w14:paraId="0C011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221011AC">
            <w:pPr>
              <w:pStyle w:val="10"/>
              <w:spacing w:before="163" w:line="190" w:lineRule="auto"/>
              <w:ind w:left="296"/>
              <w:rPr>
                <w:color w:val="auto"/>
                <w:highlight w:val="none"/>
              </w:rPr>
            </w:pPr>
            <w:r>
              <w:rPr>
                <w:color w:val="auto"/>
                <w:spacing w:val="2"/>
                <w:highlight w:val="none"/>
              </w:rPr>
              <w:t>28.1</w:t>
            </w:r>
          </w:p>
        </w:tc>
        <w:tc>
          <w:tcPr>
            <w:tcW w:w="7912" w:type="dxa"/>
            <w:vAlign w:val="top"/>
          </w:tcPr>
          <w:p w14:paraId="70A20DEA">
            <w:pPr>
              <w:pStyle w:val="10"/>
              <w:spacing w:before="61" w:line="228" w:lineRule="auto"/>
              <w:ind w:left="114"/>
              <w:rPr>
                <w:rFonts w:hint="eastAsia"/>
                <w:color w:val="auto"/>
                <w:spacing w:val="8"/>
                <w:highlight w:val="none"/>
              </w:rPr>
            </w:pPr>
            <w:r>
              <w:rPr>
                <w:color w:val="auto"/>
                <w:spacing w:val="8"/>
                <w:highlight w:val="none"/>
              </w:rPr>
              <w:t>履约保证金金额：</w:t>
            </w:r>
            <w:r>
              <w:rPr>
                <w:rFonts w:hint="eastAsia"/>
                <w:color w:val="auto"/>
                <w:spacing w:val="8"/>
                <w:highlight w:val="none"/>
              </w:rPr>
              <w:t>根据百政办电〔2021〕34号《百色市2021年持续优化营商环境行动</w:t>
            </w:r>
          </w:p>
          <w:p w14:paraId="67C4F6E0">
            <w:pPr>
              <w:pStyle w:val="10"/>
              <w:spacing w:before="61" w:line="228" w:lineRule="auto"/>
              <w:ind w:left="114"/>
              <w:rPr>
                <w:color w:val="auto"/>
                <w:highlight w:val="none"/>
              </w:rPr>
            </w:pPr>
            <w:r>
              <w:rPr>
                <w:rFonts w:hint="eastAsia"/>
                <w:color w:val="auto"/>
                <w:spacing w:val="8"/>
                <w:highlight w:val="none"/>
              </w:rPr>
              <w:t>方案》精神，本项目无需缴纳履约保证金。</w:t>
            </w:r>
          </w:p>
        </w:tc>
      </w:tr>
      <w:tr w14:paraId="66680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996" w:type="dxa"/>
            <w:vAlign w:val="top"/>
          </w:tcPr>
          <w:p w14:paraId="51888240">
            <w:pPr>
              <w:spacing w:line="293" w:lineRule="auto"/>
              <w:rPr>
                <w:rFonts w:ascii="Arial"/>
                <w:color w:val="auto"/>
                <w:sz w:val="21"/>
                <w:highlight w:val="none"/>
              </w:rPr>
            </w:pPr>
          </w:p>
          <w:p w14:paraId="44D9CEB9">
            <w:pPr>
              <w:spacing w:line="293" w:lineRule="auto"/>
              <w:rPr>
                <w:rFonts w:ascii="Arial"/>
                <w:color w:val="auto"/>
                <w:sz w:val="21"/>
                <w:highlight w:val="none"/>
              </w:rPr>
            </w:pPr>
          </w:p>
          <w:p w14:paraId="0635AEFD">
            <w:pPr>
              <w:spacing w:line="293" w:lineRule="auto"/>
              <w:rPr>
                <w:rFonts w:ascii="Arial"/>
                <w:color w:val="auto"/>
                <w:sz w:val="21"/>
                <w:highlight w:val="none"/>
              </w:rPr>
            </w:pPr>
          </w:p>
          <w:p w14:paraId="7C081A17">
            <w:pPr>
              <w:pStyle w:val="10"/>
              <w:spacing w:before="65" w:line="190" w:lineRule="auto"/>
              <w:ind w:left="296"/>
              <w:rPr>
                <w:color w:val="auto"/>
                <w:highlight w:val="none"/>
              </w:rPr>
            </w:pPr>
            <w:r>
              <w:rPr>
                <w:color w:val="auto"/>
                <w:spacing w:val="2"/>
                <w:highlight w:val="none"/>
              </w:rPr>
              <w:t>29.1</w:t>
            </w:r>
          </w:p>
        </w:tc>
        <w:tc>
          <w:tcPr>
            <w:tcW w:w="7912" w:type="dxa"/>
            <w:vAlign w:val="top"/>
          </w:tcPr>
          <w:p w14:paraId="22785CE5">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签订合同携带的证明材料：</w:t>
            </w:r>
          </w:p>
          <w:p w14:paraId="4E3C2740">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委托代理人负责签订合同的，须携带授权委托书及委托代理人身份证原件等其他资格 证件。</w:t>
            </w:r>
          </w:p>
          <w:p w14:paraId="5AC85B53">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color w:val="auto"/>
                <w:highlight w:val="none"/>
              </w:rPr>
            </w:pPr>
            <w:r>
              <w:rPr>
                <w:rFonts w:hint="eastAsia" w:ascii="宋体" w:hAnsi="宋体" w:eastAsia="宋体" w:cs="宋体"/>
                <w:color w:val="auto"/>
                <w:spacing w:val="7"/>
                <w:highlight w:val="none"/>
              </w:rPr>
              <w:t>法定代表人负责签订合同的，须携带法定代表人身份证明原件及身份证原件等其他证 明材料。</w:t>
            </w:r>
          </w:p>
        </w:tc>
      </w:tr>
      <w:tr w14:paraId="5A675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996" w:type="dxa"/>
            <w:vAlign w:val="top"/>
          </w:tcPr>
          <w:p w14:paraId="7CD8A4B8">
            <w:pPr>
              <w:spacing w:line="293" w:lineRule="auto"/>
              <w:rPr>
                <w:rFonts w:ascii="Arial"/>
                <w:color w:val="auto"/>
                <w:sz w:val="21"/>
                <w:highlight w:val="none"/>
              </w:rPr>
            </w:pPr>
          </w:p>
          <w:p w14:paraId="0FBF667C">
            <w:pPr>
              <w:spacing w:line="293" w:lineRule="auto"/>
              <w:rPr>
                <w:rFonts w:ascii="Arial"/>
                <w:color w:val="auto"/>
                <w:sz w:val="21"/>
                <w:highlight w:val="none"/>
              </w:rPr>
            </w:pPr>
          </w:p>
          <w:p w14:paraId="3D79981A">
            <w:pPr>
              <w:spacing w:line="294" w:lineRule="auto"/>
              <w:rPr>
                <w:rFonts w:ascii="Arial"/>
                <w:color w:val="auto"/>
                <w:sz w:val="21"/>
                <w:highlight w:val="none"/>
              </w:rPr>
            </w:pPr>
          </w:p>
          <w:p w14:paraId="3ACFF2D3">
            <w:pPr>
              <w:pStyle w:val="10"/>
              <w:spacing w:before="65" w:line="190" w:lineRule="auto"/>
              <w:ind w:left="298"/>
              <w:rPr>
                <w:color w:val="auto"/>
                <w:highlight w:val="none"/>
              </w:rPr>
            </w:pPr>
            <w:r>
              <w:rPr>
                <w:color w:val="auto"/>
                <w:spacing w:val="2"/>
                <w:highlight w:val="none"/>
              </w:rPr>
              <w:t>31.2</w:t>
            </w:r>
          </w:p>
        </w:tc>
        <w:tc>
          <w:tcPr>
            <w:tcW w:w="7912" w:type="dxa"/>
            <w:vAlign w:val="top"/>
          </w:tcPr>
          <w:p w14:paraId="482E61BA">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接收质疑函方式： 以书面形式</w:t>
            </w:r>
          </w:p>
          <w:p w14:paraId="50BD8D62">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质疑联系部门及联系方式：广西中正融创项目工程技术服务有限公司</w:t>
            </w:r>
          </w:p>
          <w:p w14:paraId="4294622C">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通讯地址：广西壮族自治区百色市平果市马头镇城北社区教育路5号</w:t>
            </w:r>
          </w:p>
          <w:p w14:paraId="64A6443F">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联系电话：0776-5669554</w:t>
            </w:r>
          </w:p>
          <w:p w14:paraId="4B91ECAF">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color w:val="auto"/>
                <w:highlight w:val="none"/>
              </w:rPr>
            </w:pPr>
            <w:r>
              <w:rPr>
                <w:rFonts w:hint="eastAsia" w:ascii="宋体" w:hAnsi="宋体" w:eastAsia="宋体" w:cs="宋体"/>
                <w:color w:val="auto"/>
                <w:spacing w:val="7"/>
                <w:highlight w:val="none"/>
              </w:rPr>
              <w:t>现场提交质疑办理业务时间：每天上午9时到12时，下午13时到16时30分，双休日和 法定节假日不办理业务。</w:t>
            </w:r>
          </w:p>
        </w:tc>
      </w:tr>
      <w:tr w14:paraId="4ACF3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31271E20">
            <w:pPr>
              <w:pStyle w:val="10"/>
              <w:spacing w:before="166" w:line="190" w:lineRule="auto"/>
              <w:ind w:left="298"/>
              <w:rPr>
                <w:color w:val="auto"/>
                <w:highlight w:val="none"/>
              </w:rPr>
            </w:pPr>
            <w:r>
              <w:rPr>
                <w:color w:val="auto"/>
                <w:spacing w:val="2"/>
                <w:highlight w:val="none"/>
              </w:rPr>
              <w:t>32.1</w:t>
            </w:r>
          </w:p>
        </w:tc>
        <w:tc>
          <w:tcPr>
            <w:tcW w:w="7912" w:type="dxa"/>
            <w:vAlign w:val="top"/>
          </w:tcPr>
          <w:p w14:paraId="315049B5">
            <w:pPr>
              <w:pStyle w:val="10"/>
              <w:spacing w:before="64" w:line="240" w:lineRule="auto"/>
              <w:ind w:left="127"/>
              <w:rPr>
                <w:rFonts w:hint="eastAsia"/>
                <w:color w:val="auto"/>
                <w:spacing w:val="7"/>
                <w:highlight w:val="none"/>
              </w:rPr>
            </w:pPr>
            <w:r>
              <w:rPr>
                <w:color w:val="auto"/>
                <w:spacing w:val="7"/>
                <w:highlight w:val="none"/>
              </w:rPr>
              <w:t>采购代理费支付方式：</w:t>
            </w:r>
            <w:r>
              <w:rPr>
                <w:rFonts w:hint="eastAsia"/>
                <w:color w:val="auto"/>
                <w:spacing w:val="7"/>
                <w:highlight w:val="none"/>
              </w:rPr>
              <w:t>根据计价格〔2002〕1980号文、发改办价格〔2003〕857号文和发改价格〔2011〕534号文规定的收费标准，本次招标代理服务费由</w:t>
            </w:r>
            <w:r>
              <w:rPr>
                <w:rFonts w:hint="eastAsia"/>
                <w:color w:val="auto"/>
                <w:spacing w:val="7"/>
                <w:highlight w:val="none"/>
                <w:lang w:val="en-US" w:eastAsia="zh-CN"/>
              </w:rPr>
              <w:t>成交供应商</w:t>
            </w:r>
            <w:r>
              <w:rPr>
                <w:rFonts w:hint="eastAsia"/>
                <w:color w:val="auto"/>
                <w:spacing w:val="7"/>
                <w:highlight w:val="none"/>
              </w:rPr>
              <w:t>支付。</w:t>
            </w:r>
          </w:p>
          <w:p w14:paraId="7B08E27B">
            <w:pPr>
              <w:pStyle w:val="10"/>
              <w:spacing w:before="64" w:line="240" w:lineRule="auto"/>
              <w:ind w:left="127"/>
              <w:rPr>
                <w:rFonts w:hint="eastAsia"/>
                <w:color w:val="auto"/>
                <w:spacing w:val="7"/>
                <w:highlight w:val="none"/>
              </w:rPr>
            </w:pPr>
            <w:r>
              <w:rPr>
                <w:color w:val="auto"/>
                <w:spacing w:val="7"/>
                <w:highlight w:val="none"/>
              </w:rPr>
              <w:t>采购</w:t>
            </w:r>
            <w:r>
              <w:rPr>
                <w:rFonts w:hint="eastAsia"/>
                <w:color w:val="auto"/>
                <w:spacing w:val="7"/>
                <w:highlight w:val="none"/>
              </w:rPr>
              <w:t>代理服务费请汇至以下账户:</w:t>
            </w:r>
          </w:p>
          <w:p w14:paraId="2845744A">
            <w:pPr>
              <w:pStyle w:val="10"/>
              <w:spacing w:before="64" w:line="240" w:lineRule="auto"/>
              <w:ind w:left="127"/>
              <w:rPr>
                <w:rFonts w:hint="eastAsia"/>
                <w:color w:val="auto"/>
                <w:spacing w:val="7"/>
                <w:highlight w:val="none"/>
              </w:rPr>
            </w:pPr>
            <w:r>
              <w:rPr>
                <w:rFonts w:hint="eastAsia"/>
                <w:color w:val="auto"/>
                <w:spacing w:val="7"/>
                <w:highlight w:val="none"/>
              </w:rPr>
              <w:t>开户名称:广西中正融创项目工程技术服务有限公司</w:t>
            </w:r>
          </w:p>
          <w:p w14:paraId="25BA0B45">
            <w:pPr>
              <w:pStyle w:val="10"/>
              <w:spacing w:before="64" w:line="240" w:lineRule="auto"/>
              <w:ind w:left="127"/>
              <w:rPr>
                <w:rFonts w:hint="eastAsia"/>
                <w:color w:val="auto"/>
                <w:spacing w:val="7"/>
                <w:highlight w:val="none"/>
              </w:rPr>
            </w:pPr>
            <w:r>
              <w:rPr>
                <w:rFonts w:hint="eastAsia"/>
                <w:color w:val="auto"/>
                <w:spacing w:val="7"/>
                <w:highlight w:val="none"/>
              </w:rPr>
              <w:t>开户银行:桂林银行股份有限公司百色平果支行</w:t>
            </w:r>
          </w:p>
          <w:p w14:paraId="5F4D0301">
            <w:pPr>
              <w:pStyle w:val="10"/>
              <w:spacing w:before="64" w:line="240" w:lineRule="auto"/>
              <w:ind w:left="127"/>
              <w:rPr>
                <w:rFonts w:hint="eastAsia"/>
                <w:color w:val="auto"/>
                <w:spacing w:val="7"/>
                <w:highlight w:val="none"/>
              </w:rPr>
            </w:pPr>
            <w:r>
              <w:rPr>
                <w:rFonts w:hint="eastAsia"/>
                <w:color w:val="auto"/>
                <w:spacing w:val="7"/>
                <w:highlight w:val="none"/>
              </w:rPr>
              <w:t>银行账号:6600</w:t>
            </w:r>
            <w:r>
              <w:rPr>
                <w:rFonts w:hint="eastAsia"/>
                <w:color w:val="auto"/>
                <w:spacing w:val="7"/>
                <w:highlight w:val="none"/>
                <w:lang w:val="en-US" w:eastAsia="zh-CN"/>
              </w:rPr>
              <w:t xml:space="preserve"> </w:t>
            </w:r>
            <w:r>
              <w:rPr>
                <w:rFonts w:hint="eastAsia"/>
                <w:color w:val="auto"/>
                <w:spacing w:val="7"/>
                <w:highlight w:val="none"/>
              </w:rPr>
              <w:t>00021</w:t>
            </w:r>
            <w:r>
              <w:rPr>
                <w:rFonts w:hint="eastAsia"/>
                <w:color w:val="auto"/>
                <w:spacing w:val="7"/>
                <w:highlight w:val="none"/>
                <w:lang w:val="en-US" w:eastAsia="zh-CN"/>
              </w:rPr>
              <w:t xml:space="preserve"> </w:t>
            </w:r>
            <w:r>
              <w:rPr>
                <w:rFonts w:hint="eastAsia"/>
                <w:color w:val="auto"/>
                <w:spacing w:val="7"/>
                <w:highlight w:val="none"/>
              </w:rPr>
              <w:t>2888</w:t>
            </w:r>
            <w:r>
              <w:rPr>
                <w:rFonts w:hint="eastAsia"/>
                <w:color w:val="auto"/>
                <w:spacing w:val="7"/>
                <w:highlight w:val="none"/>
                <w:lang w:val="en-US" w:eastAsia="zh-CN"/>
              </w:rPr>
              <w:t xml:space="preserve"> </w:t>
            </w:r>
            <w:r>
              <w:rPr>
                <w:rFonts w:hint="eastAsia"/>
                <w:color w:val="auto"/>
                <w:spacing w:val="7"/>
                <w:highlight w:val="none"/>
              </w:rPr>
              <w:t>0001</w:t>
            </w:r>
            <w:r>
              <w:rPr>
                <w:rFonts w:hint="eastAsia"/>
                <w:color w:val="auto"/>
                <w:spacing w:val="7"/>
                <w:highlight w:val="none"/>
                <w:lang w:val="en-US" w:eastAsia="zh-CN"/>
              </w:rPr>
              <w:t xml:space="preserve"> </w:t>
            </w:r>
            <w:r>
              <w:rPr>
                <w:rFonts w:hint="eastAsia"/>
                <w:color w:val="auto"/>
                <w:spacing w:val="7"/>
                <w:highlight w:val="none"/>
              </w:rPr>
              <w:t>1</w:t>
            </w:r>
          </w:p>
          <w:p w14:paraId="54964659">
            <w:pPr>
              <w:pStyle w:val="10"/>
              <w:spacing w:before="64" w:line="240" w:lineRule="auto"/>
              <w:ind w:left="127"/>
              <w:rPr>
                <w:rFonts w:hint="eastAsia"/>
                <w:color w:val="auto"/>
                <w:spacing w:val="7"/>
                <w:highlight w:val="none"/>
              </w:rPr>
            </w:pPr>
            <w:r>
              <w:rPr>
                <w:color w:val="auto"/>
                <w:spacing w:val="7"/>
                <w:highlight w:val="none"/>
              </w:rPr>
              <w:t>采购</w:t>
            </w:r>
            <w:r>
              <w:rPr>
                <w:rFonts w:hint="eastAsia"/>
                <w:color w:val="auto"/>
                <w:spacing w:val="7"/>
                <w:highlight w:val="none"/>
              </w:rPr>
              <w:t>代理服务费由</w:t>
            </w:r>
            <w:r>
              <w:rPr>
                <w:rFonts w:hint="eastAsia"/>
                <w:color w:val="auto"/>
                <w:spacing w:val="7"/>
                <w:highlight w:val="none"/>
                <w:lang w:val="en-US" w:eastAsia="zh-CN"/>
              </w:rPr>
              <w:t>成交供应商</w:t>
            </w:r>
            <w:r>
              <w:rPr>
                <w:rFonts w:hint="eastAsia"/>
                <w:color w:val="auto"/>
                <w:spacing w:val="7"/>
                <w:highlight w:val="none"/>
              </w:rPr>
              <w:t>领取</w:t>
            </w:r>
            <w:r>
              <w:rPr>
                <w:rFonts w:hint="eastAsia"/>
                <w:color w:val="auto"/>
                <w:spacing w:val="7"/>
                <w:highlight w:val="none"/>
                <w:lang w:val="en-US" w:eastAsia="zh-CN"/>
              </w:rPr>
              <w:t>成交</w:t>
            </w:r>
            <w:r>
              <w:rPr>
                <w:rFonts w:hint="eastAsia"/>
                <w:color w:val="auto"/>
                <w:spacing w:val="7"/>
                <w:highlight w:val="none"/>
              </w:rPr>
              <w:t>通知书前，一次性向招标代理机构支付。感谢你单位对我们工作的大力支持！</w:t>
            </w:r>
          </w:p>
        </w:tc>
      </w:tr>
      <w:tr w14:paraId="5A956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20A38509">
            <w:pPr>
              <w:spacing w:line="294" w:lineRule="auto"/>
              <w:rPr>
                <w:rFonts w:ascii="Arial"/>
                <w:color w:val="auto"/>
                <w:sz w:val="21"/>
                <w:highlight w:val="none"/>
              </w:rPr>
            </w:pPr>
          </w:p>
          <w:p w14:paraId="566E85DA">
            <w:pPr>
              <w:spacing w:line="294" w:lineRule="auto"/>
              <w:rPr>
                <w:rFonts w:ascii="Arial"/>
                <w:color w:val="auto"/>
                <w:sz w:val="21"/>
                <w:highlight w:val="none"/>
              </w:rPr>
            </w:pPr>
          </w:p>
          <w:p w14:paraId="49185AED">
            <w:pPr>
              <w:spacing w:line="294" w:lineRule="auto"/>
              <w:rPr>
                <w:rFonts w:ascii="Arial"/>
                <w:color w:val="auto"/>
                <w:sz w:val="21"/>
                <w:highlight w:val="none"/>
              </w:rPr>
            </w:pPr>
          </w:p>
          <w:p w14:paraId="6ABC3727">
            <w:pPr>
              <w:pStyle w:val="10"/>
              <w:spacing w:before="65" w:line="190" w:lineRule="auto"/>
              <w:ind w:left="298"/>
              <w:rPr>
                <w:color w:val="auto"/>
                <w:highlight w:val="none"/>
              </w:rPr>
            </w:pPr>
            <w:r>
              <w:rPr>
                <w:color w:val="auto"/>
                <w:spacing w:val="2"/>
                <w:highlight w:val="none"/>
              </w:rPr>
              <w:t>33.1</w:t>
            </w:r>
          </w:p>
        </w:tc>
        <w:tc>
          <w:tcPr>
            <w:tcW w:w="7912" w:type="dxa"/>
            <w:vAlign w:val="top"/>
          </w:tcPr>
          <w:p w14:paraId="1F5D4792">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解释：构成本磋商文件的各个组成文件应互为解释，互为说明；除磋商文件中有特别 规定外，仅适用于竞标阶段的规定，按更正公告（澄清公告）、竞争性磋商公告、供 应商须知、采购需求、评审程序、评审方法和评审标准、响应文件格式、合同文本的 先后顺序解释；同一组成文件中就同一事项的规定或者约定不一致的，以编排顺序在 后者为准；同一组成文件不同版本之间有不一致的，以形成时间在后者为准；更正公</w:t>
            </w:r>
          </w:p>
          <w:p w14:paraId="3235D429">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color w:val="auto"/>
                <w:highlight w:val="none"/>
              </w:rPr>
            </w:pPr>
            <w:r>
              <w:rPr>
                <w:rFonts w:hint="eastAsia" w:ascii="宋体" w:hAnsi="宋体" w:eastAsia="宋体" w:cs="宋体"/>
                <w:color w:val="auto"/>
                <w:spacing w:val="7"/>
                <w:highlight w:val="none"/>
              </w:rPr>
              <w:t>告（澄清公告）与同步更新的磋商文件不一致时以更正公告（澄清公告）为准。按本 款前述规定仍不能形成结论的， 由采购人或者采购代理机构负责解释。</w:t>
            </w:r>
          </w:p>
        </w:tc>
      </w:tr>
      <w:tr w14:paraId="05106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7" w:hRule="atLeast"/>
        </w:trPr>
        <w:tc>
          <w:tcPr>
            <w:tcW w:w="996" w:type="dxa"/>
            <w:vAlign w:val="top"/>
          </w:tcPr>
          <w:p w14:paraId="151B1195">
            <w:pPr>
              <w:spacing w:line="250" w:lineRule="auto"/>
              <w:rPr>
                <w:rFonts w:ascii="Arial"/>
                <w:color w:val="auto"/>
                <w:sz w:val="21"/>
                <w:highlight w:val="none"/>
              </w:rPr>
            </w:pPr>
          </w:p>
          <w:p w14:paraId="3CB7EC84">
            <w:pPr>
              <w:spacing w:line="250" w:lineRule="auto"/>
              <w:rPr>
                <w:rFonts w:ascii="Arial"/>
                <w:color w:val="auto"/>
                <w:sz w:val="21"/>
                <w:highlight w:val="none"/>
              </w:rPr>
            </w:pPr>
          </w:p>
          <w:p w14:paraId="35B61E11">
            <w:pPr>
              <w:spacing w:line="250" w:lineRule="auto"/>
              <w:rPr>
                <w:rFonts w:ascii="Arial"/>
                <w:color w:val="auto"/>
                <w:sz w:val="21"/>
                <w:highlight w:val="none"/>
              </w:rPr>
            </w:pPr>
          </w:p>
          <w:p w14:paraId="326AEC1F">
            <w:pPr>
              <w:spacing w:line="250" w:lineRule="auto"/>
              <w:rPr>
                <w:rFonts w:ascii="Arial"/>
                <w:color w:val="auto"/>
                <w:sz w:val="21"/>
                <w:highlight w:val="none"/>
              </w:rPr>
            </w:pPr>
          </w:p>
          <w:p w14:paraId="71FB1758">
            <w:pPr>
              <w:spacing w:line="251" w:lineRule="auto"/>
              <w:rPr>
                <w:rFonts w:ascii="Arial"/>
                <w:color w:val="auto"/>
                <w:sz w:val="21"/>
                <w:highlight w:val="none"/>
              </w:rPr>
            </w:pPr>
          </w:p>
          <w:p w14:paraId="66174EB3">
            <w:pPr>
              <w:spacing w:line="251" w:lineRule="auto"/>
              <w:rPr>
                <w:rFonts w:ascii="Arial"/>
                <w:color w:val="auto"/>
                <w:sz w:val="21"/>
                <w:highlight w:val="none"/>
              </w:rPr>
            </w:pPr>
          </w:p>
          <w:p w14:paraId="738E4661">
            <w:pPr>
              <w:spacing w:line="251" w:lineRule="auto"/>
              <w:rPr>
                <w:rFonts w:ascii="Arial"/>
                <w:color w:val="auto"/>
                <w:sz w:val="21"/>
                <w:highlight w:val="none"/>
              </w:rPr>
            </w:pPr>
          </w:p>
          <w:p w14:paraId="56476DE6">
            <w:pPr>
              <w:spacing w:line="251" w:lineRule="auto"/>
              <w:rPr>
                <w:rFonts w:ascii="Arial"/>
                <w:color w:val="auto"/>
                <w:sz w:val="21"/>
                <w:highlight w:val="none"/>
              </w:rPr>
            </w:pPr>
          </w:p>
          <w:p w14:paraId="63009DAD">
            <w:pPr>
              <w:pStyle w:val="10"/>
              <w:spacing w:before="65" w:line="189" w:lineRule="auto"/>
              <w:ind w:left="298"/>
              <w:rPr>
                <w:color w:val="auto"/>
                <w:highlight w:val="none"/>
              </w:rPr>
            </w:pPr>
            <w:r>
              <w:rPr>
                <w:color w:val="auto"/>
                <w:spacing w:val="2"/>
                <w:highlight w:val="none"/>
              </w:rPr>
              <w:t>33.2</w:t>
            </w:r>
          </w:p>
        </w:tc>
        <w:tc>
          <w:tcPr>
            <w:tcW w:w="7912" w:type="dxa"/>
            <w:vAlign w:val="top"/>
          </w:tcPr>
          <w:p w14:paraId="3993B860">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1.本磋商文件中描述投标人的“公章 ”是指根据我国对公章的管理规定，用投标人法 定主体行为名称制作的印章，除本招标文件有特殊规定外，投标人的财务章、部门章、 分公司章、工会章、合同章、投标专用章、业务专用章及银行的转账章、现金收讫章、 现金付讫章等其他形式印章均不能代替公章。</w:t>
            </w:r>
          </w:p>
          <w:p w14:paraId="378DB14A">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2.投标人为其他组织或者自然人时，本磋商文件规定的法定代表人指负责人或者自然 人。本磋商文件所称负责人是指参加投标的其他组织营业执照上的负责人，本磋商文 件所称自然人指参与投标的自然人本人。</w:t>
            </w:r>
          </w:p>
          <w:p w14:paraId="173E5D14">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3.本磋商文件中描述投标人的“签字 ”是指投标人的法定代表人或者委托代理人亲自 在文件规定签字处亲笔写上个人的名字的行为，私章、签字章、印鉴、影印等其他形 式均不能代替亲笔签字。</w:t>
            </w:r>
          </w:p>
          <w:p w14:paraId="4C48809D">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4. 自然人投标的，磋商文件规定盖公章处由自然人摁手指指印。</w:t>
            </w:r>
          </w:p>
          <w:p w14:paraId="43381B6A">
            <w:pPr>
              <w:pStyle w:val="10"/>
              <w:keepNext w:val="0"/>
              <w:keepLines w:val="0"/>
              <w:pageBreakBefore w:val="0"/>
              <w:widowControl/>
              <w:kinsoku w:val="0"/>
              <w:wordWrap/>
              <w:overflowPunct/>
              <w:topLinePunct w:val="0"/>
              <w:autoSpaceDE w:val="0"/>
              <w:autoSpaceDN w:val="0"/>
              <w:bidi w:val="0"/>
              <w:adjustRightInd w:val="0"/>
              <w:snapToGrid w:val="0"/>
              <w:spacing w:before="64" w:line="300" w:lineRule="auto"/>
              <w:ind w:left="125"/>
              <w:textAlignment w:val="baseline"/>
              <w:rPr>
                <w:color w:val="auto"/>
                <w:highlight w:val="none"/>
              </w:rPr>
            </w:pPr>
            <w:r>
              <w:rPr>
                <w:rFonts w:hint="eastAsia" w:ascii="宋体" w:hAnsi="宋体" w:eastAsia="宋体" w:cs="宋体"/>
                <w:color w:val="auto"/>
                <w:spacing w:val="7"/>
                <w:highlight w:val="none"/>
              </w:rPr>
              <w:t>5.本磋商文件所称的“ 以上 ”“以下 ”“以内 ”“届满 ”，包括本数；所称的“不满 ” “超过 ”“ 以外 ”，不包括本数。</w:t>
            </w:r>
          </w:p>
        </w:tc>
      </w:tr>
    </w:tbl>
    <w:p w14:paraId="1C82B2AA">
      <w:pPr>
        <w:pStyle w:val="3"/>
        <w:rPr>
          <w:color w:val="auto"/>
          <w:highlight w:val="none"/>
        </w:rPr>
      </w:pPr>
    </w:p>
    <w:p w14:paraId="5E37DC55">
      <w:pPr>
        <w:spacing w:before="63" w:line="224" w:lineRule="auto"/>
        <w:ind w:left="3319"/>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供应商须知正文</w:t>
      </w:r>
    </w:p>
    <w:p w14:paraId="1C551E21">
      <w:pPr>
        <w:pStyle w:val="3"/>
        <w:spacing w:line="323" w:lineRule="auto"/>
        <w:rPr>
          <w:color w:val="auto"/>
          <w:highlight w:val="none"/>
        </w:rPr>
      </w:pPr>
    </w:p>
    <w:p w14:paraId="112A1A61">
      <w:pPr>
        <w:spacing w:before="101" w:line="225" w:lineRule="auto"/>
        <w:ind w:left="3807"/>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一、总则</w:t>
      </w:r>
    </w:p>
    <w:p w14:paraId="02CD4077">
      <w:pPr>
        <w:pStyle w:val="3"/>
        <w:spacing w:line="408" w:lineRule="auto"/>
        <w:rPr>
          <w:color w:val="auto"/>
          <w:highlight w:val="none"/>
        </w:rPr>
      </w:pPr>
    </w:p>
    <w:p w14:paraId="68039BC8">
      <w:pPr>
        <w:spacing w:before="78" w:line="220" w:lineRule="auto"/>
        <w:ind w:left="499"/>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1.适用范围</w:t>
      </w:r>
    </w:p>
    <w:p w14:paraId="1281B351">
      <w:pPr>
        <w:spacing w:before="195" w:line="381" w:lineRule="auto"/>
        <w:ind w:firstLine="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本项目采购人、采购代理机构、供应商</w:t>
      </w:r>
      <w:r>
        <w:rPr>
          <w:rFonts w:ascii="宋体" w:hAnsi="宋体" w:eastAsia="宋体" w:cs="宋体"/>
          <w:color w:val="auto"/>
          <w:spacing w:val="6"/>
          <w:sz w:val="20"/>
          <w:szCs w:val="20"/>
          <w:highlight w:val="none"/>
        </w:rPr>
        <w:t>、磋商小组的相关行为均受《中华人民共和国政府</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采购法》《中华人民共和国政府采购法实施条例》《政府采购竞争性磋商采购方式管理暂行办法》</w:t>
      </w:r>
      <w:r>
        <w:rPr>
          <w:rFonts w:ascii="宋体" w:hAnsi="宋体" w:eastAsia="宋体" w:cs="宋体"/>
          <w:color w:val="auto"/>
          <w:spacing w:val="18"/>
          <w:sz w:val="20"/>
          <w:szCs w:val="20"/>
          <w:highlight w:val="none"/>
        </w:rPr>
        <w:t xml:space="preserve"> </w:t>
      </w:r>
      <w:r>
        <w:rPr>
          <w:rFonts w:ascii="宋体" w:hAnsi="宋体" w:eastAsia="宋体" w:cs="宋体"/>
          <w:color w:val="auto"/>
          <w:spacing w:val="11"/>
          <w:sz w:val="20"/>
          <w:szCs w:val="20"/>
          <w:highlight w:val="none"/>
        </w:rPr>
        <w:t>《财政部关于政府采购竞争性磋商采购方式管理暂行办法有关问题的补充通知》及本项目本级和</w:t>
      </w:r>
      <w:r>
        <w:rPr>
          <w:rFonts w:ascii="宋体" w:hAnsi="宋体" w:eastAsia="宋体" w:cs="宋体"/>
          <w:color w:val="auto"/>
          <w:spacing w:val="3"/>
          <w:sz w:val="20"/>
          <w:szCs w:val="20"/>
          <w:highlight w:val="none"/>
        </w:rPr>
        <w:t xml:space="preserve">  </w:t>
      </w:r>
      <w:r>
        <w:rPr>
          <w:rFonts w:ascii="宋体" w:hAnsi="宋体" w:eastAsia="宋体" w:cs="宋体"/>
          <w:color w:val="auto"/>
          <w:spacing w:val="9"/>
          <w:sz w:val="20"/>
          <w:szCs w:val="20"/>
          <w:highlight w:val="none"/>
        </w:rPr>
        <w:t>上级财政部门政府采购有关规定的约束和保护。</w:t>
      </w:r>
    </w:p>
    <w:p w14:paraId="3E09A806">
      <w:pPr>
        <w:spacing w:before="222" w:line="330" w:lineRule="auto"/>
        <w:ind w:left="1" w:right="80" w:firstLine="43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1.2</w:t>
      </w:r>
      <w:r>
        <w:rPr>
          <w:rFonts w:ascii="宋体" w:hAnsi="宋体" w:eastAsia="宋体" w:cs="宋体"/>
          <w:color w:val="auto"/>
          <w:spacing w:val="-23"/>
          <w:sz w:val="20"/>
          <w:szCs w:val="20"/>
          <w:highlight w:val="none"/>
        </w:rPr>
        <w:t xml:space="preserve"> </w:t>
      </w:r>
      <w:r>
        <w:rPr>
          <w:rFonts w:ascii="宋体" w:hAnsi="宋体" w:eastAsia="宋体" w:cs="宋体"/>
          <w:color w:val="auto"/>
          <w:spacing w:val="-3"/>
          <w:sz w:val="20"/>
          <w:szCs w:val="20"/>
          <w:highlight w:val="none"/>
        </w:rPr>
        <w:t>本竞争性磋商文件（以下简称磋商文件）适用于本项目的所有采购程序和环节（法律、法规另</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有规定的，从其规定）。</w:t>
      </w:r>
    </w:p>
    <w:p w14:paraId="6D47BB0B">
      <w:pPr>
        <w:spacing w:before="206" w:line="220" w:lineRule="auto"/>
        <w:ind w:left="484"/>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2.定义</w:t>
      </w:r>
    </w:p>
    <w:p w14:paraId="57B9019F">
      <w:pPr>
        <w:spacing w:before="196"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2.1“采购人</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”是指依法进行政府采购的国家机关、事业单位、团体组织。</w:t>
      </w:r>
    </w:p>
    <w:p w14:paraId="1C04CB71">
      <w:pPr>
        <w:spacing w:before="223" w:line="329" w:lineRule="auto"/>
        <w:ind w:left="5" w:right="93" w:firstLine="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2.2“采购代理机构</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”是指政府采购代理机构（</w:t>
      </w:r>
      <w:r>
        <w:rPr>
          <w:rFonts w:ascii="宋体" w:hAnsi="宋体" w:eastAsia="宋体" w:cs="宋体"/>
          <w:color w:val="auto"/>
          <w:spacing w:val="7"/>
          <w:sz w:val="20"/>
          <w:szCs w:val="20"/>
          <w:highlight w:val="none"/>
        </w:rPr>
        <w:t>以下简称采购代理机构）是指集中采购机构以</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外、受采购人委托从事政府采购代理业务的社会中介机构。</w:t>
      </w:r>
    </w:p>
    <w:p w14:paraId="12023BEF">
      <w:pPr>
        <w:spacing w:before="222"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2.3“供应商</w:t>
      </w:r>
      <w:r>
        <w:rPr>
          <w:rFonts w:ascii="宋体" w:hAnsi="宋体" w:eastAsia="宋体" w:cs="宋体"/>
          <w:color w:val="auto"/>
          <w:spacing w:val="-61"/>
          <w:sz w:val="20"/>
          <w:szCs w:val="20"/>
          <w:highlight w:val="none"/>
        </w:rPr>
        <w:t xml:space="preserve"> </w:t>
      </w:r>
      <w:r>
        <w:rPr>
          <w:rFonts w:ascii="宋体" w:hAnsi="宋体" w:eastAsia="宋体" w:cs="宋体"/>
          <w:color w:val="auto"/>
          <w:spacing w:val="8"/>
          <w:sz w:val="20"/>
          <w:szCs w:val="20"/>
          <w:highlight w:val="none"/>
        </w:rPr>
        <w:t>”是指向采购人提供货物、工程或者服务的法人、其他组织或者自然人。</w:t>
      </w:r>
    </w:p>
    <w:p w14:paraId="657D7BAB">
      <w:pPr>
        <w:spacing w:before="222" w:line="227"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2.4“服务</w:t>
      </w:r>
      <w:r>
        <w:rPr>
          <w:rFonts w:ascii="宋体" w:hAnsi="宋体" w:eastAsia="宋体" w:cs="宋体"/>
          <w:color w:val="auto"/>
          <w:spacing w:val="-58"/>
          <w:sz w:val="20"/>
          <w:szCs w:val="20"/>
          <w:highlight w:val="none"/>
        </w:rPr>
        <w:t xml:space="preserve"> </w:t>
      </w:r>
      <w:r>
        <w:rPr>
          <w:rFonts w:ascii="宋体" w:hAnsi="宋体" w:eastAsia="宋体" w:cs="宋体"/>
          <w:color w:val="auto"/>
          <w:spacing w:val="7"/>
          <w:sz w:val="20"/>
          <w:szCs w:val="20"/>
          <w:highlight w:val="none"/>
        </w:rPr>
        <w:t>”是指除货物和工程以外的其他政府采购对象。</w:t>
      </w:r>
    </w:p>
    <w:p w14:paraId="30117925">
      <w:pPr>
        <w:spacing w:before="222" w:line="330" w:lineRule="auto"/>
        <w:ind w:left="5" w:right="92" w:firstLine="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2.5“竞标</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”是指供应商按照本项目竞争性磋商</w:t>
      </w:r>
      <w:r>
        <w:rPr>
          <w:rFonts w:ascii="宋体" w:hAnsi="宋体" w:eastAsia="宋体" w:cs="宋体"/>
          <w:color w:val="auto"/>
          <w:spacing w:val="7"/>
          <w:sz w:val="20"/>
          <w:szCs w:val="20"/>
          <w:highlight w:val="none"/>
        </w:rPr>
        <w:t>公告或者邀请函规定的方式获取磋商文件、提</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交响应文件并希望获得标的的行为。</w:t>
      </w:r>
    </w:p>
    <w:p w14:paraId="7DAA8BFF">
      <w:pPr>
        <w:spacing w:before="221" w:line="330" w:lineRule="auto"/>
        <w:ind w:left="3" w:right="81" w:firstLine="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2.6“响应文件</w:t>
      </w:r>
      <w:r>
        <w:rPr>
          <w:rFonts w:ascii="宋体" w:hAnsi="宋体" w:eastAsia="宋体" w:cs="宋体"/>
          <w:color w:val="auto"/>
          <w:spacing w:val="-54"/>
          <w:sz w:val="20"/>
          <w:szCs w:val="20"/>
          <w:highlight w:val="none"/>
        </w:rPr>
        <w:t xml:space="preserve"> </w:t>
      </w:r>
      <w:r>
        <w:rPr>
          <w:rFonts w:ascii="宋体" w:hAnsi="宋体" w:eastAsia="宋体" w:cs="宋体"/>
          <w:color w:val="auto"/>
          <w:spacing w:val="-2"/>
          <w:sz w:val="20"/>
          <w:szCs w:val="20"/>
          <w:highlight w:val="none"/>
        </w:rPr>
        <w:t>”是指：供应商根据本磋商文件要求，编制包含资格证明、报价商务技术等所有内</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容的文件。</w:t>
      </w:r>
    </w:p>
    <w:p w14:paraId="009A8801">
      <w:pPr>
        <w:spacing w:before="222" w:line="329" w:lineRule="auto"/>
        <w:ind w:left="4" w:right="92"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2.7“实质性要求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”是指磋商文件中已经指明不</w:t>
      </w:r>
      <w:r>
        <w:rPr>
          <w:rFonts w:ascii="宋体" w:hAnsi="宋体" w:eastAsia="宋体" w:cs="宋体"/>
          <w:color w:val="auto"/>
          <w:spacing w:val="7"/>
          <w:sz w:val="20"/>
          <w:szCs w:val="20"/>
          <w:highlight w:val="none"/>
        </w:rPr>
        <w:t>满足则响应文件按无效响应处理的条款，或者</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不能负偏离的条款，或者采购需求中带“▲</w:t>
      </w:r>
      <w:r>
        <w:rPr>
          <w:rFonts w:ascii="宋体" w:hAnsi="宋体" w:eastAsia="宋体" w:cs="宋体"/>
          <w:color w:val="auto"/>
          <w:spacing w:val="-52"/>
          <w:sz w:val="20"/>
          <w:szCs w:val="20"/>
          <w:highlight w:val="none"/>
        </w:rPr>
        <w:t xml:space="preserve"> </w:t>
      </w:r>
      <w:r>
        <w:rPr>
          <w:rFonts w:ascii="宋体" w:hAnsi="宋体" w:eastAsia="宋体" w:cs="宋体"/>
          <w:color w:val="auto"/>
          <w:spacing w:val="7"/>
          <w:sz w:val="20"/>
          <w:szCs w:val="20"/>
          <w:highlight w:val="none"/>
        </w:rPr>
        <w:t>”的条款。</w:t>
      </w:r>
    </w:p>
    <w:p w14:paraId="5D76C937">
      <w:pPr>
        <w:spacing w:before="224" w:line="329" w:lineRule="auto"/>
        <w:ind w:left="5" w:right="93" w:firstLine="41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2.8“正偏离</w:t>
      </w:r>
      <w:r>
        <w:rPr>
          <w:rFonts w:ascii="宋体" w:hAnsi="宋体" w:eastAsia="宋体" w:cs="宋体"/>
          <w:color w:val="auto"/>
          <w:spacing w:val="-72"/>
          <w:sz w:val="20"/>
          <w:szCs w:val="20"/>
          <w:highlight w:val="none"/>
        </w:rPr>
        <w:t xml:space="preserve"> </w:t>
      </w:r>
      <w:r>
        <w:rPr>
          <w:rFonts w:ascii="宋体" w:hAnsi="宋体" w:eastAsia="宋体" w:cs="宋体"/>
          <w:color w:val="auto"/>
          <w:spacing w:val="7"/>
          <w:sz w:val="20"/>
          <w:szCs w:val="20"/>
          <w:highlight w:val="none"/>
        </w:rPr>
        <w:t>”，是指响应文件对磋商文件“采购需求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”中有关条款作出的响应</w:t>
      </w:r>
      <w:r>
        <w:rPr>
          <w:rFonts w:ascii="宋体" w:hAnsi="宋体" w:eastAsia="宋体" w:cs="宋体"/>
          <w:color w:val="auto"/>
          <w:spacing w:val="6"/>
          <w:sz w:val="20"/>
          <w:szCs w:val="20"/>
          <w:highlight w:val="none"/>
        </w:rPr>
        <w:t>优于条款要求</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并有利于采购人的情形。</w:t>
      </w:r>
    </w:p>
    <w:p w14:paraId="0E973FA3">
      <w:pPr>
        <w:spacing w:before="223" w:line="329" w:lineRule="auto"/>
        <w:ind w:left="2" w:right="93"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2.9“负偏离</w:t>
      </w:r>
      <w:r>
        <w:rPr>
          <w:rFonts w:ascii="宋体" w:hAnsi="宋体" w:eastAsia="宋体" w:cs="宋体"/>
          <w:color w:val="auto"/>
          <w:spacing w:val="-72"/>
          <w:sz w:val="20"/>
          <w:szCs w:val="20"/>
          <w:highlight w:val="none"/>
        </w:rPr>
        <w:t xml:space="preserve"> </w:t>
      </w:r>
      <w:r>
        <w:rPr>
          <w:rFonts w:ascii="宋体" w:hAnsi="宋体" w:eastAsia="宋体" w:cs="宋体"/>
          <w:color w:val="auto"/>
          <w:spacing w:val="7"/>
          <w:sz w:val="20"/>
          <w:szCs w:val="20"/>
          <w:highlight w:val="none"/>
        </w:rPr>
        <w:t>”，是指响应文件对磋商文件“采购需求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”中有关条款作出的响应</w:t>
      </w:r>
      <w:r>
        <w:rPr>
          <w:rFonts w:ascii="宋体" w:hAnsi="宋体" w:eastAsia="宋体" w:cs="宋体"/>
          <w:color w:val="auto"/>
          <w:spacing w:val="6"/>
          <w:sz w:val="20"/>
          <w:szCs w:val="20"/>
          <w:highlight w:val="none"/>
        </w:rPr>
        <w:t>不满足条款要</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求，导致采购人要求不能得到满足的情形。</w:t>
      </w:r>
    </w:p>
    <w:p w14:paraId="4DF75E92">
      <w:pPr>
        <w:spacing w:before="222" w:line="227"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2.10“允许负偏离的条款</w:t>
      </w:r>
      <w:r>
        <w:rPr>
          <w:rFonts w:ascii="宋体" w:hAnsi="宋体" w:eastAsia="宋体" w:cs="宋体"/>
          <w:color w:val="auto"/>
          <w:spacing w:val="-65"/>
          <w:sz w:val="20"/>
          <w:szCs w:val="20"/>
          <w:highlight w:val="none"/>
        </w:rPr>
        <w:t xml:space="preserve"> </w:t>
      </w:r>
      <w:r>
        <w:rPr>
          <w:rFonts w:ascii="宋体" w:hAnsi="宋体" w:eastAsia="宋体" w:cs="宋体"/>
          <w:color w:val="auto"/>
          <w:spacing w:val="7"/>
          <w:sz w:val="20"/>
          <w:szCs w:val="20"/>
          <w:highlight w:val="none"/>
        </w:rPr>
        <w:t>”是指采购需求中的不属于“实质性要求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”的条款。</w:t>
      </w:r>
    </w:p>
    <w:p w14:paraId="30A03AC6">
      <w:pPr>
        <w:spacing w:before="222" w:line="330" w:lineRule="auto"/>
        <w:ind w:left="25" w:right="93" w:firstLine="39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2.11“书面形式</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”是指合同书、信件和数据电文（包括电报、</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rPr>
        <w:t>电传、传真、</w:t>
      </w:r>
      <w:r>
        <w:rPr>
          <w:rFonts w:ascii="宋体" w:hAnsi="宋体" w:eastAsia="宋体" w:cs="宋体"/>
          <w:color w:val="auto"/>
          <w:spacing w:val="-60"/>
          <w:sz w:val="20"/>
          <w:szCs w:val="20"/>
          <w:highlight w:val="none"/>
        </w:rPr>
        <w:t xml:space="preserve"> </w:t>
      </w:r>
      <w:r>
        <w:rPr>
          <w:rFonts w:ascii="宋体" w:hAnsi="宋体" w:eastAsia="宋体" w:cs="宋体"/>
          <w:color w:val="auto"/>
          <w:spacing w:val="8"/>
          <w:sz w:val="20"/>
          <w:szCs w:val="20"/>
          <w:highlight w:val="none"/>
        </w:rPr>
        <w:t>电子数据交</w:t>
      </w:r>
      <w:r>
        <w:rPr>
          <w:rFonts w:ascii="宋体" w:hAnsi="宋体" w:eastAsia="宋体" w:cs="宋体"/>
          <w:color w:val="auto"/>
          <w:spacing w:val="7"/>
          <w:sz w:val="20"/>
          <w:szCs w:val="20"/>
          <w:highlight w:val="none"/>
        </w:rPr>
        <w:t>换和</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电子邮件）等可以有形地表现所载内容的形式。</w:t>
      </w:r>
    </w:p>
    <w:p w14:paraId="0B8AA40A">
      <w:pPr>
        <w:spacing w:line="330" w:lineRule="auto"/>
        <w:rPr>
          <w:rFonts w:ascii="宋体" w:hAnsi="宋体" w:eastAsia="宋体" w:cs="宋体"/>
          <w:color w:val="auto"/>
          <w:sz w:val="20"/>
          <w:szCs w:val="20"/>
          <w:highlight w:val="none"/>
        </w:rPr>
        <w:sectPr>
          <w:footerReference r:id="rId6" w:type="default"/>
          <w:pgSz w:w="11906" w:h="16839"/>
          <w:pgMar w:top="1422" w:right="1348" w:bottom="1362" w:left="1593" w:header="0" w:footer="1200" w:gutter="0"/>
          <w:pgNumType w:fmt="decimal"/>
          <w:cols w:space="720" w:num="1"/>
        </w:sectPr>
      </w:pPr>
    </w:p>
    <w:p w14:paraId="5D825CC6">
      <w:pPr>
        <w:spacing w:before="137" w:line="226" w:lineRule="auto"/>
        <w:ind w:left="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2.12“首次报价</w:t>
      </w:r>
      <w:r>
        <w:rPr>
          <w:rFonts w:ascii="宋体" w:hAnsi="宋体" w:eastAsia="宋体" w:cs="宋体"/>
          <w:color w:val="auto"/>
          <w:spacing w:val="-57"/>
          <w:sz w:val="20"/>
          <w:szCs w:val="20"/>
          <w:highlight w:val="none"/>
        </w:rPr>
        <w:t xml:space="preserve"> </w:t>
      </w:r>
      <w:r>
        <w:rPr>
          <w:rFonts w:ascii="宋体" w:hAnsi="宋体" w:eastAsia="宋体" w:cs="宋体"/>
          <w:color w:val="auto"/>
          <w:spacing w:val="7"/>
          <w:sz w:val="20"/>
          <w:szCs w:val="20"/>
          <w:highlight w:val="none"/>
        </w:rPr>
        <w:t>”是指供应商提交的首次响应文件中的报价。</w:t>
      </w:r>
    </w:p>
    <w:p w14:paraId="08FF302A">
      <w:pPr>
        <w:spacing w:before="223" w:line="329" w:lineRule="auto"/>
        <w:ind w:left="1" w:right="18"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2.13“评审价</w:t>
      </w:r>
      <w:r>
        <w:rPr>
          <w:rFonts w:ascii="宋体" w:hAnsi="宋体" w:eastAsia="宋体" w:cs="宋体"/>
          <w:color w:val="auto"/>
          <w:spacing w:val="-70"/>
          <w:sz w:val="20"/>
          <w:szCs w:val="20"/>
          <w:highlight w:val="none"/>
        </w:rPr>
        <w:t xml:space="preserve"> </w:t>
      </w:r>
      <w:r>
        <w:rPr>
          <w:rFonts w:ascii="宋体" w:hAnsi="宋体" w:eastAsia="宋体" w:cs="宋体"/>
          <w:color w:val="auto"/>
          <w:spacing w:val="10"/>
          <w:sz w:val="20"/>
          <w:szCs w:val="20"/>
          <w:highlight w:val="none"/>
        </w:rPr>
        <w:t>”是指供应商提交的最后</w:t>
      </w:r>
      <w:r>
        <w:rPr>
          <w:rFonts w:ascii="宋体" w:hAnsi="宋体" w:eastAsia="宋体" w:cs="宋体"/>
          <w:color w:val="auto"/>
          <w:spacing w:val="9"/>
          <w:sz w:val="20"/>
          <w:szCs w:val="20"/>
          <w:highlight w:val="none"/>
        </w:rPr>
        <w:t>报价并经修正（如有）和政策功能价格扣除（如有）</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后的价格。</w:t>
      </w:r>
    </w:p>
    <w:p w14:paraId="4EFE5224">
      <w:pPr>
        <w:spacing w:before="207" w:line="219" w:lineRule="auto"/>
        <w:ind w:left="48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3.供应商的资格条件</w:t>
      </w:r>
    </w:p>
    <w:p w14:paraId="71E9785F">
      <w:pPr>
        <w:spacing w:before="198" w:line="227"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供应商的资格条件详见“供应商须知前附表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w:t>
      </w:r>
    </w:p>
    <w:p w14:paraId="6D8FD7EE">
      <w:pPr>
        <w:spacing w:before="207" w:line="220" w:lineRule="auto"/>
        <w:ind w:left="48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4.竞标费用</w:t>
      </w:r>
    </w:p>
    <w:p w14:paraId="6CE8C099">
      <w:pPr>
        <w:spacing w:before="197" w:line="425" w:lineRule="auto"/>
        <w:ind w:left="1" w:right="35" w:firstLine="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供应商应承担参与本次采购活动有关的所有费用，包括但不限于获取磋商文件、勘查现场、</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编制和提交响应文件、参加磋商与应答、签订合同等，不论竞标结果如何，均应自行承担。</w:t>
      </w:r>
    </w:p>
    <w:p w14:paraId="7D20E7EA">
      <w:pPr>
        <w:spacing w:line="220" w:lineRule="auto"/>
        <w:ind w:left="48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5.联合体竞标</w:t>
      </w:r>
    </w:p>
    <w:p w14:paraId="397A65AF">
      <w:pPr>
        <w:spacing w:before="197" w:line="227"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5.1</w:t>
      </w:r>
      <w:r>
        <w:rPr>
          <w:rFonts w:ascii="宋体" w:hAnsi="宋体" w:eastAsia="宋体" w:cs="宋体"/>
          <w:color w:val="auto"/>
          <w:spacing w:val="-29"/>
          <w:sz w:val="20"/>
          <w:szCs w:val="20"/>
          <w:highlight w:val="none"/>
        </w:rPr>
        <w:t xml:space="preserve"> </w:t>
      </w:r>
      <w:r>
        <w:rPr>
          <w:rFonts w:ascii="宋体" w:hAnsi="宋体" w:eastAsia="宋体" w:cs="宋体"/>
          <w:color w:val="auto"/>
          <w:spacing w:val="8"/>
          <w:sz w:val="20"/>
          <w:szCs w:val="20"/>
          <w:highlight w:val="none"/>
        </w:rPr>
        <w:t>本项目是否接受联合体竞标，详见“供应商须知前附表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w:t>
      </w:r>
    </w:p>
    <w:p w14:paraId="068EED97">
      <w:pPr>
        <w:spacing w:before="222" w:line="227"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5.2</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如接受联合体竞标，联合体竞标要求详见“供应商须知前附表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w:t>
      </w:r>
    </w:p>
    <w:p w14:paraId="7E2413ED">
      <w:pPr>
        <w:spacing w:before="222" w:line="398" w:lineRule="auto"/>
        <w:ind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5.3</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根据《政府采购促进中小企业发展暂行办法》第六条规定，“鼓励</w:t>
      </w:r>
      <w:r>
        <w:rPr>
          <w:rFonts w:ascii="宋体" w:hAnsi="宋体" w:eastAsia="宋体" w:cs="宋体"/>
          <w:color w:val="auto"/>
          <w:spacing w:val="6"/>
          <w:sz w:val="20"/>
          <w:szCs w:val="20"/>
          <w:highlight w:val="none"/>
        </w:rPr>
        <w:t>大中型企业和其他自然</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人、法人或者其他组织与小型、微型企业组成联合体共同参加非专门面向中小企业的政府采购活</w:t>
      </w:r>
      <w:r>
        <w:rPr>
          <w:rFonts w:ascii="宋体" w:hAnsi="宋体" w:eastAsia="宋体" w:cs="宋体"/>
          <w:color w:val="auto"/>
          <w:spacing w:val="5"/>
          <w:sz w:val="20"/>
          <w:szCs w:val="20"/>
          <w:highlight w:val="none"/>
        </w:rPr>
        <w:t xml:space="preserve"> </w:t>
      </w:r>
      <w:r>
        <w:rPr>
          <w:rFonts w:ascii="宋体" w:hAnsi="宋体" w:eastAsia="宋体" w:cs="宋体"/>
          <w:color w:val="auto"/>
          <w:spacing w:val="7"/>
          <w:sz w:val="20"/>
          <w:szCs w:val="20"/>
          <w:highlight w:val="none"/>
        </w:rPr>
        <w:t>动。联合协议中约定，小型、微型企业的协议合同金额占到联合体协议合同总金额</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30</w:t>
      </w:r>
      <w:r>
        <w:rPr>
          <w:rFonts w:ascii="宋体" w:hAnsi="宋体" w:eastAsia="宋体" w:cs="宋体"/>
          <w:color w:val="auto"/>
          <w:spacing w:val="6"/>
          <w:sz w:val="20"/>
          <w:szCs w:val="20"/>
          <w:highlight w:val="none"/>
        </w:rPr>
        <w:t>%以上的，可</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给予联合体</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2%-3%的价格扣除。联合体各方均为小型、微型企业的，联合</w:t>
      </w:r>
      <w:r>
        <w:rPr>
          <w:rFonts w:ascii="宋体" w:hAnsi="宋体" w:eastAsia="宋体" w:cs="宋体"/>
          <w:color w:val="auto"/>
          <w:spacing w:val="6"/>
          <w:sz w:val="20"/>
          <w:szCs w:val="20"/>
          <w:highlight w:val="none"/>
        </w:rPr>
        <w:t>体视同为小型、微型企业</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享受本办法第四条、第五条规定的扶持政策。组成联合体的大中型企业和其他自然人、法人或者</w:t>
      </w:r>
      <w:r>
        <w:rPr>
          <w:rFonts w:ascii="宋体" w:hAnsi="宋体" w:eastAsia="宋体" w:cs="宋体"/>
          <w:color w:val="auto"/>
          <w:spacing w:val="5"/>
          <w:sz w:val="20"/>
          <w:szCs w:val="20"/>
          <w:highlight w:val="none"/>
        </w:rPr>
        <w:t xml:space="preserve"> </w:t>
      </w:r>
      <w:r>
        <w:rPr>
          <w:rFonts w:ascii="宋体" w:hAnsi="宋体" w:eastAsia="宋体" w:cs="宋体"/>
          <w:color w:val="auto"/>
          <w:spacing w:val="12"/>
          <w:sz w:val="20"/>
          <w:szCs w:val="20"/>
          <w:highlight w:val="none"/>
        </w:rPr>
        <w:t>其他组织，与小型、微型企业之间不得存在投资关系。</w:t>
      </w:r>
      <w:r>
        <w:rPr>
          <w:rFonts w:ascii="宋体" w:hAnsi="宋体" w:eastAsia="宋体" w:cs="宋体"/>
          <w:color w:val="auto"/>
          <w:spacing w:val="-61"/>
          <w:sz w:val="20"/>
          <w:szCs w:val="20"/>
          <w:highlight w:val="none"/>
        </w:rPr>
        <w:t xml:space="preserve"> </w:t>
      </w:r>
      <w:r>
        <w:rPr>
          <w:rFonts w:ascii="宋体" w:hAnsi="宋体" w:eastAsia="宋体" w:cs="宋体"/>
          <w:color w:val="auto"/>
          <w:spacing w:val="12"/>
          <w:sz w:val="20"/>
          <w:szCs w:val="20"/>
          <w:highlight w:val="none"/>
        </w:rPr>
        <w:t>”</w:t>
      </w:r>
    </w:p>
    <w:p w14:paraId="71453DAF">
      <w:pPr>
        <w:spacing w:before="206" w:line="220" w:lineRule="auto"/>
        <w:ind w:left="483"/>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6.转包与分包</w:t>
      </w:r>
    </w:p>
    <w:p w14:paraId="04618192">
      <w:pPr>
        <w:spacing w:before="197" w:line="227" w:lineRule="auto"/>
        <w:ind w:left="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6.1</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本项目不允许转包。</w:t>
      </w:r>
    </w:p>
    <w:p w14:paraId="6727FBEB">
      <w:pPr>
        <w:spacing w:before="222" w:line="227" w:lineRule="auto"/>
        <w:ind w:left="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6.2</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本项目是否允许分包详见“供应商须知前附表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”，本项目不允许违法</w:t>
      </w:r>
      <w:r>
        <w:rPr>
          <w:rFonts w:ascii="宋体" w:hAnsi="宋体" w:eastAsia="宋体" w:cs="宋体"/>
          <w:color w:val="auto"/>
          <w:spacing w:val="7"/>
          <w:sz w:val="20"/>
          <w:szCs w:val="20"/>
          <w:highlight w:val="none"/>
        </w:rPr>
        <w:t>分包。</w:t>
      </w:r>
    </w:p>
    <w:p w14:paraId="00CD95FF">
      <w:pPr>
        <w:spacing w:before="208" w:line="219" w:lineRule="auto"/>
        <w:ind w:left="486"/>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7.特别说明</w:t>
      </w:r>
    </w:p>
    <w:p w14:paraId="5C10C03D">
      <w:pPr>
        <w:spacing w:before="198" w:line="329" w:lineRule="auto"/>
        <w:ind w:firstLine="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7.1</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如果本磋商文件要求供应商提供资格、信誉、荣誉、业绩</w:t>
      </w:r>
      <w:r>
        <w:rPr>
          <w:rFonts w:ascii="宋体" w:hAnsi="宋体" w:eastAsia="宋体" w:cs="宋体"/>
          <w:color w:val="auto"/>
          <w:spacing w:val="6"/>
          <w:sz w:val="20"/>
          <w:szCs w:val="20"/>
          <w:highlight w:val="none"/>
        </w:rPr>
        <w:t>与企业认证等材料的，则供应商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所提供的以上材料必须为供应商所拥有。</w:t>
      </w:r>
    </w:p>
    <w:p w14:paraId="0E446415">
      <w:pPr>
        <w:spacing w:before="222" w:line="330" w:lineRule="auto"/>
        <w:ind w:left="17" w:firstLine="40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7.2</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供应商应仔细阅读磋商文件的所有内容，按照磋商文件的要求提</w:t>
      </w:r>
      <w:r>
        <w:rPr>
          <w:rFonts w:ascii="宋体" w:hAnsi="宋体" w:eastAsia="宋体" w:cs="宋体"/>
          <w:color w:val="auto"/>
          <w:spacing w:val="6"/>
          <w:sz w:val="20"/>
          <w:szCs w:val="20"/>
          <w:highlight w:val="none"/>
        </w:rPr>
        <w:t>交响应文件，并对所提供</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的全部资料的真实性承担法律责任。</w:t>
      </w:r>
    </w:p>
    <w:p w14:paraId="781B399A">
      <w:pPr>
        <w:spacing w:before="220" w:line="364" w:lineRule="auto"/>
        <w:ind w:firstLine="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7.3</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供应商在竞标活动中提供任何疑似虚假材料，将报监管部门查处</w:t>
      </w:r>
      <w:r>
        <w:rPr>
          <w:rFonts w:ascii="宋体" w:hAnsi="宋体" w:eastAsia="宋体" w:cs="宋体"/>
          <w:color w:val="auto"/>
          <w:spacing w:val="6"/>
          <w:sz w:val="20"/>
          <w:szCs w:val="20"/>
          <w:highlight w:val="none"/>
        </w:rPr>
        <w:t>；签订合同后发现的，成</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交供应商须依照《中华人民共和国消费者权益保护法》规定赔偿采购人，且民事赔偿并不免除违</w:t>
      </w:r>
      <w:r>
        <w:rPr>
          <w:rFonts w:ascii="宋体" w:hAnsi="宋体" w:eastAsia="宋体" w:cs="宋体"/>
          <w:color w:val="auto"/>
          <w:spacing w:val="5"/>
          <w:sz w:val="20"/>
          <w:szCs w:val="20"/>
          <w:highlight w:val="none"/>
        </w:rPr>
        <w:t xml:space="preserve"> </w:t>
      </w:r>
      <w:r>
        <w:rPr>
          <w:rFonts w:ascii="宋体" w:hAnsi="宋体" w:eastAsia="宋体" w:cs="宋体"/>
          <w:color w:val="auto"/>
          <w:spacing w:val="8"/>
          <w:sz w:val="20"/>
          <w:szCs w:val="20"/>
          <w:highlight w:val="none"/>
        </w:rPr>
        <w:t>法供应商的行政与刑事责任。</w:t>
      </w:r>
    </w:p>
    <w:p w14:paraId="2B8C9E7D">
      <w:pPr>
        <w:spacing w:before="223" w:line="227"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7.4</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在政府采购活动中，采购人员及相关人员与供应商有下列利害关系之一</w:t>
      </w:r>
      <w:r>
        <w:rPr>
          <w:rFonts w:ascii="宋体" w:hAnsi="宋体" w:eastAsia="宋体" w:cs="宋体"/>
          <w:color w:val="auto"/>
          <w:spacing w:val="8"/>
          <w:sz w:val="20"/>
          <w:szCs w:val="20"/>
          <w:highlight w:val="none"/>
        </w:rPr>
        <w:t>的，应当回避：</w:t>
      </w:r>
    </w:p>
    <w:p w14:paraId="2CA3AF85">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（1）参加采购活动前</w:t>
      </w:r>
      <w:r>
        <w:rPr>
          <w:rFonts w:ascii="宋体" w:hAnsi="宋体" w:eastAsia="宋体" w:cs="宋体"/>
          <w:color w:val="auto"/>
          <w:spacing w:val="-27"/>
          <w:sz w:val="20"/>
          <w:szCs w:val="20"/>
          <w:highlight w:val="none"/>
        </w:rPr>
        <w:t xml:space="preserve"> </w:t>
      </w:r>
      <w:r>
        <w:rPr>
          <w:rFonts w:ascii="宋体" w:hAnsi="宋体" w:eastAsia="宋体" w:cs="宋体"/>
          <w:color w:val="auto"/>
          <w:spacing w:val="7"/>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年内与供应商存在劳动关系；</w:t>
      </w:r>
    </w:p>
    <w:p w14:paraId="30C904B6">
      <w:pPr>
        <w:spacing w:line="227" w:lineRule="auto"/>
        <w:rPr>
          <w:rFonts w:ascii="宋体" w:hAnsi="宋体" w:eastAsia="宋体" w:cs="宋体"/>
          <w:color w:val="auto"/>
          <w:sz w:val="20"/>
          <w:szCs w:val="20"/>
          <w:highlight w:val="none"/>
        </w:rPr>
        <w:sectPr>
          <w:footerReference r:id="rId7" w:type="default"/>
          <w:pgSz w:w="11906" w:h="16839"/>
          <w:pgMar w:top="1431" w:right="1441" w:bottom="1362" w:left="1594" w:header="0" w:footer="1200" w:gutter="0"/>
          <w:pgNumType w:fmt="decimal"/>
          <w:cols w:space="720" w:num="1"/>
        </w:sectPr>
      </w:pPr>
    </w:p>
    <w:p w14:paraId="60AA2154">
      <w:pPr>
        <w:spacing w:before="137" w:line="227"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（2）参加采购活动前</w:t>
      </w:r>
      <w:r>
        <w:rPr>
          <w:rFonts w:ascii="宋体" w:hAnsi="宋体" w:eastAsia="宋体" w:cs="宋体"/>
          <w:color w:val="auto"/>
          <w:spacing w:val="-23"/>
          <w:sz w:val="20"/>
          <w:szCs w:val="20"/>
          <w:highlight w:val="none"/>
        </w:rPr>
        <w:t xml:space="preserve"> </w:t>
      </w:r>
      <w:r>
        <w:rPr>
          <w:rFonts w:ascii="宋体" w:hAnsi="宋体" w:eastAsia="宋体" w:cs="宋体"/>
          <w:color w:val="auto"/>
          <w:spacing w:val="7"/>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年内担任供应商的董事、监事；</w:t>
      </w:r>
    </w:p>
    <w:p w14:paraId="0BBB24C0">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（3）参加采购活动前</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年内是供应商的控股股东或</w:t>
      </w:r>
      <w:r>
        <w:rPr>
          <w:rFonts w:ascii="宋体" w:hAnsi="宋体" w:eastAsia="宋体" w:cs="宋体"/>
          <w:color w:val="auto"/>
          <w:spacing w:val="7"/>
          <w:sz w:val="20"/>
          <w:szCs w:val="20"/>
          <w:highlight w:val="none"/>
        </w:rPr>
        <w:t>者实际控制人；</w:t>
      </w:r>
    </w:p>
    <w:p w14:paraId="0C74AC9C">
      <w:pPr>
        <w:spacing w:before="221" w:line="331" w:lineRule="auto"/>
        <w:ind w:left="4" w:right="52" w:firstLine="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（4）与供应商的法定代表人或者负责人有夫妻、直系血亲、三代以内旁系血亲或者近姻亲关</w:t>
      </w:r>
      <w:r>
        <w:rPr>
          <w:rFonts w:ascii="宋体" w:hAnsi="宋体" w:eastAsia="宋体" w:cs="宋体"/>
          <w:color w:val="auto"/>
          <w:spacing w:val="10"/>
          <w:sz w:val="20"/>
          <w:szCs w:val="20"/>
          <w:highlight w:val="none"/>
        </w:rPr>
        <w:t xml:space="preserve"> </w:t>
      </w:r>
      <w:r>
        <w:rPr>
          <w:rFonts w:ascii="宋体" w:hAnsi="宋体" w:eastAsia="宋体" w:cs="宋体"/>
          <w:color w:val="auto"/>
          <w:spacing w:val="-2"/>
          <w:sz w:val="20"/>
          <w:szCs w:val="20"/>
          <w:highlight w:val="none"/>
        </w:rPr>
        <w:t>系；</w:t>
      </w:r>
    </w:p>
    <w:p w14:paraId="68A81DB1">
      <w:pPr>
        <w:spacing w:before="218"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（5）与供应商有其他可能影响政府采购活动公平、公</w:t>
      </w:r>
      <w:r>
        <w:rPr>
          <w:rFonts w:ascii="宋体" w:hAnsi="宋体" w:eastAsia="宋体" w:cs="宋体"/>
          <w:color w:val="auto"/>
          <w:spacing w:val="8"/>
          <w:sz w:val="20"/>
          <w:szCs w:val="20"/>
          <w:highlight w:val="none"/>
        </w:rPr>
        <w:t>正进行的关系。</w:t>
      </w:r>
    </w:p>
    <w:p w14:paraId="10E40F3A">
      <w:pPr>
        <w:spacing w:before="222" w:line="432" w:lineRule="auto"/>
        <w:ind w:right="52" w:firstLine="419"/>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供应商认为采购人员及相关人员与其他供应商有利害关系的，可以向采购人或者采购代理机</w:t>
      </w:r>
      <w:r>
        <w:rPr>
          <w:rFonts w:ascii="宋体" w:hAnsi="宋体" w:eastAsia="宋体" w:cs="宋体"/>
          <w:color w:val="auto"/>
          <w:spacing w:val="8"/>
          <w:sz w:val="20"/>
          <w:szCs w:val="20"/>
          <w:highlight w:val="none"/>
        </w:rPr>
        <w:t xml:space="preserve"> </w:t>
      </w:r>
      <w:r>
        <w:rPr>
          <w:rFonts w:ascii="宋体" w:hAnsi="宋体" w:eastAsia="宋体" w:cs="宋体"/>
          <w:color w:val="auto"/>
          <w:spacing w:val="11"/>
          <w:sz w:val="20"/>
          <w:szCs w:val="20"/>
          <w:highlight w:val="none"/>
        </w:rPr>
        <w:t>构书面提出回避申请，并说明理由。采购人或者采购代理机构应当及时询问被申请回避人员，有</w:t>
      </w:r>
      <w:r>
        <w:rPr>
          <w:rFonts w:ascii="宋体" w:hAnsi="宋体" w:eastAsia="宋体" w:cs="宋体"/>
          <w:color w:val="auto"/>
          <w:spacing w:val="5"/>
          <w:sz w:val="20"/>
          <w:szCs w:val="20"/>
          <w:highlight w:val="none"/>
        </w:rPr>
        <w:t xml:space="preserve"> </w:t>
      </w:r>
      <w:r>
        <w:rPr>
          <w:rFonts w:ascii="宋体" w:hAnsi="宋体" w:eastAsia="宋体" w:cs="宋体"/>
          <w:color w:val="auto"/>
          <w:spacing w:val="8"/>
          <w:sz w:val="20"/>
          <w:szCs w:val="20"/>
          <w:highlight w:val="none"/>
        </w:rPr>
        <w:t>利害关系的被申请回避人员应当回避。</w:t>
      </w:r>
    </w:p>
    <w:p w14:paraId="1B8460F4">
      <w:pPr>
        <w:spacing w:before="1" w:line="226"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7.5</w:t>
      </w:r>
      <w:r>
        <w:rPr>
          <w:rFonts w:ascii="宋体" w:hAnsi="宋体" w:eastAsia="宋体" w:cs="宋体"/>
          <w:color w:val="auto"/>
          <w:spacing w:val="-22"/>
          <w:sz w:val="20"/>
          <w:szCs w:val="20"/>
          <w:highlight w:val="none"/>
        </w:rPr>
        <w:t xml:space="preserve"> </w:t>
      </w:r>
      <w:r>
        <w:rPr>
          <w:rFonts w:ascii="宋体" w:hAnsi="宋体" w:eastAsia="宋体" w:cs="宋体"/>
          <w:color w:val="auto"/>
          <w:spacing w:val="8"/>
          <w:sz w:val="20"/>
          <w:szCs w:val="20"/>
          <w:highlight w:val="none"/>
        </w:rPr>
        <w:t>有下列情形之一的视为供应商相互串通竞标，响应文件将被视为无效：</w:t>
      </w:r>
    </w:p>
    <w:p w14:paraId="7A8C5247">
      <w:pPr>
        <w:spacing w:before="222" w:line="331" w:lineRule="auto"/>
        <w:ind w:left="17" w:right="52" w:firstLine="41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（1）不同供应商的响应文件由同一单位或者个人编制；或者不同供应商报名的</w:t>
      </w:r>
      <w:r>
        <w:rPr>
          <w:rFonts w:ascii="宋体" w:hAnsi="宋体" w:eastAsia="宋体" w:cs="宋体"/>
          <w:color w:val="auto"/>
          <w:spacing w:val="-14"/>
          <w:sz w:val="20"/>
          <w:szCs w:val="20"/>
          <w:highlight w:val="none"/>
        </w:rPr>
        <w:t xml:space="preserve"> </w:t>
      </w:r>
      <w:r>
        <w:rPr>
          <w:rFonts w:ascii="宋体" w:hAnsi="宋体" w:eastAsia="宋体" w:cs="宋体"/>
          <w:color w:val="auto"/>
          <w:sz w:val="20"/>
          <w:szCs w:val="20"/>
          <w:highlight w:val="none"/>
        </w:rPr>
        <w:t>IP</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地址一致</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w:t>
      </w:r>
    </w:p>
    <w:p w14:paraId="524F83AE">
      <w:pPr>
        <w:spacing w:before="219"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（2）不同供应商委托同一单位或者个人办理竞标事宜；</w:t>
      </w:r>
    </w:p>
    <w:p w14:paraId="69707949">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（3）不同的供应商的响应文件载明的项目</w:t>
      </w:r>
      <w:r>
        <w:rPr>
          <w:rFonts w:ascii="宋体" w:hAnsi="宋体" w:eastAsia="宋体" w:cs="宋体"/>
          <w:color w:val="auto"/>
          <w:spacing w:val="8"/>
          <w:sz w:val="20"/>
          <w:szCs w:val="20"/>
          <w:highlight w:val="none"/>
        </w:rPr>
        <w:t>管理员为同一个人；</w:t>
      </w:r>
    </w:p>
    <w:p w14:paraId="75E47525">
      <w:pPr>
        <w:spacing w:before="222"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（4）不同供应商的响应文件异常一致或者</w:t>
      </w:r>
      <w:r>
        <w:rPr>
          <w:rFonts w:ascii="宋体" w:hAnsi="宋体" w:eastAsia="宋体" w:cs="宋体"/>
          <w:color w:val="auto"/>
          <w:spacing w:val="8"/>
          <w:sz w:val="20"/>
          <w:szCs w:val="20"/>
          <w:highlight w:val="none"/>
        </w:rPr>
        <w:t>报价呈规律性差异；</w:t>
      </w:r>
    </w:p>
    <w:p w14:paraId="3EB106E7">
      <w:pPr>
        <w:spacing w:before="223"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（5）不同供应商的响应文件相互混装；</w:t>
      </w:r>
    </w:p>
    <w:p w14:paraId="5264F41D">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（6）不同供应商的磋商保证金从同一单位</w:t>
      </w:r>
      <w:r>
        <w:rPr>
          <w:rFonts w:ascii="宋体" w:hAnsi="宋体" w:eastAsia="宋体" w:cs="宋体"/>
          <w:color w:val="auto"/>
          <w:spacing w:val="8"/>
          <w:sz w:val="20"/>
          <w:szCs w:val="20"/>
          <w:highlight w:val="none"/>
        </w:rPr>
        <w:t>或者个人账户转出。</w:t>
      </w:r>
    </w:p>
    <w:p w14:paraId="5BC778F5">
      <w:pPr>
        <w:spacing w:before="222" w:line="227"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7.6</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供应商有下列情形之一的，属于恶意串通行</w:t>
      </w:r>
      <w:r>
        <w:rPr>
          <w:rFonts w:ascii="宋体" w:hAnsi="宋体" w:eastAsia="宋体" w:cs="宋体"/>
          <w:color w:val="auto"/>
          <w:spacing w:val="8"/>
          <w:sz w:val="20"/>
          <w:szCs w:val="20"/>
          <w:highlight w:val="none"/>
        </w:rPr>
        <w:t>为，将报同级监督管理部门：</w:t>
      </w:r>
    </w:p>
    <w:p w14:paraId="77AE37BC">
      <w:pPr>
        <w:spacing w:before="222" w:line="330" w:lineRule="auto"/>
        <w:ind w:left="10" w:right="52"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（1）供应商直接或者间接从采购人或者采购代理机构处获得其他供应商的相关信息并修改其</w:t>
      </w:r>
      <w:r>
        <w:rPr>
          <w:rFonts w:ascii="宋体" w:hAnsi="宋体" w:eastAsia="宋体" w:cs="宋体"/>
          <w:color w:val="auto"/>
          <w:spacing w:val="10"/>
          <w:sz w:val="20"/>
          <w:szCs w:val="20"/>
          <w:highlight w:val="none"/>
        </w:rPr>
        <w:t xml:space="preserve"> </w:t>
      </w:r>
      <w:r>
        <w:rPr>
          <w:rFonts w:ascii="宋体" w:hAnsi="宋体" w:eastAsia="宋体" w:cs="宋体"/>
          <w:color w:val="auto"/>
          <w:spacing w:val="3"/>
          <w:sz w:val="20"/>
          <w:szCs w:val="20"/>
          <w:highlight w:val="none"/>
        </w:rPr>
        <w:t>响应文件；</w:t>
      </w:r>
    </w:p>
    <w:p w14:paraId="148A3BCE">
      <w:pPr>
        <w:spacing w:before="221"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（2）供应商按照采购人或者采购代理机构的授意撤换、修改</w:t>
      </w:r>
      <w:r>
        <w:rPr>
          <w:rFonts w:ascii="宋体" w:hAnsi="宋体" w:eastAsia="宋体" w:cs="宋体"/>
          <w:color w:val="auto"/>
          <w:spacing w:val="8"/>
          <w:sz w:val="20"/>
          <w:szCs w:val="20"/>
          <w:highlight w:val="none"/>
        </w:rPr>
        <w:t>响应文件；</w:t>
      </w:r>
    </w:p>
    <w:p w14:paraId="2AAA517D">
      <w:pPr>
        <w:spacing w:before="223"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（3）供应商之间协商报价、技术方案等响应文件或者响应文件的实质性</w:t>
      </w:r>
      <w:r>
        <w:rPr>
          <w:rFonts w:ascii="宋体" w:hAnsi="宋体" w:eastAsia="宋体" w:cs="宋体"/>
          <w:color w:val="auto"/>
          <w:spacing w:val="8"/>
          <w:sz w:val="20"/>
          <w:szCs w:val="20"/>
          <w:highlight w:val="none"/>
        </w:rPr>
        <w:t>内容；</w:t>
      </w:r>
    </w:p>
    <w:p w14:paraId="7343B114">
      <w:pPr>
        <w:spacing w:before="223" w:line="227" w:lineRule="auto"/>
        <w:jc w:val="righ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（4）属于同一集团、协会、商会等组织成员的供</w:t>
      </w:r>
      <w:r>
        <w:rPr>
          <w:rFonts w:ascii="宋体" w:hAnsi="宋体" w:eastAsia="宋体" w:cs="宋体"/>
          <w:color w:val="auto"/>
          <w:spacing w:val="4"/>
          <w:sz w:val="20"/>
          <w:szCs w:val="20"/>
          <w:highlight w:val="none"/>
        </w:rPr>
        <w:t>应商按照该组织要求协同参加政府采购活动；</w:t>
      </w:r>
    </w:p>
    <w:p w14:paraId="5106B7D7">
      <w:pPr>
        <w:spacing w:before="222" w:line="329" w:lineRule="auto"/>
        <w:ind w:right="52" w:firstLine="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（5）供应商之间事先约定一致抬高或者压低报价，或者在政府采购活动中事先约定轮流以高</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价位或者低价位成交，或者事先约定由某一特定供应商成交，然后再参加竞标；</w:t>
      </w:r>
    </w:p>
    <w:p w14:paraId="16345CB7">
      <w:pPr>
        <w:spacing w:before="223"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（6）供应商之间商定部分供应商放弃参加政府采购活动或者</w:t>
      </w:r>
      <w:r>
        <w:rPr>
          <w:rFonts w:ascii="宋体" w:hAnsi="宋体" w:eastAsia="宋体" w:cs="宋体"/>
          <w:color w:val="auto"/>
          <w:spacing w:val="8"/>
          <w:sz w:val="20"/>
          <w:szCs w:val="20"/>
          <w:highlight w:val="none"/>
        </w:rPr>
        <w:t>放弃成交；</w:t>
      </w:r>
    </w:p>
    <w:p w14:paraId="51B8E0B6">
      <w:pPr>
        <w:spacing w:before="223" w:line="329" w:lineRule="auto"/>
        <w:ind w:right="52"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（7）供应商与采购人或者采购代理机构之间、供应商相互之间，为谋求特定供应商成交或者</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rPr>
        <w:t>排斥其他供应商的其他串通行为。</w:t>
      </w:r>
    </w:p>
    <w:p w14:paraId="7336E4E1">
      <w:pPr>
        <w:spacing w:line="329" w:lineRule="auto"/>
        <w:rPr>
          <w:rFonts w:ascii="宋体" w:hAnsi="宋体" w:eastAsia="宋体" w:cs="宋体"/>
          <w:color w:val="auto"/>
          <w:sz w:val="20"/>
          <w:szCs w:val="20"/>
          <w:highlight w:val="none"/>
        </w:rPr>
        <w:sectPr>
          <w:footerReference r:id="rId8" w:type="default"/>
          <w:pgSz w:w="11906" w:h="16839"/>
          <w:pgMar w:top="1431" w:right="1389" w:bottom="1362" w:left="1594" w:header="0" w:footer="1200" w:gutter="0"/>
          <w:pgNumType w:fmt="decimal"/>
          <w:cols w:space="720" w:num="1"/>
        </w:sectPr>
      </w:pPr>
    </w:p>
    <w:p w14:paraId="29F5118A">
      <w:pPr>
        <w:spacing w:before="162" w:line="225" w:lineRule="auto"/>
        <w:ind w:left="3485"/>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二、磋商文件</w:t>
      </w:r>
    </w:p>
    <w:p w14:paraId="3A217C0E">
      <w:pPr>
        <w:pStyle w:val="3"/>
        <w:spacing w:line="296" w:lineRule="auto"/>
        <w:rPr>
          <w:color w:val="auto"/>
          <w:highlight w:val="none"/>
        </w:rPr>
      </w:pPr>
    </w:p>
    <w:p w14:paraId="1897FE68">
      <w:pPr>
        <w:pStyle w:val="3"/>
        <w:spacing w:line="297" w:lineRule="auto"/>
        <w:rPr>
          <w:color w:val="auto"/>
          <w:highlight w:val="none"/>
        </w:rPr>
      </w:pPr>
    </w:p>
    <w:p w14:paraId="76A957C2">
      <w:pPr>
        <w:spacing w:before="78" w:line="219" w:lineRule="auto"/>
        <w:ind w:left="48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8.磋商文件的构成</w:t>
      </w:r>
    </w:p>
    <w:p w14:paraId="609316BE">
      <w:pPr>
        <w:spacing w:before="197" w:line="226"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（1）竞争性磋商公告；</w:t>
      </w:r>
    </w:p>
    <w:p w14:paraId="740A74CB">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（2）供应商须知；</w:t>
      </w:r>
    </w:p>
    <w:p w14:paraId="759A7616">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（3）采购需求；</w:t>
      </w:r>
    </w:p>
    <w:p w14:paraId="2E9393DB">
      <w:pPr>
        <w:spacing w:before="222"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（4）评审程序、评审方法和评审标准；</w:t>
      </w:r>
    </w:p>
    <w:p w14:paraId="4D5E86A5">
      <w:pPr>
        <w:spacing w:before="221" w:line="228"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（5）响应文件格式；</w:t>
      </w:r>
    </w:p>
    <w:p w14:paraId="681347ED">
      <w:pPr>
        <w:spacing w:before="221" w:line="227"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（6）合同文本。</w:t>
      </w:r>
    </w:p>
    <w:p w14:paraId="3631970E">
      <w:pPr>
        <w:spacing w:before="207" w:line="219" w:lineRule="auto"/>
        <w:ind w:left="48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9.供应商的询问</w:t>
      </w:r>
    </w:p>
    <w:p w14:paraId="02F3B7C8">
      <w:pPr>
        <w:spacing w:before="200" w:line="427" w:lineRule="auto"/>
        <w:ind w:right="1" w:firstLine="420"/>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供应商应认真阅读磋商文件的采购需求，如供应商对磋商文件有疑问的，如要求采购人作出</w:t>
      </w:r>
      <w:r>
        <w:rPr>
          <w:rFonts w:ascii="宋体" w:hAnsi="宋体" w:eastAsia="宋体" w:cs="宋体"/>
          <w:color w:val="auto"/>
          <w:spacing w:val="8"/>
          <w:sz w:val="20"/>
          <w:szCs w:val="20"/>
          <w:highlight w:val="none"/>
        </w:rPr>
        <w:t xml:space="preserve"> </w:t>
      </w:r>
      <w:r>
        <w:rPr>
          <w:rFonts w:ascii="宋体" w:hAnsi="宋体" w:eastAsia="宋体" w:cs="宋体"/>
          <w:color w:val="auto"/>
          <w:spacing w:val="10"/>
          <w:sz w:val="20"/>
          <w:szCs w:val="20"/>
          <w:highlight w:val="none"/>
        </w:rPr>
        <w:t>澄清或者修改的，供应商尽可能在提交首次响应文件截止之日前，</w:t>
      </w:r>
      <w:r>
        <w:rPr>
          <w:rFonts w:ascii="宋体" w:hAnsi="宋体" w:eastAsia="宋体" w:cs="宋体"/>
          <w:color w:val="auto"/>
          <w:spacing w:val="-52"/>
          <w:sz w:val="20"/>
          <w:szCs w:val="20"/>
          <w:highlight w:val="none"/>
        </w:rPr>
        <w:t xml:space="preserve"> </w:t>
      </w:r>
      <w:r>
        <w:rPr>
          <w:rFonts w:ascii="宋体" w:hAnsi="宋体" w:eastAsia="宋体" w:cs="宋体"/>
          <w:color w:val="auto"/>
          <w:spacing w:val="10"/>
          <w:sz w:val="20"/>
          <w:szCs w:val="20"/>
          <w:highlight w:val="none"/>
        </w:rPr>
        <w:t>以书面形式向采购人、采购代</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理机构提出。</w:t>
      </w:r>
    </w:p>
    <w:p w14:paraId="070EE923">
      <w:pPr>
        <w:spacing w:before="1" w:line="219" w:lineRule="auto"/>
        <w:ind w:left="49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10.磋商文件的澄清和修改</w:t>
      </w:r>
    </w:p>
    <w:p w14:paraId="258FBED4">
      <w:pPr>
        <w:spacing w:before="195" w:line="433" w:lineRule="auto"/>
        <w:ind w:firstLine="421"/>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提交首次响应文件截止之日前，采购人、采购代理机构或者磋商小组可以对已发出的磋商文</w:t>
      </w:r>
      <w:r>
        <w:rPr>
          <w:rFonts w:ascii="宋体" w:hAnsi="宋体" w:eastAsia="宋体" w:cs="宋体"/>
          <w:color w:val="auto"/>
          <w:spacing w:val="7"/>
          <w:sz w:val="20"/>
          <w:szCs w:val="20"/>
          <w:highlight w:val="none"/>
        </w:rPr>
        <w:t xml:space="preserve"> </w:t>
      </w:r>
      <w:r>
        <w:rPr>
          <w:rFonts w:ascii="宋体" w:hAnsi="宋体" w:eastAsia="宋体" w:cs="宋体"/>
          <w:color w:val="auto"/>
          <w:spacing w:val="11"/>
          <w:sz w:val="20"/>
          <w:szCs w:val="20"/>
          <w:highlight w:val="none"/>
        </w:rPr>
        <w:t>件进行必要的澄清或者修改，澄清或者修改的内容作为磋商文件的组成部分。澄清或者修改的内</w:t>
      </w:r>
      <w:r>
        <w:rPr>
          <w:rFonts w:ascii="宋体" w:hAnsi="宋体" w:eastAsia="宋体" w:cs="宋体"/>
          <w:color w:val="auto"/>
          <w:spacing w:val="7"/>
          <w:sz w:val="20"/>
          <w:szCs w:val="20"/>
          <w:highlight w:val="none"/>
        </w:rPr>
        <w:t xml:space="preserve"> 容可能影响响应文件编制的，采购人、采购代理机构或者磋商小组在提交首次响应文件截止之日</w:t>
      </w:r>
      <w:r>
        <w:rPr>
          <w:rFonts w:ascii="宋体" w:hAnsi="宋体" w:eastAsia="宋体" w:cs="宋体"/>
          <w:color w:val="auto"/>
          <w:spacing w:val="-31"/>
          <w:sz w:val="20"/>
          <w:szCs w:val="20"/>
          <w:highlight w:val="none"/>
        </w:rPr>
        <w:t xml:space="preserve"> </w:t>
      </w:r>
      <w:r>
        <w:rPr>
          <w:rFonts w:ascii="宋体" w:hAnsi="宋体" w:eastAsia="宋体" w:cs="宋体"/>
          <w:color w:val="auto"/>
          <w:spacing w:val="7"/>
          <w:sz w:val="20"/>
          <w:szCs w:val="20"/>
          <w:highlight w:val="none"/>
        </w:rPr>
        <w:t>3</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个工作日前，</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以书面形式通知所有获取磋商文件的供应商，不足</w:t>
      </w:r>
      <w:r>
        <w:rPr>
          <w:rFonts w:ascii="宋体" w:hAnsi="宋体" w:eastAsia="宋体" w:cs="宋体"/>
          <w:color w:val="auto"/>
          <w:spacing w:val="-32"/>
          <w:sz w:val="20"/>
          <w:szCs w:val="20"/>
          <w:highlight w:val="none"/>
        </w:rPr>
        <w:t xml:space="preserve"> </w:t>
      </w:r>
      <w:r>
        <w:rPr>
          <w:rFonts w:ascii="宋体" w:hAnsi="宋体" w:eastAsia="宋体" w:cs="宋体"/>
          <w:color w:val="auto"/>
          <w:spacing w:val="9"/>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个工作日的，应当顺延提交首</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次响应文件截止之日。</w:t>
      </w:r>
    </w:p>
    <w:p w14:paraId="7D292C09">
      <w:pPr>
        <w:pStyle w:val="3"/>
        <w:spacing w:line="386" w:lineRule="auto"/>
        <w:rPr>
          <w:color w:val="auto"/>
          <w:highlight w:val="none"/>
        </w:rPr>
      </w:pPr>
    </w:p>
    <w:p w14:paraId="6B696EB2">
      <w:pPr>
        <w:spacing w:before="101" w:line="225" w:lineRule="auto"/>
        <w:ind w:left="300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三、响应文件的编制</w:t>
      </w:r>
    </w:p>
    <w:p w14:paraId="4BEDC627">
      <w:pPr>
        <w:pStyle w:val="3"/>
        <w:spacing w:line="296" w:lineRule="auto"/>
        <w:rPr>
          <w:color w:val="auto"/>
          <w:highlight w:val="none"/>
        </w:rPr>
      </w:pPr>
    </w:p>
    <w:p w14:paraId="5EB0FA9C">
      <w:pPr>
        <w:pStyle w:val="3"/>
        <w:spacing w:line="297" w:lineRule="auto"/>
        <w:rPr>
          <w:color w:val="auto"/>
          <w:highlight w:val="none"/>
        </w:rPr>
      </w:pPr>
    </w:p>
    <w:p w14:paraId="0A7ACAD7">
      <w:pPr>
        <w:spacing w:before="79" w:line="219" w:lineRule="auto"/>
        <w:ind w:left="49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11.响应文件的编制原则</w:t>
      </w:r>
    </w:p>
    <w:p w14:paraId="1FAB1671">
      <w:pPr>
        <w:spacing w:before="198" w:line="425" w:lineRule="auto"/>
        <w:ind w:left="1" w:right="1" w:firstLine="41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供应商必须按照磋商文件的要求编制响应文件，并对其提交的响应文件的真实性、合法性承</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rPr>
        <w:t>担法律责任。响应文件必须对磋商文件作出实质性响应。</w:t>
      </w:r>
    </w:p>
    <w:p w14:paraId="709AFE91">
      <w:pPr>
        <w:spacing w:line="219" w:lineRule="auto"/>
        <w:ind w:left="499"/>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12.响应文件的组成</w:t>
      </w:r>
    </w:p>
    <w:p w14:paraId="6AE9BEB7">
      <w:pPr>
        <w:spacing w:before="198" w:line="226"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12.1</w:t>
      </w:r>
      <w:r>
        <w:rPr>
          <w:rFonts w:ascii="宋体" w:hAnsi="宋体" w:eastAsia="宋体" w:cs="宋体"/>
          <w:color w:val="auto"/>
          <w:spacing w:val="-14"/>
          <w:sz w:val="20"/>
          <w:szCs w:val="20"/>
          <w:highlight w:val="none"/>
        </w:rPr>
        <w:t xml:space="preserve"> </w:t>
      </w:r>
      <w:r>
        <w:rPr>
          <w:rFonts w:ascii="宋体" w:hAnsi="宋体" w:eastAsia="宋体" w:cs="宋体"/>
          <w:color w:val="auto"/>
          <w:spacing w:val="7"/>
          <w:sz w:val="20"/>
          <w:szCs w:val="20"/>
          <w:highlight w:val="none"/>
        </w:rPr>
        <w:t>响应文件由资格证明文件、报价商务技术文件两部分组成。</w:t>
      </w:r>
    </w:p>
    <w:p w14:paraId="535A2B0C">
      <w:pPr>
        <w:spacing w:before="223" w:line="227"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12.1.1</w:t>
      </w:r>
      <w:r>
        <w:rPr>
          <w:rFonts w:ascii="宋体" w:hAnsi="宋体" w:eastAsia="宋体" w:cs="宋体"/>
          <w:color w:val="auto"/>
          <w:spacing w:val="-26"/>
          <w:sz w:val="20"/>
          <w:szCs w:val="20"/>
          <w:highlight w:val="none"/>
        </w:rPr>
        <w:t xml:space="preserve"> </w:t>
      </w:r>
      <w:r>
        <w:rPr>
          <w:rFonts w:ascii="宋体" w:hAnsi="宋体" w:eastAsia="宋体" w:cs="宋体"/>
          <w:color w:val="auto"/>
          <w:spacing w:val="6"/>
          <w:sz w:val="20"/>
          <w:szCs w:val="20"/>
          <w:highlight w:val="none"/>
        </w:rPr>
        <w:t>资格证明文件：详见须知前附表</w:t>
      </w:r>
    </w:p>
    <w:p w14:paraId="33C7AFED">
      <w:pPr>
        <w:spacing w:before="222" w:line="226"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12.1.2</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报价商务技术文件：详见须知前附表</w:t>
      </w:r>
    </w:p>
    <w:p w14:paraId="520E7EC6">
      <w:pPr>
        <w:spacing w:line="226" w:lineRule="auto"/>
        <w:rPr>
          <w:rFonts w:ascii="宋体" w:hAnsi="宋体" w:eastAsia="宋体" w:cs="宋体"/>
          <w:color w:val="auto"/>
          <w:sz w:val="20"/>
          <w:szCs w:val="20"/>
          <w:highlight w:val="none"/>
        </w:rPr>
        <w:sectPr>
          <w:footerReference r:id="rId9" w:type="default"/>
          <w:pgSz w:w="11906" w:h="16839"/>
          <w:pgMar w:top="1431" w:right="1440" w:bottom="1362" w:left="1593" w:header="0" w:footer="1200" w:gutter="0"/>
          <w:pgNumType w:fmt="decimal"/>
          <w:cols w:space="720" w:num="1"/>
        </w:sectPr>
      </w:pPr>
    </w:p>
    <w:p w14:paraId="41B4F9F2">
      <w:pPr>
        <w:spacing w:before="122" w:line="220" w:lineRule="auto"/>
        <w:ind w:left="499"/>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13.计量单位</w:t>
      </w:r>
    </w:p>
    <w:p w14:paraId="5656C0C7">
      <w:pPr>
        <w:spacing w:before="197" w:line="425" w:lineRule="auto"/>
        <w:ind w:left="1" w:firstLine="41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磋商文件已有明确规定的，使用磋商文件规定的计量单位；磋商文件没有规定的，应采用中</w:t>
      </w:r>
      <w:r>
        <w:rPr>
          <w:rFonts w:ascii="宋体" w:hAnsi="宋体" w:eastAsia="宋体" w:cs="宋体"/>
          <w:color w:val="auto"/>
          <w:spacing w:val="9"/>
          <w:sz w:val="20"/>
          <w:szCs w:val="20"/>
          <w:highlight w:val="none"/>
        </w:rPr>
        <w:t xml:space="preserve"> 华人民共和国法定计量单位，货币种类为人民币，否则视同未响应。</w:t>
      </w:r>
    </w:p>
    <w:p w14:paraId="3B28CA4C">
      <w:pPr>
        <w:spacing w:line="220" w:lineRule="auto"/>
        <w:ind w:left="499"/>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14.竞标的风险</w:t>
      </w:r>
    </w:p>
    <w:p w14:paraId="451C0313">
      <w:pPr>
        <w:spacing w:before="197" w:line="425" w:lineRule="auto"/>
        <w:ind w:left="3" w:firstLine="41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供应商没有按照磋商文件要求提供全部资料，或者供应商没有对磋商文件在各方面作出实质</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rPr>
        <w:t>性响应可能导致其响应无效，是供应商应当考虑的风险。</w:t>
      </w:r>
    </w:p>
    <w:p w14:paraId="79C971E3">
      <w:pPr>
        <w:spacing w:before="1" w:line="217" w:lineRule="auto"/>
        <w:ind w:left="49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15.竞标报价要求和构成</w:t>
      </w:r>
    </w:p>
    <w:p w14:paraId="7A108BFA">
      <w:pPr>
        <w:spacing w:before="199" w:line="226"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15.1</w:t>
      </w:r>
      <w:r>
        <w:rPr>
          <w:rFonts w:ascii="宋体" w:hAnsi="宋体" w:eastAsia="宋体" w:cs="宋体"/>
          <w:color w:val="auto"/>
          <w:spacing w:val="-24"/>
          <w:sz w:val="20"/>
          <w:szCs w:val="20"/>
          <w:highlight w:val="none"/>
        </w:rPr>
        <w:t xml:space="preserve"> </w:t>
      </w:r>
      <w:r>
        <w:rPr>
          <w:rFonts w:ascii="宋体" w:hAnsi="宋体" w:eastAsia="宋体" w:cs="宋体"/>
          <w:color w:val="auto"/>
          <w:spacing w:val="6"/>
          <w:sz w:val="20"/>
          <w:szCs w:val="20"/>
          <w:highlight w:val="none"/>
        </w:rPr>
        <w:t>竞标报价应按磋商文件中“竞标报价表</w:t>
      </w:r>
      <w:r>
        <w:rPr>
          <w:rFonts w:ascii="宋体" w:hAnsi="宋体" w:eastAsia="宋体" w:cs="宋体"/>
          <w:color w:val="auto"/>
          <w:spacing w:val="-73"/>
          <w:sz w:val="20"/>
          <w:szCs w:val="20"/>
          <w:highlight w:val="none"/>
        </w:rPr>
        <w:t xml:space="preserve"> </w:t>
      </w:r>
      <w:r>
        <w:rPr>
          <w:rFonts w:ascii="宋体" w:hAnsi="宋体" w:eastAsia="宋体" w:cs="宋体"/>
          <w:color w:val="auto"/>
          <w:spacing w:val="6"/>
          <w:sz w:val="20"/>
          <w:szCs w:val="20"/>
          <w:highlight w:val="none"/>
        </w:rPr>
        <w:t>”格式填写。</w:t>
      </w:r>
    </w:p>
    <w:p w14:paraId="3E042F65">
      <w:pPr>
        <w:spacing w:before="223" w:line="226"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15.2</w:t>
      </w:r>
      <w:r>
        <w:rPr>
          <w:rFonts w:ascii="宋体" w:hAnsi="宋体" w:eastAsia="宋体" w:cs="宋体"/>
          <w:color w:val="auto"/>
          <w:spacing w:val="-29"/>
          <w:sz w:val="20"/>
          <w:szCs w:val="20"/>
          <w:highlight w:val="none"/>
        </w:rPr>
        <w:t xml:space="preserve"> </w:t>
      </w:r>
      <w:r>
        <w:rPr>
          <w:rFonts w:ascii="宋体" w:hAnsi="宋体" w:eastAsia="宋体" w:cs="宋体"/>
          <w:color w:val="auto"/>
          <w:spacing w:val="7"/>
          <w:sz w:val="20"/>
          <w:szCs w:val="20"/>
          <w:highlight w:val="none"/>
        </w:rPr>
        <w:t>竞标报价的价格构成见“供应商须知前附表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w:t>
      </w:r>
    </w:p>
    <w:p w14:paraId="79B5149C">
      <w:pPr>
        <w:spacing w:before="223" w:line="226" w:lineRule="auto"/>
        <w:ind w:left="44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15.3</w:t>
      </w:r>
      <w:r>
        <w:rPr>
          <w:rFonts w:ascii="宋体" w:hAnsi="宋体" w:eastAsia="宋体" w:cs="宋体"/>
          <w:color w:val="auto"/>
          <w:spacing w:val="-37"/>
          <w:sz w:val="20"/>
          <w:szCs w:val="20"/>
          <w:highlight w:val="none"/>
        </w:rPr>
        <w:t xml:space="preserve"> </w:t>
      </w:r>
      <w:r>
        <w:rPr>
          <w:rFonts w:ascii="宋体" w:hAnsi="宋体" w:eastAsia="宋体" w:cs="宋体"/>
          <w:color w:val="auto"/>
          <w:spacing w:val="4"/>
          <w:sz w:val="20"/>
          <w:szCs w:val="20"/>
          <w:highlight w:val="none"/>
        </w:rPr>
        <w:t>竞标报价要求</w:t>
      </w:r>
    </w:p>
    <w:p w14:paraId="61A9EA8B">
      <w:pPr>
        <w:spacing w:before="223" w:line="226"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15.3.1</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供应商的竞标报价应符合以下要求，否则响应文件按无效响应处</w:t>
      </w:r>
      <w:r>
        <w:rPr>
          <w:rFonts w:ascii="宋体" w:hAnsi="宋体" w:eastAsia="宋体" w:cs="宋体"/>
          <w:color w:val="auto"/>
          <w:spacing w:val="7"/>
          <w:sz w:val="20"/>
          <w:szCs w:val="20"/>
          <w:highlight w:val="none"/>
        </w:rPr>
        <w:t>理：</w:t>
      </w:r>
    </w:p>
    <w:p w14:paraId="0035DB14">
      <w:pPr>
        <w:spacing w:before="223" w:line="329" w:lineRule="auto"/>
        <w:ind w:left="4" w:right="5" w:firstLine="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（1）供应商必须就“采购需求</w:t>
      </w:r>
      <w:r>
        <w:rPr>
          <w:rFonts w:ascii="宋体" w:hAnsi="宋体" w:eastAsia="宋体" w:cs="宋体"/>
          <w:color w:val="auto"/>
          <w:spacing w:val="-55"/>
          <w:sz w:val="20"/>
          <w:szCs w:val="20"/>
          <w:highlight w:val="none"/>
        </w:rPr>
        <w:t xml:space="preserve"> </w:t>
      </w:r>
      <w:r>
        <w:rPr>
          <w:rFonts w:ascii="宋体" w:hAnsi="宋体" w:eastAsia="宋体" w:cs="宋体"/>
          <w:color w:val="auto"/>
          <w:spacing w:val="7"/>
          <w:sz w:val="20"/>
          <w:szCs w:val="20"/>
          <w:highlight w:val="none"/>
        </w:rPr>
        <w:t>”中所竞标的每个分标的全部内容分别作完整唯一总价报价，</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不得存在漏项报价；</w:t>
      </w:r>
    </w:p>
    <w:p w14:paraId="031368FA">
      <w:pPr>
        <w:spacing w:before="223"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（2）供应商必须就所竞标的分标的单项内容作唯一报价。</w:t>
      </w:r>
    </w:p>
    <w:p w14:paraId="1BB73146">
      <w:pPr>
        <w:spacing w:before="223" w:line="329" w:lineRule="auto"/>
        <w:ind w:left="15" w:right="2"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15.3.2</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竞标报价（包含首次报价、最后报价）超</w:t>
      </w:r>
      <w:r>
        <w:rPr>
          <w:rFonts w:ascii="宋体" w:hAnsi="宋体" w:eastAsia="宋体" w:cs="宋体"/>
          <w:color w:val="auto"/>
          <w:spacing w:val="8"/>
          <w:sz w:val="20"/>
          <w:szCs w:val="20"/>
          <w:highlight w:val="none"/>
        </w:rPr>
        <w:t>过所竞标分标规定的采购预算金额或者最高</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限价的，其响应文件将作无效处理。</w:t>
      </w:r>
    </w:p>
    <w:p w14:paraId="00386E3E">
      <w:pPr>
        <w:spacing w:before="223" w:line="330" w:lineRule="auto"/>
        <w:ind w:right="2" w:firstLine="4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15.3.3</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竞标报价（包含首次报价、最后报价）超</w:t>
      </w:r>
      <w:r>
        <w:rPr>
          <w:rFonts w:ascii="宋体" w:hAnsi="宋体" w:eastAsia="宋体" w:cs="宋体"/>
          <w:color w:val="auto"/>
          <w:spacing w:val="8"/>
          <w:sz w:val="20"/>
          <w:szCs w:val="20"/>
          <w:highlight w:val="none"/>
        </w:rPr>
        <w:t>过分项采购预算金额或者最高限价的，其响</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应文件将作无效处理。</w:t>
      </w:r>
    </w:p>
    <w:p w14:paraId="6C7AF8EE">
      <w:pPr>
        <w:spacing w:before="207" w:line="220" w:lineRule="auto"/>
        <w:ind w:left="499"/>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16.竞标有效期</w:t>
      </w:r>
    </w:p>
    <w:p w14:paraId="6CED748A">
      <w:pPr>
        <w:spacing w:before="197" w:line="329" w:lineRule="auto"/>
        <w:ind w:left="5" w:firstLine="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16.1</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竞标有效期是指为保证采购人有足够的时间在提交响应文件后完成评</w:t>
      </w:r>
      <w:r>
        <w:rPr>
          <w:rFonts w:ascii="宋体" w:hAnsi="宋体" w:eastAsia="宋体" w:cs="宋体"/>
          <w:color w:val="auto"/>
          <w:spacing w:val="8"/>
          <w:sz w:val="20"/>
          <w:szCs w:val="20"/>
          <w:highlight w:val="none"/>
        </w:rPr>
        <w:t>审、确定成交供应</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商、合同签订等工作而要求供应商提交的响应文件在一定时间内保持有效的期限。</w:t>
      </w:r>
    </w:p>
    <w:p w14:paraId="46A36E1B">
      <w:pPr>
        <w:spacing w:before="222"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16.2 竞标有效期应由供应商按“供应商须知前附表</w:t>
      </w:r>
      <w:r>
        <w:rPr>
          <w:rFonts w:ascii="宋体" w:hAnsi="宋体" w:eastAsia="宋体" w:cs="宋体"/>
          <w:color w:val="auto"/>
          <w:spacing w:val="-54"/>
          <w:sz w:val="20"/>
          <w:szCs w:val="20"/>
          <w:highlight w:val="none"/>
        </w:rPr>
        <w:t xml:space="preserve"> </w:t>
      </w:r>
      <w:r>
        <w:rPr>
          <w:rFonts w:ascii="宋体" w:hAnsi="宋体" w:eastAsia="宋体" w:cs="宋体"/>
          <w:color w:val="auto"/>
          <w:spacing w:val="7"/>
          <w:sz w:val="20"/>
          <w:szCs w:val="20"/>
          <w:highlight w:val="none"/>
        </w:rPr>
        <w:t>”规定的期限作出响应。</w:t>
      </w:r>
    </w:p>
    <w:p w14:paraId="1018C885">
      <w:pPr>
        <w:spacing w:before="222"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16.3</w:t>
      </w:r>
      <w:r>
        <w:rPr>
          <w:rFonts w:ascii="宋体" w:hAnsi="宋体" w:eastAsia="宋体" w:cs="宋体"/>
          <w:color w:val="auto"/>
          <w:spacing w:val="-30"/>
          <w:sz w:val="20"/>
          <w:szCs w:val="20"/>
          <w:highlight w:val="none"/>
        </w:rPr>
        <w:t xml:space="preserve"> </w:t>
      </w:r>
      <w:r>
        <w:rPr>
          <w:rFonts w:ascii="宋体" w:hAnsi="宋体" w:eastAsia="宋体" w:cs="宋体"/>
          <w:color w:val="auto"/>
          <w:spacing w:val="7"/>
          <w:sz w:val="20"/>
          <w:szCs w:val="20"/>
          <w:highlight w:val="none"/>
        </w:rPr>
        <w:t>供应商的响应文件在竞标有效期内均保持有效。</w:t>
      </w:r>
    </w:p>
    <w:p w14:paraId="1A378174">
      <w:pPr>
        <w:spacing w:before="208" w:line="220" w:lineRule="auto"/>
        <w:ind w:left="499"/>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17.磋商保证金</w:t>
      </w:r>
    </w:p>
    <w:p w14:paraId="31B53A64">
      <w:pPr>
        <w:spacing w:before="197"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17.1</w:t>
      </w:r>
      <w:r>
        <w:rPr>
          <w:rFonts w:ascii="宋体" w:hAnsi="宋体" w:eastAsia="宋体" w:cs="宋体"/>
          <w:color w:val="auto"/>
          <w:spacing w:val="-41"/>
          <w:sz w:val="20"/>
          <w:szCs w:val="20"/>
          <w:highlight w:val="none"/>
        </w:rPr>
        <w:t xml:space="preserve"> </w:t>
      </w:r>
      <w:r>
        <w:rPr>
          <w:rFonts w:ascii="宋体" w:hAnsi="宋体" w:eastAsia="宋体" w:cs="宋体"/>
          <w:color w:val="auto"/>
          <w:spacing w:val="7"/>
          <w:sz w:val="20"/>
          <w:szCs w:val="20"/>
          <w:highlight w:val="none"/>
        </w:rPr>
        <w:t>供应商须按“供应商须知前附表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”的规定提交磋</w:t>
      </w:r>
      <w:r>
        <w:rPr>
          <w:rFonts w:ascii="宋体" w:hAnsi="宋体" w:eastAsia="宋体" w:cs="宋体"/>
          <w:color w:val="auto"/>
          <w:spacing w:val="6"/>
          <w:sz w:val="20"/>
          <w:szCs w:val="20"/>
          <w:highlight w:val="none"/>
        </w:rPr>
        <w:t>商保证金。</w:t>
      </w:r>
    </w:p>
    <w:p w14:paraId="48E293B7">
      <w:pPr>
        <w:spacing w:before="222" w:line="228" w:lineRule="auto"/>
        <w:ind w:left="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17.2</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磋商保证金的退还</w:t>
      </w:r>
    </w:p>
    <w:p w14:paraId="3C9746F8">
      <w:pPr>
        <w:spacing w:before="220" w:line="228" w:lineRule="auto"/>
        <w:ind w:left="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17.2.1</w:t>
      </w:r>
      <w:r>
        <w:rPr>
          <w:rFonts w:ascii="宋体" w:hAnsi="宋体" w:eastAsia="宋体" w:cs="宋体"/>
          <w:color w:val="auto"/>
          <w:spacing w:val="-30"/>
          <w:sz w:val="20"/>
          <w:szCs w:val="20"/>
          <w:highlight w:val="none"/>
        </w:rPr>
        <w:t xml:space="preserve"> </w:t>
      </w:r>
      <w:r>
        <w:rPr>
          <w:rFonts w:ascii="宋体" w:hAnsi="宋体" w:eastAsia="宋体" w:cs="宋体"/>
          <w:color w:val="auto"/>
          <w:spacing w:val="5"/>
          <w:sz w:val="20"/>
          <w:szCs w:val="20"/>
          <w:highlight w:val="none"/>
        </w:rPr>
        <w:t>保证金在法律法规规定时间内办理退还，退还方式如下：</w:t>
      </w:r>
    </w:p>
    <w:p w14:paraId="07C3DA31">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（1）采用银行转账方式的，以转账方式退回</w:t>
      </w:r>
      <w:r>
        <w:rPr>
          <w:rFonts w:ascii="宋体" w:hAnsi="宋体" w:eastAsia="宋体" w:cs="宋体"/>
          <w:color w:val="auto"/>
          <w:spacing w:val="8"/>
          <w:sz w:val="20"/>
          <w:szCs w:val="20"/>
          <w:highlight w:val="none"/>
        </w:rPr>
        <w:t>到供应商银行账户。</w:t>
      </w:r>
    </w:p>
    <w:p w14:paraId="76BC39B1">
      <w:pPr>
        <w:spacing w:before="223" w:line="329" w:lineRule="auto"/>
        <w:ind w:firstLine="3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（2）采用支票、汇票、本票或者金融、担保机构出具的保函方式的，</w:t>
      </w:r>
      <w:r>
        <w:rPr>
          <w:rFonts w:ascii="宋体" w:hAnsi="宋体" w:eastAsia="宋体" w:cs="宋体"/>
          <w:color w:val="auto"/>
          <w:spacing w:val="-58"/>
          <w:sz w:val="20"/>
          <w:szCs w:val="20"/>
          <w:highlight w:val="none"/>
        </w:rPr>
        <w:t xml:space="preserve"> </w:t>
      </w:r>
      <w:r>
        <w:rPr>
          <w:rFonts w:ascii="宋体" w:hAnsi="宋体" w:eastAsia="宋体" w:cs="宋体"/>
          <w:color w:val="auto"/>
          <w:spacing w:val="10"/>
          <w:sz w:val="20"/>
          <w:szCs w:val="20"/>
          <w:highlight w:val="none"/>
        </w:rPr>
        <w:t>由</w:t>
      </w:r>
      <w:r>
        <w:rPr>
          <w:rFonts w:ascii="宋体" w:hAnsi="宋体" w:eastAsia="宋体" w:cs="宋体"/>
          <w:color w:val="auto"/>
          <w:spacing w:val="9"/>
          <w:sz w:val="20"/>
          <w:szCs w:val="20"/>
          <w:highlight w:val="none"/>
        </w:rPr>
        <w:t>供应商代表持相关授</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权证明材料至采购人或者采购代理机构办理支票、汇票、本票或者金融、担保机构出具的保函原</w:t>
      </w:r>
    </w:p>
    <w:p w14:paraId="049AB7D1">
      <w:pPr>
        <w:spacing w:line="329" w:lineRule="auto"/>
        <w:rPr>
          <w:rFonts w:ascii="宋体" w:hAnsi="宋体" w:eastAsia="宋体" w:cs="宋体"/>
          <w:color w:val="auto"/>
          <w:sz w:val="20"/>
          <w:szCs w:val="20"/>
          <w:highlight w:val="none"/>
        </w:rPr>
        <w:sectPr>
          <w:footerReference r:id="rId10" w:type="default"/>
          <w:pgSz w:w="11906" w:h="16839"/>
          <w:pgMar w:top="1431" w:right="1442" w:bottom="1362" w:left="1593" w:header="0" w:footer="1200" w:gutter="0"/>
          <w:pgNumType w:fmt="decimal"/>
          <w:cols w:space="720" w:num="1"/>
        </w:sectPr>
      </w:pPr>
    </w:p>
    <w:p w14:paraId="13C35075">
      <w:pPr>
        <w:spacing w:before="137" w:line="228" w:lineRule="auto"/>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件退还手续。</w:t>
      </w:r>
    </w:p>
    <w:p w14:paraId="3F8EE83E">
      <w:pPr>
        <w:spacing w:before="221" w:line="432" w:lineRule="auto"/>
        <w:ind w:right="51" w:firstLine="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17.2.2</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本项目无需缴纳履约保证金，竞</w:t>
      </w:r>
      <w:r>
        <w:rPr>
          <w:rFonts w:ascii="宋体" w:hAnsi="宋体" w:eastAsia="宋体" w:cs="宋体"/>
          <w:color w:val="auto"/>
          <w:spacing w:val="7"/>
          <w:sz w:val="20"/>
          <w:szCs w:val="20"/>
          <w:highlight w:val="none"/>
        </w:rPr>
        <w:t>标保证金在广西政府采购云平台上签订线上合同后，</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在法律法规规定时间内办理退还。</w:t>
      </w:r>
    </w:p>
    <w:p w14:paraId="5A992A0F">
      <w:pPr>
        <w:spacing w:line="228" w:lineRule="auto"/>
        <w:ind w:left="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17.3</w:t>
      </w:r>
      <w:r>
        <w:rPr>
          <w:rFonts w:ascii="宋体" w:hAnsi="宋体" w:eastAsia="宋体" w:cs="宋体"/>
          <w:color w:val="auto"/>
          <w:spacing w:val="-40"/>
          <w:sz w:val="20"/>
          <w:szCs w:val="20"/>
          <w:highlight w:val="none"/>
        </w:rPr>
        <w:t xml:space="preserve"> </w:t>
      </w:r>
      <w:r>
        <w:rPr>
          <w:rFonts w:ascii="宋体" w:hAnsi="宋体" w:eastAsia="宋体" w:cs="宋体"/>
          <w:color w:val="auto"/>
          <w:spacing w:val="5"/>
          <w:sz w:val="20"/>
          <w:szCs w:val="20"/>
          <w:highlight w:val="none"/>
        </w:rPr>
        <w:t>磋商保证金不计息。</w:t>
      </w:r>
    </w:p>
    <w:p w14:paraId="7F830882">
      <w:pPr>
        <w:spacing w:before="220"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17.4</w:t>
      </w:r>
      <w:r>
        <w:rPr>
          <w:rFonts w:ascii="宋体" w:hAnsi="宋体" w:eastAsia="宋体" w:cs="宋体"/>
          <w:color w:val="auto"/>
          <w:spacing w:val="-24"/>
          <w:sz w:val="20"/>
          <w:szCs w:val="20"/>
          <w:highlight w:val="none"/>
        </w:rPr>
        <w:t xml:space="preserve"> </w:t>
      </w:r>
      <w:r>
        <w:rPr>
          <w:rFonts w:ascii="宋体" w:hAnsi="宋体" w:eastAsia="宋体" w:cs="宋体"/>
          <w:color w:val="auto"/>
          <w:spacing w:val="7"/>
          <w:sz w:val="20"/>
          <w:szCs w:val="20"/>
          <w:highlight w:val="none"/>
        </w:rPr>
        <w:t>供应商有下列情形之一的，磋商保证金将不予退还：</w:t>
      </w:r>
    </w:p>
    <w:p w14:paraId="0E76FF90">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（1）供应商在提交响应文件截止时间后撤回响应文件的；</w:t>
      </w:r>
    </w:p>
    <w:p w14:paraId="7A6870F1">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（2）供应商在响应文件中提供虚假材料的；</w:t>
      </w:r>
    </w:p>
    <w:p w14:paraId="268E413D">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（3）除因不可抗力或者磋商文件认可的情形以外，成交供应商不与采购人签订合同的；</w:t>
      </w:r>
    </w:p>
    <w:p w14:paraId="7FECFAEC">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（4）供应商与采购人、其他供应商或者采购代理机</w:t>
      </w:r>
      <w:r>
        <w:rPr>
          <w:rFonts w:ascii="宋体" w:hAnsi="宋体" w:eastAsia="宋体" w:cs="宋体"/>
          <w:color w:val="auto"/>
          <w:spacing w:val="8"/>
          <w:sz w:val="20"/>
          <w:szCs w:val="20"/>
          <w:highlight w:val="none"/>
        </w:rPr>
        <w:t>构恶意串通的；</w:t>
      </w:r>
    </w:p>
    <w:p w14:paraId="51DEBE16">
      <w:pPr>
        <w:spacing w:before="221"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（5）磋商文件规定的其他情形。</w:t>
      </w:r>
    </w:p>
    <w:p w14:paraId="51F89A07">
      <w:pPr>
        <w:spacing w:before="207" w:line="219" w:lineRule="auto"/>
        <w:ind w:left="49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18.响应文件编制的要求</w:t>
      </w:r>
    </w:p>
    <w:p w14:paraId="49272334">
      <w:pPr>
        <w:spacing w:before="197" w:line="381" w:lineRule="auto"/>
        <w:ind w:firstLine="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18.1 供应商应先安装“政采云电子交易客户端</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”（请自行前往“政采云</w:t>
      </w:r>
      <w:r>
        <w:rPr>
          <w:rFonts w:ascii="宋体" w:hAnsi="宋体" w:eastAsia="宋体" w:cs="宋体"/>
          <w:color w:val="auto"/>
          <w:spacing w:val="-73"/>
          <w:sz w:val="20"/>
          <w:szCs w:val="20"/>
          <w:highlight w:val="none"/>
        </w:rPr>
        <w:t xml:space="preserve"> </w:t>
      </w:r>
      <w:r>
        <w:rPr>
          <w:rFonts w:ascii="宋体" w:hAnsi="宋体" w:eastAsia="宋体" w:cs="宋体"/>
          <w:color w:val="auto"/>
          <w:spacing w:val="7"/>
          <w:sz w:val="20"/>
          <w:szCs w:val="20"/>
          <w:highlight w:val="none"/>
        </w:rPr>
        <w:t>”平台进行下载</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并按照本项目磋商文件规定的格式和顺序和“政采云</w:t>
      </w:r>
      <w:r>
        <w:rPr>
          <w:rFonts w:ascii="宋体" w:hAnsi="宋体" w:eastAsia="宋体" w:cs="宋体"/>
          <w:color w:val="auto"/>
          <w:spacing w:val="-52"/>
          <w:sz w:val="20"/>
          <w:szCs w:val="20"/>
          <w:highlight w:val="none"/>
        </w:rPr>
        <w:t xml:space="preserve"> </w:t>
      </w:r>
      <w:r>
        <w:rPr>
          <w:rFonts w:ascii="宋体" w:hAnsi="宋体" w:eastAsia="宋体" w:cs="宋体"/>
          <w:color w:val="auto"/>
          <w:spacing w:val="10"/>
          <w:sz w:val="20"/>
          <w:szCs w:val="20"/>
          <w:highlight w:val="none"/>
        </w:rPr>
        <w:t>”平台的要求编制并加密。响应文件内容不</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完整、编排混乱导致响应文件被误读、漏读或者查找不到相关内容的，</w:t>
      </w:r>
      <w:r>
        <w:rPr>
          <w:rFonts w:ascii="宋体" w:hAnsi="宋体" w:eastAsia="宋体" w:cs="宋体"/>
          <w:color w:val="auto"/>
          <w:spacing w:val="-52"/>
          <w:sz w:val="20"/>
          <w:szCs w:val="20"/>
          <w:highlight w:val="none"/>
        </w:rPr>
        <w:t xml:space="preserve"> </w:t>
      </w:r>
      <w:r>
        <w:rPr>
          <w:rFonts w:ascii="宋体" w:hAnsi="宋体" w:eastAsia="宋体" w:cs="宋体"/>
          <w:color w:val="auto"/>
          <w:spacing w:val="10"/>
          <w:sz w:val="20"/>
          <w:szCs w:val="20"/>
          <w:highlight w:val="none"/>
        </w:rPr>
        <w:t>由此引发的后果由供应商</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承担。</w:t>
      </w:r>
    </w:p>
    <w:p w14:paraId="694AC243">
      <w:pPr>
        <w:spacing w:before="223" w:line="329" w:lineRule="auto"/>
        <w:ind w:firstLine="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18.2 为确保网上操作合法、有效和安全，供应商应当在提交响应文</w:t>
      </w:r>
      <w:r>
        <w:rPr>
          <w:rFonts w:ascii="宋体" w:hAnsi="宋体" w:eastAsia="宋体" w:cs="宋体"/>
          <w:color w:val="auto"/>
          <w:spacing w:val="7"/>
          <w:sz w:val="20"/>
          <w:szCs w:val="20"/>
          <w:highlight w:val="none"/>
        </w:rPr>
        <w:t>件截止时间前完成在“政</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采云</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”平台的身份认证，确保在电子竞标过程中能够对相关数据电文进行加密</w:t>
      </w:r>
      <w:r>
        <w:rPr>
          <w:rFonts w:ascii="宋体" w:hAnsi="宋体" w:eastAsia="宋体" w:cs="宋体"/>
          <w:color w:val="auto"/>
          <w:spacing w:val="8"/>
          <w:sz w:val="20"/>
          <w:szCs w:val="20"/>
          <w:highlight w:val="none"/>
        </w:rPr>
        <w:t>和使用电子签章。</w:t>
      </w:r>
    </w:p>
    <w:p w14:paraId="2E4F3063">
      <w:pPr>
        <w:spacing w:before="221" w:line="330" w:lineRule="auto"/>
        <w:ind w:left="1" w:firstLine="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18.3 响应文件须由供应商在规定位置签字、盖章（具体以供应商须</w:t>
      </w:r>
      <w:r>
        <w:rPr>
          <w:rFonts w:ascii="宋体" w:hAnsi="宋体" w:eastAsia="宋体" w:cs="宋体"/>
          <w:color w:val="auto"/>
          <w:spacing w:val="7"/>
          <w:sz w:val="20"/>
          <w:szCs w:val="20"/>
          <w:highlight w:val="none"/>
        </w:rPr>
        <w:t>知前附表或响应文件格式</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规定为准</w:t>
      </w:r>
      <w:r>
        <w:rPr>
          <w:rFonts w:ascii="宋体" w:hAnsi="宋体" w:eastAsia="宋体" w:cs="宋体"/>
          <w:color w:val="auto"/>
          <w:spacing w:val="20"/>
          <w:sz w:val="20"/>
          <w:szCs w:val="20"/>
          <w:highlight w:val="none"/>
        </w:rPr>
        <w:t>），</w:t>
      </w:r>
      <w:r>
        <w:rPr>
          <w:rFonts w:ascii="宋体" w:hAnsi="宋体" w:eastAsia="宋体" w:cs="宋体"/>
          <w:color w:val="auto"/>
          <w:spacing w:val="7"/>
          <w:sz w:val="20"/>
          <w:szCs w:val="20"/>
          <w:highlight w:val="none"/>
        </w:rPr>
        <w:t>否则按无效响应处理。</w:t>
      </w:r>
    </w:p>
    <w:p w14:paraId="3928FF9B">
      <w:pPr>
        <w:spacing w:before="221" w:line="364" w:lineRule="auto"/>
        <w:ind w:firstLine="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18.4 响应文件中标注的供应商名称应与主体资格证明（如营业执照</w:t>
      </w:r>
      <w:r>
        <w:rPr>
          <w:rFonts w:ascii="宋体" w:hAnsi="宋体" w:eastAsia="宋体" w:cs="宋体"/>
          <w:color w:val="auto"/>
          <w:spacing w:val="7"/>
          <w:sz w:val="20"/>
          <w:szCs w:val="20"/>
          <w:highlight w:val="none"/>
        </w:rPr>
        <w:t>或者事业单位法人证书或</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者执业许可证或者登记证书等）及公章一致，供应商为自然人的，标注的供应商名称应与身份证</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姓名及签名一致，否则其响应文件按无效响应处理。</w:t>
      </w:r>
    </w:p>
    <w:p w14:paraId="5C1B7A7C">
      <w:pPr>
        <w:spacing w:before="221" w:line="364" w:lineRule="auto"/>
        <w:ind w:left="2" w:firstLine="4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18.5 响应文件应尽量避免涂改、行间插字或者删除。如果出现上述</w:t>
      </w:r>
      <w:r>
        <w:rPr>
          <w:rFonts w:ascii="宋体" w:hAnsi="宋体" w:eastAsia="宋体" w:cs="宋体"/>
          <w:color w:val="auto"/>
          <w:spacing w:val="7"/>
          <w:sz w:val="20"/>
          <w:szCs w:val="20"/>
          <w:highlight w:val="none"/>
        </w:rPr>
        <w:t>情况，改动之处应由供应</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商的法定代表人或者其委托代理人签字（或者电子签名）或者加盖公章或者加盖电子签章。响应</w:t>
      </w:r>
      <w:r>
        <w:rPr>
          <w:rFonts w:ascii="宋体" w:hAnsi="宋体" w:eastAsia="宋体" w:cs="宋体"/>
          <w:color w:val="auto"/>
          <w:spacing w:val="4"/>
          <w:sz w:val="20"/>
          <w:szCs w:val="20"/>
          <w:highlight w:val="none"/>
        </w:rPr>
        <w:t xml:space="preserve"> </w:t>
      </w:r>
      <w:r>
        <w:rPr>
          <w:rFonts w:ascii="宋体" w:hAnsi="宋体" w:eastAsia="宋体" w:cs="宋体"/>
          <w:color w:val="auto"/>
          <w:spacing w:val="9"/>
          <w:sz w:val="20"/>
          <w:szCs w:val="20"/>
          <w:highlight w:val="none"/>
        </w:rPr>
        <w:t>文件因涂改、行间插字或者删除导致字迹潦草或者表达不清所引起的后果由供应商承担。</w:t>
      </w:r>
    </w:p>
    <w:p w14:paraId="548A6270">
      <w:pPr>
        <w:spacing w:before="208" w:line="219" w:lineRule="auto"/>
        <w:ind w:left="499"/>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19.电子备份响应文件</w:t>
      </w:r>
    </w:p>
    <w:p w14:paraId="7E57BBFD">
      <w:pPr>
        <w:spacing w:before="198" w:line="425" w:lineRule="auto"/>
        <w:ind w:left="2" w:firstLine="44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电子备份响应文件是指通过“政采云电子投标客户端</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”在线编制生成且后缀名为“</w:t>
      </w:r>
      <w:r>
        <w:rPr>
          <w:rFonts w:ascii="宋体" w:hAnsi="宋体" w:eastAsia="宋体" w:cs="宋体"/>
          <w:color w:val="auto"/>
          <w:sz w:val="20"/>
          <w:szCs w:val="20"/>
          <w:highlight w:val="none"/>
        </w:rPr>
        <w:t>bfbs</w:t>
      </w:r>
      <w:r>
        <w:rPr>
          <w:rFonts w:ascii="宋体" w:hAnsi="宋体" w:eastAsia="宋体" w:cs="宋体"/>
          <w:color w:val="auto"/>
          <w:spacing w:val="-71"/>
          <w:sz w:val="20"/>
          <w:szCs w:val="20"/>
          <w:highlight w:val="none"/>
        </w:rPr>
        <w:t xml:space="preserve"> </w:t>
      </w:r>
      <w:r>
        <w:rPr>
          <w:rFonts w:ascii="宋体" w:hAnsi="宋体" w:eastAsia="宋体" w:cs="宋体"/>
          <w:color w:val="auto"/>
          <w:spacing w:val="9"/>
          <w:sz w:val="20"/>
          <w:szCs w:val="20"/>
          <w:highlight w:val="none"/>
        </w:rPr>
        <w:t>”的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文件，是否接受电子备份响应文件详见在“供应商须知前附表</w:t>
      </w:r>
      <w:r>
        <w:rPr>
          <w:rFonts w:ascii="宋体" w:hAnsi="宋体" w:eastAsia="宋体" w:cs="宋体"/>
          <w:color w:val="auto"/>
          <w:spacing w:val="-64"/>
          <w:sz w:val="20"/>
          <w:szCs w:val="20"/>
          <w:highlight w:val="none"/>
        </w:rPr>
        <w:t xml:space="preserve"> </w:t>
      </w:r>
      <w:r>
        <w:rPr>
          <w:rFonts w:ascii="宋体" w:hAnsi="宋体" w:eastAsia="宋体" w:cs="宋体"/>
          <w:color w:val="auto"/>
          <w:spacing w:val="9"/>
          <w:sz w:val="20"/>
          <w:szCs w:val="20"/>
          <w:highlight w:val="none"/>
        </w:rPr>
        <w:t>”。</w:t>
      </w:r>
    </w:p>
    <w:p w14:paraId="51B6D693">
      <w:pPr>
        <w:spacing w:line="219" w:lineRule="auto"/>
        <w:ind w:left="48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20.响应文件的提交</w:t>
      </w:r>
    </w:p>
    <w:p w14:paraId="1C386016">
      <w:pPr>
        <w:spacing w:before="197" w:line="227" w:lineRule="auto"/>
        <w:jc w:val="righ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20.1 供应商必须按“供应商须知前附表</w:t>
      </w:r>
      <w:r>
        <w:rPr>
          <w:rFonts w:ascii="宋体" w:hAnsi="宋体" w:eastAsia="宋体" w:cs="宋体"/>
          <w:color w:val="auto"/>
          <w:spacing w:val="-55"/>
          <w:sz w:val="20"/>
          <w:szCs w:val="20"/>
          <w:highlight w:val="none"/>
        </w:rPr>
        <w:t xml:space="preserve"> </w:t>
      </w:r>
      <w:r>
        <w:rPr>
          <w:rFonts w:ascii="宋体" w:hAnsi="宋体" w:eastAsia="宋体" w:cs="宋体"/>
          <w:color w:val="auto"/>
          <w:spacing w:val="7"/>
          <w:sz w:val="20"/>
          <w:szCs w:val="20"/>
          <w:highlight w:val="none"/>
        </w:rPr>
        <w:t>”规定的时间及地点提交响应文件。电子响应文件应</w:t>
      </w:r>
    </w:p>
    <w:p w14:paraId="0D42595D">
      <w:pPr>
        <w:spacing w:line="227" w:lineRule="auto"/>
        <w:rPr>
          <w:rFonts w:ascii="宋体" w:hAnsi="宋体" w:eastAsia="宋体" w:cs="宋体"/>
          <w:color w:val="auto"/>
          <w:sz w:val="20"/>
          <w:szCs w:val="20"/>
          <w:highlight w:val="none"/>
        </w:rPr>
        <w:sectPr>
          <w:footerReference r:id="rId11" w:type="default"/>
          <w:pgSz w:w="11906" w:h="16839"/>
          <w:pgMar w:top="1431" w:right="1441" w:bottom="1362" w:left="1593" w:header="0" w:footer="1200" w:gutter="0"/>
          <w:pgNumType w:fmt="decimal"/>
          <w:cols w:space="720" w:num="1"/>
        </w:sectPr>
      </w:pPr>
    </w:p>
    <w:p w14:paraId="774097B0">
      <w:pPr>
        <w:spacing w:before="137" w:line="432" w:lineRule="auto"/>
        <w:ind w:left="1" w:hanging="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在制作完成后，在提交响应文件截止时间前通过有效数字证书（</w:t>
      </w:r>
      <w:r>
        <w:rPr>
          <w:rFonts w:ascii="宋体" w:hAnsi="宋体" w:eastAsia="宋体" w:cs="宋体"/>
          <w:color w:val="auto"/>
          <w:sz w:val="20"/>
          <w:szCs w:val="20"/>
          <w:highlight w:val="none"/>
        </w:rPr>
        <w:t>CA</w:t>
      </w:r>
      <w:r>
        <w:rPr>
          <w:rFonts w:ascii="宋体" w:hAnsi="宋体" w:eastAsia="宋体" w:cs="宋体"/>
          <w:color w:val="auto"/>
          <w:spacing w:val="5"/>
          <w:sz w:val="20"/>
          <w:szCs w:val="20"/>
          <w:highlight w:val="none"/>
        </w:rPr>
        <w:t xml:space="preserve"> 认证锁）进行电子签章、加密，</w:t>
      </w:r>
      <w:r>
        <w:rPr>
          <w:rFonts w:ascii="宋体" w:hAnsi="宋体" w:eastAsia="宋体" w:cs="宋体"/>
          <w:color w:val="auto"/>
          <w:spacing w:val="8"/>
          <w:sz w:val="20"/>
          <w:szCs w:val="20"/>
          <w:highlight w:val="none"/>
        </w:rPr>
        <w:t xml:space="preserve"> 然后通过网络将加密的电子响应文件提交至“政采云</w:t>
      </w:r>
      <w:r>
        <w:rPr>
          <w:rFonts w:ascii="宋体" w:hAnsi="宋体" w:eastAsia="宋体" w:cs="宋体"/>
          <w:color w:val="auto"/>
          <w:spacing w:val="-69"/>
          <w:sz w:val="20"/>
          <w:szCs w:val="20"/>
          <w:highlight w:val="none"/>
        </w:rPr>
        <w:t xml:space="preserve"> </w:t>
      </w:r>
      <w:r>
        <w:rPr>
          <w:rFonts w:ascii="宋体" w:hAnsi="宋体" w:eastAsia="宋体" w:cs="宋体"/>
          <w:color w:val="auto"/>
          <w:spacing w:val="8"/>
          <w:sz w:val="20"/>
          <w:szCs w:val="20"/>
          <w:highlight w:val="none"/>
        </w:rPr>
        <w:t>”平台。</w:t>
      </w:r>
    </w:p>
    <w:p w14:paraId="58AAD5A7">
      <w:pPr>
        <w:spacing w:line="425" w:lineRule="auto"/>
        <w:ind w:right="54"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20.2 未在规定时间内提交或者未按照磋商文件要求加密的电子响应文件，“政采云</w:t>
      </w:r>
      <w:r>
        <w:rPr>
          <w:rFonts w:ascii="宋体" w:hAnsi="宋体" w:eastAsia="宋体" w:cs="宋体"/>
          <w:color w:val="auto"/>
          <w:spacing w:val="-55"/>
          <w:sz w:val="20"/>
          <w:szCs w:val="20"/>
          <w:highlight w:val="none"/>
        </w:rPr>
        <w:t xml:space="preserve"> </w:t>
      </w:r>
      <w:r>
        <w:rPr>
          <w:rFonts w:ascii="宋体" w:hAnsi="宋体" w:eastAsia="宋体" w:cs="宋体"/>
          <w:color w:val="auto"/>
          <w:spacing w:val="7"/>
          <w:sz w:val="20"/>
          <w:szCs w:val="20"/>
          <w:highlight w:val="none"/>
        </w:rPr>
        <w:t>”平台将</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拒收。</w:t>
      </w:r>
    </w:p>
    <w:p w14:paraId="002537BD">
      <w:pPr>
        <w:spacing w:line="219" w:lineRule="auto"/>
        <w:ind w:left="48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21.首次响应文件的补充、修改与撤回</w:t>
      </w:r>
    </w:p>
    <w:p w14:paraId="613B707B">
      <w:pPr>
        <w:spacing w:before="197" w:line="398" w:lineRule="auto"/>
        <w:ind w:right="54"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21.1 供应商应当在提交响应文件截止时间前完成电子响应文件的提交（上传</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提交响应文</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件截止时间前可以补充、修改或者撤回响应文件。补充或者修改响应文件的，应当先行撤回原响</w:t>
      </w:r>
      <w:r>
        <w:rPr>
          <w:rFonts w:ascii="宋体" w:hAnsi="宋体" w:eastAsia="宋体" w:cs="宋体"/>
          <w:color w:val="auto"/>
          <w:spacing w:val="7"/>
          <w:sz w:val="20"/>
          <w:szCs w:val="20"/>
          <w:highlight w:val="none"/>
        </w:rPr>
        <w:t xml:space="preserve"> </w:t>
      </w:r>
      <w:r>
        <w:rPr>
          <w:rFonts w:ascii="宋体" w:hAnsi="宋体" w:eastAsia="宋体" w:cs="宋体"/>
          <w:color w:val="auto"/>
          <w:spacing w:val="11"/>
          <w:sz w:val="20"/>
          <w:szCs w:val="20"/>
          <w:highlight w:val="none"/>
        </w:rPr>
        <w:t>应文件，补充、修改后重新提交（上传</w:t>
      </w:r>
      <w:r>
        <w:rPr>
          <w:rFonts w:ascii="宋体" w:hAnsi="宋体" w:eastAsia="宋体" w:cs="宋体"/>
          <w:color w:val="auto"/>
          <w:spacing w:val="17"/>
          <w:sz w:val="20"/>
          <w:szCs w:val="20"/>
          <w:highlight w:val="none"/>
        </w:rPr>
        <w:t>），</w:t>
      </w:r>
      <w:r>
        <w:rPr>
          <w:rFonts w:ascii="宋体" w:hAnsi="宋体" w:eastAsia="宋体" w:cs="宋体"/>
          <w:color w:val="auto"/>
          <w:spacing w:val="11"/>
          <w:sz w:val="20"/>
          <w:szCs w:val="20"/>
          <w:highlight w:val="none"/>
        </w:rPr>
        <w:t>提交响应文件截止时间前未完成提交（上</w:t>
      </w:r>
      <w:r>
        <w:rPr>
          <w:rFonts w:ascii="宋体" w:hAnsi="宋体" w:eastAsia="宋体" w:cs="宋体"/>
          <w:color w:val="auto"/>
          <w:spacing w:val="10"/>
          <w:sz w:val="20"/>
          <w:szCs w:val="20"/>
          <w:highlight w:val="none"/>
        </w:rPr>
        <w:t>传）的，视</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为撤回响应文件。提交响应文件截止时间以后</w:t>
      </w:r>
      <w:r>
        <w:rPr>
          <w:rFonts w:ascii="宋体" w:hAnsi="宋体" w:eastAsia="宋体" w:cs="宋体"/>
          <w:color w:val="auto"/>
          <w:spacing w:val="9"/>
          <w:sz w:val="20"/>
          <w:szCs w:val="20"/>
          <w:highlight w:val="none"/>
        </w:rPr>
        <w:t>提交（上传）</w:t>
      </w:r>
      <w:r>
        <w:rPr>
          <w:rFonts w:ascii="宋体" w:hAnsi="宋体" w:eastAsia="宋体" w:cs="宋体"/>
          <w:color w:val="auto"/>
          <w:spacing w:val="-59"/>
          <w:sz w:val="20"/>
          <w:szCs w:val="20"/>
          <w:highlight w:val="none"/>
        </w:rPr>
        <w:t xml:space="preserve"> </w:t>
      </w:r>
      <w:r>
        <w:rPr>
          <w:rFonts w:ascii="宋体" w:hAnsi="宋体" w:eastAsia="宋体" w:cs="宋体"/>
          <w:color w:val="auto"/>
          <w:spacing w:val="9"/>
          <w:sz w:val="20"/>
          <w:szCs w:val="20"/>
          <w:highlight w:val="none"/>
        </w:rPr>
        <w:t>的响应文件，“政采云</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”平台将予以</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拒收。（补充、修改或者撤回方式可登陆“</w:t>
      </w:r>
      <w:r>
        <w:rPr>
          <w:rFonts w:ascii="宋体" w:hAnsi="宋体" w:eastAsia="宋体" w:cs="宋体"/>
          <w:color w:val="auto"/>
          <w:spacing w:val="6"/>
          <w:sz w:val="20"/>
          <w:szCs w:val="20"/>
          <w:highlight w:val="none"/>
        </w:rPr>
        <w:t>政采云</w:t>
      </w:r>
      <w:r>
        <w:rPr>
          <w:rFonts w:ascii="宋体" w:hAnsi="宋体" w:eastAsia="宋体" w:cs="宋体"/>
          <w:color w:val="auto"/>
          <w:spacing w:val="-73"/>
          <w:sz w:val="20"/>
          <w:szCs w:val="20"/>
          <w:highlight w:val="none"/>
        </w:rPr>
        <w:t xml:space="preserve"> </w:t>
      </w:r>
      <w:r>
        <w:rPr>
          <w:rFonts w:ascii="宋体" w:hAnsi="宋体" w:eastAsia="宋体" w:cs="宋体"/>
          <w:color w:val="auto"/>
          <w:spacing w:val="6"/>
          <w:sz w:val="20"/>
          <w:szCs w:val="20"/>
          <w:highlight w:val="none"/>
        </w:rPr>
        <w:t>”平台，进入“服务中心</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”中查看 “</w:t>
      </w:r>
      <w:r>
        <w:rPr>
          <w:rFonts w:ascii="宋体" w:hAnsi="宋体" w:eastAsia="宋体" w:cs="宋体"/>
          <w:color w:val="auto"/>
          <w:spacing w:val="-67"/>
          <w:sz w:val="20"/>
          <w:szCs w:val="20"/>
          <w:highlight w:val="none"/>
        </w:rPr>
        <w:t xml:space="preserve"> </w:t>
      </w:r>
      <w:r>
        <w:rPr>
          <w:rFonts w:ascii="宋体" w:hAnsi="宋体" w:eastAsia="宋体" w:cs="宋体"/>
          <w:color w:val="auto"/>
          <w:spacing w:val="6"/>
          <w:sz w:val="20"/>
          <w:szCs w:val="20"/>
          <w:highlight w:val="none"/>
        </w:rPr>
        <w:t>电子投标</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文件制作与投送教程</w:t>
      </w:r>
      <w:r>
        <w:rPr>
          <w:rFonts w:ascii="宋体" w:hAnsi="宋体" w:eastAsia="宋体" w:cs="宋体"/>
          <w:color w:val="auto"/>
          <w:spacing w:val="-67"/>
          <w:sz w:val="20"/>
          <w:szCs w:val="20"/>
          <w:highlight w:val="none"/>
        </w:rPr>
        <w:t xml:space="preserve"> </w:t>
      </w:r>
      <w:r>
        <w:rPr>
          <w:rFonts w:ascii="宋体" w:hAnsi="宋体" w:eastAsia="宋体" w:cs="宋体"/>
          <w:color w:val="auto"/>
          <w:spacing w:val="8"/>
          <w:sz w:val="20"/>
          <w:szCs w:val="20"/>
          <w:highlight w:val="none"/>
        </w:rPr>
        <w:t>”）</w:t>
      </w:r>
    </w:p>
    <w:p w14:paraId="3937E5E9">
      <w:pPr>
        <w:spacing w:before="221" w:line="330" w:lineRule="auto"/>
        <w:ind w:left="3" w:right="54"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21.2 在提交响应文件截止时间前，除供应商补充、修改或者撤回响应文件外，任何单位和个</w:t>
      </w:r>
      <w:r>
        <w:rPr>
          <w:rFonts w:ascii="宋体" w:hAnsi="宋体" w:eastAsia="宋体" w:cs="宋体"/>
          <w:color w:val="auto"/>
          <w:spacing w:val="2"/>
          <w:sz w:val="20"/>
          <w:szCs w:val="20"/>
          <w:highlight w:val="none"/>
        </w:rPr>
        <w:t xml:space="preserve"> </w:t>
      </w:r>
      <w:r>
        <w:rPr>
          <w:rFonts w:ascii="宋体" w:hAnsi="宋体" w:eastAsia="宋体" w:cs="宋体"/>
          <w:color w:val="auto"/>
          <w:spacing w:val="8"/>
          <w:sz w:val="20"/>
          <w:szCs w:val="20"/>
          <w:highlight w:val="none"/>
        </w:rPr>
        <w:t>人不得解密或提取响应文件。</w:t>
      </w:r>
    </w:p>
    <w:p w14:paraId="452AE52B">
      <w:pPr>
        <w:spacing w:before="207" w:line="219" w:lineRule="auto"/>
        <w:ind w:left="48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22.</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首次响应文件的退回</w:t>
      </w:r>
    </w:p>
    <w:p w14:paraId="740B02EC">
      <w:pPr>
        <w:spacing w:before="197" w:line="227"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采购人和采购代理机构对已提交的响应文件概不退回。</w:t>
      </w:r>
    </w:p>
    <w:p w14:paraId="39D693C0">
      <w:pPr>
        <w:spacing w:before="207" w:line="220" w:lineRule="auto"/>
        <w:ind w:left="48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23.</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截止时间后的撤回</w:t>
      </w:r>
    </w:p>
    <w:p w14:paraId="19DB04C7">
      <w:pPr>
        <w:spacing w:before="197" w:line="433" w:lineRule="auto"/>
        <w:ind w:right="106"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供应商在首次响应文件提交截止时间后向采购人、采购代理机构书面申请撤回响应文</w:t>
      </w:r>
      <w:r>
        <w:rPr>
          <w:rFonts w:ascii="宋体" w:hAnsi="宋体" w:eastAsia="宋体" w:cs="宋体"/>
          <w:color w:val="auto"/>
          <w:spacing w:val="9"/>
          <w:sz w:val="20"/>
          <w:szCs w:val="20"/>
          <w:highlight w:val="none"/>
        </w:rPr>
        <w:t>件的，</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将根据本须知正文</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rPr>
        <w:t>17.4</w:t>
      </w:r>
      <w:r>
        <w:rPr>
          <w:rFonts w:ascii="宋体" w:hAnsi="宋体" w:eastAsia="宋体" w:cs="宋体"/>
          <w:color w:val="auto"/>
          <w:spacing w:val="-23"/>
          <w:sz w:val="20"/>
          <w:szCs w:val="20"/>
          <w:highlight w:val="none"/>
        </w:rPr>
        <w:t xml:space="preserve"> </w:t>
      </w:r>
      <w:r>
        <w:rPr>
          <w:rFonts w:ascii="宋体" w:hAnsi="宋体" w:eastAsia="宋体" w:cs="宋体"/>
          <w:color w:val="auto"/>
          <w:spacing w:val="6"/>
          <w:sz w:val="20"/>
          <w:szCs w:val="20"/>
          <w:highlight w:val="none"/>
        </w:rPr>
        <w:t>的规定不予退还其磋商保证金。</w:t>
      </w:r>
    </w:p>
    <w:p w14:paraId="4F5C7C78">
      <w:pPr>
        <w:pStyle w:val="3"/>
        <w:spacing w:line="388" w:lineRule="auto"/>
        <w:rPr>
          <w:color w:val="auto"/>
          <w:highlight w:val="none"/>
        </w:rPr>
      </w:pPr>
    </w:p>
    <w:p w14:paraId="4365AF17">
      <w:pPr>
        <w:spacing w:before="101" w:line="225" w:lineRule="auto"/>
        <w:ind w:left="3770"/>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四、评审及磋商</w:t>
      </w:r>
    </w:p>
    <w:p w14:paraId="3FA57E5E">
      <w:pPr>
        <w:pStyle w:val="3"/>
        <w:spacing w:line="295" w:lineRule="auto"/>
        <w:rPr>
          <w:color w:val="auto"/>
          <w:highlight w:val="none"/>
        </w:rPr>
      </w:pPr>
    </w:p>
    <w:p w14:paraId="73026ED7">
      <w:pPr>
        <w:pStyle w:val="3"/>
        <w:spacing w:line="296" w:lineRule="auto"/>
        <w:rPr>
          <w:color w:val="auto"/>
          <w:highlight w:val="none"/>
        </w:rPr>
      </w:pPr>
    </w:p>
    <w:p w14:paraId="73206A42">
      <w:pPr>
        <w:spacing w:before="79" w:line="220" w:lineRule="auto"/>
        <w:ind w:left="48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24.磋商小组成立</w:t>
      </w:r>
    </w:p>
    <w:p w14:paraId="771DCA85">
      <w:pPr>
        <w:spacing w:before="197" w:line="391" w:lineRule="auto"/>
        <w:ind w:right="56"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24.1</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磋商小组由采购人代表和评审专家共</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人以上单数组成，具体人数见“供应商须知前附</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表</w:t>
      </w:r>
      <w:r>
        <w:rPr>
          <w:rFonts w:ascii="宋体" w:hAnsi="宋体" w:eastAsia="宋体" w:cs="宋体"/>
          <w:color w:val="auto"/>
          <w:spacing w:val="-61"/>
          <w:sz w:val="20"/>
          <w:szCs w:val="20"/>
          <w:highlight w:val="none"/>
        </w:rPr>
        <w:t xml:space="preserve"> </w:t>
      </w:r>
      <w:r>
        <w:rPr>
          <w:rFonts w:ascii="宋体" w:hAnsi="宋体" w:eastAsia="宋体" w:cs="宋体"/>
          <w:color w:val="auto"/>
          <w:spacing w:val="6"/>
          <w:sz w:val="20"/>
          <w:szCs w:val="20"/>
          <w:highlight w:val="none"/>
        </w:rPr>
        <w:t>”，其中评审专家人数不得少于磋商小组成员总数的</w:t>
      </w:r>
      <w:r>
        <w:rPr>
          <w:rFonts w:ascii="宋体" w:hAnsi="宋体" w:eastAsia="宋体" w:cs="宋体"/>
          <w:color w:val="auto"/>
          <w:spacing w:val="-37"/>
          <w:sz w:val="20"/>
          <w:szCs w:val="20"/>
          <w:highlight w:val="none"/>
        </w:rPr>
        <w:t xml:space="preserve"> </w:t>
      </w:r>
      <w:r>
        <w:rPr>
          <w:rFonts w:ascii="宋体" w:hAnsi="宋体" w:eastAsia="宋体" w:cs="宋体"/>
          <w:color w:val="auto"/>
          <w:spacing w:val="6"/>
          <w:sz w:val="20"/>
          <w:szCs w:val="20"/>
          <w:highlight w:val="none"/>
        </w:rPr>
        <w:t>2/3。采购人代表不得以评审专家身份参加</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本部门或者本单位采购项目的评审。采购代理机构人员不得参加本机构代理的采购项目的评审。</w:t>
      </w:r>
      <w:r>
        <w:rPr>
          <w:rFonts w:ascii="宋体" w:hAnsi="宋体" w:eastAsia="宋体" w:cs="宋体"/>
          <w:color w:val="auto"/>
          <w:spacing w:val="5"/>
          <w:sz w:val="20"/>
          <w:szCs w:val="20"/>
          <w:highlight w:val="none"/>
        </w:rPr>
        <w:t xml:space="preserve"> </w:t>
      </w:r>
      <w:r>
        <w:rPr>
          <w:rFonts w:ascii="宋体" w:hAnsi="宋体" w:eastAsia="宋体" w:cs="宋体"/>
          <w:color w:val="auto"/>
          <w:spacing w:val="11"/>
          <w:sz w:val="20"/>
          <w:szCs w:val="20"/>
          <w:highlight w:val="none"/>
        </w:rPr>
        <w:t>达到公开招标数额标准的货物或者服务采购项目，或者达到公开招标规模标准的政府采购工程，</w:t>
      </w:r>
      <w:r>
        <w:rPr>
          <w:rFonts w:ascii="宋体" w:hAnsi="宋体" w:eastAsia="宋体" w:cs="宋体"/>
          <w:color w:val="auto"/>
          <w:spacing w:val="5"/>
          <w:sz w:val="20"/>
          <w:szCs w:val="20"/>
          <w:highlight w:val="none"/>
        </w:rPr>
        <w:t xml:space="preserve"> </w:t>
      </w:r>
      <w:r>
        <w:rPr>
          <w:rFonts w:ascii="宋体" w:hAnsi="宋体" w:eastAsia="宋体" w:cs="宋体"/>
          <w:color w:val="auto"/>
          <w:spacing w:val="8"/>
          <w:sz w:val="20"/>
          <w:szCs w:val="20"/>
          <w:highlight w:val="none"/>
        </w:rPr>
        <w:t>经批准采用竞争性磋商方式采购的，磋商小组由</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5</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人以上单数组成。</w:t>
      </w:r>
    </w:p>
    <w:p w14:paraId="2C1870D9">
      <w:pPr>
        <w:spacing w:before="223" w:line="329" w:lineRule="auto"/>
        <w:ind w:left="4" w:right="54"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24.2</w:t>
      </w:r>
      <w:r>
        <w:rPr>
          <w:rFonts w:ascii="宋体" w:hAnsi="宋体" w:eastAsia="宋体" w:cs="宋体"/>
          <w:color w:val="auto"/>
          <w:spacing w:val="-33"/>
          <w:sz w:val="20"/>
          <w:szCs w:val="20"/>
          <w:highlight w:val="none"/>
        </w:rPr>
        <w:t xml:space="preserve"> </w:t>
      </w:r>
      <w:r>
        <w:rPr>
          <w:rFonts w:ascii="宋体" w:hAnsi="宋体" w:eastAsia="宋体" w:cs="宋体"/>
          <w:color w:val="auto"/>
          <w:spacing w:val="9"/>
          <w:sz w:val="20"/>
          <w:szCs w:val="20"/>
          <w:highlight w:val="none"/>
        </w:rPr>
        <w:t>评审专家应当从政府采购评审专家库内相关专业的专家名单中随机抽取。市场竞争不充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分的科研项目，</w:t>
      </w:r>
      <w:r>
        <w:rPr>
          <w:rFonts w:ascii="宋体" w:hAnsi="宋体" w:eastAsia="宋体" w:cs="宋体"/>
          <w:color w:val="auto"/>
          <w:spacing w:val="-53"/>
          <w:sz w:val="20"/>
          <w:szCs w:val="20"/>
          <w:highlight w:val="none"/>
        </w:rPr>
        <w:t xml:space="preserve"> </w:t>
      </w:r>
      <w:r>
        <w:rPr>
          <w:rFonts w:ascii="宋体" w:hAnsi="宋体" w:eastAsia="宋体" w:cs="宋体"/>
          <w:color w:val="auto"/>
          <w:spacing w:val="9"/>
          <w:sz w:val="20"/>
          <w:szCs w:val="20"/>
          <w:highlight w:val="none"/>
        </w:rPr>
        <w:t>以及需要扶持的科技成果转化项目，</w:t>
      </w:r>
      <w:r>
        <w:rPr>
          <w:rFonts w:ascii="宋体" w:hAnsi="宋体" w:eastAsia="宋体" w:cs="宋体"/>
          <w:color w:val="auto"/>
          <w:spacing w:val="-60"/>
          <w:sz w:val="20"/>
          <w:szCs w:val="20"/>
          <w:highlight w:val="none"/>
        </w:rPr>
        <w:t xml:space="preserve"> </w:t>
      </w:r>
      <w:r>
        <w:rPr>
          <w:rFonts w:ascii="宋体" w:hAnsi="宋体" w:eastAsia="宋体" w:cs="宋体"/>
          <w:color w:val="auto"/>
          <w:spacing w:val="9"/>
          <w:sz w:val="20"/>
          <w:szCs w:val="20"/>
          <w:highlight w:val="none"/>
        </w:rPr>
        <w:t>以及情况特殊、通过随机方式难以确定合适</w:t>
      </w:r>
    </w:p>
    <w:p w14:paraId="2AAE00EE">
      <w:pPr>
        <w:spacing w:line="329" w:lineRule="auto"/>
        <w:rPr>
          <w:rFonts w:ascii="宋体" w:hAnsi="宋体" w:eastAsia="宋体" w:cs="宋体"/>
          <w:color w:val="auto"/>
          <w:sz w:val="20"/>
          <w:szCs w:val="20"/>
          <w:highlight w:val="none"/>
        </w:rPr>
        <w:sectPr>
          <w:footerReference r:id="rId12" w:type="default"/>
          <w:pgSz w:w="11906" w:h="16839"/>
          <w:pgMar w:top="1431" w:right="1387" w:bottom="1362" w:left="1592" w:header="0" w:footer="1200" w:gutter="0"/>
          <w:pgNumType w:fmt="decimal"/>
          <w:cols w:space="720" w:num="1"/>
        </w:sectPr>
      </w:pPr>
    </w:p>
    <w:p w14:paraId="61C86B19">
      <w:pPr>
        <w:spacing w:before="137" w:line="425" w:lineRule="auto"/>
        <w:ind w:left="4" w:firstLine="1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的评审专家的项目，经主管预算单位同意，可以自行选定评审专家。技</w:t>
      </w:r>
      <w:r>
        <w:rPr>
          <w:rFonts w:ascii="宋体" w:hAnsi="宋体" w:eastAsia="宋体" w:cs="宋体"/>
          <w:color w:val="auto"/>
          <w:spacing w:val="10"/>
          <w:sz w:val="20"/>
          <w:szCs w:val="20"/>
          <w:highlight w:val="none"/>
        </w:rPr>
        <w:t>术复杂、专业性强的采购</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项目，评审专家中应当包含</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1</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名法律专家。</w:t>
      </w:r>
    </w:p>
    <w:p w14:paraId="5D79C6DD">
      <w:pPr>
        <w:spacing w:line="219" w:lineRule="auto"/>
        <w:ind w:left="48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25.首次响应文件的开启</w:t>
      </w:r>
    </w:p>
    <w:p w14:paraId="229BAACC">
      <w:pPr>
        <w:spacing w:before="195" w:line="430" w:lineRule="auto"/>
        <w:ind w:firstLine="41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采购代理机构将在“供应商须知前附表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11"/>
          <w:sz w:val="20"/>
          <w:szCs w:val="20"/>
          <w:highlight w:val="none"/>
        </w:rPr>
        <w:t>”规</w:t>
      </w:r>
      <w:r>
        <w:rPr>
          <w:rFonts w:ascii="宋体" w:hAnsi="宋体" w:eastAsia="宋体" w:cs="宋体"/>
          <w:color w:val="auto"/>
          <w:spacing w:val="10"/>
          <w:sz w:val="20"/>
          <w:szCs w:val="20"/>
          <w:highlight w:val="none"/>
        </w:rPr>
        <w:t>定的时间通过电子交易平台组织响应文件开启，</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 xml:space="preserve">供应商的法定代表人或其委托代理人须携带加密时所用的 </w:t>
      </w:r>
      <w:r>
        <w:rPr>
          <w:rFonts w:ascii="宋体" w:hAnsi="宋体" w:eastAsia="宋体" w:cs="宋体"/>
          <w:color w:val="auto"/>
          <w:sz w:val="20"/>
          <w:szCs w:val="20"/>
          <w:highlight w:val="none"/>
        </w:rPr>
        <w:t>CA</w:t>
      </w:r>
      <w:r>
        <w:rPr>
          <w:rFonts w:ascii="宋体" w:hAnsi="宋体" w:eastAsia="宋体" w:cs="宋体"/>
          <w:color w:val="auto"/>
          <w:spacing w:val="11"/>
          <w:sz w:val="20"/>
          <w:szCs w:val="20"/>
          <w:highlight w:val="none"/>
        </w:rPr>
        <w:t xml:space="preserve"> 锁，按平台提示和磋商文件的规定</w:t>
      </w:r>
      <w:r>
        <w:rPr>
          <w:rFonts w:ascii="宋体" w:hAnsi="宋体" w:eastAsia="宋体" w:cs="宋体"/>
          <w:color w:val="auto"/>
          <w:spacing w:val="6"/>
          <w:sz w:val="20"/>
          <w:szCs w:val="20"/>
          <w:highlight w:val="none"/>
        </w:rPr>
        <w:t xml:space="preserve"> </w:t>
      </w:r>
      <w:r>
        <w:rPr>
          <w:rFonts w:ascii="宋体" w:hAnsi="宋体" w:eastAsia="宋体" w:cs="宋体"/>
          <w:color w:val="auto"/>
          <w:spacing w:val="10"/>
          <w:sz w:val="20"/>
          <w:szCs w:val="20"/>
          <w:highlight w:val="none"/>
        </w:rPr>
        <w:t>登录到“政采云</w:t>
      </w:r>
      <w:r>
        <w:rPr>
          <w:rFonts w:ascii="宋体" w:hAnsi="宋体" w:eastAsia="宋体" w:cs="宋体"/>
          <w:color w:val="auto"/>
          <w:spacing w:val="-68"/>
          <w:sz w:val="20"/>
          <w:szCs w:val="20"/>
          <w:highlight w:val="none"/>
        </w:rPr>
        <w:t xml:space="preserve"> </w:t>
      </w:r>
      <w:r>
        <w:rPr>
          <w:rFonts w:ascii="宋体" w:hAnsi="宋体" w:eastAsia="宋体" w:cs="宋体"/>
          <w:color w:val="auto"/>
          <w:spacing w:val="10"/>
          <w:sz w:val="20"/>
          <w:szCs w:val="20"/>
          <w:highlight w:val="none"/>
        </w:rPr>
        <w:t>”平台电子开标大厅签到，采购代理机构依托“</w:t>
      </w:r>
      <w:r>
        <w:rPr>
          <w:rFonts w:ascii="宋体" w:hAnsi="宋体" w:eastAsia="宋体" w:cs="宋体"/>
          <w:color w:val="auto"/>
          <w:spacing w:val="9"/>
          <w:sz w:val="20"/>
          <w:szCs w:val="20"/>
          <w:highlight w:val="none"/>
        </w:rPr>
        <w:t>政采云</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”平台向各供应商发出电</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子加密响应文件【开始解密】通知，</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由供应商按“供应商须知前附表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”规定的时间内自行进行响</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应文件解密。供应商未在规定的时间内解密响应文件或者解密失败的，供应商的响应文件作无效</w:t>
      </w:r>
      <w:r>
        <w:rPr>
          <w:rFonts w:ascii="宋体" w:hAnsi="宋体" w:eastAsia="宋体" w:cs="宋体"/>
          <w:color w:val="auto"/>
          <w:spacing w:val="6"/>
          <w:sz w:val="20"/>
          <w:szCs w:val="20"/>
          <w:highlight w:val="none"/>
        </w:rPr>
        <w:t xml:space="preserve"> </w:t>
      </w:r>
      <w:r>
        <w:rPr>
          <w:rFonts w:ascii="宋体" w:hAnsi="宋体" w:eastAsia="宋体" w:cs="宋体"/>
          <w:color w:val="auto"/>
          <w:spacing w:val="3"/>
          <w:sz w:val="20"/>
          <w:szCs w:val="20"/>
          <w:highlight w:val="none"/>
        </w:rPr>
        <w:t>处理。</w:t>
      </w:r>
    </w:p>
    <w:p w14:paraId="03E8FB59">
      <w:pPr>
        <w:spacing w:line="220" w:lineRule="auto"/>
        <w:ind w:left="48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26.评审程序、评审方法和评审标准</w:t>
      </w:r>
    </w:p>
    <w:p w14:paraId="5BC8F217">
      <w:pPr>
        <w:spacing w:before="196" w:line="227"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26.1 本项目的评审方法为综合评分法。</w:t>
      </w:r>
    </w:p>
    <w:p w14:paraId="5CA2B0ED">
      <w:pPr>
        <w:spacing w:before="222" w:line="330" w:lineRule="auto"/>
        <w:ind w:left="2"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26.2 磋商小组按照“第四章 评审程序、评审方法和评审</w:t>
      </w:r>
      <w:r>
        <w:rPr>
          <w:rFonts w:ascii="宋体" w:hAnsi="宋体" w:eastAsia="宋体" w:cs="宋体"/>
          <w:color w:val="auto"/>
          <w:spacing w:val="9"/>
          <w:sz w:val="20"/>
          <w:szCs w:val="20"/>
          <w:highlight w:val="none"/>
        </w:rPr>
        <w:t>标准</w:t>
      </w:r>
      <w:r>
        <w:rPr>
          <w:rFonts w:ascii="宋体" w:hAnsi="宋体" w:eastAsia="宋体" w:cs="宋体"/>
          <w:color w:val="auto"/>
          <w:spacing w:val="-69"/>
          <w:sz w:val="20"/>
          <w:szCs w:val="20"/>
          <w:highlight w:val="none"/>
        </w:rPr>
        <w:t xml:space="preserve"> </w:t>
      </w:r>
      <w:r>
        <w:rPr>
          <w:rFonts w:ascii="宋体" w:hAnsi="宋体" w:eastAsia="宋体" w:cs="宋体"/>
          <w:color w:val="auto"/>
          <w:spacing w:val="9"/>
          <w:sz w:val="20"/>
          <w:szCs w:val="20"/>
          <w:highlight w:val="none"/>
        </w:rPr>
        <w:t>”规定的方法、评审因素、标</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准和程序对响应文件进行评审。</w:t>
      </w:r>
    </w:p>
    <w:p w14:paraId="2768A5F7">
      <w:pPr>
        <w:spacing w:before="221"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26.3 商务/技术要求允许负偏离的条款数详见“供应商须知前附表</w:t>
      </w:r>
      <w:r>
        <w:rPr>
          <w:rFonts w:ascii="宋体" w:hAnsi="宋体" w:eastAsia="宋体" w:cs="宋体"/>
          <w:color w:val="auto"/>
          <w:spacing w:val="-56"/>
          <w:sz w:val="20"/>
          <w:szCs w:val="20"/>
          <w:highlight w:val="none"/>
        </w:rPr>
        <w:t xml:space="preserve"> </w:t>
      </w:r>
      <w:r>
        <w:rPr>
          <w:rFonts w:ascii="宋体" w:hAnsi="宋体" w:eastAsia="宋体" w:cs="宋体"/>
          <w:color w:val="auto"/>
          <w:spacing w:val="8"/>
          <w:sz w:val="20"/>
          <w:szCs w:val="20"/>
          <w:highlight w:val="none"/>
        </w:rPr>
        <w:t>”。</w:t>
      </w:r>
    </w:p>
    <w:p w14:paraId="421E451C">
      <w:pPr>
        <w:spacing w:before="224" w:line="363" w:lineRule="auto"/>
        <w:ind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26.4 磋商小组成员要依法独立评审，并对评审意见承担个人责任。磋商小组成员对需要共同</w:t>
      </w:r>
      <w:r>
        <w:rPr>
          <w:rFonts w:ascii="宋体" w:hAnsi="宋体" w:eastAsia="宋体" w:cs="宋体"/>
          <w:color w:val="auto"/>
          <w:spacing w:val="2"/>
          <w:sz w:val="20"/>
          <w:szCs w:val="20"/>
          <w:highlight w:val="none"/>
        </w:rPr>
        <w:t xml:space="preserve"> </w:t>
      </w:r>
      <w:r>
        <w:rPr>
          <w:rFonts w:ascii="宋体" w:hAnsi="宋体" w:eastAsia="宋体" w:cs="宋体"/>
          <w:color w:val="auto"/>
          <w:spacing w:val="11"/>
          <w:sz w:val="20"/>
          <w:szCs w:val="20"/>
          <w:highlight w:val="none"/>
        </w:rPr>
        <w:t>认定的事项存在争议的，按照少数服从多数的原则做出结论。持不同意见的磋商小组成员应当在</w:t>
      </w:r>
      <w:r>
        <w:rPr>
          <w:rFonts w:ascii="宋体" w:hAnsi="宋体" w:eastAsia="宋体" w:cs="宋体"/>
          <w:color w:val="auto"/>
          <w:spacing w:val="7"/>
          <w:sz w:val="20"/>
          <w:szCs w:val="20"/>
          <w:highlight w:val="none"/>
        </w:rPr>
        <w:t xml:space="preserve"> </w:t>
      </w:r>
      <w:r>
        <w:rPr>
          <w:rFonts w:ascii="宋体" w:hAnsi="宋体" w:eastAsia="宋体" w:cs="宋体"/>
          <w:color w:val="auto"/>
          <w:spacing w:val="9"/>
          <w:sz w:val="20"/>
          <w:szCs w:val="20"/>
          <w:highlight w:val="none"/>
        </w:rPr>
        <w:t>评审报告上签署不同意见并说明理由，否则视为同意。</w:t>
      </w:r>
    </w:p>
    <w:p w14:paraId="77BDA59D">
      <w:pPr>
        <w:spacing w:before="223" w:line="391" w:lineRule="auto"/>
        <w:ind w:left="2"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26.5</w:t>
      </w:r>
      <w:r>
        <w:rPr>
          <w:rFonts w:ascii="宋体" w:hAnsi="宋体" w:eastAsia="宋体" w:cs="宋体"/>
          <w:color w:val="auto"/>
          <w:spacing w:val="52"/>
          <w:sz w:val="20"/>
          <w:szCs w:val="20"/>
          <w:highlight w:val="none"/>
        </w:rPr>
        <w:t xml:space="preserve"> </w:t>
      </w:r>
      <w:r>
        <w:rPr>
          <w:rFonts w:ascii="宋体" w:hAnsi="宋体" w:eastAsia="宋体" w:cs="宋体"/>
          <w:color w:val="auto"/>
          <w:spacing w:val="7"/>
          <w:sz w:val="20"/>
          <w:szCs w:val="20"/>
          <w:highlight w:val="none"/>
        </w:rPr>
        <w:t>电子交易活动的中止。采购过程中出现以下情形，导致电子交易平台无法正常运行，或</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者无法保证电子交易的公平、公正和安全时，采</w:t>
      </w:r>
      <w:r>
        <w:rPr>
          <w:rFonts w:ascii="宋体" w:hAnsi="宋体" w:eastAsia="宋体" w:cs="宋体"/>
          <w:color w:val="auto"/>
          <w:spacing w:val="10"/>
          <w:sz w:val="20"/>
          <w:szCs w:val="20"/>
          <w:highlight w:val="none"/>
        </w:rPr>
        <w:t>购机构可中止电子交易活动</w:t>
      </w:r>
      <w:r>
        <w:rPr>
          <w:rFonts w:ascii="宋体" w:hAnsi="宋体" w:eastAsia="宋体" w:cs="宋体"/>
          <w:color w:val="auto"/>
          <w:spacing w:val="-13"/>
          <w:sz w:val="20"/>
          <w:szCs w:val="20"/>
          <w:highlight w:val="none"/>
        </w:rPr>
        <w:t>：</w:t>
      </w:r>
      <w:r>
        <w:rPr>
          <w:rFonts w:ascii="宋体" w:hAnsi="宋体" w:eastAsia="宋体" w:cs="宋体"/>
          <w:color w:val="auto"/>
          <w:spacing w:val="24"/>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10"/>
          <w:sz w:val="20"/>
          <w:szCs w:val="20"/>
          <w:highlight w:val="none"/>
        </w:rPr>
        <w:t>1）</w:t>
      </w:r>
      <w:r>
        <w:rPr>
          <w:rFonts w:ascii="宋体" w:hAnsi="宋体" w:eastAsia="宋体" w:cs="宋体"/>
          <w:color w:val="auto"/>
          <w:spacing w:val="-55"/>
          <w:sz w:val="20"/>
          <w:szCs w:val="20"/>
          <w:highlight w:val="none"/>
        </w:rPr>
        <w:t xml:space="preserve"> </w:t>
      </w:r>
      <w:r>
        <w:rPr>
          <w:rFonts w:ascii="宋体" w:hAnsi="宋体" w:eastAsia="宋体" w:cs="宋体"/>
          <w:color w:val="auto"/>
          <w:spacing w:val="10"/>
          <w:sz w:val="20"/>
          <w:szCs w:val="20"/>
          <w:highlight w:val="none"/>
        </w:rPr>
        <w:t>电子交易平</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台发生故障而无法登录访问的</w:t>
      </w:r>
      <w:r>
        <w:rPr>
          <w:rFonts w:ascii="宋体" w:hAnsi="宋体" w:eastAsia="宋体" w:cs="宋体"/>
          <w:color w:val="auto"/>
          <w:spacing w:val="-13"/>
          <w:sz w:val="20"/>
          <w:szCs w:val="20"/>
          <w:highlight w:val="none"/>
        </w:rPr>
        <w:t>；</w:t>
      </w:r>
      <w:r>
        <w:rPr>
          <w:rFonts w:ascii="宋体" w:hAnsi="宋体" w:eastAsia="宋体" w:cs="宋体"/>
          <w:color w:val="auto"/>
          <w:spacing w:val="26"/>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11"/>
          <w:sz w:val="20"/>
          <w:szCs w:val="20"/>
          <w:highlight w:val="none"/>
        </w:rPr>
        <w:t>2）</w:t>
      </w:r>
      <w:r>
        <w:rPr>
          <w:rFonts w:ascii="宋体" w:hAnsi="宋体" w:eastAsia="宋体" w:cs="宋体"/>
          <w:color w:val="auto"/>
          <w:spacing w:val="-55"/>
          <w:sz w:val="20"/>
          <w:szCs w:val="20"/>
          <w:highlight w:val="none"/>
        </w:rPr>
        <w:t xml:space="preserve"> </w:t>
      </w:r>
      <w:r>
        <w:rPr>
          <w:rFonts w:ascii="宋体" w:hAnsi="宋体" w:eastAsia="宋体" w:cs="宋体"/>
          <w:color w:val="auto"/>
          <w:spacing w:val="11"/>
          <w:sz w:val="20"/>
          <w:szCs w:val="20"/>
          <w:highlight w:val="none"/>
        </w:rPr>
        <w:t>电子交易平台</w:t>
      </w:r>
      <w:r>
        <w:rPr>
          <w:rFonts w:ascii="宋体" w:hAnsi="宋体" w:eastAsia="宋体" w:cs="宋体"/>
          <w:color w:val="auto"/>
          <w:spacing w:val="10"/>
          <w:sz w:val="20"/>
          <w:szCs w:val="20"/>
          <w:highlight w:val="none"/>
        </w:rPr>
        <w:t>应用或数据库出现错误，不能进行正常操作</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的</w:t>
      </w:r>
      <w:r>
        <w:rPr>
          <w:rFonts w:ascii="宋体" w:hAnsi="宋体" w:eastAsia="宋体" w:cs="宋体"/>
          <w:color w:val="auto"/>
          <w:spacing w:val="-20"/>
          <w:sz w:val="20"/>
          <w:szCs w:val="20"/>
          <w:highlight w:val="none"/>
        </w:rPr>
        <w:t>；</w:t>
      </w:r>
      <w:r>
        <w:rPr>
          <w:rFonts w:ascii="宋体" w:hAnsi="宋体" w:eastAsia="宋体" w:cs="宋体"/>
          <w:color w:val="auto"/>
          <w:spacing w:val="25"/>
          <w:sz w:val="20"/>
          <w:szCs w:val="20"/>
          <w:highlight w:val="none"/>
        </w:rPr>
        <w:t xml:space="preserve"> </w:t>
      </w: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3）</w:t>
      </w:r>
      <w:r>
        <w:rPr>
          <w:rFonts w:ascii="宋体" w:hAnsi="宋体" w:eastAsia="宋体" w:cs="宋体"/>
          <w:color w:val="auto"/>
          <w:spacing w:val="-55"/>
          <w:sz w:val="20"/>
          <w:szCs w:val="20"/>
          <w:highlight w:val="none"/>
        </w:rPr>
        <w:t xml:space="preserve"> </w:t>
      </w:r>
      <w:r>
        <w:rPr>
          <w:rFonts w:ascii="宋体" w:hAnsi="宋体" w:eastAsia="宋体" w:cs="宋体"/>
          <w:color w:val="auto"/>
          <w:spacing w:val="12"/>
          <w:sz w:val="20"/>
          <w:szCs w:val="20"/>
          <w:highlight w:val="none"/>
        </w:rPr>
        <w:t>电子交易平台发现严重安全漏洞，有潜在泄密危险的</w:t>
      </w:r>
      <w:r>
        <w:rPr>
          <w:rFonts w:ascii="宋体" w:hAnsi="宋体" w:eastAsia="宋体" w:cs="宋体"/>
          <w:color w:val="auto"/>
          <w:spacing w:val="-20"/>
          <w:sz w:val="20"/>
          <w:szCs w:val="20"/>
          <w:highlight w:val="none"/>
        </w:rPr>
        <w:t>；</w:t>
      </w:r>
      <w:r>
        <w:rPr>
          <w:rFonts w:ascii="宋体" w:hAnsi="宋体" w:eastAsia="宋体" w:cs="宋体"/>
          <w:color w:val="auto"/>
          <w:spacing w:val="24"/>
          <w:sz w:val="20"/>
          <w:szCs w:val="20"/>
          <w:highlight w:val="none"/>
        </w:rPr>
        <w:t xml:space="preserve"> </w:t>
      </w: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4）病毒发作导致</w:t>
      </w:r>
      <w:r>
        <w:rPr>
          <w:rFonts w:ascii="宋体" w:hAnsi="宋体" w:eastAsia="宋体" w:cs="宋体"/>
          <w:color w:val="auto"/>
          <w:spacing w:val="11"/>
          <w:sz w:val="20"/>
          <w:szCs w:val="20"/>
          <w:highlight w:val="none"/>
        </w:rPr>
        <w:t>不能进行</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正常操作的</w:t>
      </w:r>
      <w:r>
        <w:rPr>
          <w:rFonts w:ascii="宋体" w:hAnsi="宋体" w:eastAsia="宋体" w:cs="宋体"/>
          <w:color w:val="auto"/>
          <w:spacing w:val="-12"/>
          <w:sz w:val="20"/>
          <w:szCs w:val="20"/>
          <w:highlight w:val="none"/>
        </w:rPr>
        <w:t>；</w:t>
      </w:r>
      <w:r>
        <w:rPr>
          <w:rFonts w:ascii="宋体" w:hAnsi="宋体" w:eastAsia="宋体" w:cs="宋体"/>
          <w:color w:val="auto"/>
          <w:spacing w:val="22"/>
          <w:sz w:val="20"/>
          <w:szCs w:val="20"/>
          <w:highlight w:val="none"/>
        </w:rPr>
        <w:t xml:space="preserve"> </w:t>
      </w:r>
      <w:r>
        <w:rPr>
          <w:rFonts w:ascii="宋体" w:hAnsi="宋体" w:eastAsia="宋体" w:cs="宋体"/>
          <w:color w:val="auto"/>
          <w:spacing w:val="-12"/>
          <w:sz w:val="20"/>
          <w:szCs w:val="20"/>
          <w:highlight w:val="none"/>
        </w:rPr>
        <w:t>（</w:t>
      </w:r>
      <w:r>
        <w:rPr>
          <w:rFonts w:ascii="宋体" w:hAnsi="宋体" w:eastAsia="宋体" w:cs="宋体"/>
          <w:color w:val="auto"/>
          <w:spacing w:val="10"/>
          <w:sz w:val="20"/>
          <w:szCs w:val="20"/>
          <w:highlight w:val="none"/>
        </w:rPr>
        <w:t>5）其他无法保证电子交易的公平、公正和安全的情况。</w:t>
      </w:r>
    </w:p>
    <w:p w14:paraId="0301029A">
      <w:pPr>
        <w:spacing w:before="222" w:line="381" w:lineRule="auto"/>
        <w:ind w:left="2"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26.6</w:t>
      </w:r>
      <w:r>
        <w:rPr>
          <w:rFonts w:ascii="宋体" w:hAnsi="宋体" w:eastAsia="宋体" w:cs="宋体"/>
          <w:color w:val="auto"/>
          <w:spacing w:val="31"/>
          <w:sz w:val="20"/>
          <w:szCs w:val="20"/>
          <w:highlight w:val="none"/>
        </w:rPr>
        <w:t xml:space="preserve"> </w:t>
      </w:r>
      <w:r>
        <w:rPr>
          <w:rFonts w:ascii="宋体" w:hAnsi="宋体" w:eastAsia="宋体" w:cs="宋体"/>
          <w:color w:val="auto"/>
          <w:spacing w:val="8"/>
          <w:sz w:val="20"/>
          <w:szCs w:val="20"/>
          <w:highlight w:val="none"/>
        </w:rPr>
        <w:t>出现以上情形，不影响采购公平、公正</w:t>
      </w:r>
      <w:r>
        <w:rPr>
          <w:rFonts w:ascii="宋体" w:hAnsi="宋体" w:eastAsia="宋体" w:cs="宋体"/>
          <w:color w:val="auto"/>
          <w:spacing w:val="7"/>
          <w:sz w:val="20"/>
          <w:szCs w:val="20"/>
          <w:highlight w:val="none"/>
        </w:rPr>
        <w:t>性的，采购组织机构可以待上述情形消除后继续</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组织电子交易活动；影响或可能影响采购公平、公正性的，经采购代理机构确认，报采购人同意</w:t>
      </w:r>
      <w:r>
        <w:rPr>
          <w:rFonts w:ascii="宋体" w:hAnsi="宋体" w:eastAsia="宋体" w:cs="宋体"/>
          <w:color w:val="auto"/>
          <w:spacing w:val="4"/>
          <w:sz w:val="20"/>
          <w:szCs w:val="20"/>
          <w:highlight w:val="none"/>
        </w:rPr>
        <w:t xml:space="preserve"> </w:t>
      </w:r>
      <w:r>
        <w:rPr>
          <w:rFonts w:ascii="宋体" w:hAnsi="宋体" w:eastAsia="宋体" w:cs="宋体"/>
          <w:color w:val="auto"/>
          <w:spacing w:val="11"/>
          <w:sz w:val="20"/>
          <w:szCs w:val="20"/>
          <w:highlight w:val="none"/>
        </w:rPr>
        <w:t>后，应当重新采购。采购代理机构必须对原有的资料及信息作出妥善保密处理，并报财政部门备</w:t>
      </w:r>
      <w:r>
        <w:rPr>
          <w:rFonts w:ascii="宋体" w:hAnsi="宋体" w:eastAsia="宋体" w:cs="宋体"/>
          <w:color w:val="auto"/>
          <w:spacing w:val="4"/>
          <w:sz w:val="20"/>
          <w:szCs w:val="20"/>
          <w:highlight w:val="none"/>
        </w:rPr>
        <w:t xml:space="preserve"> </w:t>
      </w:r>
      <w:r>
        <w:rPr>
          <w:rFonts w:ascii="宋体" w:hAnsi="宋体" w:eastAsia="宋体" w:cs="宋体"/>
          <w:color w:val="auto"/>
          <w:spacing w:val="-1"/>
          <w:sz w:val="20"/>
          <w:szCs w:val="20"/>
          <w:highlight w:val="none"/>
        </w:rPr>
        <w:t>案。</w:t>
      </w:r>
    </w:p>
    <w:p w14:paraId="618268AC">
      <w:pPr>
        <w:spacing w:before="206" w:line="218" w:lineRule="auto"/>
        <w:ind w:left="48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27.确定成交供应商及结果公告</w:t>
      </w:r>
    </w:p>
    <w:p w14:paraId="631AEC27">
      <w:pPr>
        <w:spacing w:before="199" w:line="388" w:lineRule="auto"/>
        <w:ind w:firstLine="423"/>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27.1 采购代理机构应当在评审结束后 2 个工作日内将评审报告送采购人确认。采购人应当</w:t>
      </w:r>
      <w:r>
        <w:rPr>
          <w:rFonts w:ascii="宋体" w:hAnsi="宋体" w:eastAsia="宋体" w:cs="宋体"/>
          <w:color w:val="auto"/>
          <w:spacing w:val="5"/>
          <w:sz w:val="20"/>
          <w:szCs w:val="20"/>
          <w:highlight w:val="none"/>
        </w:rPr>
        <w:t xml:space="preserve"> </w:t>
      </w:r>
      <w:r>
        <w:rPr>
          <w:rFonts w:ascii="宋体" w:hAnsi="宋体" w:eastAsia="宋体" w:cs="宋体"/>
          <w:color w:val="auto"/>
          <w:spacing w:val="8"/>
          <w:sz w:val="20"/>
          <w:szCs w:val="20"/>
          <w:highlight w:val="none"/>
        </w:rPr>
        <w:t>在收到评审报告后 5 个工作日内，从评审报告提出的成交候选供应商中，按照排序由高到低的原</w:t>
      </w:r>
      <w:r>
        <w:rPr>
          <w:rFonts w:ascii="宋体" w:hAnsi="宋体" w:eastAsia="宋体" w:cs="宋体"/>
          <w:color w:val="auto"/>
          <w:spacing w:val="17"/>
          <w:sz w:val="20"/>
          <w:szCs w:val="20"/>
          <w:highlight w:val="none"/>
        </w:rPr>
        <w:t xml:space="preserve"> </w:t>
      </w:r>
      <w:r>
        <w:rPr>
          <w:rFonts w:ascii="宋体" w:hAnsi="宋体" w:eastAsia="宋体" w:cs="宋体"/>
          <w:color w:val="auto"/>
          <w:spacing w:val="11"/>
          <w:sz w:val="20"/>
          <w:szCs w:val="20"/>
          <w:highlight w:val="none"/>
        </w:rPr>
        <w:t>则确定成交供应商，也可以书面授权磋商小组直接确定成交供应商。采购人逾期未确定成交供应</w:t>
      </w:r>
    </w:p>
    <w:p w14:paraId="5714E9DE">
      <w:pPr>
        <w:spacing w:line="388" w:lineRule="auto"/>
        <w:rPr>
          <w:rFonts w:ascii="宋体" w:hAnsi="宋体" w:eastAsia="宋体" w:cs="宋体"/>
          <w:color w:val="auto"/>
          <w:sz w:val="20"/>
          <w:szCs w:val="20"/>
          <w:highlight w:val="none"/>
        </w:rPr>
        <w:sectPr>
          <w:footerReference r:id="rId13" w:type="default"/>
          <w:pgSz w:w="11906" w:h="16839"/>
          <w:pgMar w:top="1431" w:right="1441" w:bottom="1362" w:left="1593" w:header="0" w:footer="1200" w:gutter="0"/>
          <w:pgNumType w:fmt="decimal"/>
          <w:cols w:space="720" w:num="1"/>
        </w:sectPr>
      </w:pPr>
    </w:p>
    <w:p w14:paraId="6155EFE6">
      <w:pPr>
        <w:spacing w:before="137" w:line="226" w:lineRule="auto"/>
        <w:ind w:left="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商且不提出异议的，视为确定评审报告提出的排序第一的供应商为成交供应商。</w:t>
      </w:r>
    </w:p>
    <w:p w14:paraId="03C5CC1D">
      <w:pPr>
        <w:spacing w:before="225" w:line="409" w:lineRule="auto"/>
        <w:ind w:firstLine="42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27.2 采购代理机构应当在成交供应商确定后 2 个工作日内，在省级以上财政部门指定的媒</w:t>
      </w:r>
      <w:r>
        <w:rPr>
          <w:rFonts w:ascii="宋体" w:hAnsi="宋体" w:eastAsia="宋体" w:cs="宋体"/>
          <w:color w:val="auto"/>
          <w:spacing w:val="8"/>
          <w:sz w:val="20"/>
          <w:szCs w:val="20"/>
          <w:highlight w:val="none"/>
        </w:rPr>
        <w:t xml:space="preserve"> </w:t>
      </w:r>
      <w:r>
        <w:rPr>
          <w:rFonts w:ascii="宋体" w:hAnsi="宋体" w:eastAsia="宋体" w:cs="宋体"/>
          <w:color w:val="auto"/>
          <w:spacing w:val="11"/>
          <w:sz w:val="20"/>
          <w:szCs w:val="20"/>
          <w:highlight w:val="none"/>
        </w:rPr>
        <w:t>体上公告成交结果，同时向成交供应商发出成交通知书。采购人或者采购代理机构发出成交通知</w:t>
      </w:r>
      <w:r>
        <w:rPr>
          <w:rFonts w:ascii="宋体" w:hAnsi="宋体" w:eastAsia="宋体" w:cs="宋体"/>
          <w:color w:val="auto"/>
          <w:spacing w:val="7"/>
          <w:sz w:val="20"/>
          <w:szCs w:val="20"/>
          <w:highlight w:val="none"/>
        </w:rPr>
        <w:t xml:space="preserve"> </w:t>
      </w:r>
      <w:r>
        <w:rPr>
          <w:rFonts w:ascii="宋体" w:hAnsi="宋体" w:eastAsia="宋体" w:cs="宋体"/>
          <w:color w:val="auto"/>
          <w:spacing w:val="11"/>
          <w:sz w:val="20"/>
          <w:szCs w:val="20"/>
          <w:highlight w:val="none"/>
        </w:rPr>
        <w:t>书前，应当对成交供应商信用进行查询，对列入失信被执行人、重大税收违法失信主体、政府采</w:t>
      </w:r>
      <w:r>
        <w:rPr>
          <w:rFonts w:ascii="宋体" w:hAnsi="宋体" w:eastAsia="宋体" w:cs="宋体"/>
          <w:color w:val="auto"/>
          <w:spacing w:val="7"/>
          <w:sz w:val="20"/>
          <w:szCs w:val="20"/>
          <w:highlight w:val="none"/>
        </w:rPr>
        <w:t xml:space="preserve"> </w:t>
      </w:r>
      <w:r>
        <w:rPr>
          <w:rFonts w:ascii="宋体" w:hAnsi="宋体" w:eastAsia="宋体" w:cs="宋体"/>
          <w:color w:val="auto"/>
          <w:spacing w:val="11"/>
          <w:sz w:val="20"/>
          <w:szCs w:val="20"/>
          <w:highlight w:val="none"/>
        </w:rPr>
        <w:t>购严重违法失信行为记录名单及其他不符合《中华人民共和国政府采购法》第二十二条规定条件</w:t>
      </w:r>
      <w:r>
        <w:rPr>
          <w:rFonts w:ascii="宋体" w:hAnsi="宋体" w:eastAsia="宋体" w:cs="宋体"/>
          <w:color w:val="auto"/>
          <w:spacing w:val="7"/>
          <w:sz w:val="20"/>
          <w:szCs w:val="20"/>
          <w:highlight w:val="none"/>
        </w:rPr>
        <w:t xml:space="preserve"> </w:t>
      </w:r>
      <w:r>
        <w:rPr>
          <w:rFonts w:ascii="宋体" w:hAnsi="宋体" w:eastAsia="宋体" w:cs="宋体"/>
          <w:color w:val="auto"/>
          <w:spacing w:val="11"/>
          <w:sz w:val="20"/>
          <w:szCs w:val="20"/>
          <w:highlight w:val="none"/>
        </w:rPr>
        <w:t>的供应商，取消其成交资格，并确定排名第二的成交候选人为成交供应商。排名第二的成交候选</w:t>
      </w:r>
      <w:r>
        <w:rPr>
          <w:rFonts w:ascii="宋体" w:hAnsi="宋体" w:eastAsia="宋体" w:cs="宋体"/>
          <w:color w:val="auto"/>
          <w:spacing w:val="7"/>
          <w:sz w:val="20"/>
          <w:szCs w:val="20"/>
          <w:highlight w:val="none"/>
        </w:rPr>
        <w:t xml:space="preserve"> </w:t>
      </w:r>
      <w:r>
        <w:rPr>
          <w:rFonts w:ascii="宋体" w:hAnsi="宋体" w:eastAsia="宋体" w:cs="宋体"/>
          <w:color w:val="auto"/>
          <w:spacing w:val="11"/>
          <w:sz w:val="20"/>
          <w:szCs w:val="20"/>
          <w:highlight w:val="none"/>
        </w:rPr>
        <w:t>人因上述规定的同样原因被取消成交资格的，采购人可以确定排名第三的成交候选人为成交供应</w:t>
      </w:r>
      <w:r>
        <w:rPr>
          <w:rFonts w:ascii="宋体" w:hAnsi="宋体" w:eastAsia="宋体" w:cs="宋体"/>
          <w:color w:val="auto"/>
          <w:spacing w:val="7"/>
          <w:sz w:val="20"/>
          <w:szCs w:val="20"/>
          <w:highlight w:val="none"/>
        </w:rPr>
        <w:t xml:space="preserve"> </w:t>
      </w:r>
      <w:r>
        <w:rPr>
          <w:rFonts w:ascii="宋体" w:hAnsi="宋体" w:eastAsia="宋体" w:cs="宋体"/>
          <w:color w:val="auto"/>
          <w:spacing w:val="10"/>
          <w:sz w:val="20"/>
          <w:szCs w:val="20"/>
          <w:highlight w:val="none"/>
        </w:rPr>
        <w:t>商，</w:t>
      </w:r>
      <w:r>
        <w:rPr>
          <w:rFonts w:ascii="宋体" w:hAnsi="宋体" w:eastAsia="宋体" w:cs="宋体"/>
          <w:color w:val="auto"/>
          <w:spacing w:val="-51"/>
          <w:sz w:val="20"/>
          <w:szCs w:val="20"/>
          <w:highlight w:val="none"/>
        </w:rPr>
        <w:t xml:space="preserve"> </w:t>
      </w:r>
      <w:r>
        <w:rPr>
          <w:rFonts w:ascii="宋体" w:hAnsi="宋体" w:eastAsia="宋体" w:cs="宋体"/>
          <w:color w:val="auto"/>
          <w:spacing w:val="10"/>
          <w:sz w:val="20"/>
          <w:szCs w:val="20"/>
          <w:highlight w:val="none"/>
        </w:rPr>
        <w:t>以此类推。以上信息查询记录及相关证据与磋商文件一并保存。成交供应商享受《政府采购</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促进中小企业发展管理办法》（财库〔2020〕46 号）规定的中小企业扶持政策的，采购人、采购</w:t>
      </w:r>
      <w:r>
        <w:rPr>
          <w:rFonts w:ascii="宋体" w:hAnsi="宋体" w:eastAsia="宋体" w:cs="宋体"/>
          <w:color w:val="auto"/>
          <w:spacing w:val="2"/>
          <w:sz w:val="20"/>
          <w:szCs w:val="20"/>
          <w:highlight w:val="none"/>
        </w:rPr>
        <w:t xml:space="preserve"> </w:t>
      </w:r>
      <w:r>
        <w:rPr>
          <w:rFonts w:ascii="宋体" w:hAnsi="宋体" w:eastAsia="宋体" w:cs="宋体"/>
          <w:color w:val="auto"/>
          <w:spacing w:val="9"/>
          <w:sz w:val="20"/>
          <w:szCs w:val="20"/>
          <w:highlight w:val="none"/>
        </w:rPr>
        <w:t>代理机构应当随成交结果公开成交供应商的《中小企业声明函》。</w:t>
      </w:r>
    </w:p>
    <w:p w14:paraId="7970AC18">
      <w:pPr>
        <w:spacing w:before="222" w:line="329" w:lineRule="auto"/>
        <w:ind w:left="41" w:right="2" w:firstLine="38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27.3</w:t>
      </w:r>
      <w:r>
        <w:rPr>
          <w:rFonts w:ascii="宋体" w:hAnsi="宋体" w:eastAsia="宋体" w:cs="宋体"/>
          <w:color w:val="auto"/>
          <w:spacing w:val="31"/>
          <w:sz w:val="20"/>
          <w:szCs w:val="20"/>
          <w:highlight w:val="none"/>
        </w:rPr>
        <w:t xml:space="preserve"> </w:t>
      </w:r>
      <w:r>
        <w:rPr>
          <w:rFonts w:ascii="宋体" w:hAnsi="宋体" w:eastAsia="宋体" w:cs="宋体"/>
          <w:color w:val="auto"/>
          <w:spacing w:val="8"/>
          <w:sz w:val="20"/>
          <w:szCs w:val="20"/>
          <w:highlight w:val="none"/>
        </w:rPr>
        <w:t>出现下列情形之一的，采购人或者采购</w:t>
      </w:r>
      <w:r>
        <w:rPr>
          <w:rFonts w:ascii="宋体" w:hAnsi="宋体" w:eastAsia="宋体" w:cs="宋体"/>
          <w:color w:val="auto"/>
          <w:spacing w:val="7"/>
          <w:sz w:val="20"/>
          <w:szCs w:val="20"/>
          <w:highlight w:val="none"/>
        </w:rPr>
        <w:t>代理机构应当终止竞争性磋商采购活动，发布项</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目终止公告并说明原因，重新开展采购活动：</w:t>
      </w:r>
    </w:p>
    <w:p w14:paraId="7004F938">
      <w:pPr>
        <w:spacing w:before="222"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（1）因情况变化，不再符合规定的竞争性磋商采购方</w:t>
      </w:r>
      <w:r>
        <w:rPr>
          <w:rFonts w:ascii="宋体" w:hAnsi="宋体" w:eastAsia="宋体" w:cs="宋体"/>
          <w:color w:val="auto"/>
          <w:spacing w:val="8"/>
          <w:sz w:val="20"/>
          <w:szCs w:val="20"/>
          <w:highlight w:val="none"/>
        </w:rPr>
        <w:t>式适用情形的；</w:t>
      </w:r>
    </w:p>
    <w:p w14:paraId="6AA565F2">
      <w:pPr>
        <w:spacing w:before="222"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（2）出现影响采购公正的违法、违规行为的；</w:t>
      </w:r>
    </w:p>
    <w:p w14:paraId="788237AB">
      <w:pPr>
        <w:spacing w:before="222" w:line="329" w:lineRule="auto"/>
        <w:ind w:left="423" w:right="4" w:firstLine="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（3）除“第四章 评审程序、评审方法和评审标准</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”第 4.3 条规定的情形外，在采购过</w:t>
      </w:r>
      <w:r>
        <w:rPr>
          <w:rFonts w:ascii="宋体" w:hAnsi="宋体" w:eastAsia="宋体" w:cs="宋体"/>
          <w:color w:val="auto"/>
          <w:spacing w:val="6"/>
          <w:sz w:val="20"/>
          <w:szCs w:val="20"/>
          <w:highlight w:val="none"/>
        </w:rPr>
        <w:t>程中</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符合要求的供应商或者报价未超过采购预算的供应商不</w:t>
      </w:r>
      <w:r>
        <w:rPr>
          <w:rFonts w:ascii="宋体" w:hAnsi="宋体" w:eastAsia="宋体" w:cs="宋体"/>
          <w:color w:val="auto"/>
          <w:spacing w:val="8"/>
          <w:sz w:val="20"/>
          <w:szCs w:val="20"/>
          <w:highlight w:val="none"/>
        </w:rPr>
        <w:t>足 3 家的。</w:t>
      </w:r>
    </w:p>
    <w:p w14:paraId="5DEE577B">
      <w:pPr>
        <w:spacing w:before="223" w:line="227" w:lineRule="auto"/>
        <w:ind w:right="2"/>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27.4 在采购活动中因重大变故，采购任务取消的，采购人或者采购代理机构应当终止采购活</w:t>
      </w:r>
    </w:p>
    <w:p w14:paraId="13A2768B">
      <w:pPr>
        <w:spacing w:before="222" w:line="425" w:lineRule="auto"/>
        <w:ind w:left="4" w:right="2" w:firstLine="41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动，通知所有参加采购活动的供应商，并将项目实施情况和采购任务取消原因报送本级财政</w:t>
      </w:r>
      <w:r>
        <w:rPr>
          <w:rFonts w:ascii="宋体" w:hAnsi="宋体" w:eastAsia="宋体" w:cs="宋体"/>
          <w:color w:val="auto"/>
          <w:spacing w:val="7"/>
          <w:sz w:val="20"/>
          <w:szCs w:val="20"/>
          <w:highlight w:val="none"/>
        </w:rPr>
        <w:t xml:space="preserve"> </w:t>
      </w:r>
      <w:r>
        <w:rPr>
          <w:rFonts w:ascii="宋体" w:hAnsi="宋体" w:eastAsia="宋体" w:cs="宋体"/>
          <w:color w:val="auto"/>
          <w:spacing w:val="2"/>
          <w:sz w:val="20"/>
          <w:szCs w:val="20"/>
          <w:highlight w:val="none"/>
        </w:rPr>
        <w:t>部门。</w:t>
      </w:r>
    </w:p>
    <w:p w14:paraId="30752F5A">
      <w:pPr>
        <w:spacing w:before="1" w:line="220" w:lineRule="auto"/>
        <w:ind w:left="48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28.履约保证金</w:t>
      </w:r>
    </w:p>
    <w:p w14:paraId="0DE32A7A">
      <w:pPr>
        <w:spacing w:before="195" w:line="364" w:lineRule="auto"/>
        <w:ind w:left="1" w:right="2" w:firstLine="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28.1 履约保证金的金额、提交方式、退付的时间</w:t>
      </w:r>
      <w:r>
        <w:rPr>
          <w:rFonts w:ascii="宋体" w:hAnsi="宋体" w:eastAsia="宋体" w:cs="宋体"/>
          <w:color w:val="auto"/>
          <w:spacing w:val="9"/>
          <w:sz w:val="20"/>
          <w:szCs w:val="20"/>
          <w:highlight w:val="none"/>
        </w:rPr>
        <w:t>和条件详见 “供应商须知前附表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”。成交</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供应商未按规定提交履约保证金的，视为拒绝与采购人签订合同，采购人可以按照评审报告推荐</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的成交候选人名单排序，确定下一候选人为成交供应商，也可以重新开展政府采购活动。</w:t>
      </w:r>
    </w:p>
    <w:p w14:paraId="3B4A97BE">
      <w:pPr>
        <w:spacing w:before="222" w:line="330" w:lineRule="auto"/>
        <w:ind w:left="5" w:right="53"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28.2</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签订合同后，如成交供应商不按双方签订的合同规定履约，则没收其全部</w:t>
      </w:r>
      <w:r>
        <w:rPr>
          <w:rFonts w:ascii="宋体" w:hAnsi="宋体" w:eastAsia="宋体" w:cs="宋体"/>
          <w:color w:val="auto"/>
          <w:spacing w:val="7"/>
          <w:sz w:val="20"/>
          <w:szCs w:val="20"/>
          <w:highlight w:val="none"/>
        </w:rPr>
        <w:t>履约保证金，</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履约保证金不足以赔偿损失的，按实际损失赔</w:t>
      </w:r>
      <w:r>
        <w:rPr>
          <w:rFonts w:ascii="宋体" w:hAnsi="宋体" w:eastAsia="宋体" w:cs="宋体"/>
          <w:color w:val="auto"/>
          <w:spacing w:val="8"/>
          <w:sz w:val="20"/>
          <w:szCs w:val="20"/>
          <w:highlight w:val="none"/>
        </w:rPr>
        <w:t>偿。</w:t>
      </w:r>
    </w:p>
    <w:p w14:paraId="147968A4">
      <w:pPr>
        <w:spacing w:before="222" w:line="329" w:lineRule="auto"/>
        <w:ind w:left="5" w:right="2"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28.3</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在履约保证金退还日期前，若成交供应商的开户名称、开户银行、帐号有变动的，请以</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书面形式通知履约保证金收取单位，否则由此产生的后果由成交供应商自行承担。</w:t>
      </w:r>
    </w:p>
    <w:p w14:paraId="3DDB3047">
      <w:pPr>
        <w:spacing w:before="208" w:line="221" w:lineRule="auto"/>
        <w:ind w:left="48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29.签订合同</w:t>
      </w:r>
    </w:p>
    <w:p w14:paraId="1A7FFDAD">
      <w:pPr>
        <w:spacing w:before="194" w:line="366" w:lineRule="auto"/>
        <w:ind w:left="26" w:right="2" w:firstLine="40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29.1</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成交供应商在收到成交通知书后，应当在签订合同时向采购人出示相关证明材料，具体</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内容详见 “供应商须知前附表</w:t>
      </w:r>
      <w:r>
        <w:rPr>
          <w:rFonts w:ascii="宋体" w:hAnsi="宋体" w:eastAsia="宋体" w:cs="宋体"/>
          <w:color w:val="auto"/>
          <w:spacing w:val="-56"/>
          <w:sz w:val="20"/>
          <w:szCs w:val="20"/>
          <w:highlight w:val="none"/>
        </w:rPr>
        <w:t xml:space="preserve"> </w:t>
      </w:r>
      <w:r>
        <w:rPr>
          <w:rFonts w:ascii="宋体" w:hAnsi="宋体" w:eastAsia="宋体" w:cs="宋体"/>
          <w:color w:val="auto"/>
          <w:spacing w:val="7"/>
          <w:sz w:val="20"/>
          <w:szCs w:val="20"/>
          <w:highlight w:val="none"/>
        </w:rPr>
        <w:t>”，经采购人核验合格后方可签订合同。</w:t>
      </w:r>
    </w:p>
    <w:p w14:paraId="06C8BE6D">
      <w:pPr>
        <w:spacing w:line="366" w:lineRule="auto"/>
        <w:rPr>
          <w:rFonts w:ascii="宋体" w:hAnsi="宋体" w:eastAsia="宋体" w:cs="宋体"/>
          <w:color w:val="auto"/>
          <w:sz w:val="20"/>
          <w:szCs w:val="20"/>
          <w:highlight w:val="none"/>
        </w:rPr>
        <w:sectPr>
          <w:footerReference r:id="rId14" w:type="default"/>
          <w:pgSz w:w="11906" w:h="16839"/>
          <w:pgMar w:top="1431" w:right="1439" w:bottom="1362" w:left="1592" w:header="0" w:footer="1200" w:gutter="0"/>
          <w:pgNumType w:fmt="decimal"/>
          <w:cols w:space="720" w:num="1"/>
        </w:sectPr>
      </w:pPr>
    </w:p>
    <w:p w14:paraId="463FCFD2">
      <w:pPr>
        <w:spacing w:before="137" w:line="227"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29.2 签订合同时间：按成交通知书规定的时间</w:t>
      </w:r>
      <w:r>
        <w:rPr>
          <w:rFonts w:ascii="宋体" w:hAnsi="宋体" w:eastAsia="宋体" w:cs="宋体"/>
          <w:color w:val="auto"/>
          <w:spacing w:val="8"/>
          <w:sz w:val="20"/>
          <w:szCs w:val="20"/>
          <w:highlight w:val="none"/>
        </w:rPr>
        <w:t>与采购人签订政府采购合同。</w:t>
      </w:r>
    </w:p>
    <w:p w14:paraId="01751D8F">
      <w:pPr>
        <w:spacing w:before="221" w:line="364" w:lineRule="auto"/>
        <w:ind w:right="54" w:firstLine="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29.3</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成交供应商拒绝与采购人签订合同的，采购人可以按照评审报告推荐的成交候选人名单</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排序，确定下一候选人为成交供应商，也可以重新开展政府采购活动。拒绝签订政府采购合同的</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成交供应商不得参加对该合同项重新开展的采购活动。</w:t>
      </w:r>
    </w:p>
    <w:p w14:paraId="31F276EF">
      <w:pPr>
        <w:spacing w:before="207" w:line="218" w:lineRule="auto"/>
        <w:ind w:left="48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30.政府采购合同公告</w:t>
      </w:r>
    </w:p>
    <w:p w14:paraId="15BDD760">
      <w:pPr>
        <w:spacing w:before="200" w:line="427" w:lineRule="auto"/>
        <w:ind w:right="52" w:firstLine="420"/>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根据《中华人民共和国政府采购法实施条例》第五十条规定，采购人应当自政府采购合同签</w:t>
      </w:r>
      <w:r>
        <w:rPr>
          <w:rFonts w:ascii="宋体" w:hAnsi="宋体" w:eastAsia="宋体" w:cs="宋体"/>
          <w:color w:val="auto"/>
          <w:spacing w:val="8"/>
          <w:sz w:val="20"/>
          <w:szCs w:val="20"/>
          <w:highlight w:val="none"/>
        </w:rPr>
        <w:t xml:space="preserve"> </w:t>
      </w:r>
      <w:r>
        <w:rPr>
          <w:rFonts w:ascii="宋体" w:hAnsi="宋体" w:eastAsia="宋体" w:cs="宋体"/>
          <w:color w:val="auto"/>
          <w:spacing w:val="11"/>
          <w:sz w:val="20"/>
          <w:szCs w:val="20"/>
          <w:highlight w:val="none"/>
        </w:rPr>
        <w:t>订之日起</w:t>
      </w:r>
      <w:r>
        <w:rPr>
          <w:rFonts w:ascii="宋体" w:hAnsi="宋体" w:eastAsia="宋体" w:cs="宋体"/>
          <w:color w:val="auto"/>
          <w:spacing w:val="-34"/>
          <w:sz w:val="20"/>
          <w:szCs w:val="20"/>
          <w:highlight w:val="none"/>
        </w:rPr>
        <w:t xml:space="preserve"> </w:t>
      </w:r>
      <w:r>
        <w:rPr>
          <w:rFonts w:ascii="宋体" w:hAnsi="宋体" w:eastAsia="宋体" w:cs="宋体"/>
          <w:color w:val="auto"/>
          <w:spacing w:val="11"/>
          <w:sz w:val="20"/>
          <w:szCs w:val="20"/>
          <w:highlight w:val="none"/>
        </w:rPr>
        <w:t>2</w:t>
      </w:r>
      <w:r>
        <w:rPr>
          <w:rFonts w:ascii="宋体" w:hAnsi="宋体" w:eastAsia="宋体" w:cs="宋体"/>
          <w:color w:val="auto"/>
          <w:spacing w:val="-36"/>
          <w:sz w:val="20"/>
          <w:szCs w:val="20"/>
          <w:highlight w:val="none"/>
        </w:rPr>
        <w:t xml:space="preserve"> </w:t>
      </w:r>
      <w:r>
        <w:rPr>
          <w:rFonts w:ascii="宋体" w:hAnsi="宋体" w:eastAsia="宋体" w:cs="宋体"/>
          <w:color w:val="auto"/>
          <w:spacing w:val="11"/>
          <w:sz w:val="20"/>
          <w:szCs w:val="20"/>
          <w:highlight w:val="none"/>
        </w:rPr>
        <w:t>个工作日内，将政府采购合同在省级</w:t>
      </w:r>
      <w:r>
        <w:rPr>
          <w:rFonts w:ascii="宋体" w:hAnsi="宋体" w:eastAsia="宋体" w:cs="宋体"/>
          <w:color w:val="auto"/>
          <w:spacing w:val="10"/>
          <w:sz w:val="20"/>
          <w:szCs w:val="20"/>
          <w:highlight w:val="none"/>
        </w:rPr>
        <w:t>以上人民政府财政部门指定的媒体上公告，但政</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府采购合同中涉及国家秘密、商业秘密的内容除外。</w:t>
      </w:r>
    </w:p>
    <w:p w14:paraId="587F2B72">
      <w:pPr>
        <w:spacing w:line="220" w:lineRule="auto"/>
        <w:ind w:left="48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31.</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询问、质疑和投诉</w:t>
      </w:r>
    </w:p>
    <w:p w14:paraId="25DCA951">
      <w:pPr>
        <w:spacing w:before="197" w:line="329" w:lineRule="auto"/>
        <w:ind w:left="3" w:right="54"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31.1</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供应商对政府采购活动事项有疑问的，可以向采购人、采购代理机构提出询问，采购人</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或者采购代理机构应当在</w:t>
      </w:r>
      <w:r>
        <w:rPr>
          <w:rFonts w:ascii="宋体" w:hAnsi="宋体" w:eastAsia="宋体" w:cs="宋体"/>
          <w:color w:val="auto"/>
          <w:spacing w:val="-21"/>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个工作日内对供应商依法提出的询问作出答复。</w:t>
      </w:r>
    </w:p>
    <w:p w14:paraId="5D76D059">
      <w:pPr>
        <w:spacing w:before="222" w:line="381" w:lineRule="auto"/>
        <w:ind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31.2</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供应商认为磋商文件、采购过程或者成交结果使自己的合法权益受到损害的，应当在知</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道或者应知其权益受到损害之日起</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7</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个工作日内，以书面形式向采购人、采购代理机构</w:t>
      </w:r>
      <w:r>
        <w:rPr>
          <w:rFonts w:ascii="宋体" w:hAnsi="宋体" w:eastAsia="宋体" w:cs="宋体"/>
          <w:color w:val="auto"/>
          <w:spacing w:val="6"/>
          <w:sz w:val="20"/>
          <w:szCs w:val="20"/>
          <w:highlight w:val="none"/>
        </w:rPr>
        <w:t>提出质疑，</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接收质疑函的方式、联系部门、联系电话和</w:t>
      </w:r>
      <w:r>
        <w:rPr>
          <w:rFonts w:ascii="宋体" w:hAnsi="宋体" w:eastAsia="宋体" w:cs="宋体"/>
          <w:color w:val="auto"/>
          <w:spacing w:val="10"/>
          <w:sz w:val="20"/>
          <w:szCs w:val="20"/>
          <w:highlight w:val="none"/>
        </w:rPr>
        <w:t>通讯地址等信息详见“供应商须知前附表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10"/>
          <w:sz w:val="20"/>
          <w:szCs w:val="20"/>
          <w:highlight w:val="none"/>
        </w:rPr>
        <w:t>”。具体质</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疑起算时间如下：</w:t>
      </w:r>
    </w:p>
    <w:p w14:paraId="3F7EF40E">
      <w:pPr>
        <w:spacing w:before="221" w:line="331" w:lineRule="auto"/>
        <w:ind w:left="2" w:right="54" w:firstLine="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（1）对可以质疑的磋商文件提出质疑的，为收到磋商文件之日或者竞争性磋商公告期限届满</w:t>
      </w:r>
      <w:r>
        <w:rPr>
          <w:rFonts w:ascii="宋体" w:hAnsi="宋体" w:eastAsia="宋体" w:cs="宋体"/>
          <w:color w:val="auto"/>
          <w:spacing w:val="10"/>
          <w:sz w:val="20"/>
          <w:szCs w:val="20"/>
          <w:highlight w:val="none"/>
        </w:rPr>
        <w:t xml:space="preserve"> </w:t>
      </w:r>
      <w:r>
        <w:rPr>
          <w:rFonts w:ascii="宋体" w:hAnsi="宋体" w:eastAsia="宋体" w:cs="宋体"/>
          <w:color w:val="auto"/>
          <w:spacing w:val="2"/>
          <w:sz w:val="20"/>
          <w:szCs w:val="20"/>
          <w:highlight w:val="none"/>
        </w:rPr>
        <w:t>之日；</w:t>
      </w:r>
    </w:p>
    <w:p w14:paraId="4AED6453">
      <w:pPr>
        <w:spacing w:before="219"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（2）对采购过程提出质疑的，为各采购程序环节结束之日；</w:t>
      </w:r>
    </w:p>
    <w:p w14:paraId="17C92E10">
      <w:pPr>
        <w:spacing w:before="222"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（3）对成交结果提出质疑的，为成交结果</w:t>
      </w:r>
      <w:r>
        <w:rPr>
          <w:rFonts w:ascii="宋体" w:hAnsi="宋体" w:eastAsia="宋体" w:cs="宋体"/>
          <w:color w:val="auto"/>
          <w:spacing w:val="8"/>
          <w:sz w:val="20"/>
          <w:szCs w:val="20"/>
          <w:highlight w:val="none"/>
        </w:rPr>
        <w:t>公告期限届满之日。</w:t>
      </w:r>
    </w:p>
    <w:p w14:paraId="772E6A4E">
      <w:pPr>
        <w:spacing w:before="223" w:line="364" w:lineRule="auto"/>
        <w:ind w:right="54" w:firstLine="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31.3</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供应商提出的询问或者质疑超出采购人对采购代理机构委托授权范围的，采购代理机构</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应当告知供应商向采购人提出。政府采购评审专家应当配合采购人或者采购代理机构答复供应商</w:t>
      </w:r>
      <w:r>
        <w:rPr>
          <w:rFonts w:ascii="宋体" w:hAnsi="宋体" w:eastAsia="宋体" w:cs="宋体"/>
          <w:color w:val="auto"/>
          <w:spacing w:val="6"/>
          <w:sz w:val="20"/>
          <w:szCs w:val="20"/>
          <w:highlight w:val="none"/>
        </w:rPr>
        <w:t xml:space="preserve"> </w:t>
      </w:r>
      <w:r>
        <w:rPr>
          <w:rFonts w:ascii="宋体" w:hAnsi="宋体" w:eastAsia="宋体" w:cs="宋体"/>
          <w:color w:val="auto"/>
          <w:spacing w:val="7"/>
          <w:sz w:val="20"/>
          <w:szCs w:val="20"/>
          <w:highlight w:val="none"/>
        </w:rPr>
        <w:t>的询问和质疑。</w:t>
      </w:r>
    </w:p>
    <w:p w14:paraId="4E2C331A">
      <w:pPr>
        <w:spacing w:before="222" w:line="329" w:lineRule="auto"/>
        <w:ind w:right="54" w:firstLine="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31.4 供应商提出质疑应当提交质疑函和必要的证明材料，针对同一采购程序环节的质疑必须</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在法定质疑期内一次性提出。质疑函应当包括下</w:t>
      </w:r>
      <w:r>
        <w:rPr>
          <w:rFonts w:ascii="宋体" w:hAnsi="宋体" w:eastAsia="宋体" w:cs="宋体"/>
          <w:color w:val="auto"/>
          <w:spacing w:val="9"/>
          <w:sz w:val="20"/>
          <w:szCs w:val="20"/>
          <w:highlight w:val="none"/>
        </w:rPr>
        <w:t>列内容（质疑函格式后附</w:t>
      </w:r>
      <w:r>
        <w:rPr>
          <w:rFonts w:ascii="宋体" w:hAnsi="宋体" w:eastAsia="宋体" w:cs="宋体"/>
          <w:color w:val="auto"/>
          <w:sz w:val="20"/>
          <w:szCs w:val="20"/>
          <w:highlight w:val="none"/>
        </w:rPr>
        <w:t>）：</w:t>
      </w:r>
    </w:p>
    <w:p w14:paraId="3BD24FF8">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（1）供应商的姓名或者名称、地址、邮编、</w:t>
      </w:r>
      <w:r>
        <w:rPr>
          <w:rFonts w:ascii="宋体" w:hAnsi="宋体" w:eastAsia="宋体" w:cs="宋体"/>
          <w:color w:val="auto"/>
          <w:spacing w:val="8"/>
          <w:sz w:val="20"/>
          <w:szCs w:val="20"/>
          <w:highlight w:val="none"/>
        </w:rPr>
        <w:t>联系人及联系电话；</w:t>
      </w:r>
    </w:p>
    <w:p w14:paraId="29394351">
      <w:pPr>
        <w:spacing w:before="222"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（2）质疑项目的名称、编号；</w:t>
      </w:r>
    </w:p>
    <w:p w14:paraId="41955C86">
      <w:pPr>
        <w:spacing w:before="221"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（3）具体、明确的质疑事项和与质疑事项相关的请求；</w:t>
      </w:r>
    </w:p>
    <w:p w14:paraId="5EC862BE">
      <w:pPr>
        <w:spacing w:before="221" w:line="227"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（4）事实依据；</w:t>
      </w:r>
    </w:p>
    <w:p w14:paraId="1FF8049B">
      <w:pPr>
        <w:spacing w:before="222" w:line="227"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（5）必要的法律依据；</w:t>
      </w:r>
    </w:p>
    <w:p w14:paraId="1E019B09">
      <w:pPr>
        <w:spacing w:before="223" w:line="228"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（6）提出质疑的日期。</w:t>
      </w:r>
    </w:p>
    <w:p w14:paraId="6E5E17E7">
      <w:pPr>
        <w:spacing w:line="228" w:lineRule="auto"/>
        <w:rPr>
          <w:rFonts w:ascii="宋体" w:hAnsi="宋体" w:eastAsia="宋体" w:cs="宋体"/>
          <w:color w:val="auto"/>
          <w:sz w:val="20"/>
          <w:szCs w:val="20"/>
          <w:highlight w:val="none"/>
        </w:rPr>
        <w:sectPr>
          <w:footerReference r:id="rId15" w:type="default"/>
          <w:pgSz w:w="11906" w:h="16839"/>
          <w:pgMar w:top="1431" w:right="1387" w:bottom="1362" w:left="1593" w:header="0" w:footer="1200" w:gutter="0"/>
          <w:pgNumType w:fmt="decimal"/>
          <w:cols w:space="720" w:num="1"/>
        </w:sectPr>
      </w:pPr>
    </w:p>
    <w:p w14:paraId="0D9CB77D">
      <w:pPr>
        <w:spacing w:before="137" w:line="432" w:lineRule="auto"/>
        <w:ind w:left="1" w:right="106" w:firstLine="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供应商为自然人的，应当由本人签字；供应商为法人或者其他组织的，应当由法定代表人、</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主要负责人，或者其委托代理人签字或者盖章，并加盖公章。</w:t>
      </w:r>
    </w:p>
    <w:p w14:paraId="682B6C0A">
      <w:pPr>
        <w:spacing w:line="432" w:lineRule="auto"/>
        <w:ind w:left="4" w:right="122"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31.5</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采购人、采购代理机构认为供应商质疑不成立，或者成立但未对成交结果构成影响</w:t>
      </w:r>
      <w:r>
        <w:rPr>
          <w:rFonts w:ascii="宋体" w:hAnsi="宋体" w:eastAsia="宋体" w:cs="宋体"/>
          <w:color w:val="auto"/>
          <w:spacing w:val="7"/>
          <w:sz w:val="20"/>
          <w:szCs w:val="20"/>
          <w:highlight w:val="none"/>
        </w:rPr>
        <w:t>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继续开展采购活动；认为供应商质疑成立且影响或者可能影响成交结果的，按照下列情况处理：</w:t>
      </w:r>
    </w:p>
    <w:p w14:paraId="13A57AFA">
      <w:pPr>
        <w:spacing w:line="329" w:lineRule="auto"/>
        <w:ind w:right="71" w:firstLine="43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（一）对采购文件提出的质疑，依法通过澄清或者修改可以继续开展采购活动的，澄清</w:t>
      </w:r>
      <w:r>
        <w:rPr>
          <w:rFonts w:ascii="宋体" w:hAnsi="宋体" w:eastAsia="宋体" w:cs="宋体"/>
          <w:color w:val="auto"/>
          <w:spacing w:val="10"/>
          <w:sz w:val="20"/>
          <w:szCs w:val="20"/>
          <w:highlight w:val="none"/>
        </w:rPr>
        <w:t>或者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修改采购文件后继续开展采购活动；否则应当修改采购文件后重新开展采购活动。</w:t>
      </w:r>
    </w:p>
    <w:p w14:paraId="58FDE76A">
      <w:pPr>
        <w:spacing w:before="223" w:line="329" w:lineRule="auto"/>
        <w:ind w:left="4" w:firstLine="42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（二）对采购过程或者成交结果提出的质疑，合格供应商符合法定数量时，可以从合格</w:t>
      </w:r>
      <w:r>
        <w:rPr>
          <w:rFonts w:ascii="宋体" w:hAnsi="宋体" w:eastAsia="宋体" w:cs="宋体"/>
          <w:color w:val="auto"/>
          <w:spacing w:val="10"/>
          <w:sz w:val="20"/>
          <w:szCs w:val="20"/>
          <w:highlight w:val="none"/>
        </w:rPr>
        <w:t>的成</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交候选人中另行确定成交供应商的，应当依法另行确定成交供应商；否则应当</w:t>
      </w:r>
      <w:r>
        <w:rPr>
          <w:rFonts w:ascii="宋体" w:hAnsi="宋体" w:eastAsia="宋体" w:cs="宋体"/>
          <w:color w:val="auto"/>
          <w:spacing w:val="7"/>
          <w:sz w:val="20"/>
          <w:szCs w:val="20"/>
          <w:highlight w:val="none"/>
        </w:rPr>
        <w:t>重新开展采购活动。</w:t>
      </w:r>
    </w:p>
    <w:p w14:paraId="2ED11FD9">
      <w:pPr>
        <w:spacing w:before="222" w:line="432" w:lineRule="auto"/>
        <w:ind w:left="2" w:right="71" w:firstLine="41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质疑答复导致成交结果改变的，采购人或者采购代理机构应当将有关情况书面报告本级财政</w:t>
      </w:r>
      <w:r>
        <w:rPr>
          <w:rFonts w:ascii="宋体" w:hAnsi="宋体" w:eastAsia="宋体" w:cs="宋体"/>
          <w:color w:val="auto"/>
          <w:spacing w:val="7"/>
          <w:sz w:val="20"/>
          <w:szCs w:val="20"/>
          <w:highlight w:val="none"/>
        </w:rPr>
        <w:t xml:space="preserve"> </w:t>
      </w:r>
      <w:r>
        <w:rPr>
          <w:rFonts w:ascii="宋体" w:hAnsi="宋体" w:eastAsia="宋体" w:cs="宋体"/>
          <w:color w:val="auto"/>
          <w:spacing w:val="2"/>
          <w:sz w:val="20"/>
          <w:szCs w:val="20"/>
          <w:highlight w:val="none"/>
        </w:rPr>
        <w:t>部门。</w:t>
      </w:r>
    </w:p>
    <w:p w14:paraId="17274515">
      <w:pPr>
        <w:spacing w:before="1" w:line="427" w:lineRule="auto"/>
        <w:ind w:right="70" w:firstLine="423"/>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31.6</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投诉的权利。质疑供应商对采购人、采购代理机构的答复不满意，或者采购人、采购代</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理机构未在规定时间内作出答复的，可以在答复期满后</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15</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个工</w:t>
      </w:r>
      <w:r>
        <w:rPr>
          <w:rFonts w:ascii="宋体" w:hAnsi="宋体" w:eastAsia="宋体" w:cs="宋体"/>
          <w:color w:val="auto"/>
          <w:spacing w:val="7"/>
          <w:sz w:val="20"/>
          <w:szCs w:val="20"/>
          <w:highlight w:val="none"/>
        </w:rPr>
        <w:t>作日内向《政府采购质疑和投诉办</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法》（财政部令第</w:t>
      </w:r>
      <w:r>
        <w:rPr>
          <w:rFonts w:ascii="宋体" w:hAnsi="宋体" w:eastAsia="宋体" w:cs="宋体"/>
          <w:color w:val="auto"/>
          <w:spacing w:val="-31"/>
          <w:sz w:val="20"/>
          <w:szCs w:val="20"/>
          <w:highlight w:val="none"/>
        </w:rPr>
        <w:t xml:space="preserve"> </w:t>
      </w:r>
      <w:r>
        <w:rPr>
          <w:rFonts w:ascii="宋体" w:hAnsi="宋体" w:eastAsia="宋体" w:cs="宋体"/>
          <w:color w:val="auto"/>
          <w:spacing w:val="8"/>
          <w:sz w:val="20"/>
          <w:szCs w:val="20"/>
          <w:highlight w:val="none"/>
        </w:rPr>
        <w:t>94</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号）第六条规定的财政部门提起投诉（投诉书格式后附）。</w:t>
      </w:r>
    </w:p>
    <w:p w14:paraId="2F703BD4">
      <w:pPr>
        <w:spacing w:line="219" w:lineRule="auto"/>
        <w:ind w:left="48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32.其他内容</w:t>
      </w:r>
    </w:p>
    <w:p w14:paraId="6BBAF316">
      <w:pPr>
        <w:spacing w:before="197" w:line="330" w:lineRule="auto"/>
        <w:ind w:right="70"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32.1</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代理服务收费标准及缴费账户详见</w:t>
      </w:r>
      <w:r>
        <w:rPr>
          <w:rFonts w:ascii="宋体" w:hAnsi="宋体" w:eastAsia="宋体" w:cs="宋体"/>
          <w:color w:val="auto"/>
          <w:spacing w:val="8"/>
          <w:sz w:val="20"/>
          <w:szCs w:val="20"/>
          <w:highlight w:val="none"/>
        </w:rPr>
        <w:t>“供应商须知前附表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”，供应商为联合体的，可以由</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联合体中的一方或者多方共同交纳代理服务</w:t>
      </w:r>
      <w:r>
        <w:rPr>
          <w:rFonts w:ascii="宋体" w:hAnsi="宋体" w:eastAsia="宋体" w:cs="宋体"/>
          <w:color w:val="auto"/>
          <w:spacing w:val="8"/>
          <w:sz w:val="20"/>
          <w:szCs w:val="20"/>
          <w:highlight w:val="none"/>
        </w:rPr>
        <w:t>费。</w:t>
      </w:r>
    </w:p>
    <w:p w14:paraId="096606D3">
      <w:pPr>
        <w:spacing w:before="197" w:line="330" w:lineRule="auto"/>
        <w:ind w:right="70" w:firstLine="423"/>
        <w:rPr>
          <w:rFonts w:ascii="宋体" w:hAnsi="宋体" w:eastAsia="宋体" w:cs="宋体"/>
          <w:color w:val="auto"/>
          <w:spacing w:val="9"/>
          <w:sz w:val="20"/>
          <w:szCs w:val="20"/>
          <w:highlight w:val="none"/>
        </w:rPr>
      </w:pPr>
      <w:r>
        <w:rPr>
          <w:rFonts w:ascii="宋体" w:hAnsi="宋体" w:eastAsia="宋体" w:cs="宋体"/>
          <w:color w:val="auto"/>
          <w:spacing w:val="9"/>
          <w:sz w:val="20"/>
          <w:szCs w:val="20"/>
          <w:highlight w:val="none"/>
        </w:rPr>
        <w:t>32.2 代理服务费收费计算标准：</w:t>
      </w:r>
      <w:r>
        <w:rPr>
          <w:rFonts w:hint="eastAsia" w:ascii="宋体" w:hAnsi="宋体" w:eastAsia="宋体" w:cs="宋体"/>
          <w:color w:val="auto"/>
          <w:spacing w:val="9"/>
          <w:sz w:val="20"/>
          <w:szCs w:val="20"/>
          <w:highlight w:val="none"/>
        </w:rPr>
        <w:t>根据计价格〔2002〕1980号文、发改办价格〔2003〕857号文和发改价格〔2011〕534号文规定的收费标准，本次招标代理服务费由成交供应商支付。</w:t>
      </w:r>
    </w:p>
    <w:p w14:paraId="77BB5599">
      <w:pPr>
        <w:spacing w:before="208" w:line="219" w:lineRule="auto"/>
        <w:ind w:left="48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33.需要补充的其他内容</w:t>
      </w:r>
    </w:p>
    <w:p w14:paraId="2958573D">
      <w:pPr>
        <w:spacing w:before="197" w:line="227"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33.1</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本磋商文件解释规则详见“供应商须知前附表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w:t>
      </w:r>
    </w:p>
    <w:p w14:paraId="60C3B596">
      <w:pPr>
        <w:spacing w:before="222" w:line="227"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33.2 其他事项详见“供应商须知前附表</w:t>
      </w:r>
      <w:r>
        <w:rPr>
          <w:rFonts w:ascii="宋体" w:hAnsi="宋体" w:eastAsia="宋体" w:cs="宋体"/>
          <w:color w:val="auto"/>
          <w:spacing w:val="-54"/>
          <w:sz w:val="20"/>
          <w:szCs w:val="20"/>
          <w:highlight w:val="none"/>
        </w:rPr>
        <w:t xml:space="preserve"> </w:t>
      </w:r>
      <w:r>
        <w:rPr>
          <w:rFonts w:ascii="宋体" w:hAnsi="宋体" w:eastAsia="宋体" w:cs="宋体"/>
          <w:color w:val="auto"/>
          <w:spacing w:val="7"/>
          <w:sz w:val="20"/>
          <w:szCs w:val="20"/>
          <w:highlight w:val="none"/>
        </w:rPr>
        <w:t>”。</w:t>
      </w:r>
    </w:p>
    <w:p w14:paraId="110C3090">
      <w:pPr>
        <w:spacing w:before="222" w:line="364" w:lineRule="auto"/>
        <w:ind w:right="70"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33.3</w:t>
      </w:r>
      <w:r>
        <w:rPr>
          <w:rFonts w:ascii="宋体" w:hAnsi="宋体" w:eastAsia="宋体" w:cs="宋体"/>
          <w:color w:val="auto"/>
          <w:spacing w:val="-22"/>
          <w:sz w:val="20"/>
          <w:szCs w:val="20"/>
          <w:highlight w:val="none"/>
        </w:rPr>
        <w:t xml:space="preserve"> </w:t>
      </w:r>
      <w:r>
        <w:rPr>
          <w:rFonts w:ascii="宋体" w:hAnsi="宋体" w:eastAsia="宋体" w:cs="宋体"/>
          <w:color w:val="auto"/>
          <w:spacing w:val="8"/>
          <w:sz w:val="20"/>
          <w:szCs w:val="20"/>
          <w:highlight w:val="none"/>
        </w:rPr>
        <w:t>根据《民法典》第十二条“</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中华人民共和国领域内的民事活动，适用中华人民共和国法</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律。法律另有规定的，依照其规定。</w:t>
      </w:r>
      <w:r>
        <w:rPr>
          <w:rFonts w:ascii="宋体" w:hAnsi="宋体" w:eastAsia="宋体" w:cs="宋体"/>
          <w:color w:val="auto"/>
          <w:spacing w:val="-52"/>
          <w:sz w:val="20"/>
          <w:szCs w:val="20"/>
          <w:highlight w:val="none"/>
        </w:rPr>
        <w:t xml:space="preserve"> </w:t>
      </w:r>
      <w:r>
        <w:rPr>
          <w:rFonts w:ascii="宋体" w:hAnsi="宋体" w:eastAsia="宋体" w:cs="宋体"/>
          <w:color w:val="auto"/>
          <w:spacing w:val="10"/>
          <w:sz w:val="20"/>
          <w:szCs w:val="20"/>
          <w:highlight w:val="none"/>
        </w:rPr>
        <w:t>”规定，所有采购当事人的行为或其提供相关资料均应符合</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中华人民共和国法律的规定。</w:t>
      </w:r>
    </w:p>
    <w:p w14:paraId="5726E8F1">
      <w:pPr>
        <w:spacing w:line="364" w:lineRule="auto"/>
        <w:rPr>
          <w:rFonts w:ascii="宋体" w:hAnsi="宋体" w:eastAsia="宋体" w:cs="宋体"/>
          <w:color w:val="auto"/>
          <w:sz w:val="20"/>
          <w:szCs w:val="20"/>
          <w:highlight w:val="none"/>
        </w:rPr>
        <w:sectPr>
          <w:footerReference r:id="rId16" w:type="default"/>
          <w:pgSz w:w="11906" w:h="16839"/>
          <w:pgMar w:top="1431" w:right="1371" w:bottom="1362" w:left="1594" w:header="0" w:footer="1200" w:gutter="0"/>
          <w:pgNumType w:fmt="decimal"/>
          <w:cols w:space="720" w:num="1"/>
        </w:sectPr>
      </w:pPr>
    </w:p>
    <w:p w14:paraId="0F7AB6F7">
      <w:pPr>
        <w:spacing w:before="63" w:line="224" w:lineRule="auto"/>
        <w:ind w:left="450"/>
        <w:rPr>
          <w:rFonts w:ascii="宋体" w:hAnsi="宋体" w:eastAsia="宋体" w:cs="宋体"/>
          <w:b/>
          <w:bCs/>
          <w:color w:val="auto"/>
          <w:spacing w:val="-11"/>
          <w:sz w:val="31"/>
          <w:szCs w:val="31"/>
          <w:highlight w:val="none"/>
        </w:rPr>
      </w:pPr>
      <w:r>
        <w:rPr>
          <w:rFonts w:ascii="宋体" w:hAnsi="宋体" w:eastAsia="宋体" w:cs="宋体"/>
          <w:b/>
          <w:bCs/>
          <w:color w:val="auto"/>
          <w:spacing w:val="-11"/>
          <w:sz w:val="31"/>
          <w:szCs w:val="31"/>
          <w:highlight w:val="none"/>
        </w:rPr>
        <w:t>附件 1：</w:t>
      </w:r>
    </w:p>
    <w:p w14:paraId="29DD4C72">
      <w:pPr>
        <w:spacing w:before="247" w:line="224" w:lineRule="auto"/>
        <w:ind w:left="904"/>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广西壮族自治区政府采购项目合同验收书（格式）</w:t>
      </w:r>
    </w:p>
    <w:p w14:paraId="6E687013">
      <w:pPr>
        <w:pStyle w:val="3"/>
        <w:spacing w:line="242" w:lineRule="auto"/>
        <w:rPr>
          <w:color w:val="auto"/>
          <w:highlight w:val="none"/>
        </w:rPr>
      </w:pPr>
    </w:p>
    <w:p w14:paraId="22CA59D0">
      <w:pPr>
        <w:pStyle w:val="3"/>
        <w:spacing w:line="242" w:lineRule="auto"/>
        <w:rPr>
          <w:color w:val="auto"/>
          <w:highlight w:val="none"/>
        </w:rPr>
      </w:pPr>
    </w:p>
    <w:p w14:paraId="7EA98904">
      <w:pPr>
        <w:pStyle w:val="3"/>
        <w:spacing w:line="242" w:lineRule="auto"/>
        <w:rPr>
          <w:color w:val="auto"/>
          <w:highlight w:val="none"/>
        </w:rPr>
      </w:pPr>
    </w:p>
    <w:p w14:paraId="70B8A6B3">
      <w:pPr>
        <w:spacing w:before="65" w:line="227" w:lineRule="auto"/>
        <w:jc w:val="right"/>
        <w:rPr>
          <w:rFonts w:ascii="宋体" w:hAnsi="宋体" w:eastAsia="宋体" w:cs="宋体"/>
          <w:color w:val="auto"/>
          <w:sz w:val="20"/>
          <w:szCs w:val="20"/>
          <w:highlight w:val="none"/>
        </w:rPr>
      </w:pPr>
      <w:r>
        <w:rPr>
          <w:color w:val="auto"/>
          <w:highlight w:val="none"/>
        </w:rPr>
        <w:pict>
          <v:shape id="_x0000_s1026" o:spid="_x0000_s1026" style="position:absolute;left:0pt;margin-left:10.25pt;margin-top:31.8pt;height:1pt;width:423.25pt;z-index:-251657216;mso-width-relative:page;mso-height-relative:page;" filled="f" stroked="t" coordsize="8465,20" path="m0,9l8464,9e">
            <v:fill on="f" focussize="0,0"/>
            <v:stroke weight="0.96pt" color="#000000" miterlimit="2" joinstyle="bevel"/>
            <v:imagedata o:title=""/>
            <o:lock v:ext="edit"/>
          </v:shape>
        </w:pict>
      </w:r>
      <w:r>
        <w:rPr>
          <w:color w:val="auto"/>
          <w:highlight w:val="none"/>
        </w:rPr>
        <w:pict>
          <v:shape id="_x0000_s1027" o:spid="_x0000_s1027" o:spt="202" type="#_x0000_t202" style="position:absolute;left:0pt;margin-left:-1pt;margin-top:18.35pt;height:14.3pt;width:402.95pt;z-index:-251656192;mso-width-relative:page;mso-height-relative:page;" filled="f" stroked="f" coordsize="21600,21600">
            <v:path/>
            <v:fill on="f" focussize="0,0"/>
            <v:stroke on="f"/>
            <v:imagedata o:title=""/>
            <o:lock v:ext="edit" aspectratio="f"/>
            <v:textbox inset="0mm,0mm,0mm,0mm">
              <w:txbxContent>
                <w:p w14:paraId="613388AC">
                  <w:pPr>
                    <w:spacing w:before="19" w:line="227" w:lineRule="auto"/>
                    <w:jc w:val="right"/>
                    <w:rPr>
                      <w:rFonts w:ascii="宋体" w:hAnsi="宋体" w:eastAsia="宋体" w:cs="宋体"/>
                      <w:sz w:val="20"/>
                      <w:szCs w:val="20"/>
                    </w:rPr>
                  </w:pPr>
                  <w:r>
                    <w:rPr>
                      <w:rFonts w:ascii="宋体" w:hAnsi="宋体" w:eastAsia="宋体" w:cs="宋体"/>
                      <w:spacing w:val="6"/>
                      <w:sz w:val="20"/>
                      <w:szCs w:val="20"/>
                    </w:rPr>
                    <w:t>交供应商（</w:t>
                  </w:r>
                  <w:r>
                    <w:rPr>
                      <w:rFonts w:ascii="宋体" w:hAnsi="宋体" w:eastAsia="宋体" w:cs="宋体"/>
                      <w:spacing w:val="51"/>
                      <w:sz w:val="20"/>
                      <w:szCs w:val="20"/>
                    </w:rPr>
                    <w:t xml:space="preserve"> </w:t>
                  </w:r>
                  <w:r>
                    <w:rPr>
                      <w:rFonts w:ascii="宋体" w:hAnsi="宋体" w:eastAsia="宋体" w:cs="宋体"/>
                      <w:spacing w:val="6"/>
                      <w:sz w:val="20"/>
                      <w:szCs w:val="20"/>
                    </w:rPr>
                    <w:t>公司名称</w:t>
                  </w:r>
                  <w:r>
                    <w:rPr>
                      <w:rFonts w:ascii="宋体" w:hAnsi="宋体" w:eastAsia="宋体" w:cs="宋体"/>
                      <w:spacing w:val="38"/>
                      <w:sz w:val="20"/>
                      <w:szCs w:val="20"/>
                    </w:rPr>
                    <w:t xml:space="preserve"> </w:t>
                  </w:r>
                  <w:r>
                    <w:rPr>
                      <w:rFonts w:ascii="宋体" w:hAnsi="宋体" w:eastAsia="宋体" w:cs="宋体"/>
                      <w:spacing w:val="6"/>
                      <w:sz w:val="20"/>
                      <w:szCs w:val="20"/>
                    </w:rPr>
                    <w:t>） 提供的货物（或者工程  服务）进行</w:t>
                  </w:r>
                  <w:r>
                    <w:rPr>
                      <w:rFonts w:ascii="宋体" w:hAnsi="宋体" w:eastAsia="宋体" w:cs="宋体"/>
                      <w:spacing w:val="5"/>
                      <w:sz w:val="20"/>
                      <w:szCs w:val="20"/>
                    </w:rPr>
                    <w:t>了验收  验收情况如下：</w:t>
                  </w:r>
                </w:p>
              </w:txbxContent>
            </v:textbox>
          </v:shape>
        </w:pict>
      </w:r>
      <w:r>
        <w:rPr>
          <w:rFonts w:ascii="宋体" w:hAnsi="宋体" w:eastAsia="宋体" w:cs="宋体"/>
          <w:color w:val="auto"/>
          <w:spacing w:val="7"/>
          <w:sz w:val="20"/>
          <w:szCs w:val="20"/>
          <w:highlight w:val="none"/>
        </w:rPr>
        <w:t>根据政府采购项目（</w:t>
      </w:r>
      <w:r>
        <w:rPr>
          <w:rFonts w:ascii="宋体" w:hAnsi="宋体" w:eastAsia="宋体" w:cs="宋体"/>
          <w:color w:val="auto"/>
          <w:spacing w:val="7"/>
          <w:sz w:val="20"/>
          <w:szCs w:val="20"/>
          <w:highlight w:val="none"/>
          <w:u w:val="single" w:color="auto"/>
        </w:rPr>
        <w:t>采购合同编号</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59"/>
          <w:sz w:val="20"/>
          <w:szCs w:val="20"/>
          <w:highlight w:val="none"/>
          <w:u w:val="single" w:color="auto"/>
        </w:rPr>
        <w:t xml:space="preserve"> </w:t>
      </w:r>
      <w:r>
        <w:rPr>
          <w:rFonts w:ascii="宋体" w:hAnsi="宋体" w:eastAsia="宋体" w:cs="宋体"/>
          <w:color w:val="auto"/>
          <w:spacing w:val="2"/>
          <w:sz w:val="20"/>
          <w:szCs w:val="20"/>
          <w:highlight w:val="none"/>
        </w:rPr>
        <w:t>）</w:t>
      </w:r>
      <w:r>
        <w:rPr>
          <w:rFonts w:ascii="宋体" w:hAnsi="宋体" w:eastAsia="宋体" w:cs="宋体"/>
          <w:color w:val="auto"/>
          <w:spacing w:val="7"/>
          <w:sz w:val="20"/>
          <w:szCs w:val="20"/>
          <w:highlight w:val="none"/>
        </w:rPr>
        <w:t>的约定，我单位对（</w:t>
      </w:r>
      <w:r>
        <w:rPr>
          <w:rFonts w:ascii="宋体" w:hAnsi="宋体" w:eastAsia="宋体" w:cs="宋体"/>
          <w:color w:val="auto"/>
          <w:spacing w:val="50"/>
          <w:sz w:val="20"/>
          <w:szCs w:val="20"/>
          <w:highlight w:val="none"/>
          <w:u w:val="single" w:color="auto"/>
        </w:rPr>
        <w:t xml:space="preserve"> </w:t>
      </w:r>
      <w:r>
        <w:rPr>
          <w:rFonts w:ascii="宋体" w:hAnsi="宋体" w:eastAsia="宋体" w:cs="宋体"/>
          <w:color w:val="auto"/>
          <w:spacing w:val="7"/>
          <w:sz w:val="20"/>
          <w:szCs w:val="20"/>
          <w:highlight w:val="none"/>
          <w:u w:val="single" w:color="auto"/>
        </w:rPr>
        <w:t>项目名称</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7"/>
          <w:sz w:val="20"/>
          <w:szCs w:val="20"/>
          <w:highlight w:val="none"/>
        </w:rPr>
        <w:t xml:space="preserve">） </w:t>
      </w:r>
      <w:r>
        <w:rPr>
          <w:rFonts w:ascii="宋体" w:hAnsi="宋体" w:eastAsia="宋体" w:cs="宋体"/>
          <w:color w:val="auto"/>
          <w:spacing w:val="6"/>
          <w:sz w:val="20"/>
          <w:szCs w:val="20"/>
          <w:highlight w:val="none"/>
        </w:rPr>
        <w:t>政府采购项目成</w:t>
      </w:r>
    </w:p>
    <w:p w14:paraId="33CB3A3F">
      <w:pPr>
        <w:spacing w:line="205" w:lineRule="exact"/>
        <w:rPr>
          <w:color w:val="auto"/>
          <w:highlight w:val="none"/>
        </w:rPr>
      </w:pPr>
    </w:p>
    <w:tbl>
      <w:tblPr>
        <w:tblStyle w:val="9"/>
        <w:tblW w:w="8449" w:type="dxa"/>
        <w:tblInd w:w="2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3"/>
        <w:gridCol w:w="1620"/>
        <w:gridCol w:w="797"/>
        <w:gridCol w:w="2100"/>
        <w:gridCol w:w="178"/>
        <w:gridCol w:w="684"/>
        <w:gridCol w:w="1435"/>
      </w:tblGrid>
      <w:tr w14:paraId="38F1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3255" w:type="dxa"/>
            <w:gridSpan w:val="3"/>
            <w:tcBorders>
              <w:top w:val="nil"/>
            </w:tcBorders>
            <w:vAlign w:val="top"/>
          </w:tcPr>
          <w:p w14:paraId="343C359A">
            <w:pPr>
              <w:pStyle w:val="10"/>
              <w:spacing w:before="296" w:line="228" w:lineRule="auto"/>
              <w:ind w:left="1104"/>
              <w:rPr>
                <w:color w:val="auto"/>
                <w:highlight w:val="none"/>
              </w:rPr>
            </w:pPr>
            <w:r>
              <w:rPr>
                <w:color w:val="auto"/>
                <w:spacing w:val="6"/>
                <w:highlight w:val="none"/>
              </w:rPr>
              <w:t>验收方式：</w:t>
            </w:r>
          </w:p>
        </w:tc>
        <w:tc>
          <w:tcPr>
            <w:tcW w:w="5194" w:type="dxa"/>
            <w:gridSpan w:val="5"/>
            <w:tcBorders>
              <w:top w:val="nil"/>
            </w:tcBorders>
            <w:vAlign w:val="top"/>
          </w:tcPr>
          <w:p w14:paraId="07015294">
            <w:pPr>
              <w:pStyle w:val="10"/>
              <w:spacing w:line="107" w:lineRule="exact"/>
              <w:ind w:left="1059"/>
              <w:rPr>
                <w:color w:val="auto"/>
                <w:highlight w:val="none"/>
              </w:rPr>
            </w:pPr>
            <w:r>
              <w:rPr>
                <w:color w:val="auto"/>
                <w:spacing w:val="-10"/>
                <w:position w:val="1"/>
                <w:highlight w:val="none"/>
              </w:rPr>
              <w:t>、</w:t>
            </w:r>
            <w:r>
              <w:rPr>
                <w:color w:val="auto"/>
                <w:spacing w:val="5"/>
                <w:position w:val="1"/>
                <w:highlight w:val="none"/>
              </w:rPr>
              <w:t xml:space="preserve">                </w:t>
            </w:r>
            <w:r>
              <w:rPr>
                <w:color w:val="auto"/>
                <w:spacing w:val="-10"/>
                <w:position w:val="1"/>
                <w:highlight w:val="none"/>
              </w:rPr>
              <w:t>，</w:t>
            </w:r>
          </w:p>
          <w:p w14:paraId="620C4701">
            <w:pPr>
              <w:pStyle w:val="10"/>
              <w:spacing w:before="189" w:line="228" w:lineRule="auto"/>
              <w:ind w:left="1512"/>
              <w:rPr>
                <w:color w:val="auto"/>
                <w:highlight w:val="none"/>
              </w:rPr>
            </w:pPr>
            <w:r>
              <w:rPr>
                <w:rFonts w:ascii="MS UI Gothic" w:hAnsi="MS UI Gothic" w:eastAsia="MS UI Gothic" w:cs="MS UI Gothic"/>
                <w:color w:val="auto"/>
                <w:spacing w:val="4"/>
                <w:highlight w:val="none"/>
              </w:rPr>
              <w:t>□</w:t>
            </w:r>
            <w:r>
              <w:rPr>
                <w:color w:val="auto"/>
                <w:spacing w:val="4"/>
                <w:highlight w:val="none"/>
              </w:rPr>
              <w:t>自行验收</w:t>
            </w:r>
            <w:r>
              <w:rPr>
                <w:color w:val="auto"/>
                <w:spacing w:val="34"/>
                <w:highlight w:val="none"/>
              </w:rPr>
              <w:t xml:space="preserve"> </w:t>
            </w:r>
            <w:r>
              <w:rPr>
                <w:rFonts w:ascii="MS UI Gothic" w:hAnsi="MS UI Gothic" w:eastAsia="MS UI Gothic" w:cs="MS UI Gothic"/>
                <w:color w:val="auto"/>
                <w:spacing w:val="4"/>
                <w:highlight w:val="none"/>
              </w:rPr>
              <w:t>□</w:t>
            </w:r>
            <w:r>
              <w:rPr>
                <w:color w:val="auto"/>
                <w:spacing w:val="4"/>
                <w:highlight w:val="none"/>
              </w:rPr>
              <w:t>委托验收</w:t>
            </w:r>
          </w:p>
        </w:tc>
      </w:tr>
      <w:tr w14:paraId="006E2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12" w:type="dxa"/>
            <w:vAlign w:val="top"/>
          </w:tcPr>
          <w:p w14:paraId="5D7831B5">
            <w:pPr>
              <w:pStyle w:val="10"/>
              <w:spacing w:before="236" w:line="229" w:lineRule="auto"/>
              <w:ind w:left="194"/>
              <w:rPr>
                <w:color w:val="auto"/>
                <w:highlight w:val="none"/>
              </w:rPr>
            </w:pPr>
            <w:r>
              <w:rPr>
                <w:color w:val="auto"/>
                <w:spacing w:val="5"/>
                <w:highlight w:val="none"/>
              </w:rPr>
              <w:t>序号</w:t>
            </w:r>
          </w:p>
        </w:tc>
        <w:tc>
          <w:tcPr>
            <w:tcW w:w="2443" w:type="dxa"/>
            <w:gridSpan w:val="2"/>
            <w:vAlign w:val="top"/>
          </w:tcPr>
          <w:p w14:paraId="1E829EFC">
            <w:pPr>
              <w:pStyle w:val="10"/>
              <w:spacing w:before="236" w:line="230" w:lineRule="auto"/>
              <w:ind w:left="1013"/>
              <w:rPr>
                <w:color w:val="auto"/>
                <w:highlight w:val="none"/>
              </w:rPr>
            </w:pPr>
            <w:r>
              <w:rPr>
                <w:color w:val="auto"/>
                <w:spacing w:val="3"/>
                <w:highlight w:val="none"/>
              </w:rPr>
              <w:t>名称</w:t>
            </w:r>
          </w:p>
        </w:tc>
        <w:tc>
          <w:tcPr>
            <w:tcW w:w="2897" w:type="dxa"/>
            <w:gridSpan w:val="2"/>
            <w:vAlign w:val="top"/>
          </w:tcPr>
          <w:p w14:paraId="287917C8">
            <w:pPr>
              <w:pStyle w:val="10"/>
              <w:spacing w:before="75" w:line="227" w:lineRule="auto"/>
              <w:ind w:left="91"/>
              <w:rPr>
                <w:color w:val="auto"/>
                <w:highlight w:val="none"/>
              </w:rPr>
            </w:pPr>
            <w:r>
              <w:rPr>
                <w:color w:val="auto"/>
                <w:spacing w:val="8"/>
                <w:highlight w:val="none"/>
              </w:rPr>
              <w:t>货物型号规格、标准及配置等</w:t>
            </w:r>
          </w:p>
          <w:p w14:paraId="5B59ABE8">
            <w:pPr>
              <w:pStyle w:val="10"/>
              <w:spacing w:before="72" w:line="221" w:lineRule="auto"/>
              <w:ind w:left="305"/>
              <w:rPr>
                <w:color w:val="auto"/>
                <w:highlight w:val="none"/>
              </w:rPr>
            </w:pPr>
            <w:r>
              <w:rPr>
                <w:color w:val="auto"/>
                <w:spacing w:val="7"/>
                <w:highlight w:val="none"/>
              </w:rPr>
              <w:t>（或者服务内容、标准）</w:t>
            </w:r>
          </w:p>
        </w:tc>
        <w:tc>
          <w:tcPr>
            <w:tcW w:w="862" w:type="dxa"/>
            <w:gridSpan w:val="2"/>
            <w:vAlign w:val="top"/>
          </w:tcPr>
          <w:p w14:paraId="321CCCD2">
            <w:pPr>
              <w:pStyle w:val="10"/>
              <w:spacing w:before="236" w:line="228" w:lineRule="auto"/>
              <w:ind w:left="227"/>
              <w:rPr>
                <w:color w:val="auto"/>
                <w:highlight w:val="none"/>
              </w:rPr>
            </w:pPr>
            <w:r>
              <w:rPr>
                <w:color w:val="auto"/>
                <w:spacing w:val="3"/>
                <w:highlight w:val="none"/>
              </w:rPr>
              <w:t>数量</w:t>
            </w:r>
          </w:p>
        </w:tc>
        <w:tc>
          <w:tcPr>
            <w:tcW w:w="1435" w:type="dxa"/>
            <w:vAlign w:val="top"/>
          </w:tcPr>
          <w:p w14:paraId="74E7193F">
            <w:pPr>
              <w:pStyle w:val="10"/>
              <w:spacing w:before="236" w:line="228" w:lineRule="auto"/>
              <w:ind w:left="512"/>
              <w:rPr>
                <w:color w:val="auto"/>
                <w:highlight w:val="none"/>
              </w:rPr>
            </w:pPr>
            <w:r>
              <w:rPr>
                <w:color w:val="auto"/>
                <w:spacing w:val="3"/>
                <w:highlight w:val="none"/>
              </w:rPr>
              <w:t>金额</w:t>
            </w:r>
          </w:p>
        </w:tc>
      </w:tr>
      <w:tr w14:paraId="65F0B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812" w:type="dxa"/>
            <w:vAlign w:val="top"/>
          </w:tcPr>
          <w:p w14:paraId="7B259809">
            <w:pPr>
              <w:rPr>
                <w:rFonts w:ascii="Arial"/>
                <w:color w:val="auto"/>
                <w:sz w:val="21"/>
                <w:highlight w:val="none"/>
              </w:rPr>
            </w:pPr>
          </w:p>
        </w:tc>
        <w:tc>
          <w:tcPr>
            <w:tcW w:w="2443" w:type="dxa"/>
            <w:gridSpan w:val="2"/>
            <w:vAlign w:val="top"/>
          </w:tcPr>
          <w:p w14:paraId="5F46F0B9">
            <w:pPr>
              <w:rPr>
                <w:rFonts w:ascii="Arial"/>
                <w:color w:val="auto"/>
                <w:sz w:val="21"/>
                <w:highlight w:val="none"/>
              </w:rPr>
            </w:pPr>
          </w:p>
        </w:tc>
        <w:tc>
          <w:tcPr>
            <w:tcW w:w="2897" w:type="dxa"/>
            <w:gridSpan w:val="2"/>
            <w:vAlign w:val="top"/>
          </w:tcPr>
          <w:p w14:paraId="3EE6CA03">
            <w:pPr>
              <w:rPr>
                <w:rFonts w:ascii="Arial"/>
                <w:color w:val="auto"/>
                <w:sz w:val="21"/>
                <w:highlight w:val="none"/>
              </w:rPr>
            </w:pPr>
          </w:p>
        </w:tc>
        <w:tc>
          <w:tcPr>
            <w:tcW w:w="862" w:type="dxa"/>
            <w:gridSpan w:val="2"/>
            <w:vAlign w:val="top"/>
          </w:tcPr>
          <w:p w14:paraId="1F3DAACA">
            <w:pPr>
              <w:rPr>
                <w:rFonts w:ascii="Arial"/>
                <w:color w:val="auto"/>
                <w:sz w:val="21"/>
                <w:highlight w:val="none"/>
              </w:rPr>
            </w:pPr>
          </w:p>
        </w:tc>
        <w:tc>
          <w:tcPr>
            <w:tcW w:w="1435" w:type="dxa"/>
            <w:vAlign w:val="top"/>
          </w:tcPr>
          <w:p w14:paraId="5D8AE26C">
            <w:pPr>
              <w:rPr>
                <w:rFonts w:ascii="Arial"/>
                <w:color w:val="auto"/>
                <w:sz w:val="21"/>
                <w:highlight w:val="none"/>
              </w:rPr>
            </w:pPr>
          </w:p>
        </w:tc>
      </w:tr>
      <w:tr w14:paraId="712C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41C09811">
            <w:pPr>
              <w:rPr>
                <w:rFonts w:ascii="Arial"/>
                <w:color w:val="auto"/>
                <w:sz w:val="21"/>
                <w:highlight w:val="none"/>
              </w:rPr>
            </w:pPr>
          </w:p>
        </w:tc>
        <w:tc>
          <w:tcPr>
            <w:tcW w:w="2443" w:type="dxa"/>
            <w:gridSpan w:val="2"/>
            <w:vAlign w:val="top"/>
          </w:tcPr>
          <w:p w14:paraId="197F98F4">
            <w:pPr>
              <w:rPr>
                <w:rFonts w:ascii="Arial"/>
                <w:color w:val="auto"/>
                <w:sz w:val="21"/>
                <w:highlight w:val="none"/>
              </w:rPr>
            </w:pPr>
          </w:p>
        </w:tc>
        <w:tc>
          <w:tcPr>
            <w:tcW w:w="2897" w:type="dxa"/>
            <w:gridSpan w:val="2"/>
            <w:vAlign w:val="top"/>
          </w:tcPr>
          <w:p w14:paraId="2C9AF6B2">
            <w:pPr>
              <w:rPr>
                <w:rFonts w:ascii="Arial"/>
                <w:color w:val="auto"/>
                <w:sz w:val="21"/>
                <w:highlight w:val="none"/>
              </w:rPr>
            </w:pPr>
          </w:p>
        </w:tc>
        <w:tc>
          <w:tcPr>
            <w:tcW w:w="862" w:type="dxa"/>
            <w:gridSpan w:val="2"/>
            <w:vAlign w:val="top"/>
          </w:tcPr>
          <w:p w14:paraId="556DCF46">
            <w:pPr>
              <w:rPr>
                <w:rFonts w:ascii="Arial"/>
                <w:color w:val="auto"/>
                <w:sz w:val="21"/>
                <w:highlight w:val="none"/>
              </w:rPr>
            </w:pPr>
          </w:p>
        </w:tc>
        <w:tc>
          <w:tcPr>
            <w:tcW w:w="1435" w:type="dxa"/>
            <w:vAlign w:val="top"/>
          </w:tcPr>
          <w:p w14:paraId="3AEC154A">
            <w:pPr>
              <w:rPr>
                <w:rFonts w:ascii="Arial"/>
                <w:color w:val="auto"/>
                <w:sz w:val="21"/>
                <w:highlight w:val="none"/>
              </w:rPr>
            </w:pPr>
          </w:p>
        </w:tc>
      </w:tr>
      <w:tr w14:paraId="430E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6B380736">
            <w:pPr>
              <w:rPr>
                <w:rFonts w:ascii="Arial"/>
                <w:color w:val="auto"/>
                <w:sz w:val="21"/>
                <w:highlight w:val="none"/>
              </w:rPr>
            </w:pPr>
          </w:p>
        </w:tc>
        <w:tc>
          <w:tcPr>
            <w:tcW w:w="2443" w:type="dxa"/>
            <w:gridSpan w:val="2"/>
            <w:vAlign w:val="top"/>
          </w:tcPr>
          <w:p w14:paraId="3E456E07">
            <w:pPr>
              <w:rPr>
                <w:rFonts w:ascii="Arial"/>
                <w:color w:val="auto"/>
                <w:sz w:val="21"/>
                <w:highlight w:val="none"/>
              </w:rPr>
            </w:pPr>
          </w:p>
        </w:tc>
        <w:tc>
          <w:tcPr>
            <w:tcW w:w="2897" w:type="dxa"/>
            <w:gridSpan w:val="2"/>
            <w:vAlign w:val="top"/>
          </w:tcPr>
          <w:p w14:paraId="074EB7C6">
            <w:pPr>
              <w:rPr>
                <w:rFonts w:ascii="Arial"/>
                <w:color w:val="auto"/>
                <w:sz w:val="21"/>
                <w:highlight w:val="none"/>
              </w:rPr>
            </w:pPr>
          </w:p>
        </w:tc>
        <w:tc>
          <w:tcPr>
            <w:tcW w:w="862" w:type="dxa"/>
            <w:gridSpan w:val="2"/>
            <w:vAlign w:val="top"/>
          </w:tcPr>
          <w:p w14:paraId="0442A733">
            <w:pPr>
              <w:rPr>
                <w:rFonts w:ascii="Arial"/>
                <w:color w:val="auto"/>
                <w:sz w:val="21"/>
                <w:highlight w:val="none"/>
              </w:rPr>
            </w:pPr>
          </w:p>
        </w:tc>
        <w:tc>
          <w:tcPr>
            <w:tcW w:w="1435" w:type="dxa"/>
            <w:vAlign w:val="top"/>
          </w:tcPr>
          <w:p w14:paraId="43D56862">
            <w:pPr>
              <w:rPr>
                <w:rFonts w:ascii="Arial"/>
                <w:color w:val="auto"/>
                <w:sz w:val="21"/>
                <w:highlight w:val="none"/>
              </w:rPr>
            </w:pPr>
          </w:p>
        </w:tc>
      </w:tr>
      <w:tr w14:paraId="00C2B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76E3575E">
            <w:pPr>
              <w:pStyle w:val="10"/>
              <w:spacing w:before="161" w:line="229" w:lineRule="auto"/>
              <w:ind w:left="2819"/>
              <w:rPr>
                <w:color w:val="auto"/>
                <w:highlight w:val="none"/>
              </w:rPr>
            </w:pPr>
            <w:r>
              <w:rPr>
                <w:color w:val="auto"/>
                <w:highlight w:val="none"/>
              </w:rPr>
              <w:t>合</w:t>
            </w:r>
            <w:r>
              <w:rPr>
                <w:color w:val="auto"/>
                <w:spacing w:val="15"/>
                <w:highlight w:val="none"/>
              </w:rPr>
              <w:t xml:space="preserve"> </w:t>
            </w:r>
            <w:r>
              <w:rPr>
                <w:color w:val="auto"/>
                <w:highlight w:val="none"/>
              </w:rPr>
              <w:t>计</w:t>
            </w:r>
          </w:p>
        </w:tc>
        <w:tc>
          <w:tcPr>
            <w:tcW w:w="862" w:type="dxa"/>
            <w:gridSpan w:val="2"/>
            <w:vAlign w:val="top"/>
          </w:tcPr>
          <w:p w14:paraId="3456BC7D">
            <w:pPr>
              <w:rPr>
                <w:rFonts w:ascii="Arial"/>
                <w:color w:val="auto"/>
                <w:sz w:val="21"/>
                <w:highlight w:val="none"/>
              </w:rPr>
            </w:pPr>
          </w:p>
        </w:tc>
        <w:tc>
          <w:tcPr>
            <w:tcW w:w="1435" w:type="dxa"/>
            <w:vAlign w:val="top"/>
          </w:tcPr>
          <w:p w14:paraId="53FC6498">
            <w:pPr>
              <w:rPr>
                <w:rFonts w:ascii="Arial"/>
                <w:color w:val="auto"/>
                <w:sz w:val="21"/>
                <w:highlight w:val="none"/>
              </w:rPr>
            </w:pPr>
          </w:p>
        </w:tc>
      </w:tr>
      <w:tr w14:paraId="6440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2275502">
            <w:pPr>
              <w:pStyle w:val="10"/>
              <w:spacing w:before="240" w:line="228" w:lineRule="auto"/>
              <w:ind w:left="222"/>
              <w:rPr>
                <w:color w:val="auto"/>
                <w:highlight w:val="none"/>
              </w:rPr>
            </w:pPr>
            <w:r>
              <w:rPr>
                <w:color w:val="auto"/>
                <w:spacing w:val="4"/>
                <w:highlight w:val="none"/>
              </w:rPr>
              <w:t>合计大写金额：</w:t>
            </w:r>
            <w:r>
              <w:rPr>
                <w:color w:val="auto"/>
                <w:spacing w:val="19"/>
                <w:highlight w:val="none"/>
              </w:rPr>
              <w:t xml:space="preserve">  </w:t>
            </w:r>
            <w:r>
              <w:rPr>
                <w:color w:val="auto"/>
                <w:spacing w:val="4"/>
                <w:highlight w:val="none"/>
              </w:rPr>
              <w:t>仟  佰</w:t>
            </w:r>
            <w:r>
              <w:rPr>
                <w:color w:val="auto"/>
                <w:spacing w:val="10"/>
                <w:highlight w:val="none"/>
              </w:rPr>
              <w:t xml:space="preserve">  </w:t>
            </w:r>
            <w:r>
              <w:rPr>
                <w:color w:val="auto"/>
                <w:spacing w:val="4"/>
                <w:highlight w:val="none"/>
              </w:rPr>
              <w:t>拾</w:t>
            </w:r>
            <w:r>
              <w:rPr>
                <w:color w:val="auto"/>
                <w:spacing w:val="12"/>
                <w:highlight w:val="none"/>
              </w:rPr>
              <w:t xml:space="preserve">  </w:t>
            </w:r>
            <w:r>
              <w:rPr>
                <w:color w:val="auto"/>
                <w:spacing w:val="4"/>
                <w:highlight w:val="none"/>
              </w:rPr>
              <w:t>万</w:t>
            </w:r>
            <w:r>
              <w:rPr>
                <w:color w:val="auto"/>
                <w:spacing w:val="10"/>
                <w:highlight w:val="none"/>
              </w:rPr>
              <w:t xml:space="preserve">  </w:t>
            </w:r>
            <w:r>
              <w:rPr>
                <w:color w:val="auto"/>
                <w:spacing w:val="4"/>
                <w:highlight w:val="none"/>
              </w:rPr>
              <w:t>仟  佰</w:t>
            </w:r>
            <w:r>
              <w:rPr>
                <w:color w:val="auto"/>
                <w:spacing w:val="10"/>
                <w:highlight w:val="none"/>
              </w:rPr>
              <w:t xml:space="preserve">  </w:t>
            </w:r>
            <w:r>
              <w:rPr>
                <w:color w:val="auto"/>
                <w:spacing w:val="4"/>
                <w:highlight w:val="none"/>
              </w:rPr>
              <w:t>拾</w:t>
            </w:r>
            <w:r>
              <w:rPr>
                <w:color w:val="auto"/>
                <w:spacing w:val="10"/>
                <w:highlight w:val="none"/>
              </w:rPr>
              <w:t xml:space="preserve">  </w:t>
            </w:r>
            <w:r>
              <w:rPr>
                <w:color w:val="auto"/>
                <w:spacing w:val="4"/>
                <w:highlight w:val="none"/>
              </w:rPr>
              <w:t>元</w:t>
            </w:r>
          </w:p>
        </w:tc>
      </w:tr>
      <w:tr w14:paraId="1660A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635" w:type="dxa"/>
            <w:gridSpan w:val="2"/>
            <w:vAlign w:val="top"/>
          </w:tcPr>
          <w:p w14:paraId="2F13C8D2">
            <w:pPr>
              <w:pStyle w:val="10"/>
              <w:spacing w:before="240" w:line="227" w:lineRule="auto"/>
              <w:ind w:left="193"/>
              <w:rPr>
                <w:color w:val="auto"/>
                <w:highlight w:val="none"/>
              </w:rPr>
            </w:pPr>
            <w:r>
              <w:rPr>
                <w:color w:val="auto"/>
                <w:spacing w:val="7"/>
                <w:highlight w:val="none"/>
              </w:rPr>
              <w:t>实际供货日期</w:t>
            </w:r>
          </w:p>
        </w:tc>
        <w:tc>
          <w:tcPr>
            <w:tcW w:w="2417" w:type="dxa"/>
            <w:gridSpan w:val="2"/>
            <w:vAlign w:val="top"/>
          </w:tcPr>
          <w:p w14:paraId="7F5D7F1F">
            <w:pPr>
              <w:rPr>
                <w:rFonts w:ascii="Arial"/>
                <w:color w:val="auto"/>
                <w:sz w:val="21"/>
                <w:highlight w:val="none"/>
              </w:rPr>
            </w:pPr>
          </w:p>
        </w:tc>
        <w:tc>
          <w:tcPr>
            <w:tcW w:w="2278" w:type="dxa"/>
            <w:gridSpan w:val="2"/>
            <w:vAlign w:val="top"/>
          </w:tcPr>
          <w:p w14:paraId="30850068">
            <w:pPr>
              <w:pStyle w:val="10"/>
              <w:spacing w:before="240" w:line="227" w:lineRule="auto"/>
              <w:ind w:left="325"/>
              <w:rPr>
                <w:color w:val="auto"/>
                <w:highlight w:val="none"/>
              </w:rPr>
            </w:pPr>
            <w:r>
              <w:rPr>
                <w:color w:val="auto"/>
                <w:spacing w:val="8"/>
                <w:highlight w:val="none"/>
              </w:rPr>
              <w:t>合同交货验收日期</w:t>
            </w:r>
          </w:p>
        </w:tc>
        <w:tc>
          <w:tcPr>
            <w:tcW w:w="2119" w:type="dxa"/>
            <w:gridSpan w:val="2"/>
            <w:vAlign w:val="top"/>
          </w:tcPr>
          <w:p w14:paraId="60E45D7E">
            <w:pPr>
              <w:rPr>
                <w:rFonts w:ascii="Arial"/>
                <w:color w:val="auto"/>
                <w:sz w:val="21"/>
                <w:highlight w:val="none"/>
              </w:rPr>
            </w:pPr>
          </w:p>
        </w:tc>
      </w:tr>
      <w:tr w14:paraId="75F40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635" w:type="dxa"/>
            <w:gridSpan w:val="2"/>
            <w:vAlign w:val="top"/>
          </w:tcPr>
          <w:p w14:paraId="511ED466">
            <w:pPr>
              <w:spacing w:line="246" w:lineRule="auto"/>
              <w:rPr>
                <w:rFonts w:ascii="Arial"/>
                <w:color w:val="auto"/>
                <w:sz w:val="21"/>
                <w:highlight w:val="none"/>
              </w:rPr>
            </w:pPr>
          </w:p>
          <w:p w14:paraId="73257216">
            <w:pPr>
              <w:spacing w:line="247" w:lineRule="auto"/>
              <w:rPr>
                <w:rFonts w:ascii="Arial"/>
                <w:color w:val="auto"/>
                <w:sz w:val="21"/>
                <w:highlight w:val="none"/>
              </w:rPr>
            </w:pPr>
          </w:p>
          <w:p w14:paraId="7DF596CE">
            <w:pPr>
              <w:pStyle w:val="10"/>
              <w:spacing w:before="65" w:line="228" w:lineRule="auto"/>
              <w:ind w:left="110"/>
              <w:rPr>
                <w:color w:val="auto"/>
                <w:highlight w:val="none"/>
              </w:rPr>
            </w:pPr>
            <w:r>
              <w:rPr>
                <w:color w:val="auto"/>
                <w:spacing w:val="8"/>
                <w:highlight w:val="none"/>
              </w:rPr>
              <w:t>验收具体内容</w:t>
            </w:r>
          </w:p>
        </w:tc>
        <w:tc>
          <w:tcPr>
            <w:tcW w:w="6814" w:type="dxa"/>
            <w:gridSpan w:val="6"/>
            <w:vAlign w:val="top"/>
          </w:tcPr>
          <w:p w14:paraId="796FF2DD">
            <w:pPr>
              <w:pStyle w:val="10"/>
              <w:spacing w:before="81" w:line="295" w:lineRule="auto"/>
              <w:ind w:left="106" w:right="194" w:firstLine="7"/>
              <w:rPr>
                <w:color w:val="auto"/>
                <w:highlight w:val="none"/>
              </w:rPr>
            </w:pPr>
            <w:r>
              <w:rPr>
                <w:color w:val="auto"/>
                <w:spacing w:val="9"/>
                <w:highlight w:val="none"/>
              </w:rPr>
              <w:t>（应按采购合同、磋商文件、竞标响应文件及验收方案等进行验收；并</w:t>
            </w:r>
            <w:r>
              <w:rPr>
                <w:color w:val="auto"/>
                <w:spacing w:val="10"/>
                <w:highlight w:val="none"/>
              </w:rPr>
              <w:t xml:space="preserve"> </w:t>
            </w:r>
            <w:r>
              <w:rPr>
                <w:color w:val="auto"/>
                <w:spacing w:val="9"/>
                <w:highlight w:val="none"/>
              </w:rPr>
              <w:t>核对成交供应商在安装调试等方面是否违反合同约定或者服务规范要</w:t>
            </w:r>
          </w:p>
          <w:p w14:paraId="7BC60896">
            <w:pPr>
              <w:pStyle w:val="10"/>
              <w:spacing w:before="2" w:line="254" w:lineRule="auto"/>
              <w:ind w:left="123" w:right="194" w:hanging="18"/>
              <w:rPr>
                <w:color w:val="auto"/>
                <w:highlight w:val="none"/>
              </w:rPr>
            </w:pPr>
            <w:r>
              <w:rPr>
                <w:color w:val="auto"/>
                <w:spacing w:val="9"/>
                <w:highlight w:val="none"/>
              </w:rPr>
              <w:t>求、提供的质量保证证明材料是否齐全、应有的配件及附件是否达到合</w:t>
            </w:r>
            <w:r>
              <w:rPr>
                <w:color w:val="auto"/>
                <w:spacing w:val="18"/>
                <w:highlight w:val="none"/>
              </w:rPr>
              <w:t xml:space="preserve"> </w:t>
            </w:r>
            <w:r>
              <w:rPr>
                <w:color w:val="auto"/>
                <w:spacing w:val="6"/>
                <w:highlight w:val="none"/>
              </w:rPr>
              <w:t>同约定等。可附件)</w:t>
            </w:r>
          </w:p>
        </w:tc>
      </w:tr>
      <w:tr w14:paraId="23CC6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635" w:type="dxa"/>
            <w:gridSpan w:val="2"/>
            <w:vMerge w:val="restart"/>
            <w:tcBorders>
              <w:bottom w:val="nil"/>
            </w:tcBorders>
            <w:vAlign w:val="top"/>
          </w:tcPr>
          <w:p w14:paraId="245D87E5">
            <w:pPr>
              <w:rPr>
                <w:rFonts w:ascii="Arial"/>
                <w:color w:val="auto"/>
                <w:sz w:val="21"/>
                <w:highlight w:val="none"/>
              </w:rPr>
            </w:pPr>
          </w:p>
          <w:p w14:paraId="535E6468">
            <w:pPr>
              <w:rPr>
                <w:rFonts w:ascii="Arial"/>
                <w:color w:val="auto"/>
                <w:sz w:val="21"/>
                <w:highlight w:val="none"/>
              </w:rPr>
            </w:pPr>
          </w:p>
          <w:p w14:paraId="2CF00E54">
            <w:pPr>
              <w:rPr>
                <w:rFonts w:ascii="Arial"/>
                <w:color w:val="auto"/>
                <w:sz w:val="21"/>
                <w:highlight w:val="none"/>
              </w:rPr>
            </w:pPr>
          </w:p>
          <w:p w14:paraId="6649E01E">
            <w:pPr>
              <w:spacing w:line="241" w:lineRule="auto"/>
              <w:rPr>
                <w:rFonts w:ascii="Arial"/>
                <w:color w:val="auto"/>
                <w:sz w:val="21"/>
                <w:highlight w:val="none"/>
              </w:rPr>
            </w:pPr>
          </w:p>
          <w:p w14:paraId="0FC4668A">
            <w:pPr>
              <w:pStyle w:val="10"/>
              <w:spacing w:before="65" w:line="228" w:lineRule="auto"/>
              <w:ind w:left="110"/>
              <w:rPr>
                <w:color w:val="auto"/>
                <w:highlight w:val="none"/>
              </w:rPr>
            </w:pPr>
            <w:r>
              <w:rPr>
                <w:color w:val="auto"/>
                <w:spacing w:val="8"/>
                <w:highlight w:val="none"/>
              </w:rPr>
              <w:t>验收小组意见</w:t>
            </w:r>
          </w:p>
        </w:tc>
        <w:tc>
          <w:tcPr>
            <w:tcW w:w="6814" w:type="dxa"/>
            <w:gridSpan w:val="6"/>
            <w:vAlign w:val="top"/>
          </w:tcPr>
          <w:p w14:paraId="71EF467D">
            <w:pPr>
              <w:spacing w:line="247" w:lineRule="auto"/>
              <w:rPr>
                <w:rFonts w:ascii="Arial"/>
                <w:color w:val="auto"/>
                <w:sz w:val="21"/>
                <w:highlight w:val="none"/>
              </w:rPr>
            </w:pPr>
          </w:p>
          <w:p w14:paraId="28FA7923">
            <w:pPr>
              <w:spacing w:line="247" w:lineRule="auto"/>
              <w:rPr>
                <w:rFonts w:ascii="Arial"/>
                <w:color w:val="auto"/>
                <w:sz w:val="21"/>
                <w:highlight w:val="none"/>
              </w:rPr>
            </w:pPr>
          </w:p>
          <w:p w14:paraId="655C1922">
            <w:pPr>
              <w:pStyle w:val="10"/>
              <w:spacing w:before="65" w:line="228" w:lineRule="auto"/>
              <w:ind w:left="215"/>
              <w:rPr>
                <w:color w:val="auto"/>
                <w:highlight w:val="none"/>
              </w:rPr>
            </w:pPr>
            <w:r>
              <w:rPr>
                <w:color w:val="auto"/>
                <w:spacing w:val="7"/>
                <w:highlight w:val="none"/>
              </w:rPr>
              <w:t>验收结论性意见：</w:t>
            </w:r>
          </w:p>
        </w:tc>
      </w:tr>
      <w:tr w14:paraId="19A3C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35" w:type="dxa"/>
            <w:gridSpan w:val="2"/>
            <w:vMerge w:val="continue"/>
            <w:tcBorders>
              <w:top w:val="nil"/>
            </w:tcBorders>
            <w:vAlign w:val="top"/>
          </w:tcPr>
          <w:p w14:paraId="3BBF7ECE">
            <w:pPr>
              <w:rPr>
                <w:rFonts w:ascii="Arial"/>
                <w:color w:val="auto"/>
                <w:sz w:val="21"/>
                <w:highlight w:val="none"/>
              </w:rPr>
            </w:pPr>
          </w:p>
        </w:tc>
        <w:tc>
          <w:tcPr>
            <w:tcW w:w="6814" w:type="dxa"/>
            <w:gridSpan w:val="6"/>
            <w:vAlign w:val="top"/>
          </w:tcPr>
          <w:p w14:paraId="103F0A51">
            <w:pPr>
              <w:pStyle w:val="10"/>
              <w:spacing w:before="84" w:line="228" w:lineRule="auto"/>
              <w:ind w:left="217"/>
              <w:rPr>
                <w:color w:val="auto"/>
                <w:highlight w:val="none"/>
              </w:rPr>
            </w:pPr>
            <w:r>
              <w:rPr>
                <w:color w:val="auto"/>
                <w:spacing w:val="8"/>
                <w:highlight w:val="none"/>
              </w:rPr>
              <w:t>有异议的意见和说明理由：</w:t>
            </w:r>
          </w:p>
          <w:p w14:paraId="76EE3171">
            <w:pPr>
              <w:spacing w:line="286" w:lineRule="auto"/>
              <w:rPr>
                <w:rFonts w:ascii="Arial"/>
                <w:color w:val="auto"/>
                <w:sz w:val="21"/>
                <w:highlight w:val="none"/>
              </w:rPr>
            </w:pPr>
          </w:p>
          <w:p w14:paraId="306297DD">
            <w:pPr>
              <w:pStyle w:val="10"/>
              <w:spacing w:before="65" w:line="212" w:lineRule="auto"/>
              <w:ind w:left="216"/>
              <w:rPr>
                <w:color w:val="auto"/>
                <w:highlight w:val="none"/>
              </w:rPr>
            </w:pPr>
            <w:r>
              <w:rPr>
                <w:color w:val="auto"/>
                <w:spacing w:val="3"/>
                <w:highlight w:val="none"/>
              </w:rPr>
              <w:t>签字：</w:t>
            </w:r>
          </w:p>
        </w:tc>
      </w:tr>
      <w:tr w14:paraId="7DBB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32BCD44A">
            <w:pPr>
              <w:pStyle w:val="10"/>
              <w:spacing w:before="179" w:line="228" w:lineRule="auto"/>
              <w:ind w:left="110"/>
              <w:rPr>
                <w:color w:val="auto"/>
                <w:highlight w:val="none"/>
              </w:rPr>
            </w:pPr>
            <w:r>
              <w:rPr>
                <w:color w:val="auto"/>
                <w:spacing w:val="7"/>
                <w:highlight w:val="none"/>
              </w:rPr>
              <w:t>验收小组成员签字：</w:t>
            </w:r>
          </w:p>
        </w:tc>
      </w:tr>
      <w:tr w14:paraId="7EC1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2406C82D">
            <w:pPr>
              <w:pStyle w:val="10"/>
              <w:spacing w:before="87" w:line="228" w:lineRule="auto"/>
              <w:ind w:left="112"/>
              <w:rPr>
                <w:color w:val="auto"/>
                <w:highlight w:val="none"/>
              </w:rPr>
            </w:pPr>
            <w:r>
              <w:rPr>
                <w:color w:val="auto"/>
                <w:spacing w:val="8"/>
                <w:highlight w:val="none"/>
              </w:rPr>
              <w:t>监督人员或者其他相关人员签字：</w:t>
            </w:r>
          </w:p>
          <w:p w14:paraId="34E001AB">
            <w:pPr>
              <w:spacing w:line="287" w:lineRule="auto"/>
              <w:rPr>
                <w:rFonts w:ascii="Arial"/>
                <w:color w:val="auto"/>
                <w:sz w:val="21"/>
                <w:highlight w:val="none"/>
              </w:rPr>
            </w:pPr>
          </w:p>
          <w:p w14:paraId="22A47B2E">
            <w:pPr>
              <w:pStyle w:val="10"/>
              <w:spacing w:before="65" w:line="208" w:lineRule="auto"/>
              <w:ind w:left="186"/>
              <w:rPr>
                <w:color w:val="auto"/>
                <w:highlight w:val="none"/>
              </w:rPr>
            </w:pPr>
            <w:r>
              <w:rPr>
                <w:color w:val="auto"/>
                <w:spacing w:val="8"/>
                <w:highlight w:val="none"/>
              </w:rPr>
              <w:t>或者受邀机构的意见（盖章</w:t>
            </w:r>
            <w:r>
              <w:rPr>
                <w:color w:val="auto"/>
                <w:spacing w:val="5"/>
                <w:highlight w:val="none"/>
              </w:rPr>
              <w:t>）：</w:t>
            </w:r>
          </w:p>
        </w:tc>
      </w:tr>
      <w:tr w14:paraId="6E995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4052" w:type="dxa"/>
            <w:gridSpan w:val="4"/>
            <w:tcBorders>
              <w:right w:val="nil"/>
            </w:tcBorders>
            <w:vAlign w:val="top"/>
          </w:tcPr>
          <w:p w14:paraId="5B5A1B41">
            <w:pPr>
              <w:pStyle w:val="10"/>
              <w:spacing w:before="87" w:line="227" w:lineRule="auto"/>
              <w:ind w:left="113"/>
              <w:rPr>
                <w:color w:val="auto"/>
                <w:highlight w:val="none"/>
              </w:rPr>
            </w:pPr>
            <w:r>
              <w:rPr>
                <w:color w:val="auto"/>
                <w:spacing w:val="8"/>
                <w:highlight w:val="none"/>
              </w:rPr>
              <w:t>成交供应商负责人签字或者盖章：</w:t>
            </w:r>
          </w:p>
          <w:p w14:paraId="4D3579B2">
            <w:pPr>
              <w:spacing w:line="294" w:lineRule="auto"/>
              <w:rPr>
                <w:rFonts w:ascii="Arial"/>
                <w:color w:val="auto"/>
                <w:sz w:val="21"/>
                <w:highlight w:val="none"/>
              </w:rPr>
            </w:pPr>
          </w:p>
          <w:p w14:paraId="705925EE">
            <w:pPr>
              <w:spacing w:line="295" w:lineRule="auto"/>
              <w:rPr>
                <w:rFonts w:ascii="Arial"/>
                <w:color w:val="auto"/>
                <w:sz w:val="21"/>
                <w:highlight w:val="none"/>
              </w:rPr>
            </w:pPr>
          </w:p>
          <w:p w14:paraId="1B2AD0FB">
            <w:pPr>
              <w:spacing w:line="295" w:lineRule="auto"/>
              <w:rPr>
                <w:rFonts w:ascii="Arial"/>
                <w:color w:val="auto"/>
                <w:sz w:val="21"/>
                <w:highlight w:val="none"/>
              </w:rPr>
            </w:pPr>
          </w:p>
          <w:p w14:paraId="42CE0D5C">
            <w:pPr>
              <w:pStyle w:val="10"/>
              <w:spacing w:before="65" w:line="217" w:lineRule="auto"/>
              <w:ind w:left="112"/>
              <w:rPr>
                <w:color w:val="auto"/>
                <w:highlight w:val="none"/>
              </w:rPr>
            </w:pPr>
            <w:r>
              <w:rPr>
                <w:color w:val="auto"/>
                <w:spacing w:val="3"/>
                <w:highlight w:val="none"/>
              </w:rPr>
              <w:t>联系电话：</w:t>
            </w:r>
            <w:r>
              <w:rPr>
                <w:color w:val="auto"/>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397" w:type="dxa"/>
            <w:gridSpan w:val="4"/>
            <w:tcBorders>
              <w:left w:val="nil"/>
            </w:tcBorders>
            <w:vAlign w:val="top"/>
          </w:tcPr>
          <w:p w14:paraId="6C70D9AB">
            <w:pPr>
              <w:pStyle w:val="10"/>
              <w:spacing w:before="87" w:line="227" w:lineRule="auto"/>
              <w:ind w:left="319"/>
              <w:rPr>
                <w:color w:val="auto"/>
                <w:highlight w:val="none"/>
              </w:rPr>
            </w:pPr>
            <w:r>
              <w:rPr>
                <w:color w:val="auto"/>
                <w:spacing w:val="9"/>
                <w:highlight w:val="none"/>
              </w:rPr>
              <w:t>采购人或者受托机构的意见（盖章</w:t>
            </w:r>
            <w:r>
              <w:rPr>
                <w:color w:val="auto"/>
                <w:spacing w:val="2"/>
                <w:highlight w:val="none"/>
              </w:rPr>
              <w:t>）：</w:t>
            </w:r>
          </w:p>
          <w:p w14:paraId="3922E7C7">
            <w:pPr>
              <w:spacing w:line="294" w:lineRule="auto"/>
              <w:rPr>
                <w:rFonts w:ascii="Arial"/>
                <w:color w:val="auto"/>
                <w:sz w:val="21"/>
                <w:highlight w:val="none"/>
              </w:rPr>
            </w:pPr>
          </w:p>
          <w:p w14:paraId="4342891A">
            <w:pPr>
              <w:spacing w:line="295" w:lineRule="auto"/>
              <w:rPr>
                <w:rFonts w:ascii="Arial"/>
                <w:color w:val="auto"/>
                <w:sz w:val="21"/>
                <w:highlight w:val="none"/>
              </w:rPr>
            </w:pPr>
          </w:p>
          <w:p w14:paraId="6BDE0C99">
            <w:pPr>
              <w:spacing w:line="295" w:lineRule="auto"/>
              <w:rPr>
                <w:rFonts w:ascii="Arial"/>
                <w:color w:val="auto"/>
                <w:sz w:val="21"/>
                <w:highlight w:val="none"/>
              </w:rPr>
            </w:pPr>
          </w:p>
          <w:p w14:paraId="69DA5A98">
            <w:pPr>
              <w:pStyle w:val="10"/>
              <w:spacing w:before="65" w:line="217" w:lineRule="auto"/>
              <w:ind w:left="320"/>
              <w:rPr>
                <w:color w:val="auto"/>
                <w:highlight w:val="none"/>
              </w:rPr>
            </w:pPr>
            <w:r>
              <w:rPr>
                <w:color w:val="auto"/>
                <w:spacing w:val="3"/>
                <w:highlight w:val="none"/>
              </w:rPr>
              <w:t>联系电话：</w:t>
            </w:r>
            <w:r>
              <w:rPr>
                <w:color w:val="auto"/>
                <w:highlight w:val="none"/>
              </w:rPr>
              <w:t xml:space="preserve">                   </w:t>
            </w:r>
            <w:r>
              <w:rPr>
                <w:color w:val="auto"/>
                <w:spacing w:val="3"/>
                <w:highlight w:val="none"/>
              </w:rPr>
              <w:t>年</w:t>
            </w:r>
            <w:r>
              <w:rPr>
                <w:color w:val="auto"/>
                <w:spacing w:val="17"/>
                <w:highlight w:val="none"/>
              </w:rPr>
              <w:t xml:space="preserve">  </w:t>
            </w:r>
            <w:r>
              <w:rPr>
                <w:color w:val="auto"/>
                <w:spacing w:val="3"/>
                <w:highlight w:val="none"/>
              </w:rPr>
              <w:t>月</w:t>
            </w:r>
            <w:r>
              <w:rPr>
                <w:color w:val="auto"/>
                <w:spacing w:val="28"/>
                <w:highlight w:val="none"/>
              </w:rPr>
              <w:t xml:space="preserve">  </w:t>
            </w:r>
            <w:r>
              <w:rPr>
                <w:color w:val="auto"/>
                <w:spacing w:val="3"/>
                <w:highlight w:val="none"/>
              </w:rPr>
              <w:t>日</w:t>
            </w:r>
          </w:p>
        </w:tc>
      </w:tr>
    </w:tbl>
    <w:p w14:paraId="73E98D16">
      <w:pPr>
        <w:pStyle w:val="3"/>
        <w:rPr>
          <w:color w:val="auto"/>
          <w:highlight w:val="none"/>
        </w:rPr>
      </w:pPr>
    </w:p>
    <w:p w14:paraId="7EEBFF51">
      <w:pPr>
        <w:rPr>
          <w:color w:val="auto"/>
          <w:highlight w:val="none"/>
        </w:rPr>
        <w:sectPr>
          <w:footerReference r:id="rId17" w:type="default"/>
          <w:pgSz w:w="11906" w:h="16839"/>
          <w:pgMar w:top="1431" w:right="1545" w:bottom="1362" w:left="1598" w:header="0" w:footer="1200" w:gutter="0"/>
          <w:pgNumType w:fmt="decimal"/>
          <w:cols w:space="720" w:num="1"/>
        </w:sectPr>
      </w:pPr>
    </w:p>
    <w:p w14:paraId="53467CC3">
      <w:pPr>
        <w:spacing w:before="63" w:line="224" w:lineRule="auto"/>
        <w:ind w:left="450"/>
        <w:rPr>
          <w:rFonts w:ascii="宋体" w:hAnsi="宋体" w:eastAsia="宋体" w:cs="宋体"/>
          <w:color w:val="auto"/>
          <w:sz w:val="31"/>
          <w:szCs w:val="31"/>
          <w:highlight w:val="none"/>
        </w:rPr>
      </w:pPr>
      <w:r>
        <w:rPr>
          <w:rFonts w:ascii="宋体" w:hAnsi="宋体" w:eastAsia="宋体" w:cs="宋体"/>
          <w:b/>
          <w:bCs/>
          <w:color w:val="auto"/>
          <w:spacing w:val="-11"/>
          <w:sz w:val="31"/>
          <w:szCs w:val="31"/>
          <w:highlight w:val="none"/>
        </w:rPr>
        <w:t>附件</w:t>
      </w:r>
      <w:r>
        <w:rPr>
          <w:rFonts w:ascii="宋体" w:hAnsi="宋体" w:eastAsia="宋体" w:cs="宋体"/>
          <w:color w:val="auto"/>
          <w:spacing w:val="-58"/>
          <w:sz w:val="31"/>
          <w:szCs w:val="31"/>
          <w:highlight w:val="none"/>
        </w:rPr>
        <w:t xml:space="preserve"> </w:t>
      </w:r>
      <w:r>
        <w:rPr>
          <w:rFonts w:ascii="宋体" w:hAnsi="宋体" w:eastAsia="宋体" w:cs="宋体"/>
          <w:b/>
          <w:bCs/>
          <w:color w:val="auto"/>
          <w:spacing w:val="-11"/>
          <w:sz w:val="31"/>
          <w:szCs w:val="31"/>
          <w:highlight w:val="none"/>
        </w:rPr>
        <w:t>2：</w:t>
      </w:r>
    </w:p>
    <w:p w14:paraId="253391A7">
      <w:pPr>
        <w:pStyle w:val="3"/>
        <w:spacing w:line="248" w:lineRule="auto"/>
        <w:rPr>
          <w:color w:val="auto"/>
          <w:highlight w:val="none"/>
        </w:rPr>
      </w:pPr>
    </w:p>
    <w:p w14:paraId="4B3B56E1">
      <w:pPr>
        <w:spacing w:before="101" w:line="224" w:lineRule="auto"/>
        <w:ind w:left="1871"/>
        <w:rPr>
          <w:rFonts w:ascii="宋体" w:hAnsi="宋体" w:eastAsia="宋体" w:cs="宋体"/>
          <w:color w:val="auto"/>
          <w:sz w:val="31"/>
          <w:szCs w:val="31"/>
          <w:highlight w:val="none"/>
        </w:rPr>
      </w:pPr>
      <w:r>
        <w:rPr>
          <w:rFonts w:ascii="宋体" w:hAnsi="宋体" w:eastAsia="宋体" w:cs="宋体"/>
          <w:b/>
          <w:bCs/>
          <w:color w:val="auto"/>
          <w:spacing w:val="7"/>
          <w:sz w:val="31"/>
          <w:szCs w:val="31"/>
          <w:highlight w:val="none"/>
        </w:rPr>
        <w:t>政府采购项目履约保证金退付意见书</w:t>
      </w:r>
    </w:p>
    <w:p w14:paraId="2EC9072B">
      <w:pPr>
        <w:spacing w:before="118"/>
        <w:rPr>
          <w:color w:val="auto"/>
          <w:highlight w:val="none"/>
        </w:rPr>
      </w:pPr>
    </w:p>
    <w:p w14:paraId="4E0BAA11">
      <w:pPr>
        <w:spacing w:before="118"/>
        <w:rPr>
          <w:color w:val="auto"/>
          <w:highlight w:val="none"/>
        </w:rPr>
      </w:pPr>
    </w:p>
    <w:tbl>
      <w:tblPr>
        <w:tblStyle w:val="9"/>
        <w:tblW w:w="8830"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8009"/>
      </w:tblGrid>
      <w:tr w14:paraId="6E6B9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21" w:type="dxa"/>
            <w:vMerge w:val="restart"/>
            <w:tcBorders>
              <w:bottom w:val="nil"/>
            </w:tcBorders>
            <w:textDirection w:val="tbRlV"/>
            <w:vAlign w:val="top"/>
          </w:tcPr>
          <w:p w14:paraId="7680D442">
            <w:pPr>
              <w:pStyle w:val="10"/>
              <w:spacing w:before="288" w:line="201" w:lineRule="auto"/>
              <w:ind w:left="1598"/>
              <w:rPr>
                <w:color w:val="auto"/>
                <w:sz w:val="24"/>
                <w:szCs w:val="24"/>
                <w:highlight w:val="none"/>
              </w:rPr>
            </w:pPr>
            <w:r>
              <w:rPr>
                <w:color w:val="auto"/>
                <w:spacing w:val="57"/>
                <w:sz w:val="24"/>
                <w:szCs w:val="24"/>
                <w:highlight w:val="none"/>
              </w:rPr>
              <w:t>供应商</w:t>
            </w:r>
            <w:r>
              <w:rPr>
                <w:color w:val="auto"/>
                <w:spacing w:val="57"/>
                <w:position w:val="1"/>
                <w:sz w:val="24"/>
                <w:szCs w:val="24"/>
                <w:highlight w:val="none"/>
              </w:rPr>
              <w:t>申</w:t>
            </w:r>
            <w:r>
              <w:rPr>
                <w:color w:val="auto"/>
                <w:spacing w:val="57"/>
                <w:sz w:val="24"/>
                <w:szCs w:val="24"/>
                <w:highlight w:val="none"/>
              </w:rPr>
              <w:t>请</w:t>
            </w:r>
          </w:p>
        </w:tc>
        <w:tc>
          <w:tcPr>
            <w:tcW w:w="8009" w:type="dxa"/>
            <w:vAlign w:val="top"/>
          </w:tcPr>
          <w:p w14:paraId="3B607B85">
            <w:pPr>
              <w:pStyle w:val="10"/>
              <w:spacing w:before="192" w:line="219" w:lineRule="auto"/>
              <w:ind w:left="115"/>
              <w:rPr>
                <w:color w:val="auto"/>
                <w:sz w:val="24"/>
                <w:szCs w:val="24"/>
                <w:highlight w:val="none"/>
              </w:rPr>
            </w:pPr>
            <w:r>
              <w:rPr>
                <w:color w:val="auto"/>
                <w:spacing w:val="-3"/>
                <w:sz w:val="24"/>
                <w:szCs w:val="24"/>
                <w:highlight w:val="none"/>
              </w:rPr>
              <w:t>项目编号：</w:t>
            </w:r>
          </w:p>
        </w:tc>
      </w:tr>
      <w:tr w14:paraId="2F264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821" w:type="dxa"/>
            <w:vMerge w:val="continue"/>
            <w:tcBorders>
              <w:top w:val="nil"/>
              <w:bottom w:val="nil"/>
            </w:tcBorders>
            <w:textDirection w:val="tbRlV"/>
            <w:vAlign w:val="top"/>
          </w:tcPr>
          <w:p w14:paraId="1341D9C3">
            <w:pPr>
              <w:rPr>
                <w:rFonts w:ascii="Arial"/>
                <w:color w:val="auto"/>
                <w:sz w:val="21"/>
                <w:highlight w:val="none"/>
              </w:rPr>
            </w:pPr>
          </w:p>
        </w:tc>
        <w:tc>
          <w:tcPr>
            <w:tcW w:w="8009" w:type="dxa"/>
            <w:vAlign w:val="top"/>
          </w:tcPr>
          <w:p w14:paraId="4C48A400">
            <w:pPr>
              <w:pStyle w:val="10"/>
              <w:spacing w:before="184" w:line="220" w:lineRule="auto"/>
              <w:ind w:left="115"/>
              <w:rPr>
                <w:color w:val="auto"/>
                <w:sz w:val="24"/>
                <w:szCs w:val="24"/>
                <w:highlight w:val="none"/>
              </w:rPr>
            </w:pPr>
            <w:r>
              <w:rPr>
                <w:color w:val="auto"/>
                <w:spacing w:val="-3"/>
                <w:sz w:val="24"/>
                <w:szCs w:val="24"/>
                <w:highlight w:val="none"/>
              </w:rPr>
              <w:t>项目名称：</w:t>
            </w:r>
          </w:p>
        </w:tc>
      </w:tr>
      <w:tr w14:paraId="5BCFC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821" w:type="dxa"/>
            <w:vMerge w:val="continue"/>
            <w:tcBorders>
              <w:top w:val="nil"/>
            </w:tcBorders>
            <w:textDirection w:val="tbRlV"/>
            <w:vAlign w:val="top"/>
          </w:tcPr>
          <w:p w14:paraId="66AD5595">
            <w:pPr>
              <w:rPr>
                <w:rFonts w:ascii="Arial"/>
                <w:color w:val="auto"/>
                <w:sz w:val="21"/>
                <w:highlight w:val="none"/>
              </w:rPr>
            </w:pPr>
          </w:p>
        </w:tc>
        <w:tc>
          <w:tcPr>
            <w:tcW w:w="8009" w:type="dxa"/>
            <w:vAlign w:val="top"/>
          </w:tcPr>
          <w:p w14:paraId="6D284137">
            <w:pPr>
              <w:spacing w:line="269" w:lineRule="auto"/>
              <w:rPr>
                <w:rFonts w:ascii="Arial"/>
                <w:color w:val="auto"/>
                <w:sz w:val="21"/>
                <w:highlight w:val="none"/>
              </w:rPr>
            </w:pPr>
          </w:p>
          <w:p w14:paraId="2BA5DF45">
            <w:pPr>
              <w:pStyle w:val="10"/>
              <w:spacing w:before="78" w:line="219" w:lineRule="auto"/>
              <w:ind w:left="595"/>
              <w:rPr>
                <w:color w:val="auto"/>
                <w:sz w:val="24"/>
                <w:szCs w:val="24"/>
                <w:highlight w:val="none"/>
              </w:rPr>
            </w:pPr>
            <w:r>
              <w:rPr>
                <w:color w:val="auto"/>
                <w:spacing w:val="3"/>
                <w:sz w:val="24"/>
                <w:szCs w:val="24"/>
                <w:highlight w:val="none"/>
              </w:rPr>
              <w:t>该项目已于年月日验收并交付使用。根据合同规定，该项目的履约保</w:t>
            </w:r>
          </w:p>
          <w:p w14:paraId="765DAA1E">
            <w:pPr>
              <w:pStyle w:val="10"/>
              <w:spacing w:before="26"/>
              <w:ind w:left="122" w:right="3581" w:hanging="11"/>
              <w:rPr>
                <w:color w:val="auto"/>
                <w:sz w:val="24"/>
                <w:szCs w:val="24"/>
                <w:highlight w:val="none"/>
              </w:rPr>
            </w:pPr>
            <w:r>
              <w:rPr>
                <w:color w:val="auto"/>
                <w:spacing w:val="-1"/>
                <w:sz w:val="24"/>
                <w:szCs w:val="24"/>
                <w:highlight w:val="none"/>
              </w:rPr>
              <w:t>证金期限于年月日已满，请将履约保证金</w:t>
            </w:r>
            <w:r>
              <w:rPr>
                <w:color w:val="auto"/>
                <w:spacing w:val="7"/>
                <w:sz w:val="24"/>
                <w:szCs w:val="24"/>
                <w:highlight w:val="none"/>
              </w:rPr>
              <w:t xml:space="preserve"> </w:t>
            </w:r>
            <w:r>
              <w:rPr>
                <w:color w:val="auto"/>
                <w:spacing w:val="-2"/>
                <w:sz w:val="24"/>
                <w:szCs w:val="24"/>
                <w:highlight w:val="none"/>
              </w:rPr>
              <w:t>（大写）¥（小写）退付到达以下帐户。</w:t>
            </w:r>
          </w:p>
          <w:p w14:paraId="366FE506">
            <w:pPr>
              <w:pStyle w:val="10"/>
              <w:spacing w:line="220" w:lineRule="auto"/>
              <w:ind w:left="113"/>
              <w:rPr>
                <w:color w:val="auto"/>
                <w:sz w:val="24"/>
                <w:szCs w:val="24"/>
                <w:highlight w:val="none"/>
              </w:rPr>
            </w:pPr>
            <w:r>
              <w:rPr>
                <w:color w:val="auto"/>
                <w:spacing w:val="-3"/>
                <w:sz w:val="24"/>
                <w:szCs w:val="24"/>
                <w:highlight w:val="none"/>
              </w:rPr>
              <w:t>单位名称：</w:t>
            </w:r>
          </w:p>
          <w:p w14:paraId="3D67BEAE">
            <w:pPr>
              <w:pStyle w:val="10"/>
              <w:spacing w:before="26" w:line="220" w:lineRule="auto"/>
              <w:ind w:left="112"/>
              <w:rPr>
                <w:color w:val="auto"/>
                <w:sz w:val="24"/>
                <w:szCs w:val="24"/>
                <w:highlight w:val="none"/>
              </w:rPr>
            </w:pPr>
            <w:r>
              <w:rPr>
                <w:color w:val="auto"/>
                <w:spacing w:val="-3"/>
                <w:sz w:val="24"/>
                <w:szCs w:val="24"/>
                <w:highlight w:val="none"/>
              </w:rPr>
              <w:t>开户银行：</w:t>
            </w:r>
          </w:p>
          <w:p w14:paraId="0734DBCE">
            <w:pPr>
              <w:pStyle w:val="10"/>
              <w:spacing w:before="25" w:line="220" w:lineRule="auto"/>
              <w:ind w:left="121"/>
              <w:rPr>
                <w:color w:val="auto"/>
                <w:sz w:val="24"/>
                <w:szCs w:val="24"/>
                <w:highlight w:val="none"/>
              </w:rPr>
            </w:pPr>
            <w:r>
              <w:rPr>
                <w:color w:val="auto"/>
                <w:spacing w:val="-12"/>
                <w:sz w:val="24"/>
                <w:szCs w:val="24"/>
                <w:highlight w:val="none"/>
              </w:rPr>
              <w:t>帐</w:t>
            </w:r>
            <w:r>
              <w:rPr>
                <w:color w:val="auto"/>
                <w:spacing w:val="4"/>
                <w:sz w:val="24"/>
                <w:szCs w:val="24"/>
                <w:highlight w:val="none"/>
              </w:rPr>
              <w:t xml:space="preserve">    </w:t>
            </w:r>
            <w:r>
              <w:rPr>
                <w:color w:val="auto"/>
                <w:spacing w:val="-12"/>
                <w:sz w:val="24"/>
                <w:szCs w:val="24"/>
                <w:highlight w:val="none"/>
              </w:rPr>
              <w:t>号：</w:t>
            </w:r>
          </w:p>
          <w:p w14:paraId="05288D6F">
            <w:pPr>
              <w:pStyle w:val="10"/>
              <w:spacing w:before="26" w:line="221" w:lineRule="auto"/>
              <w:ind w:left="112"/>
              <w:rPr>
                <w:color w:val="auto"/>
                <w:sz w:val="24"/>
                <w:szCs w:val="24"/>
                <w:highlight w:val="none"/>
              </w:rPr>
            </w:pPr>
            <w:r>
              <w:rPr>
                <w:color w:val="auto"/>
                <w:spacing w:val="-2"/>
                <w:sz w:val="24"/>
                <w:szCs w:val="24"/>
                <w:highlight w:val="none"/>
              </w:rPr>
              <w:t>联系人及电话：</w:t>
            </w:r>
          </w:p>
          <w:p w14:paraId="11B57396">
            <w:pPr>
              <w:spacing w:line="255" w:lineRule="auto"/>
              <w:rPr>
                <w:rFonts w:ascii="Arial"/>
                <w:color w:val="auto"/>
                <w:sz w:val="21"/>
                <w:highlight w:val="none"/>
              </w:rPr>
            </w:pPr>
          </w:p>
          <w:p w14:paraId="7BE2DA94">
            <w:pPr>
              <w:pStyle w:val="10"/>
              <w:spacing w:before="79" w:line="219" w:lineRule="auto"/>
              <w:ind w:left="4909"/>
              <w:rPr>
                <w:color w:val="auto"/>
                <w:sz w:val="24"/>
                <w:szCs w:val="24"/>
                <w:highlight w:val="none"/>
              </w:rPr>
            </w:pPr>
            <w:r>
              <w:rPr>
                <w:color w:val="auto"/>
                <w:spacing w:val="-2"/>
                <w:sz w:val="24"/>
                <w:szCs w:val="24"/>
                <w:highlight w:val="none"/>
              </w:rPr>
              <w:t>供应商签章：</w:t>
            </w:r>
          </w:p>
          <w:p w14:paraId="00AABBB3">
            <w:pPr>
              <w:pStyle w:val="10"/>
              <w:spacing w:before="29" w:line="206" w:lineRule="auto"/>
              <w:ind w:left="6050"/>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tc>
      </w:tr>
      <w:tr w14:paraId="4663B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9" w:hRule="atLeast"/>
        </w:trPr>
        <w:tc>
          <w:tcPr>
            <w:tcW w:w="821" w:type="dxa"/>
            <w:textDirection w:val="tbRlV"/>
            <w:vAlign w:val="top"/>
          </w:tcPr>
          <w:p w14:paraId="15DE099E">
            <w:pPr>
              <w:pStyle w:val="10"/>
              <w:spacing w:before="287" w:line="209" w:lineRule="auto"/>
              <w:ind w:left="364"/>
              <w:rPr>
                <w:color w:val="auto"/>
                <w:sz w:val="24"/>
                <w:szCs w:val="24"/>
                <w:highlight w:val="none"/>
              </w:rPr>
            </w:pPr>
            <w:r>
              <w:rPr>
                <w:color w:val="auto"/>
                <w:spacing w:val="-1"/>
                <w:sz w:val="24"/>
                <w:szCs w:val="24"/>
                <w:highlight w:val="none"/>
              </w:rPr>
              <w:t>采</w:t>
            </w:r>
            <w:r>
              <w:rPr>
                <w:color w:val="auto"/>
                <w:spacing w:val="-44"/>
                <w:sz w:val="24"/>
                <w:szCs w:val="24"/>
                <w:highlight w:val="none"/>
              </w:rPr>
              <w:t xml:space="preserve"> </w:t>
            </w:r>
            <w:r>
              <w:rPr>
                <w:color w:val="auto"/>
                <w:spacing w:val="-1"/>
                <w:sz w:val="24"/>
                <w:szCs w:val="24"/>
                <w:highlight w:val="none"/>
              </w:rPr>
              <w:t>购</w:t>
            </w:r>
            <w:r>
              <w:rPr>
                <w:color w:val="auto"/>
                <w:spacing w:val="-48"/>
                <w:sz w:val="24"/>
                <w:szCs w:val="24"/>
                <w:highlight w:val="none"/>
              </w:rPr>
              <w:t xml:space="preserve"> </w:t>
            </w:r>
            <w:r>
              <w:rPr>
                <w:color w:val="auto"/>
                <w:spacing w:val="-1"/>
                <w:sz w:val="24"/>
                <w:szCs w:val="24"/>
                <w:highlight w:val="none"/>
              </w:rPr>
              <w:t>单</w:t>
            </w:r>
            <w:r>
              <w:rPr>
                <w:color w:val="auto"/>
                <w:spacing w:val="-48"/>
                <w:sz w:val="24"/>
                <w:szCs w:val="24"/>
                <w:highlight w:val="none"/>
              </w:rPr>
              <w:t xml:space="preserve"> </w:t>
            </w:r>
            <w:r>
              <w:rPr>
                <w:color w:val="auto"/>
                <w:spacing w:val="-1"/>
                <w:sz w:val="24"/>
                <w:szCs w:val="24"/>
                <w:highlight w:val="none"/>
              </w:rPr>
              <w:t>位</w:t>
            </w:r>
            <w:r>
              <w:rPr>
                <w:color w:val="auto"/>
                <w:spacing w:val="-48"/>
                <w:sz w:val="24"/>
                <w:szCs w:val="24"/>
                <w:highlight w:val="none"/>
              </w:rPr>
              <w:t xml:space="preserve"> </w:t>
            </w:r>
            <w:r>
              <w:rPr>
                <w:color w:val="auto"/>
                <w:spacing w:val="-1"/>
                <w:sz w:val="24"/>
                <w:szCs w:val="24"/>
                <w:highlight w:val="none"/>
              </w:rPr>
              <w:t>意</w:t>
            </w:r>
            <w:r>
              <w:rPr>
                <w:color w:val="auto"/>
                <w:spacing w:val="-47"/>
                <w:sz w:val="24"/>
                <w:szCs w:val="24"/>
                <w:highlight w:val="none"/>
              </w:rPr>
              <w:t xml:space="preserve"> </w:t>
            </w:r>
            <w:r>
              <w:rPr>
                <w:color w:val="auto"/>
                <w:spacing w:val="-1"/>
                <w:sz w:val="24"/>
                <w:szCs w:val="24"/>
                <w:highlight w:val="none"/>
              </w:rPr>
              <w:t>见</w:t>
            </w:r>
          </w:p>
        </w:tc>
        <w:tc>
          <w:tcPr>
            <w:tcW w:w="8009" w:type="dxa"/>
            <w:vAlign w:val="top"/>
          </w:tcPr>
          <w:p w14:paraId="75A788CD">
            <w:pPr>
              <w:spacing w:line="270" w:lineRule="auto"/>
              <w:rPr>
                <w:rFonts w:ascii="Arial"/>
                <w:color w:val="auto"/>
                <w:sz w:val="21"/>
                <w:highlight w:val="none"/>
              </w:rPr>
            </w:pPr>
          </w:p>
          <w:p w14:paraId="5FD69AE5">
            <w:pPr>
              <w:pStyle w:val="10"/>
              <w:spacing w:before="78" w:line="219" w:lineRule="auto"/>
              <w:ind w:left="112"/>
              <w:rPr>
                <w:color w:val="auto"/>
                <w:sz w:val="24"/>
                <w:szCs w:val="24"/>
                <w:highlight w:val="none"/>
              </w:rPr>
            </w:pPr>
            <w:r>
              <w:rPr>
                <w:color w:val="auto"/>
                <w:spacing w:val="-1"/>
                <w:sz w:val="24"/>
                <w:szCs w:val="24"/>
                <w:highlight w:val="none"/>
              </w:rPr>
              <w:t>退付意见：是否同意退付履约保证金及退付金额：</w:t>
            </w:r>
          </w:p>
          <w:p w14:paraId="4063274C">
            <w:pPr>
              <w:spacing w:line="285" w:lineRule="auto"/>
              <w:rPr>
                <w:rFonts w:ascii="Arial"/>
                <w:color w:val="auto"/>
                <w:sz w:val="21"/>
                <w:highlight w:val="none"/>
              </w:rPr>
            </w:pPr>
          </w:p>
          <w:p w14:paraId="1ADF9F82">
            <w:pPr>
              <w:spacing w:line="285" w:lineRule="auto"/>
              <w:rPr>
                <w:rFonts w:ascii="Arial"/>
                <w:color w:val="auto"/>
                <w:sz w:val="21"/>
                <w:highlight w:val="none"/>
              </w:rPr>
            </w:pPr>
          </w:p>
          <w:p w14:paraId="6E584500">
            <w:pPr>
              <w:pStyle w:val="10"/>
              <w:spacing w:before="78" w:line="221" w:lineRule="auto"/>
              <w:ind w:left="112"/>
              <w:rPr>
                <w:color w:val="auto"/>
                <w:sz w:val="24"/>
                <w:szCs w:val="24"/>
                <w:highlight w:val="none"/>
              </w:rPr>
            </w:pPr>
            <w:r>
              <w:rPr>
                <w:color w:val="auto"/>
                <w:spacing w:val="-2"/>
                <w:sz w:val="24"/>
                <w:szCs w:val="24"/>
                <w:highlight w:val="none"/>
              </w:rPr>
              <w:t>联系人及电话：</w:t>
            </w:r>
          </w:p>
          <w:p w14:paraId="4DE0F6D5">
            <w:pPr>
              <w:spacing w:line="255" w:lineRule="auto"/>
              <w:rPr>
                <w:rFonts w:ascii="Arial"/>
                <w:color w:val="auto"/>
                <w:sz w:val="21"/>
                <w:highlight w:val="none"/>
              </w:rPr>
            </w:pPr>
          </w:p>
          <w:p w14:paraId="34BBE77D">
            <w:pPr>
              <w:pStyle w:val="10"/>
              <w:spacing w:before="78" w:line="219" w:lineRule="auto"/>
              <w:ind w:left="4791"/>
              <w:rPr>
                <w:color w:val="auto"/>
                <w:sz w:val="24"/>
                <w:szCs w:val="24"/>
                <w:highlight w:val="none"/>
              </w:rPr>
            </w:pPr>
            <w:r>
              <w:rPr>
                <w:color w:val="auto"/>
                <w:spacing w:val="-2"/>
                <w:sz w:val="24"/>
                <w:szCs w:val="24"/>
                <w:highlight w:val="none"/>
              </w:rPr>
              <w:t>采购人签章：</w:t>
            </w:r>
          </w:p>
          <w:p w14:paraId="3C99ED27">
            <w:pPr>
              <w:pStyle w:val="10"/>
              <w:spacing w:before="28" w:line="219" w:lineRule="auto"/>
              <w:ind w:left="6050"/>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tc>
      </w:tr>
      <w:tr w14:paraId="5D2E8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1" w:hRule="atLeast"/>
        </w:trPr>
        <w:tc>
          <w:tcPr>
            <w:tcW w:w="821" w:type="dxa"/>
            <w:vAlign w:val="top"/>
          </w:tcPr>
          <w:p w14:paraId="4B248734">
            <w:pPr>
              <w:spacing w:line="266" w:lineRule="auto"/>
              <w:rPr>
                <w:rFonts w:ascii="Arial"/>
                <w:color w:val="auto"/>
                <w:sz w:val="21"/>
                <w:highlight w:val="none"/>
              </w:rPr>
            </w:pPr>
          </w:p>
          <w:p w14:paraId="65EC7F8B">
            <w:pPr>
              <w:spacing w:line="266" w:lineRule="auto"/>
              <w:rPr>
                <w:rFonts w:ascii="Arial"/>
                <w:color w:val="auto"/>
                <w:sz w:val="21"/>
                <w:highlight w:val="none"/>
              </w:rPr>
            </w:pPr>
          </w:p>
          <w:p w14:paraId="0CB351B5">
            <w:pPr>
              <w:spacing w:line="266" w:lineRule="auto"/>
              <w:rPr>
                <w:rFonts w:ascii="Arial"/>
                <w:color w:val="auto"/>
                <w:sz w:val="21"/>
                <w:highlight w:val="none"/>
              </w:rPr>
            </w:pPr>
          </w:p>
          <w:p w14:paraId="1B7775BF">
            <w:pPr>
              <w:spacing w:line="266" w:lineRule="auto"/>
              <w:rPr>
                <w:rFonts w:ascii="Arial"/>
                <w:color w:val="auto"/>
                <w:sz w:val="21"/>
                <w:highlight w:val="none"/>
              </w:rPr>
            </w:pPr>
          </w:p>
          <w:p w14:paraId="09B6A38B">
            <w:pPr>
              <w:pStyle w:val="10"/>
              <w:spacing w:before="78" w:line="221" w:lineRule="auto"/>
              <w:ind w:left="179"/>
              <w:rPr>
                <w:color w:val="auto"/>
                <w:sz w:val="24"/>
                <w:szCs w:val="24"/>
                <w:highlight w:val="none"/>
              </w:rPr>
            </w:pPr>
            <w:r>
              <w:rPr>
                <w:color w:val="auto"/>
                <w:spacing w:val="-7"/>
                <w:sz w:val="24"/>
                <w:szCs w:val="24"/>
                <w:highlight w:val="none"/>
              </w:rPr>
              <w:t>备注</w:t>
            </w:r>
          </w:p>
        </w:tc>
        <w:tc>
          <w:tcPr>
            <w:tcW w:w="8009" w:type="dxa"/>
            <w:vAlign w:val="top"/>
          </w:tcPr>
          <w:p w14:paraId="12AB4C0F">
            <w:pPr>
              <w:rPr>
                <w:rFonts w:ascii="Arial"/>
                <w:color w:val="auto"/>
                <w:sz w:val="21"/>
                <w:highlight w:val="none"/>
              </w:rPr>
            </w:pPr>
          </w:p>
        </w:tc>
      </w:tr>
    </w:tbl>
    <w:p w14:paraId="04A5736A">
      <w:pPr>
        <w:spacing w:before="65" w:line="219" w:lineRule="auto"/>
        <w:rPr>
          <w:rFonts w:ascii="宋体" w:hAnsi="宋体" w:eastAsia="宋体" w:cs="宋体"/>
          <w:color w:val="auto"/>
          <w:sz w:val="18"/>
          <w:szCs w:val="18"/>
          <w:highlight w:val="none"/>
        </w:rPr>
      </w:pPr>
      <w:r>
        <w:rPr>
          <w:rFonts w:ascii="宋体" w:hAnsi="宋体" w:eastAsia="宋体" w:cs="宋体"/>
          <w:b/>
          <w:bCs/>
          <w:color w:val="auto"/>
          <w:spacing w:val="-1"/>
          <w:sz w:val="18"/>
          <w:szCs w:val="18"/>
          <w:highlight w:val="none"/>
        </w:rPr>
        <w:t>注：供应商凭经采购人审批的退付意见书到履约保证金收</w:t>
      </w:r>
      <w:r>
        <w:rPr>
          <w:rFonts w:ascii="宋体" w:hAnsi="宋体" w:eastAsia="宋体" w:cs="宋体"/>
          <w:b/>
          <w:bCs/>
          <w:color w:val="auto"/>
          <w:spacing w:val="-2"/>
          <w:sz w:val="18"/>
          <w:szCs w:val="18"/>
          <w:highlight w:val="none"/>
        </w:rPr>
        <w:t>取单位财务部门办理履约保证金退付事宜。</w:t>
      </w:r>
    </w:p>
    <w:p w14:paraId="57FA02F1">
      <w:pPr>
        <w:spacing w:line="219" w:lineRule="auto"/>
        <w:rPr>
          <w:rFonts w:ascii="宋体" w:hAnsi="宋体" w:eastAsia="宋体" w:cs="宋体"/>
          <w:color w:val="auto"/>
          <w:sz w:val="18"/>
          <w:szCs w:val="18"/>
          <w:highlight w:val="none"/>
        </w:rPr>
        <w:sectPr>
          <w:footerReference r:id="rId18" w:type="default"/>
          <w:pgSz w:w="11906" w:h="16839"/>
          <w:pgMar w:top="1424" w:right="1462" w:bottom="1362" w:left="1595" w:header="0" w:footer="1200" w:gutter="0"/>
          <w:pgNumType w:fmt="decimal"/>
          <w:cols w:space="720" w:num="1"/>
        </w:sectPr>
      </w:pPr>
    </w:p>
    <w:p w14:paraId="3A1FD643">
      <w:pPr>
        <w:spacing w:before="63" w:line="224" w:lineRule="auto"/>
        <w:ind w:left="450"/>
        <w:rPr>
          <w:rFonts w:ascii="宋体" w:hAnsi="宋体" w:eastAsia="宋体" w:cs="宋体"/>
          <w:color w:val="auto"/>
          <w:sz w:val="31"/>
          <w:szCs w:val="31"/>
          <w:highlight w:val="none"/>
        </w:rPr>
      </w:pPr>
      <w:bookmarkStart w:id="3" w:name="bookmark3"/>
      <w:bookmarkEnd w:id="3"/>
      <w:r>
        <w:rPr>
          <w:rFonts w:ascii="宋体" w:hAnsi="宋体" w:eastAsia="宋体" w:cs="宋体"/>
          <w:b/>
          <w:bCs/>
          <w:color w:val="auto"/>
          <w:spacing w:val="-11"/>
          <w:sz w:val="31"/>
          <w:szCs w:val="31"/>
          <w:highlight w:val="none"/>
        </w:rPr>
        <w:t>附件</w:t>
      </w:r>
      <w:r>
        <w:rPr>
          <w:rFonts w:ascii="宋体" w:hAnsi="宋体" w:eastAsia="宋体" w:cs="宋体"/>
          <w:color w:val="auto"/>
          <w:spacing w:val="-58"/>
          <w:sz w:val="31"/>
          <w:szCs w:val="31"/>
          <w:highlight w:val="none"/>
        </w:rPr>
        <w:t xml:space="preserve"> </w:t>
      </w:r>
      <w:r>
        <w:rPr>
          <w:rFonts w:hint="eastAsia" w:ascii="宋体" w:hAnsi="宋体" w:eastAsia="宋体" w:cs="宋体"/>
          <w:b/>
          <w:bCs/>
          <w:color w:val="auto"/>
          <w:spacing w:val="-11"/>
          <w:sz w:val="31"/>
          <w:szCs w:val="31"/>
          <w:highlight w:val="none"/>
          <w:lang w:val="en-US" w:eastAsia="zh-CN"/>
        </w:rPr>
        <w:t>3</w:t>
      </w:r>
      <w:r>
        <w:rPr>
          <w:rFonts w:ascii="宋体" w:hAnsi="宋体" w:eastAsia="宋体" w:cs="宋体"/>
          <w:b/>
          <w:bCs/>
          <w:color w:val="auto"/>
          <w:spacing w:val="-11"/>
          <w:sz w:val="31"/>
          <w:szCs w:val="31"/>
          <w:highlight w:val="none"/>
        </w:rPr>
        <w:t>：</w:t>
      </w:r>
    </w:p>
    <w:p w14:paraId="49FB6151">
      <w:pPr>
        <w:spacing w:before="86" w:line="225" w:lineRule="auto"/>
        <w:ind w:left="3399"/>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质疑函（格式）</w:t>
      </w:r>
    </w:p>
    <w:p w14:paraId="51B17F81">
      <w:pPr>
        <w:spacing w:before="96" w:line="227" w:lineRule="auto"/>
        <w:ind w:left="42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一、质疑供应商基本信息：</w:t>
      </w:r>
    </w:p>
    <w:p w14:paraId="5C3F2190">
      <w:pPr>
        <w:spacing w:before="114" w:line="227" w:lineRule="auto"/>
        <w:ind w:left="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质疑供应商：</w:t>
      </w:r>
      <w:r>
        <w:rPr>
          <w:rFonts w:ascii="宋体" w:hAnsi="宋体" w:eastAsia="宋体" w:cs="宋体"/>
          <w:color w:val="auto"/>
          <w:sz w:val="20"/>
          <w:szCs w:val="20"/>
          <w:highlight w:val="none"/>
          <w:u w:val="single" w:color="auto"/>
        </w:rPr>
        <w:t xml:space="preserve">                                         </w:t>
      </w:r>
    </w:p>
    <w:p w14:paraId="3D80FD7A">
      <w:pPr>
        <w:spacing w:before="113" w:line="319" w:lineRule="auto"/>
        <w:ind w:left="417" w:right="111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地址：</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77"/>
          <w:sz w:val="20"/>
          <w:szCs w:val="20"/>
          <w:highlight w:val="none"/>
        </w:rPr>
        <w:t xml:space="preserve"> </w:t>
      </w:r>
      <w:r>
        <w:rPr>
          <w:rFonts w:ascii="宋体" w:hAnsi="宋体" w:eastAsia="宋体" w:cs="宋体"/>
          <w:color w:val="auto"/>
          <w:spacing w:val="3"/>
          <w:sz w:val="20"/>
          <w:szCs w:val="20"/>
          <w:highlight w:val="none"/>
        </w:rPr>
        <w:t>邮编：</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z w:val="20"/>
          <w:szCs w:val="20"/>
          <w:highlight w:val="none"/>
        </w:rPr>
        <w:t xml:space="preserve"> </w:t>
      </w:r>
    </w:p>
    <w:p w14:paraId="66E09B60">
      <w:pPr>
        <w:spacing w:before="113" w:line="319" w:lineRule="auto"/>
        <w:ind w:left="417" w:right="111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联系人：</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6"/>
          <w:sz w:val="20"/>
          <w:szCs w:val="20"/>
          <w:highlight w:val="none"/>
        </w:rPr>
        <w:t>联</w:t>
      </w:r>
      <w:r>
        <w:rPr>
          <w:rFonts w:ascii="宋体" w:hAnsi="宋体" w:eastAsia="宋体" w:cs="宋体"/>
          <w:color w:val="auto"/>
          <w:spacing w:val="5"/>
          <w:sz w:val="20"/>
          <w:szCs w:val="20"/>
          <w:highlight w:val="none"/>
        </w:rPr>
        <w:t>系电话：</w:t>
      </w:r>
      <w:r>
        <w:rPr>
          <w:rFonts w:ascii="宋体" w:hAnsi="宋体" w:eastAsia="宋体" w:cs="宋体"/>
          <w:color w:val="auto"/>
          <w:sz w:val="20"/>
          <w:szCs w:val="20"/>
          <w:highlight w:val="none"/>
          <w:u w:val="single" w:color="auto"/>
        </w:rPr>
        <w:t xml:space="preserve">                  </w:t>
      </w:r>
    </w:p>
    <w:p w14:paraId="2A993CF7">
      <w:pPr>
        <w:spacing w:before="28" w:line="319" w:lineRule="auto"/>
        <w:ind w:left="417" w:right="5319" w:hanging="1"/>
        <w:rPr>
          <w:rFonts w:ascii="宋体" w:hAnsi="宋体" w:eastAsia="宋体" w:cs="宋体"/>
          <w:color w:val="auto"/>
          <w:spacing w:val="16"/>
          <w:sz w:val="20"/>
          <w:szCs w:val="20"/>
          <w:highlight w:val="none"/>
        </w:rPr>
      </w:pPr>
      <w:r>
        <w:rPr>
          <w:rFonts w:ascii="宋体" w:hAnsi="宋体" w:eastAsia="宋体" w:cs="宋体"/>
          <w:color w:val="auto"/>
          <w:spacing w:val="5"/>
          <w:sz w:val="20"/>
          <w:szCs w:val="20"/>
          <w:highlight w:val="none"/>
        </w:rPr>
        <w:t>授权代表：</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6"/>
          <w:sz w:val="20"/>
          <w:szCs w:val="20"/>
          <w:highlight w:val="none"/>
        </w:rPr>
        <w:t xml:space="preserve"> </w:t>
      </w:r>
    </w:p>
    <w:p w14:paraId="1592F4F1">
      <w:pPr>
        <w:spacing w:before="28" w:line="319" w:lineRule="auto"/>
        <w:ind w:left="417" w:right="5319" w:hanging="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联系电话：</w:t>
      </w:r>
      <w:r>
        <w:rPr>
          <w:rFonts w:ascii="宋体" w:hAnsi="宋体" w:eastAsia="宋体" w:cs="宋体"/>
          <w:color w:val="auto"/>
          <w:sz w:val="20"/>
          <w:szCs w:val="20"/>
          <w:highlight w:val="none"/>
          <w:u w:val="single" w:color="auto"/>
        </w:rPr>
        <w:t xml:space="preserve">                        </w:t>
      </w:r>
    </w:p>
    <w:p w14:paraId="2C33102F">
      <w:pPr>
        <w:spacing w:before="29" w:line="228" w:lineRule="auto"/>
        <w:ind w:left="41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地址：</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4"/>
          <w:sz w:val="20"/>
          <w:szCs w:val="20"/>
          <w:highlight w:val="none"/>
        </w:rPr>
        <w:t xml:space="preserve"> </w:t>
      </w:r>
      <w:r>
        <w:rPr>
          <w:rFonts w:ascii="宋体" w:hAnsi="宋体" w:eastAsia="宋体" w:cs="宋体"/>
          <w:color w:val="auto"/>
          <w:spacing w:val="4"/>
          <w:sz w:val="20"/>
          <w:szCs w:val="20"/>
          <w:highlight w:val="none"/>
        </w:rPr>
        <w:t>邮编：</w:t>
      </w:r>
      <w:r>
        <w:rPr>
          <w:rFonts w:ascii="宋体" w:hAnsi="宋体" w:eastAsia="宋体" w:cs="宋体"/>
          <w:color w:val="auto"/>
          <w:sz w:val="20"/>
          <w:szCs w:val="20"/>
          <w:highlight w:val="none"/>
          <w:u w:val="single" w:color="auto"/>
        </w:rPr>
        <w:t xml:space="preserve">                   </w:t>
      </w:r>
    </w:p>
    <w:p w14:paraId="3EF6EB94">
      <w:pPr>
        <w:spacing w:before="114" w:line="227" w:lineRule="auto"/>
        <w:ind w:left="42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二、质疑项目基本情况：</w:t>
      </w:r>
    </w:p>
    <w:p w14:paraId="531B93F9">
      <w:pPr>
        <w:tabs>
          <w:tab w:val="left" w:pos="5992"/>
        </w:tabs>
        <w:spacing w:before="115" w:line="325" w:lineRule="auto"/>
        <w:ind w:left="435" w:right="3095" w:firstLine="1"/>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质疑项目的名称：</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5D976555">
      <w:pPr>
        <w:tabs>
          <w:tab w:val="left" w:pos="5992"/>
        </w:tabs>
        <w:spacing w:before="115" w:line="325" w:lineRule="auto"/>
        <w:ind w:left="435" w:right="3095" w:firstLine="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质疑项目的编号：</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2F00281D">
      <w:pPr>
        <w:tabs>
          <w:tab w:val="left" w:pos="5992"/>
        </w:tabs>
        <w:spacing w:before="115" w:line="325" w:lineRule="auto"/>
        <w:ind w:left="435" w:right="3095" w:firstLine="1"/>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采购人名称：</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25558CD2">
      <w:pPr>
        <w:tabs>
          <w:tab w:val="left" w:pos="5992"/>
        </w:tabs>
        <w:spacing w:before="115" w:line="325" w:lineRule="auto"/>
        <w:ind w:left="435" w:right="3095" w:firstLine="1"/>
        <w:jc w:val="both"/>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质疑事项：</w:t>
      </w:r>
    </w:p>
    <w:p w14:paraId="19BD819F">
      <w:pPr>
        <w:spacing w:before="30" w:line="227" w:lineRule="auto"/>
        <w:ind w:left="35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□招标文件   采购文件获取日期：</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7B54CE0C">
      <w:pPr>
        <w:spacing w:before="115" w:line="227" w:lineRule="auto"/>
        <w:ind w:left="35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□采购过程</w:t>
      </w:r>
    </w:p>
    <w:p w14:paraId="4A9027BE">
      <w:pPr>
        <w:spacing w:before="114" w:line="228" w:lineRule="auto"/>
        <w:ind w:left="35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□成交结果</w:t>
      </w:r>
    </w:p>
    <w:p w14:paraId="36BD4B94">
      <w:pPr>
        <w:spacing w:before="112" w:line="228" w:lineRule="auto"/>
        <w:ind w:left="434"/>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三、质疑事项具体内容</w:t>
      </w:r>
    </w:p>
    <w:p w14:paraId="7885D342">
      <w:pPr>
        <w:spacing w:before="115" w:line="322" w:lineRule="auto"/>
        <w:ind w:left="436" w:right="15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质疑事项</w:t>
      </w:r>
      <w:r>
        <w:rPr>
          <w:rFonts w:ascii="宋体" w:hAnsi="宋体" w:eastAsia="宋体" w:cs="宋体"/>
          <w:color w:val="auto"/>
          <w:spacing w:val="-16"/>
          <w:sz w:val="20"/>
          <w:szCs w:val="20"/>
          <w:highlight w:val="none"/>
        </w:rPr>
        <w:t xml:space="preserve"> </w:t>
      </w:r>
      <w:r>
        <w:rPr>
          <w:rFonts w:ascii="宋体" w:hAnsi="宋体" w:eastAsia="宋体" w:cs="宋体"/>
          <w:color w:val="auto"/>
          <w:spacing w:val="2"/>
          <w:sz w:val="20"/>
          <w:szCs w:val="20"/>
          <w:highlight w:val="none"/>
        </w:rPr>
        <w:t>1：</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z w:val="20"/>
          <w:szCs w:val="20"/>
          <w:highlight w:val="none"/>
        </w:rPr>
        <w:t xml:space="preserve">  </w:t>
      </w:r>
    </w:p>
    <w:p w14:paraId="50ADD694">
      <w:pPr>
        <w:spacing w:before="115" w:line="322" w:lineRule="auto"/>
        <w:ind w:left="436" w:right="155"/>
        <w:rPr>
          <w:rFonts w:ascii="宋体" w:hAnsi="宋体" w:eastAsia="宋体" w:cs="宋体"/>
          <w:color w:val="auto"/>
          <w:spacing w:val="7"/>
          <w:sz w:val="20"/>
          <w:szCs w:val="20"/>
          <w:highlight w:val="none"/>
        </w:rPr>
      </w:pPr>
      <w:r>
        <w:rPr>
          <w:rFonts w:ascii="宋体" w:hAnsi="宋体" w:eastAsia="宋体" w:cs="宋体"/>
          <w:color w:val="auto"/>
          <w:spacing w:val="5"/>
          <w:sz w:val="20"/>
          <w:szCs w:val="20"/>
          <w:highlight w:val="none"/>
        </w:rPr>
        <w:t>事实依据：</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
          <w:sz w:val="20"/>
          <w:szCs w:val="20"/>
          <w:highlight w:val="none"/>
        </w:rPr>
        <w:t xml:space="preserve">  </w:t>
      </w:r>
    </w:p>
    <w:p w14:paraId="029FD78C">
      <w:pPr>
        <w:spacing w:before="115" w:line="322" w:lineRule="auto"/>
        <w:ind w:left="436" w:right="15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法律依据：</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6C90B148">
      <w:pPr>
        <w:spacing w:before="33" w:line="332" w:lineRule="auto"/>
        <w:ind w:left="449" w:right="7663" w:hanging="1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质疑事项</w:t>
      </w:r>
      <w:r>
        <w:rPr>
          <w:rFonts w:ascii="宋体" w:hAnsi="宋体" w:eastAsia="宋体" w:cs="宋体"/>
          <w:color w:val="auto"/>
          <w:spacing w:val="-33"/>
          <w:sz w:val="20"/>
          <w:szCs w:val="20"/>
          <w:highlight w:val="none"/>
        </w:rPr>
        <w:t xml:space="preserve"> </w:t>
      </w:r>
      <w:r>
        <w:rPr>
          <w:rFonts w:ascii="宋体" w:hAnsi="宋体" w:eastAsia="宋体" w:cs="宋体"/>
          <w:color w:val="auto"/>
          <w:spacing w:val="4"/>
          <w:sz w:val="20"/>
          <w:szCs w:val="20"/>
          <w:highlight w:val="none"/>
        </w:rPr>
        <w:t>2</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w:t>
      </w:r>
    </w:p>
    <w:p w14:paraId="31F3EBC6">
      <w:pPr>
        <w:spacing w:line="228" w:lineRule="auto"/>
        <w:ind w:left="45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四、与质疑事项相关的质疑请求：</w:t>
      </w:r>
    </w:p>
    <w:p w14:paraId="0FFE0DC8">
      <w:pPr>
        <w:spacing w:before="113" w:line="228"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请求：</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6B019D33">
      <w:pPr>
        <w:pStyle w:val="3"/>
        <w:spacing w:line="405" w:lineRule="auto"/>
        <w:rPr>
          <w:color w:val="auto"/>
          <w:highlight w:val="none"/>
        </w:rPr>
      </w:pPr>
    </w:p>
    <w:p w14:paraId="02095A3C">
      <w:pPr>
        <w:spacing w:before="65" w:line="227" w:lineRule="auto"/>
        <w:ind w:left="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签字（签章</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公章：</w:t>
      </w:r>
    </w:p>
    <w:p w14:paraId="65241F8A">
      <w:pPr>
        <w:pStyle w:val="3"/>
        <w:spacing w:line="407" w:lineRule="auto"/>
        <w:rPr>
          <w:color w:val="auto"/>
          <w:highlight w:val="none"/>
        </w:rPr>
      </w:pPr>
    </w:p>
    <w:p w14:paraId="665D3C23">
      <w:pPr>
        <w:spacing w:before="65" w:line="228" w:lineRule="auto"/>
        <w:ind w:left="47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日期：</w:t>
      </w:r>
    </w:p>
    <w:p w14:paraId="0E10B6E4">
      <w:pPr>
        <w:spacing w:before="96" w:line="228" w:lineRule="auto"/>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说明：</w:t>
      </w:r>
    </w:p>
    <w:p w14:paraId="2211E9F5">
      <w:pPr>
        <w:spacing w:before="94" w:line="227" w:lineRule="auto"/>
        <w:ind w:left="348"/>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1.供应商提出质疑时，应提交质疑函和必要的</w:t>
      </w:r>
      <w:r>
        <w:rPr>
          <w:rFonts w:ascii="宋体" w:hAnsi="宋体" w:eastAsia="宋体" w:cs="宋体"/>
          <w:b/>
          <w:bCs/>
          <w:color w:val="auto"/>
          <w:spacing w:val="6"/>
          <w:sz w:val="20"/>
          <w:szCs w:val="20"/>
          <w:highlight w:val="none"/>
        </w:rPr>
        <w:t>证明材料。</w:t>
      </w:r>
    </w:p>
    <w:p w14:paraId="027E4920">
      <w:pPr>
        <w:spacing w:before="92" w:line="305" w:lineRule="auto"/>
        <w:ind w:left="28" w:firstLine="307"/>
        <w:jc w:val="both"/>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2.质疑供应商若委托代理人进行质疑的，质疑函应按要求列明“</w:t>
      </w:r>
      <w:r>
        <w:rPr>
          <w:rFonts w:ascii="宋体" w:hAnsi="宋体" w:eastAsia="宋体" w:cs="宋体"/>
          <w:b/>
          <w:bCs/>
          <w:color w:val="auto"/>
          <w:spacing w:val="8"/>
          <w:sz w:val="20"/>
          <w:szCs w:val="20"/>
          <w:highlight w:val="none"/>
        </w:rPr>
        <w:t>授权代表</w:t>
      </w:r>
      <w:r>
        <w:rPr>
          <w:rFonts w:ascii="宋体" w:hAnsi="宋体" w:eastAsia="宋体" w:cs="宋体"/>
          <w:color w:val="auto"/>
          <w:spacing w:val="-70"/>
          <w:sz w:val="20"/>
          <w:szCs w:val="20"/>
          <w:highlight w:val="none"/>
        </w:rPr>
        <w:t xml:space="preserve"> </w:t>
      </w:r>
      <w:r>
        <w:rPr>
          <w:rFonts w:ascii="宋体" w:hAnsi="宋体" w:eastAsia="宋体" w:cs="宋体"/>
          <w:b/>
          <w:bCs/>
          <w:color w:val="auto"/>
          <w:spacing w:val="8"/>
          <w:sz w:val="20"/>
          <w:szCs w:val="20"/>
          <w:highlight w:val="none"/>
        </w:rPr>
        <w:t>”的有关内容，并在</w:t>
      </w:r>
      <w:r>
        <w:rPr>
          <w:rFonts w:ascii="宋体" w:hAnsi="宋体" w:eastAsia="宋体" w:cs="宋体"/>
          <w:color w:val="auto"/>
          <w:sz w:val="20"/>
          <w:szCs w:val="20"/>
          <w:highlight w:val="none"/>
        </w:rPr>
        <w:t xml:space="preserve">  </w:t>
      </w:r>
      <w:r>
        <w:rPr>
          <w:rFonts w:ascii="宋体" w:hAnsi="宋体" w:eastAsia="宋体" w:cs="宋体"/>
          <w:b/>
          <w:bCs/>
          <w:color w:val="auto"/>
          <w:spacing w:val="4"/>
          <w:sz w:val="20"/>
          <w:szCs w:val="20"/>
          <w:highlight w:val="none"/>
        </w:rPr>
        <w:t>附件中提交由质疑供应商签署的授权委托书。授权委托书应载明代理人的姓名或</w:t>
      </w:r>
      <w:r>
        <w:rPr>
          <w:rFonts w:ascii="宋体" w:hAnsi="宋体" w:eastAsia="宋体" w:cs="宋体"/>
          <w:b/>
          <w:bCs/>
          <w:color w:val="auto"/>
          <w:spacing w:val="3"/>
          <w:sz w:val="20"/>
          <w:szCs w:val="20"/>
          <w:highlight w:val="none"/>
        </w:rPr>
        <w:t>者名称、代理事项、</w:t>
      </w:r>
      <w:r>
        <w:rPr>
          <w:rFonts w:ascii="宋体" w:hAnsi="宋体" w:eastAsia="宋体" w:cs="宋体"/>
          <w:color w:val="auto"/>
          <w:sz w:val="20"/>
          <w:szCs w:val="20"/>
          <w:highlight w:val="none"/>
        </w:rPr>
        <w:t xml:space="preserve"> </w:t>
      </w:r>
      <w:r>
        <w:rPr>
          <w:rFonts w:ascii="宋体" w:hAnsi="宋体" w:eastAsia="宋体" w:cs="宋体"/>
          <w:b/>
          <w:bCs/>
          <w:color w:val="auto"/>
          <w:spacing w:val="6"/>
          <w:sz w:val="20"/>
          <w:szCs w:val="20"/>
          <w:highlight w:val="none"/>
        </w:rPr>
        <w:t>具体权限、期限和相关事项。</w:t>
      </w:r>
    </w:p>
    <w:p w14:paraId="039F16C1">
      <w:pPr>
        <w:spacing w:before="30" w:line="300" w:lineRule="auto"/>
        <w:ind w:left="332" w:right="2268" w:firstLine="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3.质疑函的质疑事项应具体、明确，并有必要的</w:t>
      </w:r>
      <w:r>
        <w:rPr>
          <w:rFonts w:ascii="宋体" w:hAnsi="宋体" w:eastAsia="宋体" w:cs="宋体"/>
          <w:b/>
          <w:bCs/>
          <w:color w:val="auto"/>
          <w:spacing w:val="6"/>
          <w:sz w:val="20"/>
          <w:szCs w:val="20"/>
          <w:highlight w:val="none"/>
        </w:rPr>
        <w:t>事实依据和法律依据。</w:t>
      </w:r>
      <w:r>
        <w:rPr>
          <w:rFonts w:ascii="宋体" w:hAnsi="宋体" w:eastAsia="宋体" w:cs="宋体"/>
          <w:color w:val="auto"/>
          <w:sz w:val="20"/>
          <w:szCs w:val="20"/>
          <w:highlight w:val="none"/>
        </w:rPr>
        <w:t xml:space="preserve"> </w:t>
      </w:r>
    </w:p>
    <w:p w14:paraId="46C5D652">
      <w:pPr>
        <w:spacing w:before="30" w:line="300" w:lineRule="auto"/>
        <w:ind w:left="332" w:right="2268" w:firstLine="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4.质疑函的质疑请求应与质疑事项相关。</w:t>
      </w:r>
    </w:p>
    <w:p w14:paraId="3BB380B1">
      <w:pPr>
        <w:spacing w:before="31" w:line="297" w:lineRule="auto"/>
        <w:ind w:left="23" w:right="71" w:firstLine="313"/>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5.质疑供应商为自然人的，质疑函应由本人签字；质疑供应商为法人或者其他组织的，质疑函</w:t>
      </w:r>
      <w:r>
        <w:rPr>
          <w:rFonts w:ascii="宋体" w:hAnsi="宋体" w:eastAsia="宋体" w:cs="宋体"/>
          <w:color w:val="auto"/>
          <w:spacing w:val="13"/>
          <w:sz w:val="20"/>
          <w:szCs w:val="20"/>
          <w:highlight w:val="none"/>
        </w:rPr>
        <w:t xml:space="preserve"> </w:t>
      </w:r>
      <w:r>
        <w:rPr>
          <w:rFonts w:ascii="宋体" w:hAnsi="宋体" w:eastAsia="宋体" w:cs="宋体"/>
          <w:b/>
          <w:bCs/>
          <w:color w:val="auto"/>
          <w:spacing w:val="8"/>
          <w:sz w:val="20"/>
          <w:szCs w:val="20"/>
          <w:highlight w:val="none"/>
        </w:rPr>
        <w:t>应由法定代表人、主要负责人，或者其授权代表签字或者盖章，并加盖公章。</w:t>
      </w:r>
    </w:p>
    <w:p w14:paraId="21B2E892">
      <w:pPr>
        <w:spacing w:line="297" w:lineRule="auto"/>
        <w:rPr>
          <w:rFonts w:ascii="宋体" w:hAnsi="宋体" w:eastAsia="宋体" w:cs="宋体"/>
          <w:color w:val="auto"/>
          <w:sz w:val="20"/>
          <w:szCs w:val="20"/>
          <w:highlight w:val="none"/>
        </w:rPr>
        <w:sectPr>
          <w:footerReference r:id="rId19" w:type="default"/>
          <w:pgSz w:w="11906" w:h="16839"/>
          <w:pgMar w:top="1440" w:right="1080" w:bottom="1440" w:left="1080" w:header="0" w:footer="1200" w:gutter="0"/>
          <w:pgNumType w:fmt="decimal"/>
          <w:cols w:space="720" w:num="1"/>
        </w:sectPr>
      </w:pPr>
    </w:p>
    <w:p w14:paraId="24BDF768">
      <w:pPr>
        <w:spacing w:before="63" w:line="224" w:lineRule="auto"/>
        <w:ind w:left="450"/>
        <w:rPr>
          <w:rFonts w:ascii="宋体" w:hAnsi="宋体" w:eastAsia="宋体" w:cs="宋体"/>
          <w:color w:val="auto"/>
          <w:sz w:val="31"/>
          <w:szCs w:val="31"/>
          <w:highlight w:val="none"/>
        </w:rPr>
      </w:pPr>
      <w:r>
        <w:rPr>
          <w:rFonts w:ascii="宋体" w:hAnsi="宋体" w:eastAsia="宋体" w:cs="宋体"/>
          <w:b/>
          <w:bCs/>
          <w:color w:val="auto"/>
          <w:spacing w:val="-11"/>
          <w:sz w:val="31"/>
          <w:szCs w:val="31"/>
          <w:highlight w:val="none"/>
        </w:rPr>
        <w:t>附件</w:t>
      </w:r>
      <w:r>
        <w:rPr>
          <w:rFonts w:ascii="宋体" w:hAnsi="宋体" w:eastAsia="宋体" w:cs="宋体"/>
          <w:color w:val="auto"/>
          <w:spacing w:val="-58"/>
          <w:sz w:val="31"/>
          <w:szCs w:val="31"/>
          <w:highlight w:val="none"/>
        </w:rPr>
        <w:t xml:space="preserve"> </w:t>
      </w:r>
      <w:r>
        <w:rPr>
          <w:rFonts w:hint="eastAsia" w:ascii="宋体" w:hAnsi="宋体" w:eastAsia="宋体" w:cs="宋体"/>
          <w:b/>
          <w:bCs/>
          <w:color w:val="auto"/>
          <w:spacing w:val="-11"/>
          <w:sz w:val="31"/>
          <w:szCs w:val="31"/>
          <w:highlight w:val="none"/>
          <w:lang w:val="en-US" w:eastAsia="zh-CN"/>
        </w:rPr>
        <w:t>4</w:t>
      </w:r>
      <w:r>
        <w:rPr>
          <w:rFonts w:ascii="宋体" w:hAnsi="宋体" w:eastAsia="宋体" w:cs="宋体"/>
          <w:b/>
          <w:bCs/>
          <w:color w:val="auto"/>
          <w:spacing w:val="-11"/>
          <w:sz w:val="31"/>
          <w:szCs w:val="31"/>
          <w:highlight w:val="none"/>
        </w:rPr>
        <w:t>：</w:t>
      </w:r>
    </w:p>
    <w:p w14:paraId="624E726C">
      <w:pPr>
        <w:spacing w:before="89" w:line="224" w:lineRule="auto"/>
        <w:ind w:left="3404"/>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投诉书（格式）</w:t>
      </w:r>
    </w:p>
    <w:p w14:paraId="6E9D63BF">
      <w:pPr>
        <w:spacing w:before="128" w:line="227" w:lineRule="auto"/>
        <w:ind w:left="423"/>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一、投诉相关主体基本情况：</w:t>
      </w:r>
    </w:p>
    <w:p w14:paraId="3ED91520">
      <w:pPr>
        <w:tabs>
          <w:tab w:val="left" w:pos="8810"/>
        </w:tabs>
        <w:spacing w:before="156" w:line="362" w:lineRule="auto"/>
        <w:ind w:left="420" w:right="211" w:firstLine="2"/>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投标人：</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101F3172">
      <w:pPr>
        <w:tabs>
          <w:tab w:val="left" w:pos="8810"/>
        </w:tabs>
        <w:spacing w:before="156" w:line="362" w:lineRule="auto"/>
        <w:ind w:left="420" w:right="211" w:firstLine="2"/>
        <w:jc w:val="both"/>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地址：</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77"/>
          <w:sz w:val="20"/>
          <w:szCs w:val="20"/>
          <w:highlight w:val="none"/>
        </w:rPr>
        <w:t xml:space="preserve"> </w:t>
      </w:r>
      <w:r>
        <w:rPr>
          <w:rFonts w:ascii="宋体" w:hAnsi="宋体" w:eastAsia="宋体" w:cs="宋体"/>
          <w:color w:val="auto"/>
          <w:spacing w:val="2"/>
          <w:sz w:val="20"/>
          <w:szCs w:val="20"/>
          <w:highlight w:val="none"/>
        </w:rPr>
        <w:t>邮编：</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32E9EFA6">
      <w:pPr>
        <w:tabs>
          <w:tab w:val="left" w:pos="8810"/>
        </w:tabs>
        <w:spacing w:before="156" w:line="362" w:lineRule="auto"/>
        <w:ind w:left="420" w:right="211" w:firstLine="2"/>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法定代表人/主要负责人：</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70DB25B2">
      <w:pPr>
        <w:tabs>
          <w:tab w:val="left" w:pos="8810"/>
        </w:tabs>
        <w:spacing w:before="156" w:line="362" w:lineRule="auto"/>
        <w:ind w:left="420" w:right="211" w:firstLine="2"/>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联系电话：</w:t>
      </w:r>
      <w:r>
        <w:rPr>
          <w:rFonts w:ascii="宋体" w:hAnsi="宋体" w:eastAsia="宋体" w:cs="宋体"/>
          <w:color w:val="auto"/>
          <w:sz w:val="20"/>
          <w:szCs w:val="20"/>
          <w:highlight w:val="none"/>
          <w:u w:val="single" w:color="auto"/>
        </w:rPr>
        <w:t xml:space="preserve">                                            </w:t>
      </w:r>
    </w:p>
    <w:p w14:paraId="2CAC67E4">
      <w:pPr>
        <w:spacing w:before="30" w:line="228" w:lineRule="auto"/>
        <w:ind w:left="41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授权代表：</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4"/>
          <w:sz w:val="20"/>
          <w:szCs w:val="20"/>
          <w:highlight w:val="none"/>
        </w:rPr>
        <w:t>联系电话：</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174260E8">
      <w:pPr>
        <w:spacing w:before="152" w:line="355" w:lineRule="auto"/>
        <w:ind w:left="420"/>
        <w:rPr>
          <w:rFonts w:ascii="宋体" w:hAnsi="宋体" w:eastAsia="宋体" w:cs="宋体"/>
          <w:color w:val="auto"/>
          <w:spacing w:val="1"/>
          <w:sz w:val="20"/>
          <w:szCs w:val="20"/>
          <w:highlight w:val="none"/>
        </w:rPr>
      </w:pPr>
      <w:r>
        <w:rPr>
          <w:rFonts w:ascii="宋体" w:hAnsi="宋体" w:eastAsia="宋体" w:cs="宋体"/>
          <w:color w:val="auto"/>
          <w:spacing w:val="4"/>
          <w:sz w:val="20"/>
          <w:szCs w:val="20"/>
          <w:highlight w:val="none"/>
        </w:rPr>
        <w:t>地址：</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77"/>
          <w:sz w:val="20"/>
          <w:szCs w:val="20"/>
          <w:highlight w:val="none"/>
        </w:rPr>
        <w:t xml:space="preserve"> </w:t>
      </w:r>
      <w:r>
        <w:rPr>
          <w:rFonts w:ascii="宋体" w:hAnsi="宋体" w:eastAsia="宋体" w:cs="宋体"/>
          <w:color w:val="auto"/>
          <w:spacing w:val="3"/>
          <w:sz w:val="20"/>
          <w:szCs w:val="20"/>
          <w:highlight w:val="none"/>
        </w:rPr>
        <w:t>邮编：</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
          <w:sz w:val="20"/>
          <w:szCs w:val="20"/>
          <w:highlight w:val="none"/>
        </w:rPr>
        <w:t xml:space="preserve"> </w:t>
      </w:r>
    </w:p>
    <w:p w14:paraId="1E7395D2">
      <w:pPr>
        <w:spacing w:before="152" w:line="355"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被投诉人</w:t>
      </w:r>
      <w:r>
        <w:rPr>
          <w:rFonts w:ascii="宋体" w:hAnsi="宋体" w:eastAsia="宋体" w:cs="宋体"/>
          <w:color w:val="auto"/>
          <w:spacing w:val="-18"/>
          <w:sz w:val="20"/>
          <w:szCs w:val="20"/>
          <w:highlight w:val="none"/>
        </w:rPr>
        <w:t xml:space="preserve"> </w:t>
      </w:r>
      <w:r>
        <w:rPr>
          <w:rFonts w:ascii="宋体" w:hAnsi="宋体" w:eastAsia="宋体" w:cs="宋体"/>
          <w:color w:val="auto"/>
          <w:spacing w:val="1"/>
          <w:sz w:val="20"/>
          <w:szCs w:val="20"/>
          <w:highlight w:val="none"/>
        </w:rPr>
        <w:t>1：</w:t>
      </w:r>
    </w:p>
    <w:p w14:paraId="0D74AB56">
      <w:pPr>
        <w:spacing w:before="32" w:line="354" w:lineRule="auto"/>
        <w:ind w:left="420"/>
        <w:rPr>
          <w:rFonts w:ascii="宋体" w:hAnsi="宋体" w:eastAsia="宋体" w:cs="宋体"/>
          <w:color w:val="auto"/>
          <w:spacing w:val="1"/>
          <w:sz w:val="20"/>
          <w:szCs w:val="20"/>
          <w:highlight w:val="none"/>
        </w:rPr>
      </w:pPr>
      <w:r>
        <w:rPr>
          <w:rFonts w:ascii="宋体" w:hAnsi="宋体" w:eastAsia="宋体" w:cs="宋体"/>
          <w:color w:val="auto"/>
          <w:spacing w:val="4"/>
          <w:sz w:val="20"/>
          <w:szCs w:val="20"/>
          <w:highlight w:val="none"/>
        </w:rPr>
        <w:t>地址：</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77"/>
          <w:sz w:val="20"/>
          <w:szCs w:val="20"/>
          <w:highlight w:val="none"/>
        </w:rPr>
        <w:t xml:space="preserve"> </w:t>
      </w:r>
      <w:r>
        <w:rPr>
          <w:rFonts w:ascii="宋体" w:hAnsi="宋体" w:eastAsia="宋体" w:cs="宋体"/>
          <w:color w:val="auto"/>
          <w:spacing w:val="3"/>
          <w:sz w:val="20"/>
          <w:szCs w:val="20"/>
          <w:highlight w:val="none"/>
        </w:rPr>
        <w:t>邮编：</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
          <w:sz w:val="20"/>
          <w:szCs w:val="20"/>
          <w:highlight w:val="none"/>
        </w:rPr>
        <w:t xml:space="preserve"> </w:t>
      </w:r>
    </w:p>
    <w:p w14:paraId="7EED2D52">
      <w:pPr>
        <w:spacing w:before="32" w:line="354" w:lineRule="auto"/>
        <w:ind w:left="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联系人：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4"/>
          <w:sz w:val="20"/>
          <w:szCs w:val="20"/>
          <w:highlight w:val="none"/>
        </w:rPr>
        <w:t>联系电话：</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1B54C126">
      <w:pPr>
        <w:spacing w:before="32" w:line="369" w:lineRule="auto"/>
        <w:ind w:left="432" w:right="7456" w:hanging="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被投诉人</w:t>
      </w:r>
      <w:r>
        <w:rPr>
          <w:rFonts w:ascii="宋体" w:hAnsi="宋体" w:eastAsia="宋体" w:cs="宋体"/>
          <w:color w:val="auto"/>
          <w:spacing w:val="-31"/>
          <w:sz w:val="20"/>
          <w:szCs w:val="20"/>
          <w:highlight w:val="none"/>
        </w:rPr>
        <w:t xml:space="preserve"> </w:t>
      </w:r>
      <w:r>
        <w:rPr>
          <w:rFonts w:ascii="宋体" w:hAnsi="宋体" w:eastAsia="宋体" w:cs="宋体"/>
          <w:color w:val="auto"/>
          <w:spacing w:val="-4"/>
          <w:sz w:val="20"/>
          <w:szCs w:val="20"/>
          <w:highlight w:val="none"/>
        </w:rPr>
        <w:t>2：</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w:t>
      </w:r>
    </w:p>
    <w:p w14:paraId="790B2783">
      <w:pPr>
        <w:tabs>
          <w:tab w:val="left" w:pos="9022"/>
        </w:tabs>
        <w:spacing w:before="3" w:line="360" w:lineRule="auto"/>
        <w:ind w:left="420"/>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相关供应商：</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255AF3F0">
      <w:pPr>
        <w:tabs>
          <w:tab w:val="left" w:pos="9022"/>
        </w:tabs>
        <w:spacing w:before="3" w:line="360" w:lineRule="auto"/>
        <w:ind w:left="420"/>
        <w:jc w:val="both"/>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地址：</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77"/>
          <w:sz w:val="20"/>
          <w:szCs w:val="20"/>
          <w:highlight w:val="none"/>
        </w:rPr>
        <w:t xml:space="preserve"> </w:t>
      </w:r>
      <w:r>
        <w:rPr>
          <w:rFonts w:ascii="宋体" w:hAnsi="宋体" w:eastAsia="宋体" w:cs="宋体"/>
          <w:color w:val="auto"/>
          <w:spacing w:val="3"/>
          <w:sz w:val="20"/>
          <w:szCs w:val="20"/>
          <w:highlight w:val="none"/>
        </w:rPr>
        <w:t>邮编：</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08CB7897">
      <w:pPr>
        <w:tabs>
          <w:tab w:val="left" w:pos="9022"/>
        </w:tabs>
        <w:spacing w:before="3" w:line="360" w:lineRule="auto"/>
        <w:ind w:left="420"/>
        <w:jc w:val="both"/>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联系人：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4"/>
          <w:sz w:val="20"/>
          <w:szCs w:val="20"/>
          <w:highlight w:val="none"/>
        </w:rPr>
        <w:t>联系电话：</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647FA6DE">
      <w:pPr>
        <w:spacing w:before="27" w:line="227" w:lineRule="auto"/>
        <w:ind w:left="423"/>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二、投诉项目基本情况：</w:t>
      </w:r>
    </w:p>
    <w:p w14:paraId="5BD76BC3">
      <w:pPr>
        <w:spacing w:before="155" w:line="355" w:lineRule="auto"/>
        <w:ind w:left="438"/>
        <w:rPr>
          <w:rFonts w:ascii="宋体" w:hAnsi="宋体" w:eastAsia="宋体" w:cs="宋体"/>
          <w:color w:val="auto"/>
          <w:spacing w:val="13"/>
          <w:sz w:val="20"/>
          <w:szCs w:val="20"/>
          <w:highlight w:val="none"/>
        </w:rPr>
      </w:pPr>
      <w:r>
        <w:rPr>
          <w:rFonts w:ascii="宋体" w:hAnsi="宋体" w:eastAsia="宋体" w:cs="宋体"/>
          <w:color w:val="auto"/>
          <w:spacing w:val="5"/>
          <w:sz w:val="20"/>
          <w:szCs w:val="20"/>
          <w:highlight w:val="none"/>
        </w:rPr>
        <w:t>采购项目的名称：</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3"/>
          <w:sz w:val="20"/>
          <w:szCs w:val="20"/>
          <w:highlight w:val="none"/>
        </w:rPr>
        <w:t xml:space="preserve"> </w:t>
      </w:r>
    </w:p>
    <w:p w14:paraId="1BAD68BC">
      <w:pPr>
        <w:spacing w:before="155" w:line="355" w:lineRule="auto"/>
        <w:ind w:left="43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采购项目的编号：</w:t>
      </w:r>
      <w:r>
        <w:rPr>
          <w:rFonts w:ascii="宋体" w:hAnsi="宋体" w:eastAsia="宋体" w:cs="宋体"/>
          <w:color w:val="auto"/>
          <w:sz w:val="20"/>
          <w:szCs w:val="20"/>
          <w:highlight w:val="none"/>
          <w:u w:val="single" w:color="auto"/>
        </w:rPr>
        <w:t xml:space="preserve">                                             </w:t>
      </w:r>
    </w:p>
    <w:p w14:paraId="5DC75428">
      <w:pPr>
        <w:tabs>
          <w:tab w:val="left" w:pos="9022"/>
        </w:tabs>
        <w:spacing w:before="28" w:line="362" w:lineRule="auto"/>
        <w:ind w:left="438"/>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采购人名称：</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1BC1F7A5">
      <w:pPr>
        <w:tabs>
          <w:tab w:val="left" w:pos="9022"/>
        </w:tabs>
        <w:spacing w:before="28" w:line="362" w:lineRule="auto"/>
        <w:ind w:left="438"/>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代理机构名称：</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066AA3F8">
      <w:pPr>
        <w:tabs>
          <w:tab w:val="left" w:pos="9022"/>
        </w:tabs>
        <w:spacing w:before="28" w:line="362" w:lineRule="auto"/>
        <w:ind w:left="438"/>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采购文件公告：</w:t>
      </w:r>
      <w:r>
        <w:rPr>
          <w:rFonts w:ascii="宋体" w:hAnsi="宋体" w:eastAsia="宋体" w:cs="宋体"/>
          <w:color w:val="auto"/>
          <w:spacing w:val="9"/>
          <w:sz w:val="20"/>
          <w:szCs w:val="20"/>
          <w:highlight w:val="none"/>
          <w:u w:val="single" w:color="auto"/>
        </w:rPr>
        <w:t>是/否</w:t>
      </w:r>
      <w:r>
        <w:rPr>
          <w:rFonts w:ascii="宋体" w:hAnsi="宋体" w:eastAsia="宋体" w:cs="宋体"/>
          <w:color w:val="auto"/>
          <w:spacing w:val="9"/>
          <w:sz w:val="20"/>
          <w:szCs w:val="20"/>
          <w:highlight w:val="none"/>
        </w:rPr>
        <w:t>公告期限：</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p>
    <w:p w14:paraId="4F0DF064">
      <w:pPr>
        <w:tabs>
          <w:tab w:val="left" w:pos="9022"/>
        </w:tabs>
        <w:spacing w:before="28" w:line="362" w:lineRule="auto"/>
        <w:ind w:left="438"/>
        <w:jc w:val="both"/>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采购结果公告：</w:t>
      </w:r>
      <w:r>
        <w:rPr>
          <w:rFonts w:ascii="宋体" w:hAnsi="宋体" w:eastAsia="宋体" w:cs="宋体"/>
          <w:color w:val="auto"/>
          <w:spacing w:val="6"/>
          <w:sz w:val="20"/>
          <w:szCs w:val="20"/>
          <w:highlight w:val="none"/>
          <w:u w:val="single" w:color="auto"/>
        </w:rPr>
        <w:t>是/否</w:t>
      </w:r>
      <w:r>
        <w:rPr>
          <w:rFonts w:ascii="宋体" w:hAnsi="宋体" w:eastAsia="宋体" w:cs="宋体"/>
          <w:color w:val="auto"/>
          <w:spacing w:val="6"/>
          <w:sz w:val="20"/>
          <w:szCs w:val="20"/>
          <w:highlight w:val="none"/>
        </w:rPr>
        <w:t>公告期限：</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p>
    <w:p w14:paraId="0B3A671C">
      <w:pPr>
        <w:spacing w:before="34" w:line="227" w:lineRule="auto"/>
        <w:ind w:left="436"/>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三、质疑基本情况</w:t>
      </w:r>
    </w:p>
    <w:p w14:paraId="0CABA4B5">
      <w:pPr>
        <w:spacing w:before="155" w:line="228" w:lineRule="auto"/>
        <w:jc w:val="right"/>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投诉人于</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3"/>
          <w:sz w:val="20"/>
          <w:szCs w:val="20"/>
          <w:highlight w:val="none"/>
        </w:rPr>
        <w:t>年</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3"/>
          <w:sz w:val="20"/>
          <w:szCs w:val="20"/>
          <w:highlight w:val="none"/>
        </w:rPr>
        <w:t>月</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56"/>
          <w:sz w:val="20"/>
          <w:szCs w:val="20"/>
          <w:highlight w:val="none"/>
        </w:rPr>
        <w:t xml:space="preserve"> </w:t>
      </w:r>
      <w:r>
        <w:rPr>
          <w:rFonts w:ascii="宋体" w:hAnsi="宋体" w:eastAsia="宋体" w:cs="宋体"/>
          <w:color w:val="auto"/>
          <w:spacing w:val="3"/>
          <w:sz w:val="20"/>
          <w:szCs w:val="20"/>
          <w:highlight w:val="none"/>
        </w:rPr>
        <w:t>日，向</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2"/>
          <w:sz w:val="20"/>
          <w:szCs w:val="20"/>
          <w:highlight w:val="none"/>
        </w:rPr>
        <w:t>提出质疑，质疑事</w:t>
      </w:r>
    </w:p>
    <w:p w14:paraId="0C9401E1">
      <w:pPr>
        <w:spacing w:before="152" w:line="228" w:lineRule="auto"/>
        <w:ind w:left="29"/>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项为：</w:t>
      </w:r>
    </w:p>
    <w:p w14:paraId="1A19212E">
      <w:pPr>
        <w:pStyle w:val="3"/>
        <w:tabs>
          <w:tab w:val="left" w:pos="9022"/>
        </w:tabs>
        <w:spacing w:before="159"/>
        <w:ind w:left="411"/>
        <w:rPr>
          <w:color w:val="auto"/>
          <w:highlight w:val="none"/>
        </w:rPr>
      </w:pPr>
      <w:r>
        <w:rPr>
          <w:color w:val="auto"/>
          <w:highlight w:val="none"/>
          <w:u w:val="single" w:color="auto"/>
        </w:rPr>
        <w:tab/>
      </w:r>
    </w:p>
    <w:p w14:paraId="4C288ED4">
      <w:pPr>
        <w:pStyle w:val="3"/>
        <w:tabs>
          <w:tab w:val="left" w:pos="9022"/>
        </w:tabs>
        <w:spacing w:before="158"/>
        <w:ind w:left="411"/>
        <w:rPr>
          <w:color w:val="auto"/>
          <w:highlight w:val="none"/>
        </w:rPr>
      </w:pPr>
      <w:r>
        <w:rPr>
          <w:color w:val="auto"/>
          <w:highlight w:val="none"/>
          <w:u w:val="single" w:color="auto"/>
        </w:rPr>
        <w:tab/>
      </w:r>
    </w:p>
    <w:p w14:paraId="7C53C69B">
      <w:pPr>
        <w:spacing w:before="152" w:line="227" w:lineRule="auto"/>
        <w:jc w:val="righ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采购人/代理机构</w:t>
      </w:r>
      <w:r>
        <w:rPr>
          <w:rFonts w:ascii="宋体" w:hAnsi="宋体" w:eastAsia="宋体" w:cs="宋体"/>
          <w:color w:val="auto"/>
          <w:spacing w:val="7"/>
          <w:sz w:val="20"/>
          <w:szCs w:val="20"/>
          <w:highlight w:val="none"/>
        </w:rPr>
        <w:t>于</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7"/>
          <w:sz w:val="20"/>
          <w:szCs w:val="20"/>
          <w:highlight w:val="none"/>
        </w:rPr>
        <w:t>年</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7"/>
          <w:sz w:val="20"/>
          <w:szCs w:val="20"/>
          <w:highlight w:val="none"/>
        </w:rPr>
        <w:t>月</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54"/>
          <w:sz w:val="20"/>
          <w:szCs w:val="20"/>
          <w:highlight w:val="none"/>
        </w:rPr>
        <w:t xml:space="preserve"> </w:t>
      </w:r>
      <w:r>
        <w:rPr>
          <w:rFonts w:ascii="宋体" w:hAnsi="宋体" w:eastAsia="宋体" w:cs="宋体"/>
          <w:color w:val="auto"/>
          <w:spacing w:val="7"/>
          <w:sz w:val="20"/>
          <w:szCs w:val="20"/>
          <w:highlight w:val="none"/>
        </w:rPr>
        <w:t>日，就质疑事项作出了答复/没有在法定期限内</w:t>
      </w:r>
      <w:r>
        <w:rPr>
          <w:rFonts w:ascii="宋体" w:hAnsi="宋体" w:eastAsia="宋体" w:cs="宋体"/>
          <w:color w:val="auto"/>
          <w:spacing w:val="6"/>
          <w:sz w:val="20"/>
          <w:szCs w:val="20"/>
          <w:highlight w:val="none"/>
        </w:rPr>
        <w:t>作出</w:t>
      </w:r>
    </w:p>
    <w:p w14:paraId="109D88EE">
      <w:pPr>
        <w:spacing w:before="156" w:line="228" w:lineRule="auto"/>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答复。</w:t>
      </w:r>
    </w:p>
    <w:p w14:paraId="7EA63F88">
      <w:pPr>
        <w:spacing w:before="153" w:line="228" w:lineRule="auto"/>
        <w:ind w:left="456"/>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四、投诉事项具体内容</w:t>
      </w:r>
    </w:p>
    <w:p w14:paraId="156B7F17">
      <w:pPr>
        <w:spacing w:before="151" w:line="355" w:lineRule="auto"/>
        <w:ind w:left="420" w:firstLine="2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投诉事项</w:t>
      </w:r>
      <w:r>
        <w:rPr>
          <w:rFonts w:ascii="宋体" w:hAnsi="宋体" w:eastAsia="宋体" w:cs="宋体"/>
          <w:color w:val="auto"/>
          <w:spacing w:val="-21"/>
          <w:sz w:val="20"/>
          <w:szCs w:val="20"/>
          <w:highlight w:val="none"/>
        </w:rPr>
        <w:t xml:space="preserve"> </w:t>
      </w:r>
      <w:r>
        <w:rPr>
          <w:rFonts w:ascii="宋体" w:hAnsi="宋体" w:eastAsia="宋体" w:cs="宋体"/>
          <w:color w:val="auto"/>
          <w:spacing w:val="3"/>
          <w:sz w:val="20"/>
          <w:szCs w:val="20"/>
          <w:highlight w:val="none"/>
        </w:rPr>
        <w:t>1：</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z w:val="20"/>
          <w:szCs w:val="20"/>
          <w:highlight w:val="none"/>
        </w:rPr>
        <w:t xml:space="preserve"> </w:t>
      </w:r>
    </w:p>
    <w:p w14:paraId="219A4BA5">
      <w:pPr>
        <w:spacing w:before="151" w:line="355" w:lineRule="auto"/>
        <w:ind w:left="420" w:firstLine="2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事实依据：</w:t>
      </w:r>
      <w:r>
        <w:rPr>
          <w:rFonts w:ascii="宋体" w:hAnsi="宋体" w:eastAsia="宋体" w:cs="宋体"/>
          <w:color w:val="auto"/>
          <w:spacing w:val="21"/>
          <w:sz w:val="20"/>
          <w:szCs w:val="20"/>
          <w:highlight w:val="none"/>
        </w:rPr>
        <w:t xml:space="preserve"> </w:t>
      </w:r>
      <w:r>
        <w:rPr>
          <w:rFonts w:ascii="宋体" w:hAnsi="宋体" w:eastAsia="宋体" w:cs="宋体"/>
          <w:color w:val="auto"/>
          <w:sz w:val="20"/>
          <w:szCs w:val="20"/>
          <w:highlight w:val="none"/>
          <w:u w:val="single" w:color="auto"/>
        </w:rPr>
        <w:t xml:space="preserve">                                                                           </w:t>
      </w:r>
    </w:p>
    <w:p w14:paraId="1790C2CB">
      <w:pPr>
        <w:pStyle w:val="3"/>
        <w:spacing w:line="458" w:lineRule="auto"/>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274955</wp:posOffset>
                </wp:positionH>
                <wp:positionV relativeFrom="paragraph">
                  <wp:posOffset>208915</wp:posOffset>
                </wp:positionV>
                <wp:extent cx="5455920" cy="6350"/>
                <wp:effectExtent l="0" t="0" r="0" b="0"/>
                <wp:wrapNone/>
                <wp:docPr id="46" name="任意多边形 46"/>
                <wp:cNvGraphicFramePr/>
                <a:graphic xmlns:a="http://schemas.openxmlformats.org/drawingml/2006/main">
                  <a:graphicData uri="http://schemas.microsoft.com/office/word/2010/wordprocessingShape">
                    <wps:wsp>
                      <wps:cNvSpPr/>
                      <wps:spPr>
                        <a:xfrm>
                          <a:off x="0" y="0"/>
                          <a:ext cx="5455920" cy="6350"/>
                        </a:xfrm>
                        <a:custGeom>
                          <a:avLst/>
                          <a:gdLst/>
                          <a:ahLst/>
                          <a:cxnLst/>
                          <a:pathLst>
                            <a:path w="8592" h="10">
                              <a:moveTo>
                                <a:pt x="0" y="4"/>
                              </a:moveTo>
                              <a:lnTo>
                                <a:pt x="8591"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1.65pt;margin-top:16.45pt;height:0.5pt;width:429.6pt;z-index:251661312;mso-width-relative:page;mso-height-relative:page;" filled="f" stroked="t" coordsize="8592,10" o:gfxdata="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9xPyzWAAAACAEAAA8AAAAAAAAAAQAgAAAAIgAAAGRycy9k&#10;b3ducmV2LnhtbFBLAQIUABQAAAAIAIdO4kBxF0L4PQIAAJgEAAAOAAAAAAAAAAEAIAAAACUBAABk&#10;cnMvZTJvRG9jLnhtbFBLBQYAAAAABgAGAFkBAADUBQAAAAA=&#10;" path="m0,4l8591,4e">
                <v:fill on="f" focussize="0,0"/>
                <v:stroke weight="0.48pt" color="#000000" joinstyle="bevel"/>
                <v:imagedata o:title=""/>
                <o:lock v:ext="edit" aspectratio="f"/>
              </v:shape>
            </w:pict>
          </mc:Fallback>
        </mc:AlternateContent>
      </w:r>
    </w:p>
    <w:p w14:paraId="3C999C02">
      <w:pPr>
        <w:spacing w:before="65" w:line="227" w:lineRule="auto"/>
        <w:ind w:left="41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法律依据：</w:t>
      </w:r>
      <w:r>
        <w:rPr>
          <w:rFonts w:ascii="宋体" w:hAnsi="宋体" w:eastAsia="宋体" w:cs="宋体"/>
          <w:color w:val="auto"/>
          <w:spacing w:val="21"/>
          <w:sz w:val="20"/>
          <w:szCs w:val="20"/>
          <w:highlight w:val="none"/>
        </w:rPr>
        <w:t xml:space="preserve"> </w:t>
      </w:r>
      <w:r>
        <w:rPr>
          <w:rFonts w:ascii="宋体" w:hAnsi="宋体" w:eastAsia="宋体" w:cs="宋体"/>
          <w:color w:val="auto"/>
          <w:sz w:val="20"/>
          <w:szCs w:val="20"/>
          <w:highlight w:val="none"/>
          <w:u w:val="single" w:color="auto"/>
        </w:rPr>
        <w:t xml:space="preserve">                                                                           </w:t>
      </w:r>
    </w:p>
    <w:p w14:paraId="1A304A79">
      <w:pPr>
        <w:pStyle w:val="3"/>
        <w:tabs>
          <w:tab w:val="left" w:pos="9020"/>
        </w:tabs>
        <w:spacing w:before="159"/>
        <w:ind w:left="428"/>
        <w:rPr>
          <w:color w:val="auto"/>
          <w:highlight w:val="none"/>
        </w:rPr>
      </w:pPr>
      <w:r>
        <w:rPr>
          <w:color w:val="auto"/>
          <w:highlight w:val="none"/>
          <w:u w:val="single" w:color="auto"/>
        </w:rPr>
        <w:tab/>
      </w:r>
    </w:p>
    <w:p w14:paraId="387A0682">
      <w:pPr>
        <w:spacing w:before="152" w:line="370" w:lineRule="auto"/>
        <w:ind w:left="449" w:right="7594" w:hanging="1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投诉事项</w:t>
      </w:r>
      <w:r>
        <w:rPr>
          <w:rFonts w:ascii="宋体" w:hAnsi="宋体" w:eastAsia="宋体" w:cs="宋体"/>
          <w:color w:val="auto"/>
          <w:spacing w:val="-35"/>
          <w:sz w:val="20"/>
          <w:szCs w:val="20"/>
          <w:highlight w:val="none"/>
        </w:rPr>
        <w:t xml:space="preserve"> </w:t>
      </w:r>
      <w:r>
        <w:rPr>
          <w:rFonts w:ascii="宋体" w:hAnsi="宋体" w:eastAsia="宋体" w:cs="宋体"/>
          <w:color w:val="auto"/>
          <w:spacing w:val="4"/>
          <w:sz w:val="20"/>
          <w:szCs w:val="20"/>
          <w:highlight w:val="none"/>
        </w:rPr>
        <w:t>2</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w:t>
      </w:r>
    </w:p>
    <w:p w14:paraId="6813AEC2">
      <w:pPr>
        <w:spacing w:line="228" w:lineRule="auto"/>
        <w:ind w:left="437"/>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五、与投诉事项相关的投诉请求：</w:t>
      </w:r>
    </w:p>
    <w:p w14:paraId="4F2ABC72">
      <w:pPr>
        <w:spacing w:before="151" w:line="228"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请求：</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47E1C031">
      <w:pPr>
        <w:pStyle w:val="3"/>
        <w:spacing w:line="243" w:lineRule="auto"/>
        <w:rPr>
          <w:color w:val="auto"/>
          <w:highlight w:val="none"/>
        </w:rPr>
      </w:pPr>
    </w:p>
    <w:p w14:paraId="3411140F">
      <w:pPr>
        <w:pStyle w:val="3"/>
        <w:spacing w:line="243" w:lineRule="auto"/>
        <w:rPr>
          <w:color w:val="auto"/>
          <w:highlight w:val="none"/>
        </w:rPr>
      </w:pPr>
    </w:p>
    <w:p w14:paraId="007E70DA">
      <w:pPr>
        <w:spacing w:before="65" w:line="227" w:lineRule="auto"/>
        <w:ind w:left="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签字（签章</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公章：</w:t>
      </w:r>
    </w:p>
    <w:p w14:paraId="29F1D7E5">
      <w:pPr>
        <w:pStyle w:val="3"/>
        <w:spacing w:line="242" w:lineRule="auto"/>
        <w:rPr>
          <w:color w:val="auto"/>
          <w:highlight w:val="none"/>
        </w:rPr>
      </w:pPr>
    </w:p>
    <w:p w14:paraId="0E4D6C45">
      <w:pPr>
        <w:pStyle w:val="3"/>
        <w:spacing w:line="243" w:lineRule="auto"/>
        <w:rPr>
          <w:color w:val="auto"/>
          <w:highlight w:val="none"/>
        </w:rPr>
      </w:pPr>
    </w:p>
    <w:p w14:paraId="08AE34DB">
      <w:pPr>
        <w:spacing w:before="65" w:line="228" w:lineRule="auto"/>
        <w:ind w:left="47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日期：</w:t>
      </w:r>
    </w:p>
    <w:p w14:paraId="5FC51B72">
      <w:pPr>
        <w:pStyle w:val="3"/>
        <w:spacing w:line="244" w:lineRule="auto"/>
        <w:rPr>
          <w:color w:val="auto"/>
          <w:highlight w:val="none"/>
        </w:rPr>
      </w:pPr>
    </w:p>
    <w:p w14:paraId="19F42345">
      <w:pPr>
        <w:pStyle w:val="3"/>
        <w:spacing w:line="244" w:lineRule="auto"/>
        <w:rPr>
          <w:color w:val="auto"/>
          <w:highlight w:val="none"/>
        </w:rPr>
      </w:pPr>
    </w:p>
    <w:p w14:paraId="3DD8471A">
      <w:pPr>
        <w:pStyle w:val="3"/>
        <w:spacing w:line="245" w:lineRule="auto"/>
        <w:rPr>
          <w:color w:val="auto"/>
          <w:highlight w:val="none"/>
        </w:rPr>
      </w:pPr>
    </w:p>
    <w:p w14:paraId="214C2016">
      <w:pPr>
        <w:spacing w:before="66" w:line="228" w:lineRule="auto"/>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说明：</w:t>
      </w:r>
    </w:p>
    <w:p w14:paraId="66B804DF">
      <w:pPr>
        <w:spacing w:before="93" w:line="300" w:lineRule="auto"/>
        <w:ind w:left="41" w:right="2" w:firstLine="307"/>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1.投诉人提起投诉时，应当提交投诉书和必要的证明材料，并按照被投诉人和与投诉事项有关</w:t>
      </w:r>
      <w:r>
        <w:rPr>
          <w:rFonts w:ascii="宋体" w:hAnsi="宋体" w:eastAsia="宋体" w:cs="宋体"/>
          <w:color w:val="auto"/>
          <w:spacing w:val="1"/>
          <w:sz w:val="20"/>
          <w:szCs w:val="20"/>
          <w:highlight w:val="none"/>
        </w:rPr>
        <w:t xml:space="preserve"> </w:t>
      </w:r>
      <w:r>
        <w:rPr>
          <w:rFonts w:ascii="宋体" w:hAnsi="宋体" w:eastAsia="宋体" w:cs="宋体"/>
          <w:b/>
          <w:bCs/>
          <w:color w:val="auto"/>
          <w:spacing w:val="5"/>
          <w:sz w:val="20"/>
          <w:szCs w:val="20"/>
          <w:highlight w:val="none"/>
        </w:rPr>
        <w:t>的供应商数量提供投诉书副本。</w:t>
      </w:r>
    </w:p>
    <w:p w14:paraId="2DE2D29B">
      <w:pPr>
        <w:spacing w:before="30" w:line="305" w:lineRule="auto"/>
        <w:ind w:left="23" w:firstLine="312"/>
        <w:jc w:val="both"/>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2.投诉人若委托代理人进行投诉的，投诉书应按要求列明“</w:t>
      </w:r>
      <w:r>
        <w:rPr>
          <w:rFonts w:ascii="宋体" w:hAnsi="宋体" w:eastAsia="宋体" w:cs="宋体"/>
          <w:b/>
          <w:bCs/>
          <w:color w:val="auto"/>
          <w:spacing w:val="8"/>
          <w:sz w:val="20"/>
          <w:szCs w:val="20"/>
          <w:highlight w:val="none"/>
        </w:rPr>
        <w:t>授权代表</w:t>
      </w:r>
      <w:r>
        <w:rPr>
          <w:rFonts w:ascii="宋体" w:hAnsi="宋体" w:eastAsia="宋体" w:cs="宋体"/>
          <w:color w:val="auto"/>
          <w:spacing w:val="-68"/>
          <w:sz w:val="20"/>
          <w:szCs w:val="20"/>
          <w:highlight w:val="none"/>
        </w:rPr>
        <w:t xml:space="preserve"> </w:t>
      </w:r>
      <w:r>
        <w:rPr>
          <w:rFonts w:ascii="宋体" w:hAnsi="宋体" w:eastAsia="宋体" w:cs="宋体"/>
          <w:b/>
          <w:bCs/>
          <w:color w:val="auto"/>
          <w:spacing w:val="8"/>
          <w:sz w:val="20"/>
          <w:szCs w:val="20"/>
          <w:highlight w:val="none"/>
        </w:rPr>
        <w:t>”的有关内容，并在附件</w:t>
      </w:r>
      <w:r>
        <w:rPr>
          <w:rFonts w:ascii="宋体" w:hAnsi="宋体" w:eastAsia="宋体" w:cs="宋体"/>
          <w:color w:val="auto"/>
          <w:sz w:val="20"/>
          <w:szCs w:val="20"/>
          <w:highlight w:val="none"/>
        </w:rPr>
        <w:t xml:space="preserve"> </w:t>
      </w:r>
      <w:r>
        <w:rPr>
          <w:rFonts w:ascii="宋体" w:hAnsi="宋体" w:eastAsia="宋体" w:cs="宋体"/>
          <w:b/>
          <w:bCs/>
          <w:color w:val="auto"/>
          <w:spacing w:val="7"/>
          <w:sz w:val="20"/>
          <w:szCs w:val="20"/>
          <w:highlight w:val="none"/>
        </w:rPr>
        <w:t>中提交由投诉人签署的授权委托书。授权委托书应当载明代理人的姓名或者名称、代理事项、具体</w:t>
      </w:r>
      <w:r>
        <w:rPr>
          <w:rFonts w:ascii="宋体" w:hAnsi="宋体" w:eastAsia="宋体" w:cs="宋体"/>
          <w:color w:val="auto"/>
          <w:spacing w:val="2"/>
          <w:sz w:val="20"/>
          <w:szCs w:val="20"/>
          <w:highlight w:val="none"/>
        </w:rPr>
        <w:t xml:space="preserve"> </w:t>
      </w:r>
      <w:r>
        <w:rPr>
          <w:rFonts w:ascii="宋体" w:hAnsi="宋体" w:eastAsia="宋体" w:cs="宋体"/>
          <w:b/>
          <w:bCs/>
          <w:color w:val="auto"/>
          <w:spacing w:val="6"/>
          <w:sz w:val="20"/>
          <w:szCs w:val="20"/>
          <w:highlight w:val="none"/>
        </w:rPr>
        <w:t>权限、期限和相关事项。</w:t>
      </w:r>
    </w:p>
    <w:p w14:paraId="757ADD62">
      <w:pPr>
        <w:spacing w:before="28" w:line="300" w:lineRule="auto"/>
        <w:ind w:left="332" w:right="1988" w:firstLine="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3.投诉书应简要列明质疑事项，质疑函、质疑答复等作为</w:t>
      </w:r>
      <w:r>
        <w:rPr>
          <w:rFonts w:ascii="宋体" w:hAnsi="宋体" w:eastAsia="宋体" w:cs="宋体"/>
          <w:b/>
          <w:bCs/>
          <w:color w:val="auto"/>
          <w:spacing w:val="6"/>
          <w:sz w:val="20"/>
          <w:szCs w:val="20"/>
          <w:highlight w:val="none"/>
        </w:rPr>
        <w:t>附件材料提供。</w:t>
      </w:r>
      <w:r>
        <w:rPr>
          <w:rFonts w:ascii="宋体" w:hAnsi="宋体" w:eastAsia="宋体" w:cs="宋体"/>
          <w:color w:val="auto"/>
          <w:sz w:val="20"/>
          <w:szCs w:val="20"/>
          <w:highlight w:val="none"/>
        </w:rPr>
        <w:t xml:space="preserve"> </w:t>
      </w:r>
    </w:p>
    <w:p w14:paraId="0AD8B74C">
      <w:pPr>
        <w:spacing w:before="28" w:line="300" w:lineRule="auto"/>
        <w:ind w:left="332" w:right="1988" w:firstLine="5"/>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4.投诉书的投诉事项应具体、明确，并有必要</w:t>
      </w:r>
      <w:r>
        <w:rPr>
          <w:rFonts w:ascii="宋体" w:hAnsi="宋体" w:eastAsia="宋体" w:cs="宋体"/>
          <w:b/>
          <w:bCs/>
          <w:color w:val="auto"/>
          <w:spacing w:val="7"/>
          <w:sz w:val="20"/>
          <w:szCs w:val="20"/>
          <w:highlight w:val="none"/>
        </w:rPr>
        <w:t>的事实依据和法律依据。</w:t>
      </w:r>
    </w:p>
    <w:p w14:paraId="3DAC5132">
      <w:pPr>
        <w:spacing w:before="33" w:line="227" w:lineRule="auto"/>
        <w:ind w:left="337"/>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5.投诉书的投诉请求应与投诉事项相关。</w:t>
      </w:r>
    </w:p>
    <w:p w14:paraId="3FFA9ED8">
      <w:pPr>
        <w:spacing w:before="92" w:line="227" w:lineRule="auto"/>
        <w:ind w:right="2"/>
        <w:jc w:val="center"/>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6.投诉人为自然人的，投诉书应由本人签字；投诉人为法人或者其他组织的，投诉书应由法定</w:t>
      </w:r>
    </w:p>
    <w:p w14:paraId="32209B2B">
      <w:pPr>
        <w:spacing w:before="95" w:line="227" w:lineRule="auto"/>
        <w:outlineLvl w:val="0"/>
        <w:rPr>
          <w:rFonts w:ascii="宋体" w:hAnsi="宋体" w:eastAsia="宋体" w:cs="宋体"/>
          <w:color w:val="auto"/>
          <w:sz w:val="20"/>
          <w:szCs w:val="20"/>
          <w:highlight w:val="none"/>
        </w:rPr>
        <w:sectPr>
          <w:footerReference r:id="rId20" w:type="default"/>
          <w:pgSz w:w="11906" w:h="16839"/>
          <w:pgMar w:top="1440" w:right="1080" w:bottom="1440" w:left="1080" w:header="0" w:footer="1200" w:gutter="0"/>
          <w:pgNumType w:fmt="decimal"/>
          <w:cols w:space="720" w:num="1"/>
        </w:sectPr>
      </w:pPr>
      <w:r>
        <w:rPr>
          <w:rFonts w:ascii="宋体" w:hAnsi="宋体" w:eastAsia="宋体" w:cs="宋体"/>
          <w:b/>
          <w:bCs/>
          <w:color w:val="auto"/>
          <w:spacing w:val="8"/>
          <w:sz w:val="20"/>
          <w:szCs w:val="20"/>
          <w:highlight w:val="none"/>
        </w:rPr>
        <w:t>代表人、主要负责人，或者其授权代表签字或者盖章，并加盖公章</w:t>
      </w:r>
    </w:p>
    <w:p w14:paraId="57345F61">
      <w:pPr>
        <w:spacing w:before="162" w:line="224" w:lineRule="auto"/>
        <w:jc w:val="center"/>
        <w:outlineLvl w:val="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第三章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采购需求</w:t>
      </w:r>
    </w:p>
    <w:p w14:paraId="1C08CDDB">
      <w:pPr>
        <w:pStyle w:val="3"/>
        <w:spacing w:line="432" w:lineRule="auto"/>
        <w:rPr>
          <w:color w:val="auto"/>
          <w:highlight w:val="none"/>
        </w:rPr>
      </w:pPr>
    </w:p>
    <w:tbl>
      <w:tblPr>
        <w:tblStyle w:val="9"/>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1199"/>
        <w:gridCol w:w="5874"/>
        <w:gridCol w:w="600"/>
        <w:gridCol w:w="476"/>
      </w:tblGrid>
      <w:tr w14:paraId="3E379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86" w:type="dxa"/>
            <w:vAlign w:val="top"/>
          </w:tcPr>
          <w:p w14:paraId="5C106E36">
            <w:pPr>
              <w:spacing w:line="246" w:lineRule="auto"/>
              <w:rPr>
                <w:rFonts w:ascii="Arial"/>
                <w:color w:val="auto"/>
                <w:sz w:val="21"/>
                <w:highlight w:val="none"/>
              </w:rPr>
            </w:pPr>
          </w:p>
          <w:p w14:paraId="2610E2BD">
            <w:pPr>
              <w:pStyle w:val="10"/>
              <w:spacing w:before="65" w:line="228" w:lineRule="auto"/>
              <w:ind w:left="190"/>
              <w:outlineLvl w:val="1"/>
              <w:rPr>
                <w:color w:val="auto"/>
                <w:highlight w:val="none"/>
              </w:rPr>
            </w:pPr>
            <w:r>
              <w:rPr>
                <w:b/>
                <w:bCs/>
                <w:color w:val="auto"/>
                <w:spacing w:val="2"/>
                <w:highlight w:val="none"/>
              </w:rPr>
              <w:t>项号</w:t>
            </w:r>
          </w:p>
        </w:tc>
        <w:tc>
          <w:tcPr>
            <w:tcW w:w="1199" w:type="dxa"/>
            <w:vAlign w:val="top"/>
          </w:tcPr>
          <w:p w14:paraId="319F0CC5">
            <w:pPr>
              <w:spacing w:line="245" w:lineRule="auto"/>
              <w:rPr>
                <w:rFonts w:ascii="Arial"/>
                <w:color w:val="auto"/>
                <w:sz w:val="21"/>
                <w:highlight w:val="none"/>
              </w:rPr>
            </w:pPr>
          </w:p>
          <w:p w14:paraId="1274E1D7">
            <w:pPr>
              <w:pStyle w:val="10"/>
              <w:spacing w:before="65" w:line="228" w:lineRule="auto"/>
              <w:ind w:left="181"/>
              <w:outlineLvl w:val="1"/>
              <w:rPr>
                <w:color w:val="auto"/>
                <w:highlight w:val="none"/>
              </w:rPr>
            </w:pPr>
            <w:r>
              <w:rPr>
                <w:b/>
                <w:bCs/>
                <w:color w:val="auto"/>
                <w:spacing w:val="6"/>
                <w:highlight w:val="none"/>
              </w:rPr>
              <w:t>服务名称</w:t>
            </w:r>
          </w:p>
        </w:tc>
        <w:tc>
          <w:tcPr>
            <w:tcW w:w="5874" w:type="dxa"/>
            <w:vAlign w:val="top"/>
          </w:tcPr>
          <w:p w14:paraId="1F1B9EB1">
            <w:pPr>
              <w:spacing w:line="245" w:lineRule="auto"/>
              <w:rPr>
                <w:rFonts w:ascii="Arial"/>
                <w:color w:val="auto"/>
                <w:sz w:val="21"/>
                <w:highlight w:val="none"/>
              </w:rPr>
            </w:pPr>
          </w:p>
          <w:p w14:paraId="6C475217">
            <w:pPr>
              <w:pStyle w:val="10"/>
              <w:spacing w:before="65" w:line="228" w:lineRule="auto"/>
              <w:ind w:left="2522"/>
              <w:outlineLvl w:val="1"/>
              <w:rPr>
                <w:color w:val="auto"/>
                <w:highlight w:val="none"/>
              </w:rPr>
            </w:pPr>
            <w:r>
              <w:rPr>
                <w:b/>
                <w:bCs/>
                <w:color w:val="auto"/>
                <w:spacing w:val="6"/>
                <w:highlight w:val="none"/>
              </w:rPr>
              <w:t>服务需求</w:t>
            </w:r>
          </w:p>
        </w:tc>
        <w:tc>
          <w:tcPr>
            <w:tcW w:w="600" w:type="dxa"/>
            <w:textDirection w:val="tbRlV"/>
            <w:vAlign w:val="top"/>
          </w:tcPr>
          <w:p w14:paraId="1907A77E">
            <w:pPr>
              <w:pStyle w:val="10"/>
              <w:spacing w:before="190" w:line="216" w:lineRule="auto"/>
              <w:ind w:firstLine="213" w:firstLineChars="100"/>
              <w:outlineLvl w:val="1"/>
              <w:rPr>
                <w:color w:val="auto"/>
                <w:highlight w:val="none"/>
              </w:rPr>
            </w:pPr>
            <w:r>
              <w:rPr>
                <w:b/>
                <w:bCs/>
                <w:color w:val="auto"/>
                <w:spacing w:val="6"/>
                <w:highlight w:val="none"/>
              </w:rPr>
              <w:t>数量</w:t>
            </w:r>
          </w:p>
        </w:tc>
        <w:tc>
          <w:tcPr>
            <w:tcW w:w="476" w:type="dxa"/>
            <w:vAlign w:val="center"/>
          </w:tcPr>
          <w:p w14:paraId="3D5373E2">
            <w:pPr>
              <w:pStyle w:val="10"/>
              <w:spacing w:before="65" w:line="228" w:lineRule="auto"/>
              <w:ind w:left="125"/>
              <w:jc w:val="center"/>
              <w:outlineLvl w:val="1"/>
              <w:rPr>
                <w:color w:val="auto"/>
                <w:highlight w:val="none"/>
              </w:rPr>
            </w:pPr>
            <w:r>
              <w:rPr>
                <w:b/>
                <w:bCs/>
                <w:color w:val="auto"/>
                <w:spacing w:val="6"/>
                <w:highlight w:val="none"/>
              </w:rPr>
              <w:t>单位</w:t>
            </w:r>
          </w:p>
        </w:tc>
      </w:tr>
      <w:tr w14:paraId="2DBC0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7" w:hRule="atLeast"/>
        </w:trPr>
        <w:tc>
          <w:tcPr>
            <w:tcW w:w="786" w:type="dxa"/>
            <w:vAlign w:val="top"/>
          </w:tcPr>
          <w:p w14:paraId="2FDFBCC4">
            <w:pPr>
              <w:spacing w:line="250" w:lineRule="auto"/>
              <w:rPr>
                <w:rFonts w:ascii="Arial"/>
                <w:color w:val="auto"/>
                <w:sz w:val="21"/>
                <w:highlight w:val="none"/>
              </w:rPr>
            </w:pPr>
          </w:p>
          <w:p w14:paraId="76288A3D">
            <w:pPr>
              <w:spacing w:line="250" w:lineRule="auto"/>
              <w:rPr>
                <w:rFonts w:ascii="Arial"/>
                <w:color w:val="auto"/>
                <w:sz w:val="21"/>
                <w:highlight w:val="none"/>
              </w:rPr>
            </w:pPr>
          </w:p>
          <w:p w14:paraId="54E89BD0">
            <w:pPr>
              <w:spacing w:line="250" w:lineRule="auto"/>
              <w:rPr>
                <w:rFonts w:ascii="Arial"/>
                <w:color w:val="auto"/>
                <w:sz w:val="21"/>
                <w:highlight w:val="none"/>
              </w:rPr>
            </w:pPr>
          </w:p>
          <w:p w14:paraId="63C8294A">
            <w:pPr>
              <w:spacing w:line="250" w:lineRule="auto"/>
              <w:rPr>
                <w:rFonts w:ascii="Arial"/>
                <w:color w:val="auto"/>
                <w:sz w:val="21"/>
                <w:highlight w:val="none"/>
              </w:rPr>
            </w:pPr>
          </w:p>
          <w:p w14:paraId="75CE05E1">
            <w:pPr>
              <w:spacing w:line="250" w:lineRule="auto"/>
              <w:rPr>
                <w:rFonts w:ascii="Arial"/>
                <w:color w:val="auto"/>
                <w:sz w:val="21"/>
                <w:highlight w:val="none"/>
              </w:rPr>
            </w:pPr>
          </w:p>
          <w:p w14:paraId="776C381B">
            <w:pPr>
              <w:spacing w:line="250" w:lineRule="auto"/>
              <w:rPr>
                <w:rFonts w:ascii="Arial"/>
                <w:color w:val="auto"/>
                <w:sz w:val="21"/>
                <w:highlight w:val="none"/>
              </w:rPr>
            </w:pPr>
          </w:p>
          <w:p w14:paraId="684F3B3A">
            <w:pPr>
              <w:spacing w:line="250" w:lineRule="auto"/>
              <w:rPr>
                <w:rFonts w:ascii="Arial"/>
                <w:color w:val="auto"/>
                <w:sz w:val="21"/>
                <w:highlight w:val="none"/>
              </w:rPr>
            </w:pPr>
          </w:p>
          <w:p w14:paraId="1F9E038A">
            <w:pPr>
              <w:spacing w:line="250" w:lineRule="auto"/>
              <w:rPr>
                <w:rFonts w:ascii="Arial"/>
                <w:color w:val="auto"/>
                <w:sz w:val="21"/>
                <w:highlight w:val="none"/>
              </w:rPr>
            </w:pPr>
          </w:p>
          <w:p w14:paraId="428AE57A">
            <w:pPr>
              <w:spacing w:line="250" w:lineRule="auto"/>
              <w:rPr>
                <w:rFonts w:ascii="Arial"/>
                <w:color w:val="auto"/>
                <w:sz w:val="21"/>
                <w:highlight w:val="none"/>
              </w:rPr>
            </w:pPr>
          </w:p>
          <w:p w14:paraId="24795AFA">
            <w:pPr>
              <w:spacing w:line="250" w:lineRule="auto"/>
              <w:rPr>
                <w:rFonts w:ascii="Arial"/>
                <w:color w:val="auto"/>
                <w:sz w:val="21"/>
                <w:highlight w:val="none"/>
              </w:rPr>
            </w:pPr>
          </w:p>
          <w:p w14:paraId="2C6F1D97">
            <w:pPr>
              <w:spacing w:line="250" w:lineRule="auto"/>
              <w:rPr>
                <w:rFonts w:ascii="Arial"/>
                <w:color w:val="auto"/>
                <w:sz w:val="21"/>
                <w:highlight w:val="none"/>
              </w:rPr>
            </w:pPr>
          </w:p>
          <w:p w14:paraId="6586DFBC">
            <w:pPr>
              <w:spacing w:line="250" w:lineRule="auto"/>
              <w:rPr>
                <w:rFonts w:ascii="Arial"/>
                <w:color w:val="auto"/>
                <w:sz w:val="21"/>
                <w:highlight w:val="none"/>
              </w:rPr>
            </w:pPr>
          </w:p>
          <w:p w14:paraId="045FA618">
            <w:pPr>
              <w:spacing w:line="250" w:lineRule="auto"/>
              <w:rPr>
                <w:rFonts w:ascii="Arial"/>
                <w:color w:val="auto"/>
                <w:sz w:val="21"/>
                <w:highlight w:val="none"/>
              </w:rPr>
            </w:pPr>
          </w:p>
          <w:p w14:paraId="4C5AEF2E">
            <w:pPr>
              <w:spacing w:line="250" w:lineRule="auto"/>
              <w:rPr>
                <w:rFonts w:ascii="Arial"/>
                <w:color w:val="auto"/>
                <w:sz w:val="21"/>
                <w:highlight w:val="none"/>
              </w:rPr>
            </w:pPr>
          </w:p>
          <w:p w14:paraId="041F367D">
            <w:pPr>
              <w:spacing w:line="250" w:lineRule="auto"/>
              <w:rPr>
                <w:rFonts w:ascii="Arial"/>
                <w:color w:val="auto"/>
                <w:sz w:val="21"/>
                <w:highlight w:val="none"/>
              </w:rPr>
            </w:pPr>
          </w:p>
          <w:p w14:paraId="364E2CE7">
            <w:pPr>
              <w:spacing w:line="250" w:lineRule="auto"/>
              <w:rPr>
                <w:rFonts w:ascii="Arial"/>
                <w:color w:val="auto"/>
                <w:sz w:val="21"/>
                <w:highlight w:val="none"/>
              </w:rPr>
            </w:pPr>
          </w:p>
          <w:p w14:paraId="078E9989">
            <w:pPr>
              <w:pStyle w:val="10"/>
              <w:spacing w:before="65" w:line="189" w:lineRule="auto"/>
              <w:ind w:left="361"/>
              <w:rPr>
                <w:color w:val="auto"/>
                <w:highlight w:val="none"/>
              </w:rPr>
            </w:pPr>
            <w:r>
              <w:rPr>
                <w:color w:val="auto"/>
                <w:highlight w:val="none"/>
              </w:rPr>
              <w:t>1</w:t>
            </w:r>
          </w:p>
        </w:tc>
        <w:tc>
          <w:tcPr>
            <w:tcW w:w="1199" w:type="dxa"/>
            <w:vAlign w:val="top"/>
          </w:tcPr>
          <w:p w14:paraId="1F7ECD48">
            <w:pPr>
              <w:spacing w:line="253" w:lineRule="auto"/>
              <w:rPr>
                <w:rFonts w:ascii="Arial"/>
                <w:color w:val="auto"/>
                <w:sz w:val="21"/>
                <w:highlight w:val="none"/>
              </w:rPr>
            </w:pPr>
          </w:p>
          <w:p w14:paraId="144D69AE">
            <w:pPr>
              <w:spacing w:line="253" w:lineRule="auto"/>
              <w:rPr>
                <w:rFonts w:ascii="Arial"/>
                <w:color w:val="auto"/>
                <w:sz w:val="21"/>
                <w:highlight w:val="none"/>
              </w:rPr>
            </w:pPr>
          </w:p>
          <w:p w14:paraId="58E79E19">
            <w:pPr>
              <w:spacing w:line="253" w:lineRule="auto"/>
              <w:rPr>
                <w:rFonts w:ascii="Arial"/>
                <w:color w:val="auto"/>
                <w:sz w:val="21"/>
                <w:highlight w:val="none"/>
              </w:rPr>
            </w:pPr>
          </w:p>
          <w:p w14:paraId="12D479DF">
            <w:pPr>
              <w:spacing w:line="253" w:lineRule="auto"/>
              <w:rPr>
                <w:rFonts w:ascii="Arial"/>
                <w:color w:val="auto"/>
                <w:sz w:val="21"/>
                <w:highlight w:val="none"/>
              </w:rPr>
            </w:pPr>
          </w:p>
          <w:p w14:paraId="06F90E89">
            <w:pPr>
              <w:spacing w:line="253" w:lineRule="auto"/>
              <w:rPr>
                <w:rFonts w:ascii="Arial"/>
                <w:color w:val="auto"/>
                <w:sz w:val="21"/>
                <w:highlight w:val="none"/>
              </w:rPr>
            </w:pPr>
          </w:p>
          <w:p w14:paraId="7F2E6630">
            <w:pPr>
              <w:spacing w:line="253" w:lineRule="auto"/>
              <w:rPr>
                <w:rFonts w:ascii="Arial"/>
                <w:color w:val="auto"/>
                <w:sz w:val="21"/>
                <w:highlight w:val="none"/>
              </w:rPr>
            </w:pPr>
          </w:p>
          <w:p w14:paraId="0F08C736">
            <w:pPr>
              <w:spacing w:line="253" w:lineRule="auto"/>
              <w:rPr>
                <w:rFonts w:ascii="Arial"/>
                <w:color w:val="auto"/>
                <w:sz w:val="21"/>
                <w:highlight w:val="none"/>
              </w:rPr>
            </w:pPr>
          </w:p>
          <w:p w14:paraId="50A1BA59">
            <w:pPr>
              <w:spacing w:line="253" w:lineRule="auto"/>
              <w:rPr>
                <w:rFonts w:ascii="Arial"/>
                <w:color w:val="auto"/>
                <w:sz w:val="21"/>
                <w:highlight w:val="none"/>
              </w:rPr>
            </w:pPr>
          </w:p>
          <w:p w14:paraId="3B7B40A8">
            <w:pPr>
              <w:spacing w:line="253" w:lineRule="auto"/>
              <w:rPr>
                <w:rFonts w:ascii="Arial"/>
                <w:color w:val="auto"/>
                <w:sz w:val="21"/>
                <w:highlight w:val="none"/>
              </w:rPr>
            </w:pPr>
          </w:p>
          <w:p w14:paraId="64AC844D">
            <w:pPr>
              <w:spacing w:line="253" w:lineRule="auto"/>
              <w:rPr>
                <w:rFonts w:ascii="Arial"/>
                <w:color w:val="auto"/>
                <w:sz w:val="21"/>
                <w:highlight w:val="none"/>
              </w:rPr>
            </w:pPr>
          </w:p>
          <w:p w14:paraId="660DD6A5">
            <w:pPr>
              <w:spacing w:line="254" w:lineRule="auto"/>
              <w:rPr>
                <w:rFonts w:ascii="Arial"/>
                <w:color w:val="auto"/>
                <w:sz w:val="21"/>
                <w:highlight w:val="none"/>
              </w:rPr>
            </w:pPr>
          </w:p>
          <w:p w14:paraId="4E84A4B8">
            <w:pPr>
              <w:spacing w:line="254" w:lineRule="auto"/>
              <w:rPr>
                <w:rFonts w:ascii="Arial"/>
                <w:color w:val="auto"/>
                <w:sz w:val="21"/>
                <w:highlight w:val="none"/>
              </w:rPr>
            </w:pPr>
          </w:p>
          <w:p w14:paraId="1DB5462D">
            <w:pPr>
              <w:pStyle w:val="10"/>
              <w:spacing w:before="127" w:line="228" w:lineRule="auto"/>
              <w:ind w:left="292"/>
              <w:rPr>
                <w:rFonts w:hint="eastAsia" w:eastAsia="宋体"/>
                <w:color w:val="auto"/>
                <w:highlight w:val="none"/>
                <w:lang w:eastAsia="zh-CN"/>
              </w:rPr>
            </w:pPr>
            <w:r>
              <w:rPr>
                <w:rFonts w:hint="eastAsia"/>
                <w:color w:val="auto"/>
                <w:highlight w:val="none"/>
                <w:lang w:eastAsia="zh-CN"/>
              </w:rPr>
              <w:t>广西平果市古沙水库至罗米水库至右江排洪排水工程勘察设计服务二次招标</w:t>
            </w:r>
          </w:p>
        </w:tc>
        <w:tc>
          <w:tcPr>
            <w:tcW w:w="5874" w:type="dxa"/>
            <w:vAlign w:val="top"/>
          </w:tcPr>
          <w:p w14:paraId="1D03CCB8">
            <w:pPr>
              <w:pStyle w:val="10"/>
              <w:spacing w:before="121" w:line="228" w:lineRule="auto"/>
              <w:ind w:left="116"/>
              <w:outlineLvl w:val="1"/>
              <w:rPr>
                <w:color w:val="auto"/>
                <w:highlight w:val="none"/>
              </w:rPr>
            </w:pPr>
            <w:r>
              <w:rPr>
                <w:color w:val="auto"/>
                <w:highlight w:val="none"/>
              </w:rPr>
              <w:t>一、服务要求：</w:t>
            </w:r>
          </w:p>
          <w:p w14:paraId="782168A4">
            <w:pPr>
              <w:pStyle w:val="10"/>
              <w:spacing w:before="31" w:line="228" w:lineRule="auto"/>
              <w:ind w:left="116"/>
              <w:outlineLvl w:val="1"/>
              <w:rPr>
                <w:rFonts w:hint="eastAsia"/>
                <w:color w:val="auto"/>
                <w:spacing w:val="6"/>
                <w:highlight w:val="none"/>
              </w:rPr>
            </w:pPr>
            <w:r>
              <w:rPr>
                <w:rFonts w:hint="eastAsia"/>
                <w:color w:val="auto"/>
                <w:spacing w:val="6"/>
                <w:highlight w:val="none"/>
              </w:rPr>
              <w:t>(1)工程设计符合国家规定的工程技术质量合格标准和现行技</w:t>
            </w:r>
          </w:p>
          <w:p w14:paraId="2D7E6F7D">
            <w:pPr>
              <w:pStyle w:val="10"/>
              <w:spacing w:before="31" w:line="228" w:lineRule="auto"/>
              <w:ind w:left="116"/>
              <w:outlineLvl w:val="1"/>
              <w:rPr>
                <w:rFonts w:hint="eastAsia"/>
                <w:color w:val="auto"/>
                <w:spacing w:val="6"/>
                <w:highlight w:val="none"/>
              </w:rPr>
            </w:pPr>
            <w:r>
              <w:rPr>
                <w:rFonts w:hint="eastAsia"/>
                <w:color w:val="auto"/>
                <w:spacing w:val="6"/>
                <w:highlight w:val="none"/>
              </w:rPr>
              <w:t>术规范、规程要求。</w:t>
            </w:r>
          </w:p>
          <w:p w14:paraId="0682C0A5">
            <w:pPr>
              <w:pStyle w:val="10"/>
              <w:spacing w:before="31" w:line="228" w:lineRule="auto"/>
              <w:ind w:left="116"/>
              <w:outlineLvl w:val="1"/>
              <w:rPr>
                <w:rFonts w:hint="eastAsia"/>
                <w:color w:val="auto"/>
                <w:spacing w:val="6"/>
                <w:highlight w:val="none"/>
              </w:rPr>
            </w:pPr>
            <w:r>
              <w:rPr>
                <w:rFonts w:hint="eastAsia"/>
                <w:color w:val="auto"/>
                <w:spacing w:val="6"/>
                <w:highlight w:val="none"/>
              </w:rPr>
              <w:t>(2)设计人应在合同规定的时间内提交下列成果文件，其质量</w:t>
            </w:r>
          </w:p>
          <w:p w14:paraId="0E832C8B">
            <w:pPr>
              <w:pStyle w:val="10"/>
              <w:spacing w:before="31" w:line="228" w:lineRule="auto"/>
              <w:ind w:left="116"/>
              <w:outlineLvl w:val="1"/>
              <w:rPr>
                <w:rFonts w:hint="eastAsia"/>
                <w:color w:val="auto"/>
                <w:spacing w:val="6"/>
                <w:highlight w:val="none"/>
              </w:rPr>
            </w:pPr>
            <w:r>
              <w:rPr>
                <w:rFonts w:hint="eastAsia"/>
                <w:color w:val="auto"/>
                <w:spacing w:val="6"/>
                <w:highlight w:val="none"/>
              </w:rPr>
              <w:t>应满足国家和行业相应初步设计阶段、招标设计阶段、技施设 计阶段的深度要求。</w:t>
            </w:r>
          </w:p>
          <w:p w14:paraId="3F3BA3DF">
            <w:pPr>
              <w:pStyle w:val="10"/>
              <w:spacing w:before="31" w:line="228" w:lineRule="auto"/>
              <w:ind w:left="116"/>
              <w:outlineLvl w:val="1"/>
              <w:rPr>
                <w:color w:val="auto"/>
                <w:highlight w:val="none"/>
              </w:rPr>
            </w:pPr>
            <w:r>
              <w:rPr>
                <w:color w:val="auto"/>
                <w:spacing w:val="6"/>
                <w:highlight w:val="none"/>
              </w:rPr>
              <w:t>二、服务内容：</w:t>
            </w:r>
          </w:p>
          <w:p w14:paraId="2782D6AF">
            <w:pPr>
              <w:pStyle w:val="10"/>
              <w:spacing w:before="31" w:line="228" w:lineRule="auto"/>
              <w:ind w:left="112"/>
              <w:outlineLvl w:val="1"/>
              <w:rPr>
                <w:rFonts w:hint="eastAsia"/>
                <w:color w:val="auto"/>
                <w:spacing w:val="9"/>
                <w:highlight w:val="none"/>
                <w:lang w:eastAsia="zh-CN"/>
              </w:rPr>
            </w:pPr>
            <w:r>
              <w:rPr>
                <w:color w:val="auto"/>
                <w:spacing w:val="9"/>
                <w:highlight w:val="none"/>
              </w:rPr>
              <w:t>对</w:t>
            </w:r>
            <w:r>
              <w:rPr>
                <w:rFonts w:hint="eastAsia"/>
                <w:color w:val="auto"/>
                <w:spacing w:val="9"/>
                <w:highlight w:val="none"/>
                <w:lang w:eastAsia="zh-CN"/>
              </w:rPr>
              <w:t>平果市古沙水库至罗米水库至右江排洪排水工程勘察设计，编制初步设计、招标设计及施工图设计相关文件，设计成果应达到相应设计深度并获得行政主管部门的批复。其中（1）勘察阶段工作包括初步设计阶段、招标设计阶段、施工图设计阶段的工程勘察、工程测量、周边环境调查、施工配合等后续服务，以及按国家有关报告编制和勘察规程规范的要求应由勘察单位完成的工作；</w:t>
            </w:r>
          </w:p>
          <w:p w14:paraId="65CA6207">
            <w:pPr>
              <w:pStyle w:val="10"/>
              <w:numPr>
                <w:ilvl w:val="0"/>
                <w:numId w:val="1"/>
              </w:numPr>
              <w:spacing w:before="31" w:line="228" w:lineRule="auto"/>
              <w:ind w:left="112"/>
              <w:outlineLvl w:val="1"/>
              <w:rPr>
                <w:rFonts w:hint="eastAsia"/>
                <w:color w:val="auto"/>
                <w:spacing w:val="9"/>
                <w:highlight w:val="none"/>
                <w:lang w:eastAsia="zh-CN"/>
              </w:rPr>
            </w:pPr>
            <w:r>
              <w:rPr>
                <w:rFonts w:hint="eastAsia"/>
                <w:color w:val="auto"/>
                <w:spacing w:val="9"/>
                <w:highlight w:val="none"/>
                <w:lang w:eastAsia="zh-CN"/>
              </w:rPr>
              <w:t>初步设计及概算的编制需通过相关主管部门审批，招标设计、施工图设计需通过相关单位审查，所提供服务和资料应满足国家相关规程规范或行业相关规定或者政策性要求。</w:t>
            </w:r>
          </w:p>
          <w:p w14:paraId="05670E7C">
            <w:pPr>
              <w:pStyle w:val="10"/>
              <w:numPr>
                <w:ilvl w:val="0"/>
                <w:numId w:val="0"/>
              </w:numPr>
              <w:spacing w:before="31" w:line="228" w:lineRule="auto"/>
              <w:ind w:firstLine="214" w:firstLineChars="100"/>
              <w:outlineLvl w:val="1"/>
              <w:rPr>
                <w:color w:val="auto"/>
                <w:highlight w:val="none"/>
              </w:rPr>
            </w:pPr>
            <w:r>
              <w:rPr>
                <w:color w:val="auto"/>
                <w:spacing w:val="7"/>
                <w:highlight w:val="none"/>
              </w:rPr>
              <w:t>三、服务成果：</w:t>
            </w:r>
          </w:p>
          <w:p w14:paraId="2858D099">
            <w:pPr>
              <w:pStyle w:val="10"/>
              <w:spacing w:before="128" w:line="227" w:lineRule="auto"/>
              <w:ind w:left="136"/>
              <w:outlineLvl w:val="1"/>
              <w:rPr>
                <w:rFonts w:hint="eastAsia" w:eastAsia="宋体"/>
                <w:color w:val="auto"/>
                <w:spacing w:val="8"/>
                <w:highlight w:val="none"/>
                <w:lang w:eastAsia="zh-CN"/>
              </w:rPr>
            </w:pPr>
            <w:r>
              <w:rPr>
                <w:rFonts w:hint="eastAsia"/>
                <w:color w:val="auto"/>
                <w:spacing w:val="8"/>
                <w:highlight w:val="none"/>
              </w:rPr>
              <w:t>勘察设计文件提交最终报批稿的份数纸质文件 8套，电子文件 1 套（PDF）</w:t>
            </w:r>
            <w:r>
              <w:rPr>
                <w:rFonts w:hint="eastAsia"/>
                <w:color w:val="auto"/>
                <w:spacing w:val="8"/>
                <w:highlight w:val="none"/>
                <w:lang w:eastAsia="zh-CN"/>
              </w:rPr>
              <w:t>，勘察设计人须在文件规定的服务期限内向发包人提供</w:t>
            </w:r>
          </w:p>
          <w:p w14:paraId="5C87E9A9">
            <w:pPr>
              <w:pStyle w:val="10"/>
              <w:spacing w:before="128" w:line="227" w:lineRule="auto"/>
              <w:ind w:left="136"/>
              <w:outlineLvl w:val="1"/>
              <w:rPr>
                <w:color w:val="auto"/>
                <w:highlight w:val="none"/>
              </w:rPr>
            </w:pPr>
            <w:r>
              <w:rPr>
                <w:color w:val="auto"/>
                <w:spacing w:val="8"/>
                <w:highlight w:val="none"/>
              </w:rPr>
              <w:t xml:space="preserve">以上条款所有成果数字光盘格式要求：采用 </w:t>
            </w:r>
            <w:r>
              <w:rPr>
                <w:color w:val="auto"/>
                <w:highlight w:val="none"/>
              </w:rPr>
              <w:t>PDF</w:t>
            </w:r>
            <w:r>
              <w:rPr>
                <w:color w:val="auto"/>
                <w:spacing w:val="8"/>
                <w:highlight w:val="none"/>
              </w:rPr>
              <w:t xml:space="preserve"> 格式。</w:t>
            </w:r>
          </w:p>
        </w:tc>
        <w:tc>
          <w:tcPr>
            <w:tcW w:w="600" w:type="dxa"/>
            <w:vAlign w:val="top"/>
          </w:tcPr>
          <w:p w14:paraId="510654CE">
            <w:pPr>
              <w:spacing w:line="250" w:lineRule="auto"/>
              <w:rPr>
                <w:rFonts w:ascii="Arial"/>
                <w:color w:val="auto"/>
                <w:sz w:val="21"/>
                <w:highlight w:val="none"/>
              </w:rPr>
            </w:pPr>
          </w:p>
          <w:p w14:paraId="75DA868A">
            <w:pPr>
              <w:spacing w:line="250" w:lineRule="auto"/>
              <w:rPr>
                <w:rFonts w:ascii="Arial"/>
                <w:color w:val="auto"/>
                <w:sz w:val="21"/>
                <w:highlight w:val="none"/>
              </w:rPr>
            </w:pPr>
          </w:p>
          <w:p w14:paraId="035F3260">
            <w:pPr>
              <w:spacing w:line="250" w:lineRule="auto"/>
              <w:rPr>
                <w:rFonts w:ascii="Arial"/>
                <w:color w:val="auto"/>
                <w:sz w:val="21"/>
                <w:highlight w:val="none"/>
              </w:rPr>
            </w:pPr>
          </w:p>
          <w:p w14:paraId="1BFA3F53">
            <w:pPr>
              <w:spacing w:line="250" w:lineRule="auto"/>
              <w:rPr>
                <w:rFonts w:ascii="Arial"/>
                <w:color w:val="auto"/>
                <w:sz w:val="21"/>
                <w:highlight w:val="none"/>
              </w:rPr>
            </w:pPr>
          </w:p>
          <w:p w14:paraId="038DDF27">
            <w:pPr>
              <w:spacing w:line="250" w:lineRule="auto"/>
              <w:rPr>
                <w:rFonts w:ascii="Arial"/>
                <w:color w:val="auto"/>
                <w:sz w:val="21"/>
                <w:highlight w:val="none"/>
              </w:rPr>
            </w:pPr>
          </w:p>
          <w:p w14:paraId="028588B1">
            <w:pPr>
              <w:spacing w:line="250" w:lineRule="auto"/>
              <w:rPr>
                <w:rFonts w:ascii="Arial"/>
                <w:color w:val="auto"/>
                <w:sz w:val="21"/>
                <w:highlight w:val="none"/>
              </w:rPr>
            </w:pPr>
          </w:p>
          <w:p w14:paraId="75A74935">
            <w:pPr>
              <w:spacing w:line="250" w:lineRule="auto"/>
              <w:rPr>
                <w:rFonts w:ascii="Arial"/>
                <w:color w:val="auto"/>
                <w:sz w:val="21"/>
                <w:highlight w:val="none"/>
              </w:rPr>
            </w:pPr>
          </w:p>
          <w:p w14:paraId="6BA8A795">
            <w:pPr>
              <w:spacing w:line="250" w:lineRule="auto"/>
              <w:rPr>
                <w:rFonts w:ascii="Arial"/>
                <w:color w:val="auto"/>
                <w:sz w:val="21"/>
                <w:highlight w:val="none"/>
              </w:rPr>
            </w:pPr>
          </w:p>
          <w:p w14:paraId="21ED33F8">
            <w:pPr>
              <w:spacing w:line="250" w:lineRule="auto"/>
              <w:rPr>
                <w:rFonts w:ascii="Arial"/>
                <w:color w:val="auto"/>
                <w:sz w:val="21"/>
                <w:highlight w:val="none"/>
              </w:rPr>
            </w:pPr>
          </w:p>
          <w:p w14:paraId="046F17D1">
            <w:pPr>
              <w:spacing w:line="250" w:lineRule="auto"/>
              <w:rPr>
                <w:rFonts w:ascii="Arial"/>
                <w:color w:val="auto"/>
                <w:sz w:val="21"/>
                <w:highlight w:val="none"/>
              </w:rPr>
            </w:pPr>
          </w:p>
          <w:p w14:paraId="7CE136DD">
            <w:pPr>
              <w:spacing w:line="250" w:lineRule="auto"/>
              <w:rPr>
                <w:rFonts w:ascii="Arial"/>
                <w:color w:val="auto"/>
                <w:sz w:val="21"/>
                <w:highlight w:val="none"/>
              </w:rPr>
            </w:pPr>
          </w:p>
          <w:p w14:paraId="19948544">
            <w:pPr>
              <w:spacing w:line="250" w:lineRule="auto"/>
              <w:rPr>
                <w:rFonts w:ascii="Arial"/>
                <w:color w:val="auto"/>
                <w:sz w:val="21"/>
                <w:highlight w:val="none"/>
              </w:rPr>
            </w:pPr>
          </w:p>
          <w:p w14:paraId="3D35A321">
            <w:pPr>
              <w:spacing w:line="250" w:lineRule="auto"/>
              <w:rPr>
                <w:rFonts w:ascii="Arial"/>
                <w:color w:val="auto"/>
                <w:sz w:val="21"/>
                <w:highlight w:val="none"/>
              </w:rPr>
            </w:pPr>
          </w:p>
          <w:p w14:paraId="184B0DD5">
            <w:pPr>
              <w:spacing w:line="250" w:lineRule="auto"/>
              <w:rPr>
                <w:rFonts w:ascii="Arial"/>
                <w:color w:val="auto"/>
                <w:sz w:val="21"/>
                <w:highlight w:val="none"/>
              </w:rPr>
            </w:pPr>
          </w:p>
          <w:p w14:paraId="3C1611AB">
            <w:pPr>
              <w:spacing w:line="250" w:lineRule="auto"/>
              <w:rPr>
                <w:rFonts w:ascii="Arial"/>
                <w:color w:val="auto"/>
                <w:sz w:val="21"/>
                <w:highlight w:val="none"/>
              </w:rPr>
            </w:pPr>
          </w:p>
          <w:p w14:paraId="7421A5BA">
            <w:pPr>
              <w:spacing w:line="250" w:lineRule="auto"/>
              <w:rPr>
                <w:rFonts w:ascii="Arial"/>
                <w:color w:val="auto"/>
                <w:sz w:val="21"/>
                <w:highlight w:val="none"/>
              </w:rPr>
            </w:pPr>
          </w:p>
          <w:p w14:paraId="25D9AD1C">
            <w:pPr>
              <w:pStyle w:val="10"/>
              <w:spacing w:before="65" w:line="189" w:lineRule="auto"/>
              <w:ind w:left="271"/>
              <w:rPr>
                <w:color w:val="auto"/>
                <w:highlight w:val="none"/>
              </w:rPr>
            </w:pPr>
            <w:r>
              <w:rPr>
                <w:color w:val="auto"/>
                <w:highlight w:val="none"/>
              </w:rPr>
              <w:t>1</w:t>
            </w:r>
          </w:p>
        </w:tc>
        <w:tc>
          <w:tcPr>
            <w:tcW w:w="476" w:type="dxa"/>
            <w:vAlign w:val="center"/>
          </w:tcPr>
          <w:p w14:paraId="5D57737E">
            <w:pPr>
              <w:spacing w:line="248" w:lineRule="auto"/>
              <w:jc w:val="center"/>
              <w:rPr>
                <w:rFonts w:ascii="Arial"/>
                <w:color w:val="auto"/>
                <w:sz w:val="21"/>
                <w:highlight w:val="none"/>
              </w:rPr>
            </w:pPr>
          </w:p>
          <w:p w14:paraId="3641DF87">
            <w:pPr>
              <w:spacing w:line="248" w:lineRule="auto"/>
              <w:jc w:val="center"/>
              <w:rPr>
                <w:rFonts w:ascii="Arial"/>
                <w:color w:val="auto"/>
                <w:sz w:val="21"/>
                <w:highlight w:val="none"/>
              </w:rPr>
            </w:pPr>
          </w:p>
          <w:p w14:paraId="6CFA59A4">
            <w:pPr>
              <w:spacing w:line="248" w:lineRule="auto"/>
              <w:jc w:val="center"/>
              <w:rPr>
                <w:rFonts w:ascii="Arial"/>
                <w:color w:val="auto"/>
                <w:sz w:val="21"/>
                <w:highlight w:val="none"/>
              </w:rPr>
            </w:pPr>
          </w:p>
          <w:p w14:paraId="097E673D">
            <w:pPr>
              <w:spacing w:line="248" w:lineRule="auto"/>
              <w:jc w:val="center"/>
              <w:rPr>
                <w:rFonts w:ascii="Arial"/>
                <w:color w:val="auto"/>
                <w:sz w:val="21"/>
                <w:highlight w:val="none"/>
              </w:rPr>
            </w:pPr>
          </w:p>
          <w:p w14:paraId="38FD7602">
            <w:pPr>
              <w:spacing w:line="248" w:lineRule="auto"/>
              <w:jc w:val="center"/>
              <w:rPr>
                <w:rFonts w:ascii="Arial"/>
                <w:color w:val="auto"/>
                <w:sz w:val="21"/>
                <w:highlight w:val="none"/>
              </w:rPr>
            </w:pPr>
          </w:p>
          <w:p w14:paraId="26D02DE0">
            <w:pPr>
              <w:spacing w:line="248" w:lineRule="auto"/>
              <w:jc w:val="both"/>
              <w:rPr>
                <w:rFonts w:ascii="Arial"/>
                <w:color w:val="auto"/>
                <w:sz w:val="21"/>
                <w:highlight w:val="none"/>
              </w:rPr>
            </w:pPr>
          </w:p>
          <w:p w14:paraId="4188F045">
            <w:pPr>
              <w:spacing w:line="248" w:lineRule="auto"/>
              <w:jc w:val="center"/>
              <w:rPr>
                <w:rFonts w:ascii="Arial"/>
                <w:color w:val="auto"/>
                <w:sz w:val="21"/>
                <w:highlight w:val="none"/>
              </w:rPr>
            </w:pPr>
          </w:p>
          <w:p w14:paraId="51787D1C">
            <w:pPr>
              <w:spacing w:line="248" w:lineRule="auto"/>
              <w:jc w:val="center"/>
              <w:rPr>
                <w:rFonts w:ascii="Arial"/>
                <w:color w:val="auto"/>
                <w:sz w:val="21"/>
                <w:highlight w:val="none"/>
              </w:rPr>
            </w:pPr>
          </w:p>
          <w:p w14:paraId="129D2718">
            <w:pPr>
              <w:pStyle w:val="10"/>
              <w:spacing w:before="65" w:line="230" w:lineRule="auto"/>
              <w:ind w:left="230"/>
              <w:jc w:val="center"/>
              <w:outlineLvl w:val="1"/>
              <w:rPr>
                <w:color w:val="auto"/>
                <w:highlight w:val="none"/>
              </w:rPr>
            </w:pPr>
            <w:r>
              <w:rPr>
                <w:color w:val="auto"/>
                <w:spacing w:val="1"/>
                <w:highlight w:val="none"/>
              </w:rPr>
              <w:t>批</w:t>
            </w:r>
          </w:p>
        </w:tc>
      </w:tr>
      <w:tr w14:paraId="7ABC8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985" w:type="dxa"/>
            <w:gridSpan w:val="2"/>
            <w:vAlign w:val="top"/>
          </w:tcPr>
          <w:p w14:paraId="5300BF53">
            <w:pPr>
              <w:spacing w:line="243" w:lineRule="auto"/>
              <w:rPr>
                <w:rFonts w:ascii="Arial"/>
                <w:color w:val="auto"/>
                <w:sz w:val="21"/>
                <w:highlight w:val="none"/>
              </w:rPr>
            </w:pPr>
          </w:p>
          <w:p w14:paraId="75B06149">
            <w:pPr>
              <w:pStyle w:val="10"/>
              <w:spacing w:before="65" w:line="228" w:lineRule="auto"/>
              <w:ind w:left="369"/>
              <w:outlineLvl w:val="1"/>
              <w:rPr>
                <w:color w:val="auto"/>
                <w:highlight w:val="none"/>
              </w:rPr>
            </w:pPr>
            <w:r>
              <w:rPr>
                <w:color w:val="auto"/>
                <w:spacing w:val="8"/>
                <w:highlight w:val="none"/>
              </w:rPr>
              <w:t>服务质量要求</w:t>
            </w:r>
          </w:p>
        </w:tc>
        <w:tc>
          <w:tcPr>
            <w:tcW w:w="6950" w:type="dxa"/>
            <w:gridSpan w:val="3"/>
            <w:vAlign w:val="top"/>
          </w:tcPr>
          <w:p w14:paraId="7AA9483C">
            <w:pPr>
              <w:pStyle w:val="10"/>
              <w:spacing w:before="122" w:line="228" w:lineRule="auto"/>
              <w:ind w:left="114"/>
              <w:outlineLvl w:val="1"/>
              <w:rPr>
                <w:color w:val="auto"/>
                <w:highlight w:val="none"/>
              </w:rPr>
            </w:pPr>
            <w:r>
              <w:rPr>
                <w:rFonts w:hint="eastAsia"/>
                <w:color w:val="auto"/>
                <w:highlight w:val="none"/>
              </w:rPr>
              <w:t>符合现行国家、水利部颁布现行的有关规程规范要求，并通过国家相关部门组织的审查，并协助招标人获得上级行政审批部门的批复。</w:t>
            </w:r>
          </w:p>
        </w:tc>
      </w:tr>
      <w:tr w14:paraId="68A1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1" w:hRule="atLeast"/>
        </w:trPr>
        <w:tc>
          <w:tcPr>
            <w:tcW w:w="1985" w:type="dxa"/>
            <w:gridSpan w:val="2"/>
            <w:vAlign w:val="top"/>
          </w:tcPr>
          <w:p w14:paraId="0DE5923A">
            <w:pPr>
              <w:spacing w:line="258" w:lineRule="auto"/>
              <w:rPr>
                <w:rFonts w:ascii="Arial"/>
                <w:color w:val="auto"/>
                <w:sz w:val="21"/>
                <w:highlight w:val="none"/>
              </w:rPr>
            </w:pPr>
          </w:p>
          <w:p w14:paraId="341C6ADD">
            <w:pPr>
              <w:spacing w:line="258" w:lineRule="auto"/>
              <w:rPr>
                <w:rFonts w:ascii="Arial"/>
                <w:color w:val="auto"/>
                <w:sz w:val="21"/>
                <w:highlight w:val="none"/>
              </w:rPr>
            </w:pPr>
          </w:p>
          <w:p w14:paraId="66D80CBF">
            <w:pPr>
              <w:spacing w:line="258" w:lineRule="auto"/>
              <w:rPr>
                <w:rFonts w:ascii="Arial"/>
                <w:color w:val="auto"/>
                <w:sz w:val="21"/>
                <w:highlight w:val="none"/>
              </w:rPr>
            </w:pPr>
          </w:p>
          <w:p w14:paraId="113544D2">
            <w:pPr>
              <w:spacing w:line="258" w:lineRule="auto"/>
              <w:rPr>
                <w:rFonts w:ascii="Arial"/>
                <w:color w:val="auto"/>
                <w:sz w:val="21"/>
                <w:highlight w:val="none"/>
              </w:rPr>
            </w:pPr>
          </w:p>
          <w:p w14:paraId="74649BFD">
            <w:pPr>
              <w:spacing w:line="258" w:lineRule="auto"/>
              <w:rPr>
                <w:rFonts w:ascii="Arial"/>
                <w:color w:val="auto"/>
                <w:sz w:val="21"/>
                <w:highlight w:val="none"/>
              </w:rPr>
            </w:pPr>
          </w:p>
          <w:p w14:paraId="08764CB4">
            <w:pPr>
              <w:spacing w:line="259" w:lineRule="auto"/>
              <w:rPr>
                <w:rFonts w:ascii="Arial"/>
                <w:color w:val="auto"/>
                <w:sz w:val="21"/>
                <w:highlight w:val="none"/>
              </w:rPr>
            </w:pPr>
          </w:p>
          <w:p w14:paraId="06E9AED2">
            <w:pPr>
              <w:pStyle w:val="10"/>
              <w:spacing w:before="65" w:line="228" w:lineRule="auto"/>
              <w:ind w:left="264"/>
              <w:outlineLvl w:val="1"/>
              <w:rPr>
                <w:color w:val="auto"/>
                <w:highlight w:val="none"/>
              </w:rPr>
            </w:pPr>
            <w:r>
              <w:rPr>
                <w:color w:val="auto"/>
                <w:spacing w:val="8"/>
                <w:highlight w:val="none"/>
              </w:rPr>
              <w:t>服务时间及地点</w:t>
            </w:r>
          </w:p>
        </w:tc>
        <w:tc>
          <w:tcPr>
            <w:tcW w:w="6950" w:type="dxa"/>
            <w:gridSpan w:val="3"/>
            <w:vAlign w:val="top"/>
          </w:tcPr>
          <w:p w14:paraId="218F0BB0">
            <w:pPr>
              <w:pStyle w:val="10"/>
              <w:shd w:val="clear"/>
              <w:spacing w:before="124" w:line="228" w:lineRule="auto"/>
              <w:ind w:left="128"/>
              <w:outlineLvl w:val="1"/>
              <w:rPr>
                <w:rFonts w:hint="eastAsia"/>
                <w:color w:val="auto"/>
                <w:spacing w:val="8"/>
                <w:highlight w:val="none"/>
              </w:rPr>
            </w:pPr>
            <w:r>
              <w:rPr>
                <w:color w:val="auto"/>
                <w:spacing w:val="5"/>
                <w:highlight w:val="none"/>
              </w:rPr>
              <w:t>1、合同履行期限：</w:t>
            </w:r>
            <w:r>
              <w:rPr>
                <w:rFonts w:hint="eastAsia"/>
                <w:color w:val="auto"/>
                <w:spacing w:val="8"/>
                <w:highlight w:val="none"/>
              </w:rPr>
              <w:t>40日历天</w:t>
            </w:r>
          </w:p>
          <w:p w14:paraId="40C96EC0">
            <w:pPr>
              <w:pStyle w:val="10"/>
              <w:shd w:val="clear"/>
              <w:spacing w:before="128" w:line="227" w:lineRule="auto"/>
              <w:ind w:left="115"/>
              <w:outlineLvl w:val="1"/>
              <w:rPr>
                <w:rFonts w:hint="eastAsia"/>
                <w:color w:val="auto"/>
                <w:spacing w:val="8"/>
                <w:highlight w:val="none"/>
              </w:rPr>
            </w:pPr>
            <w:r>
              <w:rPr>
                <w:rFonts w:hint="eastAsia"/>
                <w:color w:val="auto"/>
                <w:spacing w:val="8"/>
                <w:highlight w:val="none"/>
              </w:rPr>
              <w:t>（1）勘察、初步设计阶段：自合同签订之日起10日内提交勘察设计报告及初步设计文件编制并提交送审稿，并于初步设计阶段勘察设计文件评审工作结束后10日内提供报批稿报告成果；</w:t>
            </w:r>
          </w:p>
          <w:p w14:paraId="572758CC">
            <w:pPr>
              <w:pStyle w:val="10"/>
              <w:shd w:val="clear"/>
              <w:spacing w:before="128" w:line="227" w:lineRule="auto"/>
              <w:ind w:left="115"/>
              <w:outlineLvl w:val="1"/>
              <w:rPr>
                <w:rFonts w:hint="eastAsia"/>
                <w:color w:val="auto"/>
                <w:spacing w:val="8"/>
                <w:highlight w:val="none"/>
              </w:rPr>
            </w:pPr>
            <w:r>
              <w:rPr>
                <w:rFonts w:hint="eastAsia"/>
                <w:color w:val="auto"/>
                <w:spacing w:val="8"/>
                <w:highlight w:val="none"/>
              </w:rPr>
              <w:t>（2）招标设计阶段：初步设计报告获得批复后10日内提交施工招标所需的招标资料、工程量清单、招标控制价等；</w:t>
            </w:r>
          </w:p>
          <w:p w14:paraId="31CFD96A">
            <w:pPr>
              <w:pStyle w:val="10"/>
              <w:shd w:val="clear"/>
              <w:spacing w:before="128" w:line="227" w:lineRule="auto"/>
              <w:ind w:left="115"/>
              <w:outlineLvl w:val="1"/>
              <w:rPr>
                <w:rFonts w:hint="eastAsia"/>
                <w:color w:val="auto"/>
                <w:spacing w:val="8"/>
                <w:highlight w:val="none"/>
              </w:rPr>
            </w:pPr>
            <w:r>
              <w:rPr>
                <w:rFonts w:hint="eastAsia"/>
                <w:color w:val="auto"/>
                <w:spacing w:val="8"/>
                <w:highlight w:val="none"/>
              </w:rPr>
              <w:t>（3）施工图设计阶段：在项目签订施工合同后10日内提交施工设计图纸，并按工程进度的要求满足需求；</w:t>
            </w:r>
          </w:p>
          <w:p w14:paraId="21B34DA7">
            <w:pPr>
              <w:pStyle w:val="10"/>
              <w:shd w:val="clear"/>
              <w:spacing w:before="128" w:line="227" w:lineRule="auto"/>
              <w:ind w:left="115"/>
              <w:outlineLvl w:val="1"/>
              <w:rPr>
                <w:rFonts w:hint="eastAsia"/>
                <w:color w:val="auto"/>
                <w:spacing w:val="8"/>
                <w:highlight w:val="none"/>
              </w:rPr>
            </w:pPr>
            <w:r>
              <w:rPr>
                <w:rFonts w:hint="eastAsia"/>
                <w:color w:val="auto"/>
                <w:spacing w:val="8"/>
                <w:highlight w:val="none"/>
              </w:rPr>
              <w:t>（4）技术服务：配合做好设计重大变更的调整、各项阶段的成果审查和审批至工程通过竣工验收结束。</w:t>
            </w:r>
          </w:p>
          <w:p w14:paraId="15C34C45">
            <w:pPr>
              <w:pStyle w:val="10"/>
              <w:shd w:val="clear"/>
              <w:spacing w:before="128" w:line="227" w:lineRule="auto"/>
              <w:ind w:left="115"/>
              <w:outlineLvl w:val="1"/>
              <w:rPr>
                <w:color w:val="auto"/>
                <w:highlight w:val="none"/>
              </w:rPr>
            </w:pPr>
            <w:r>
              <w:rPr>
                <w:color w:val="auto"/>
                <w:spacing w:val="8"/>
                <w:highlight w:val="none"/>
              </w:rPr>
              <w:t>2、服务地点：采购人指定地点。</w:t>
            </w:r>
          </w:p>
        </w:tc>
      </w:tr>
      <w:tr w14:paraId="6532F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985" w:type="dxa"/>
            <w:gridSpan w:val="2"/>
            <w:vAlign w:val="top"/>
          </w:tcPr>
          <w:p w14:paraId="3E1A5EA2">
            <w:pPr>
              <w:spacing w:line="431" w:lineRule="auto"/>
              <w:rPr>
                <w:rFonts w:ascii="Arial"/>
                <w:color w:val="auto"/>
                <w:sz w:val="21"/>
                <w:highlight w:val="none"/>
              </w:rPr>
            </w:pPr>
          </w:p>
          <w:p w14:paraId="7FA0F875">
            <w:pPr>
              <w:pStyle w:val="10"/>
              <w:spacing w:before="65" w:line="228" w:lineRule="auto"/>
              <w:jc w:val="center"/>
              <w:outlineLvl w:val="1"/>
              <w:rPr>
                <w:color w:val="auto"/>
                <w:highlight w:val="none"/>
              </w:rPr>
            </w:pPr>
            <w:r>
              <w:rPr>
                <w:color w:val="auto"/>
                <w:spacing w:val="7"/>
                <w:highlight w:val="none"/>
              </w:rPr>
              <w:t>付款方式</w:t>
            </w:r>
          </w:p>
        </w:tc>
        <w:tc>
          <w:tcPr>
            <w:tcW w:w="6950" w:type="dxa"/>
            <w:gridSpan w:val="3"/>
            <w:vAlign w:val="top"/>
          </w:tcPr>
          <w:p w14:paraId="4DB1C177">
            <w:pPr>
              <w:pStyle w:val="10"/>
              <w:shd w:val="clear"/>
              <w:spacing w:before="128" w:line="227" w:lineRule="auto"/>
              <w:ind w:left="115"/>
              <w:outlineLvl w:val="1"/>
              <w:rPr>
                <w:rFonts w:hint="default" w:ascii="宋体" w:hAnsi="宋体" w:eastAsia="宋体" w:cs="宋体"/>
                <w:color w:val="auto"/>
                <w:spacing w:val="8"/>
                <w:highlight w:val="none"/>
                <w:lang w:val="en-US" w:eastAsia="zh-CN"/>
              </w:rPr>
            </w:pPr>
            <w:r>
              <w:rPr>
                <w:rFonts w:hint="default" w:ascii="宋体" w:hAnsi="宋体" w:eastAsia="宋体" w:cs="宋体"/>
                <w:color w:val="auto"/>
                <w:spacing w:val="8"/>
                <w:highlight w:val="none"/>
                <w:lang w:val="en-US" w:eastAsia="zh-CN"/>
              </w:rPr>
              <w:t>根据</w:t>
            </w:r>
            <w:r>
              <w:rPr>
                <w:rFonts w:hint="eastAsia" w:ascii="宋体" w:hAnsi="宋体" w:eastAsia="宋体" w:cs="宋体"/>
                <w:color w:val="auto"/>
                <w:spacing w:val="8"/>
                <w:highlight w:val="none"/>
                <w:lang w:val="en-US" w:eastAsia="zh-CN"/>
              </w:rPr>
              <w:t>成交</w:t>
            </w:r>
            <w:r>
              <w:rPr>
                <w:rFonts w:hint="default" w:ascii="宋体" w:hAnsi="宋体" w:eastAsia="宋体" w:cs="宋体"/>
                <w:color w:val="auto"/>
                <w:spacing w:val="8"/>
                <w:highlight w:val="none"/>
                <w:lang w:val="en-US" w:eastAsia="zh-CN"/>
              </w:rPr>
              <w:t>报价，</w:t>
            </w:r>
            <w:r>
              <w:rPr>
                <w:rFonts w:hint="eastAsia" w:ascii="宋体" w:hAnsi="宋体" w:eastAsia="宋体" w:cs="宋体"/>
                <w:color w:val="auto"/>
                <w:spacing w:val="8"/>
                <w:highlight w:val="none"/>
                <w:lang w:val="en-US" w:eastAsia="zh-CN"/>
              </w:rPr>
              <w:t>成交</w:t>
            </w:r>
            <w:r>
              <w:rPr>
                <w:rFonts w:hint="default" w:ascii="宋体" w:hAnsi="宋体" w:eastAsia="宋体" w:cs="宋体"/>
                <w:color w:val="auto"/>
                <w:spacing w:val="8"/>
                <w:highlight w:val="none"/>
                <w:lang w:val="en-US" w:eastAsia="zh-CN"/>
              </w:rPr>
              <w:t>费率为</w:t>
            </w:r>
            <w:r>
              <w:rPr>
                <w:rFonts w:hint="default" w:ascii="宋体" w:hAnsi="宋体" w:eastAsia="宋体" w:cs="宋体"/>
                <w:color w:val="auto"/>
                <w:spacing w:val="8"/>
                <w:highlight w:val="none"/>
                <w:u w:val="single"/>
                <w:lang w:val="en-US" w:eastAsia="zh-CN"/>
              </w:rPr>
              <w:t xml:space="preserve">   </w:t>
            </w:r>
            <w:r>
              <w:rPr>
                <w:rFonts w:hint="default" w:ascii="宋体" w:hAnsi="宋体" w:eastAsia="宋体" w:cs="宋体"/>
                <w:color w:val="auto"/>
                <w:spacing w:val="8"/>
                <w:highlight w:val="none"/>
                <w:lang w:val="en-US" w:eastAsia="zh-CN"/>
              </w:rPr>
              <w:t>%，本</w:t>
            </w:r>
            <w:r>
              <w:rPr>
                <w:rFonts w:hint="eastAsia" w:ascii="宋体" w:hAnsi="宋体" w:eastAsia="宋体" w:cs="宋体"/>
                <w:color w:val="auto"/>
                <w:spacing w:val="8"/>
                <w:highlight w:val="none"/>
                <w:lang w:val="en-US" w:eastAsia="zh-CN"/>
              </w:rPr>
              <w:t>项目</w:t>
            </w:r>
            <w:r>
              <w:rPr>
                <w:rFonts w:hint="default" w:ascii="宋体" w:hAnsi="宋体" w:eastAsia="宋体" w:cs="宋体"/>
                <w:color w:val="auto"/>
                <w:spacing w:val="8"/>
                <w:highlight w:val="none"/>
                <w:lang w:val="en-US" w:eastAsia="zh-CN"/>
              </w:rPr>
              <w:t>暂定价为</w:t>
            </w:r>
            <w:r>
              <w:rPr>
                <w:rFonts w:hint="eastAsia" w:ascii="宋体" w:hAnsi="宋体" w:eastAsia="宋体" w:cs="宋体"/>
                <w:color w:val="auto"/>
                <w:spacing w:val="8"/>
                <w:highlight w:val="none"/>
                <w:lang w:val="en-US" w:eastAsia="zh-CN"/>
              </w:rPr>
              <w:t>9</w:t>
            </w:r>
            <w:r>
              <w:rPr>
                <w:rFonts w:hint="eastAsia" w:cs="宋体"/>
                <w:color w:val="auto"/>
                <w:spacing w:val="8"/>
                <w:highlight w:val="none"/>
                <w:lang w:val="en-US" w:eastAsia="zh-CN"/>
              </w:rPr>
              <w:t>1</w:t>
            </w:r>
            <w:r>
              <w:rPr>
                <w:rFonts w:hint="eastAsia" w:ascii="宋体" w:hAnsi="宋体" w:eastAsia="宋体" w:cs="宋体"/>
                <w:color w:val="auto"/>
                <w:spacing w:val="8"/>
                <w:highlight w:val="none"/>
                <w:lang w:val="en-US" w:eastAsia="zh-CN"/>
              </w:rPr>
              <w:t>6600.00</w:t>
            </w:r>
            <w:r>
              <w:rPr>
                <w:rFonts w:hint="default" w:ascii="宋体" w:hAnsi="宋体" w:eastAsia="宋体" w:cs="宋体"/>
                <w:color w:val="auto"/>
                <w:spacing w:val="8"/>
                <w:highlight w:val="none"/>
                <w:lang w:val="en-US" w:eastAsia="zh-CN"/>
              </w:rPr>
              <w:t>元。实际支付的勘察设计费用=上级部门批复的初步设计概算中建安费×中标费率（若勘察设计人在勘察设计范围内中投资超过本项目估算总投资的，发包人不给予增加设计费）。</w:t>
            </w:r>
          </w:p>
          <w:p w14:paraId="1C7A6AAC">
            <w:pPr>
              <w:pStyle w:val="10"/>
              <w:spacing w:before="125" w:line="226" w:lineRule="auto"/>
              <w:ind w:left="112"/>
              <w:outlineLvl w:val="1"/>
              <w:rPr>
                <w:rFonts w:hint="default" w:eastAsia="宋体"/>
                <w:color w:val="auto"/>
                <w:highlight w:val="none"/>
                <w:lang w:val="en-US" w:eastAsia="zh-CN"/>
              </w:rPr>
            </w:pPr>
            <w:r>
              <w:rPr>
                <w:rFonts w:hint="default" w:eastAsia="宋体"/>
                <w:color w:val="auto"/>
                <w:highlight w:val="none"/>
                <w:lang w:val="en-US" w:eastAsia="zh-CN"/>
              </w:rPr>
              <w:t xml:space="preserve">（1）初步设计获得批复且项目建设资金落实后，可申请支付至合同金额的50%；  </w:t>
            </w:r>
          </w:p>
          <w:p w14:paraId="161BDFE2">
            <w:pPr>
              <w:pStyle w:val="10"/>
              <w:spacing w:before="125" w:line="226" w:lineRule="auto"/>
              <w:ind w:left="112"/>
              <w:outlineLvl w:val="1"/>
              <w:rPr>
                <w:rFonts w:hint="default" w:eastAsia="宋体"/>
                <w:color w:val="auto"/>
                <w:highlight w:val="none"/>
                <w:lang w:val="en-US" w:eastAsia="zh-CN"/>
              </w:rPr>
            </w:pPr>
            <w:r>
              <w:rPr>
                <w:rFonts w:hint="default" w:eastAsia="宋体"/>
                <w:color w:val="auto"/>
                <w:highlight w:val="none"/>
                <w:lang w:val="en-US" w:eastAsia="zh-CN"/>
              </w:rPr>
              <w:t xml:space="preserve">（2）提交施工图设计（含预算）文件后 15个工作日内且项目建设资金落实后，可申请支付至合同价的 80%；  </w:t>
            </w:r>
          </w:p>
          <w:p w14:paraId="0F3172AC">
            <w:pPr>
              <w:pStyle w:val="10"/>
              <w:spacing w:before="125" w:line="226" w:lineRule="auto"/>
              <w:ind w:left="112"/>
              <w:outlineLvl w:val="1"/>
              <w:rPr>
                <w:rFonts w:hint="default" w:eastAsia="宋体"/>
                <w:color w:val="auto"/>
                <w:highlight w:val="none"/>
                <w:lang w:val="en-US" w:eastAsia="zh-CN"/>
              </w:rPr>
            </w:pPr>
            <w:r>
              <w:rPr>
                <w:rFonts w:hint="default" w:eastAsia="宋体"/>
                <w:color w:val="auto"/>
                <w:highlight w:val="none"/>
                <w:lang w:val="en-US" w:eastAsia="zh-CN"/>
              </w:rPr>
              <w:t>（3）项目竣工（或合同完工）验收后，勘察设计人提交结算，经发包人审核通过且项目建设资金落实后15个工作日内付清余款。</w:t>
            </w:r>
          </w:p>
        </w:tc>
      </w:tr>
      <w:tr w14:paraId="4A116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1985" w:type="dxa"/>
            <w:gridSpan w:val="2"/>
            <w:vAlign w:val="top"/>
          </w:tcPr>
          <w:p w14:paraId="2C0FAF86">
            <w:pPr>
              <w:spacing w:line="247" w:lineRule="auto"/>
              <w:rPr>
                <w:rFonts w:ascii="Arial"/>
                <w:color w:val="auto"/>
                <w:sz w:val="21"/>
                <w:highlight w:val="none"/>
              </w:rPr>
            </w:pPr>
          </w:p>
          <w:p w14:paraId="7C524992">
            <w:pPr>
              <w:spacing w:line="247" w:lineRule="auto"/>
              <w:rPr>
                <w:rFonts w:ascii="Arial"/>
                <w:color w:val="auto"/>
                <w:sz w:val="21"/>
                <w:highlight w:val="none"/>
              </w:rPr>
            </w:pPr>
          </w:p>
          <w:p w14:paraId="1BE23996">
            <w:pPr>
              <w:spacing w:line="248" w:lineRule="auto"/>
              <w:rPr>
                <w:rFonts w:ascii="Arial"/>
                <w:color w:val="auto"/>
                <w:sz w:val="21"/>
                <w:highlight w:val="none"/>
              </w:rPr>
            </w:pPr>
          </w:p>
          <w:p w14:paraId="17ED0282">
            <w:pPr>
              <w:pStyle w:val="10"/>
              <w:spacing w:before="65" w:line="228" w:lineRule="auto"/>
              <w:jc w:val="center"/>
              <w:outlineLvl w:val="1"/>
              <w:rPr>
                <w:color w:val="auto"/>
                <w:highlight w:val="none"/>
              </w:rPr>
            </w:pPr>
            <w:r>
              <w:rPr>
                <w:color w:val="auto"/>
                <w:spacing w:val="7"/>
                <w:highlight w:val="none"/>
              </w:rPr>
              <w:t>其他要求</w:t>
            </w:r>
          </w:p>
        </w:tc>
        <w:tc>
          <w:tcPr>
            <w:tcW w:w="6950" w:type="dxa"/>
            <w:gridSpan w:val="3"/>
            <w:vAlign w:val="top"/>
          </w:tcPr>
          <w:p w14:paraId="412325F6">
            <w:pPr>
              <w:pStyle w:val="10"/>
              <w:spacing w:before="122" w:line="227" w:lineRule="auto"/>
              <w:ind w:left="128"/>
              <w:outlineLvl w:val="1"/>
              <w:rPr>
                <w:color w:val="auto"/>
                <w:highlight w:val="none"/>
              </w:rPr>
            </w:pPr>
            <w:r>
              <w:rPr>
                <w:color w:val="auto"/>
                <w:spacing w:val="9"/>
                <w:highlight w:val="none"/>
              </w:rPr>
              <w:t>1、成交供应商在调查过程获取的调查成果数据必须全部提交给采购人，不</w:t>
            </w:r>
            <w:r>
              <w:rPr>
                <w:color w:val="auto"/>
                <w:spacing w:val="6"/>
                <w:highlight w:val="none"/>
              </w:rPr>
              <w:t>得外传和留存。</w:t>
            </w:r>
          </w:p>
          <w:p w14:paraId="4F25AE06">
            <w:pPr>
              <w:pStyle w:val="10"/>
              <w:spacing w:before="130" w:line="227" w:lineRule="auto"/>
              <w:ind w:left="115"/>
              <w:outlineLvl w:val="1"/>
              <w:rPr>
                <w:color w:val="auto"/>
                <w:highlight w:val="none"/>
              </w:rPr>
            </w:pPr>
            <w:r>
              <w:rPr>
                <w:color w:val="auto"/>
                <w:spacing w:val="8"/>
                <w:highlight w:val="none"/>
              </w:rPr>
              <w:t>2、纸质文件成果由勘察设计图纸以及各种必要的技术研究资料构成。</w:t>
            </w:r>
            <w:r>
              <w:rPr>
                <w:color w:val="auto"/>
                <w:spacing w:val="-53"/>
                <w:highlight w:val="none"/>
              </w:rPr>
              <w:t xml:space="preserve"> </w:t>
            </w:r>
            <w:r>
              <w:rPr>
                <w:color w:val="auto"/>
                <w:spacing w:val="8"/>
                <w:highlight w:val="none"/>
              </w:rPr>
              <w:t>内容</w:t>
            </w:r>
            <w:r>
              <w:rPr>
                <w:color w:val="auto"/>
                <w:spacing w:val="9"/>
                <w:highlight w:val="none"/>
              </w:rPr>
              <w:t>必须清晰完整，说明书应准确、完整地阐述设计意图和内容。</w:t>
            </w:r>
          </w:p>
          <w:p w14:paraId="1E04EB66">
            <w:pPr>
              <w:pStyle w:val="10"/>
              <w:spacing w:before="128" w:line="228" w:lineRule="auto"/>
              <w:ind w:left="117"/>
              <w:outlineLvl w:val="1"/>
              <w:rPr>
                <w:color w:val="auto"/>
                <w:highlight w:val="none"/>
              </w:rPr>
            </w:pPr>
            <w:r>
              <w:rPr>
                <w:color w:val="auto"/>
                <w:spacing w:val="9"/>
                <w:highlight w:val="none"/>
              </w:rPr>
              <w:t>3、设计成果包括纸质文件及相应的</w:t>
            </w:r>
            <w:r>
              <w:rPr>
                <w:rFonts w:hint="eastAsia"/>
                <w:color w:val="auto"/>
                <w:spacing w:val="9"/>
                <w:highlight w:val="none"/>
                <w:lang w:val="en-US" w:eastAsia="zh-CN"/>
              </w:rPr>
              <w:t>可编辑</w:t>
            </w:r>
            <w:r>
              <w:rPr>
                <w:color w:val="auto"/>
                <w:spacing w:val="9"/>
                <w:highlight w:val="none"/>
              </w:rPr>
              <w:t>电子版</w:t>
            </w:r>
            <w:r>
              <w:rPr>
                <w:color w:val="auto"/>
                <w:spacing w:val="8"/>
                <w:highlight w:val="none"/>
              </w:rPr>
              <w:t>文件。</w:t>
            </w:r>
          </w:p>
          <w:p w14:paraId="43753F98">
            <w:pPr>
              <w:pStyle w:val="10"/>
              <w:spacing w:before="127" w:line="227" w:lineRule="auto"/>
              <w:outlineLvl w:val="1"/>
              <w:rPr>
                <w:color w:val="auto"/>
                <w:highlight w:val="none"/>
              </w:rPr>
            </w:pPr>
          </w:p>
        </w:tc>
      </w:tr>
    </w:tbl>
    <w:p w14:paraId="142F1D7C">
      <w:pPr>
        <w:spacing w:line="226" w:lineRule="auto"/>
        <w:rPr>
          <w:rFonts w:ascii="宋体" w:hAnsi="宋体" w:eastAsia="宋体" w:cs="宋体"/>
          <w:color w:val="auto"/>
          <w:sz w:val="20"/>
          <w:szCs w:val="20"/>
          <w:highlight w:val="none"/>
        </w:rPr>
        <w:sectPr>
          <w:footerReference r:id="rId21" w:type="default"/>
          <w:pgSz w:w="11906" w:h="16839"/>
          <w:pgMar w:top="1431" w:right="1348" w:bottom="1362" w:left="1631" w:header="0" w:footer="1200" w:gutter="0"/>
          <w:pgNumType w:fmt="decimal"/>
          <w:cols w:space="720" w:num="1"/>
        </w:sectPr>
      </w:pPr>
    </w:p>
    <w:p w14:paraId="6923AB73">
      <w:pPr>
        <w:spacing w:before="162" w:line="224" w:lineRule="auto"/>
        <w:ind w:left="2517"/>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第四章</w:t>
      </w:r>
      <w:r>
        <w:rPr>
          <w:rFonts w:hint="eastAsia" w:ascii="宋体" w:hAnsi="宋体" w:eastAsia="宋体" w:cs="宋体"/>
          <w:b/>
          <w:bCs/>
          <w:color w:val="auto"/>
          <w:spacing w:val="6"/>
          <w:sz w:val="31"/>
          <w:szCs w:val="31"/>
          <w:highlight w:val="none"/>
          <w:lang w:val="en-US" w:eastAsia="zh-CN"/>
        </w:rPr>
        <w:t xml:space="preserve"> </w:t>
      </w:r>
      <w:r>
        <w:rPr>
          <w:rFonts w:ascii="宋体" w:hAnsi="宋体" w:eastAsia="宋体" w:cs="宋体"/>
          <w:b/>
          <w:bCs/>
          <w:color w:val="auto"/>
          <w:spacing w:val="6"/>
          <w:sz w:val="31"/>
          <w:szCs w:val="31"/>
          <w:highlight w:val="none"/>
        </w:rPr>
        <w:t>评标方法及评标标准</w:t>
      </w:r>
    </w:p>
    <w:p w14:paraId="2C3DA139">
      <w:pPr>
        <w:pStyle w:val="3"/>
        <w:spacing w:line="452" w:lineRule="auto"/>
        <w:rPr>
          <w:color w:val="auto"/>
          <w:highlight w:val="none"/>
        </w:rPr>
      </w:pPr>
    </w:p>
    <w:p w14:paraId="7485D9F8">
      <w:pPr>
        <w:spacing w:before="65" w:line="228" w:lineRule="auto"/>
        <w:ind w:left="4"/>
        <w:outlineLvl w:val="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一、评标方法</w:t>
      </w:r>
    </w:p>
    <w:p w14:paraId="15E070B0">
      <w:pPr>
        <w:spacing w:before="157" w:line="377" w:lineRule="auto"/>
        <w:ind w:left="4" w:right="128"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综合评分法，是指投标文件满足招标文件全部实质性要求</w:t>
      </w:r>
      <w:r>
        <w:rPr>
          <w:rFonts w:ascii="宋体" w:hAnsi="宋体" w:eastAsia="宋体" w:cs="宋体"/>
          <w:color w:val="auto"/>
          <w:spacing w:val="9"/>
          <w:sz w:val="20"/>
          <w:szCs w:val="20"/>
          <w:highlight w:val="none"/>
        </w:rPr>
        <w:t>，且按照评审因素的量化指标评审</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得分最高的投标人为投标候选人的评标方法。</w:t>
      </w:r>
    </w:p>
    <w:p w14:paraId="759F9D85">
      <w:pPr>
        <w:spacing w:line="380" w:lineRule="auto"/>
        <w:ind w:left="5" w:right="128"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最低评标报价法，是指投标文件满足招标文件全部实质性</w:t>
      </w:r>
      <w:r>
        <w:rPr>
          <w:rFonts w:ascii="宋体" w:hAnsi="宋体" w:eastAsia="宋体" w:cs="宋体"/>
          <w:color w:val="auto"/>
          <w:spacing w:val="9"/>
          <w:sz w:val="20"/>
          <w:szCs w:val="20"/>
          <w:highlight w:val="none"/>
        </w:rPr>
        <w:t>要求，且投标报价最低的投标人为</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投标候选人的评标方法。</w:t>
      </w:r>
    </w:p>
    <w:p w14:paraId="0A38229C">
      <w:pPr>
        <w:spacing w:before="127" w:line="228" w:lineRule="auto"/>
        <w:ind w:left="4"/>
        <w:outlineLvl w:val="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二、评标程序</w:t>
      </w:r>
    </w:p>
    <w:p w14:paraId="0BF19649">
      <w:pPr>
        <w:spacing w:before="258" w:line="228" w:lineRule="auto"/>
        <w:ind w:left="436"/>
        <w:outlineLvl w:val="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1.符合性审查</w:t>
      </w:r>
    </w:p>
    <w:p w14:paraId="7C822C73">
      <w:pPr>
        <w:spacing w:before="123" w:line="378" w:lineRule="auto"/>
        <w:ind w:left="4" w:right="128" w:firstLine="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评标委员会应当对符合资格的投标人的投标文件进行投标报价、商</w:t>
      </w:r>
      <w:r>
        <w:rPr>
          <w:rFonts w:ascii="宋体" w:hAnsi="宋体" w:eastAsia="宋体" w:cs="宋体"/>
          <w:color w:val="auto"/>
          <w:spacing w:val="9"/>
          <w:sz w:val="20"/>
          <w:szCs w:val="20"/>
          <w:highlight w:val="none"/>
        </w:rPr>
        <w:t>务、技术等实质性内容符</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合性审查，以确定其是否满足招标文件的实质性要求。</w:t>
      </w:r>
    </w:p>
    <w:p w14:paraId="7C49CE1D">
      <w:pPr>
        <w:spacing w:before="95" w:line="228" w:lineRule="auto"/>
        <w:ind w:left="423"/>
        <w:outlineLvl w:val="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2.符合性审查不通过而导致投标无效的情形</w:t>
      </w:r>
    </w:p>
    <w:p w14:paraId="46A77C51">
      <w:pPr>
        <w:spacing w:before="123" w:line="228"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投标人的投标文件中存在对招标文件的任何实质性要求和条件的负</w:t>
      </w:r>
      <w:r>
        <w:rPr>
          <w:rFonts w:ascii="宋体" w:hAnsi="宋体" w:eastAsia="宋体" w:cs="宋体"/>
          <w:color w:val="auto"/>
          <w:spacing w:val="7"/>
          <w:sz w:val="20"/>
          <w:szCs w:val="20"/>
          <w:highlight w:val="none"/>
        </w:rPr>
        <w:t>偏离，将被视为投标无效。</w:t>
      </w:r>
    </w:p>
    <w:p w14:paraId="6A00664C">
      <w:pPr>
        <w:spacing w:before="262" w:line="226" w:lineRule="auto"/>
        <w:ind w:left="423"/>
        <w:outlineLvl w:val="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w:t>
      </w:r>
      <w:r>
        <w:rPr>
          <w:rFonts w:ascii="宋体" w:hAnsi="宋体" w:eastAsia="宋体" w:cs="宋体"/>
          <w:color w:val="auto"/>
          <w:spacing w:val="-27"/>
          <w:sz w:val="20"/>
          <w:szCs w:val="20"/>
          <w:highlight w:val="none"/>
        </w:rPr>
        <w:t xml:space="preserve"> </w:t>
      </w:r>
      <w:r>
        <w:rPr>
          <w:rFonts w:ascii="宋体" w:hAnsi="宋体" w:eastAsia="宋体" w:cs="宋体"/>
          <w:color w:val="auto"/>
          <w:spacing w:val="8"/>
          <w:sz w:val="20"/>
          <w:szCs w:val="20"/>
          <w:highlight w:val="none"/>
        </w:rPr>
        <w:t>在报价评审时，如发现下列情形之一的，将被视为投标无效：</w:t>
      </w:r>
    </w:p>
    <w:p w14:paraId="5238E72C">
      <w:pPr>
        <w:spacing w:before="223" w:line="227" w:lineRule="auto"/>
        <w:ind w:left="40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（1）投标文件未提供“投标人须知前附表”第</w:t>
      </w:r>
      <w:r>
        <w:rPr>
          <w:rFonts w:ascii="宋体" w:hAnsi="宋体" w:eastAsia="宋体" w:cs="宋体"/>
          <w:color w:val="auto"/>
          <w:spacing w:val="-39"/>
          <w:sz w:val="20"/>
          <w:szCs w:val="20"/>
          <w:highlight w:val="none"/>
        </w:rPr>
        <w:t xml:space="preserve"> </w:t>
      </w:r>
      <w:r>
        <w:rPr>
          <w:rFonts w:ascii="宋体" w:hAnsi="宋体" w:eastAsia="宋体" w:cs="宋体"/>
          <w:color w:val="auto"/>
          <w:spacing w:val="-2"/>
          <w:sz w:val="20"/>
          <w:szCs w:val="20"/>
          <w:highlight w:val="none"/>
        </w:rPr>
        <w:t>1</w:t>
      </w:r>
      <w:r>
        <w:rPr>
          <w:rFonts w:hint="eastAsia" w:ascii="宋体" w:hAnsi="宋体" w:eastAsia="宋体" w:cs="宋体"/>
          <w:color w:val="auto"/>
          <w:spacing w:val="-2"/>
          <w:sz w:val="20"/>
          <w:szCs w:val="20"/>
          <w:highlight w:val="none"/>
          <w:lang w:val="en-US" w:eastAsia="zh-CN"/>
        </w:rPr>
        <w:t>2</w:t>
      </w:r>
      <w:r>
        <w:rPr>
          <w:rFonts w:ascii="宋体" w:hAnsi="宋体" w:eastAsia="宋体" w:cs="宋体"/>
          <w:color w:val="auto"/>
          <w:spacing w:val="-2"/>
          <w:sz w:val="20"/>
          <w:szCs w:val="20"/>
          <w:highlight w:val="none"/>
        </w:rPr>
        <w:t>.1</w:t>
      </w:r>
      <w:r>
        <w:rPr>
          <w:rFonts w:hint="eastAsia" w:ascii="宋体" w:hAnsi="宋体" w:eastAsia="宋体" w:cs="宋体"/>
          <w:color w:val="auto"/>
          <w:spacing w:val="-2"/>
          <w:sz w:val="20"/>
          <w:szCs w:val="20"/>
          <w:highlight w:val="none"/>
          <w:lang w:val="en-US" w:eastAsia="zh-CN"/>
        </w:rPr>
        <w:t>.2</w:t>
      </w:r>
      <w:r>
        <w:rPr>
          <w:rFonts w:ascii="宋体" w:hAnsi="宋体" w:eastAsia="宋体" w:cs="宋体"/>
          <w:color w:val="auto"/>
          <w:spacing w:val="-48"/>
          <w:sz w:val="20"/>
          <w:szCs w:val="20"/>
          <w:highlight w:val="none"/>
        </w:rPr>
        <w:t xml:space="preserve"> </w:t>
      </w:r>
      <w:r>
        <w:rPr>
          <w:rFonts w:ascii="宋体" w:hAnsi="宋体" w:eastAsia="宋体" w:cs="宋体"/>
          <w:color w:val="auto"/>
          <w:spacing w:val="-2"/>
          <w:sz w:val="20"/>
          <w:szCs w:val="20"/>
          <w:highlight w:val="none"/>
        </w:rPr>
        <w:t>条</w:t>
      </w:r>
      <w:r>
        <w:rPr>
          <w:rFonts w:ascii="宋体" w:hAnsi="宋体" w:eastAsia="宋体" w:cs="宋体"/>
          <w:color w:val="auto"/>
          <w:spacing w:val="-3"/>
          <w:sz w:val="20"/>
          <w:szCs w:val="20"/>
          <w:highlight w:val="none"/>
        </w:rPr>
        <w:t>规定中“必须提供”的文件资料的;</w:t>
      </w:r>
    </w:p>
    <w:p w14:paraId="0C70E848">
      <w:pPr>
        <w:spacing w:before="223"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（2）未采用人民币报价或者未按照招标文件标明的</w:t>
      </w:r>
      <w:r>
        <w:rPr>
          <w:rFonts w:ascii="宋体" w:hAnsi="宋体" w:eastAsia="宋体" w:cs="宋体"/>
          <w:color w:val="auto"/>
          <w:spacing w:val="8"/>
          <w:sz w:val="20"/>
          <w:szCs w:val="20"/>
          <w:highlight w:val="none"/>
        </w:rPr>
        <w:t>币种报价的；</w:t>
      </w:r>
    </w:p>
    <w:p w14:paraId="58B5F542">
      <w:pPr>
        <w:spacing w:before="223" w:line="226" w:lineRule="auto"/>
        <w:ind w:left="43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（3）各分标报价超出招标文件相应分标规定最高限价，或者超出相应分标采</w:t>
      </w:r>
      <w:r>
        <w:rPr>
          <w:rFonts w:ascii="宋体" w:hAnsi="宋体" w:eastAsia="宋体" w:cs="宋体"/>
          <w:color w:val="auto"/>
          <w:spacing w:val="-3"/>
          <w:sz w:val="20"/>
          <w:szCs w:val="20"/>
          <w:highlight w:val="none"/>
        </w:rPr>
        <w:t>购预算金额的；</w:t>
      </w:r>
    </w:p>
    <w:p w14:paraId="307D8116">
      <w:pPr>
        <w:spacing w:before="222" w:line="364" w:lineRule="auto"/>
        <w:ind w:right="70"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（4）投标人未就所投分标进行报价或者存在漏项报价；投标人未就所投分标的单项内容作唯</w:t>
      </w:r>
      <w:r>
        <w:rPr>
          <w:rFonts w:ascii="宋体" w:hAnsi="宋体" w:eastAsia="宋体" w:cs="宋体"/>
          <w:color w:val="auto"/>
          <w:spacing w:val="10"/>
          <w:sz w:val="20"/>
          <w:szCs w:val="20"/>
          <w:highlight w:val="none"/>
        </w:rPr>
        <w:t xml:space="preserve"> </w:t>
      </w:r>
      <w:r>
        <w:rPr>
          <w:rFonts w:ascii="宋体" w:hAnsi="宋体" w:eastAsia="宋体" w:cs="宋体"/>
          <w:color w:val="auto"/>
          <w:spacing w:val="11"/>
          <w:sz w:val="20"/>
          <w:szCs w:val="20"/>
          <w:highlight w:val="none"/>
        </w:rPr>
        <w:t>一报价；投标人未就所投分标的全部内容作唯一总价报价；存在有选择、有条件报价的（招标文</w:t>
      </w:r>
      <w:r>
        <w:rPr>
          <w:rFonts w:ascii="宋体" w:hAnsi="宋体" w:eastAsia="宋体" w:cs="宋体"/>
          <w:color w:val="auto"/>
          <w:spacing w:val="7"/>
          <w:sz w:val="20"/>
          <w:szCs w:val="20"/>
          <w:highlight w:val="none"/>
        </w:rPr>
        <w:t xml:space="preserve"> </w:t>
      </w:r>
      <w:r>
        <w:rPr>
          <w:rFonts w:ascii="宋体" w:hAnsi="宋体" w:eastAsia="宋体" w:cs="宋体"/>
          <w:color w:val="auto"/>
          <w:spacing w:val="9"/>
          <w:sz w:val="20"/>
          <w:szCs w:val="20"/>
          <w:highlight w:val="none"/>
        </w:rPr>
        <w:t>件允许有备选方案或者其他约定的除外</w:t>
      </w:r>
      <w:r>
        <w:rPr>
          <w:rFonts w:ascii="宋体" w:hAnsi="宋体" w:eastAsia="宋体" w:cs="宋体"/>
          <w:color w:val="auto"/>
          <w:spacing w:val="3"/>
          <w:sz w:val="20"/>
          <w:szCs w:val="20"/>
          <w:highlight w:val="none"/>
        </w:rPr>
        <w:t>）；</w:t>
      </w:r>
    </w:p>
    <w:p w14:paraId="4275BE3B">
      <w:pPr>
        <w:spacing w:before="222"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（5）修正后的报价，投标人不确认的；</w:t>
      </w:r>
    </w:p>
    <w:p w14:paraId="184DFFFB">
      <w:pPr>
        <w:spacing w:before="223" w:line="227"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（6）投标人属于本章第</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5</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条第（2）项情形</w:t>
      </w:r>
      <w:r>
        <w:rPr>
          <w:rFonts w:ascii="宋体" w:hAnsi="宋体" w:eastAsia="宋体" w:cs="宋体"/>
          <w:color w:val="auto"/>
          <w:spacing w:val="6"/>
          <w:sz w:val="20"/>
          <w:szCs w:val="20"/>
          <w:highlight w:val="none"/>
        </w:rPr>
        <w:t>的。</w:t>
      </w:r>
    </w:p>
    <w:p w14:paraId="31BFA36E">
      <w:pPr>
        <w:spacing w:before="222"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（7）投标文件响应的标的数量及单位与招标文件要求实质性</w:t>
      </w:r>
      <w:r>
        <w:rPr>
          <w:rFonts w:ascii="宋体" w:hAnsi="宋体" w:eastAsia="宋体" w:cs="宋体"/>
          <w:color w:val="auto"/>
          <w:spacing w:val="8"/>
          <w:sz w:val="20"/>
          <w:szCs w:val="20"/>
          <w:highlight w:val="none"/>
        </w:rPr>
        <w:t>不一致的。</w:t>
      </w:r>
    </w:p>
    <w:p w14:paraId="0363D7D9">
      <w:pPr>
        <w:spacing w:before="221" w:line="228" w:lineRule="auto"/>
        <w:ind w:left="423"/>
        <w:outlineLvl w:val="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2.2</w:t>
      </w:r>
      <w:r>
        <w:rPr>
          <w:rFonts w:ascii="宋体" w:hAnsi="宋体" w:eastAsia="宋体" w:cs="宋体"/>
          <w:color w:val="auto"/>
          <w:spacing w:val="-27"/>
          <w:sz w:val="20"/>
          <w:szCs w:val="20"/>
          <w:highlight w:val="none"/>
        </w:rPr>
        <w:t xml:space="preserve"> </w:t>
      </w:r>
      <w:r>
        <w:rPr>
          <w:rFonts w:ascii="宋体" w:hAnsi="宋体" w:eastAsia="宋体" w:cs="宋体"/>
          <w:color w:val="auto"/>
          <w:spacing w:val="8"/>
          <w:sz w:val="20"/>
          <w:szCs w:val="20"/>
          <w:highlight w:val="none"/>
        </w:rPr>
        <w:t>在商务评审时，如发现下列情形之一的，将被视为投标无效：</w:t>
      </w:r>
    </w:p>
    <w:p w14:paraId="274338F4">
      <w:pPr>
        <w:spacing w:before="123"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（1）投标文件未按招标文件要求签署、盖章的；</w:t>
      </w:r>
    </w:p>
    <w:p w14:paraId="1EB5205B">
      <w:pPr>
        <w:spacing w:before="162" w:line="227" w:lineRule="auto"/>
        <w:ind w:right="34"/>
        <w:jc w:val="righ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（2）委托代理人未能出具有效身份证明或者出具的身份证明与授权委托书中的信息不符的；</w:t>
      </w:r>
    </w:p>
    <w:p w14:paraId="065E938F">
      <w:pPr>
        <w:spacing w:before="161"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（3）为无效投标保证金的或者未按照招标文件的规定提交投标保证金</w:t>
      </w:r>
      <w:r>
        <w:rPr>
          <w:rFonts w:ascii="宋体" w:hAnsi="宋体" w:eastAsia="宋体" w:cs="宋体"/>
          <w:color w:val="auto"/>
          <w:spacing w:val="8"/>
          <w:sz w:val="20"/>
          <w:szCs w:val="20"/>
          <w:highlight w:val="none"/>
        </w:rPr>
        <w:t>的；</w:t>
      </w:r>
    </w:p>
    <w:p w14:paraId="2C359108">
      <w:pPr>
        <w:spacing w:before="162" w:line="303" w:lineRule="auto"/>
        <w:ind w:left="4" w:right="70" w:firstLine="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（4）投标文件未提供“投标人须知前附表</w:t>
      </w:r>
      <w:r>
        <w:rPr>
          <w:rFonts w:ascii="宋体" w:hAnsi="宋体" w:eastAsia="宋体" w:cs="宋体"/>
          <w:color w:val="auto"/>
          <w:spacing w:val="-68"/>
          <w:sz w:val="20"/>
          <w:szCs w:val="20"/>
          <w:highlight w:val="none"/>
        </w:rPr>
        <w:t xml:space="preserve"> </w:t>
      </w:r>
      <w:r>
        <w:rPr>
          <w:rFonts w:ascii="宋体" w:hAnsi="宋体" w:eastAsia="宋体" w:cs="宋体"/>
          <w:color w:val="auto"/>
          <w:spacing w:val="8"/>
          <w:sz w:val="20"/>
          <w:szCs w:val="20"/>
          <w:highlight w:val="none"/>
        </w:rPr>
        <w:t>”第</w:t>
      </w:r>
      <w:r>
        <w:rPr>
          <w:rFonts w:ascii="宋体" w:hAnsi="宋体" w:eastAsia="宋体" w:cs="宋体"/>
          <w:color w:val="auto"/>
          <w:spacing w:val="-21"/>
          <w:sz w:val="20"/>
          <w:szCs w:val="20"/>
          <w:highlight w:val="none"/>
        </w:rPr>
        <w:t xml:space="preserve"> </w:t>
      </w:r>
      <w:r>
        <w:rPr>
          <w:rFonts w:ascii="宋体" w:hAnsi="宋体" w:eastAsia="宋体" w:cs="宋体"/>
          <w:color w:val="auto"/>
          <w:spacing w:val="8"/>
          <w:sz w:val="20"/>
          <w:szCs w:val="20"/>
          <w:highlight w:val="none"/>
        </w:rPr>
        <w:t>1</w:t>
      </w:r>
      <w:r>
        <w:rPr>
          <w:rFonts w:hint="eastAsia" w:ascii="宋体" w:hAnsi="宋体" w:eastAsia="宋体" w:cs="宋体"/>
          <w:color w:val="auto"/>
          <w:spacing w:val="8"/>
          <w:sz w:val="20"/>
          <w:szCs w:val="20"/>
          <w:highlight w:val="none"/>
          <w:lang w:val="en-US" w:eastAsia="zh-CN"/>
        </w:rPr>
        <w:t>2</w:t>
      </w:r>
      <w:r>
        <w:rPr>
          <w:rFonts w:ascii="宋体" w:hAnsi="宋体" w:eastAsia="宋体" w:cs="宋体"/>
          <w:color w:val="auto"/>
          <w:spacing w:val="8"/>
          <w:sz w:val="20"/>
          <w:szCs w:val="20"/>
          <w:highlight w:val="none"/>
        </w:rPr>
        <w:t>.1</w:t>
      </w:r>
      <w:r>
        <w:rPr>
          <w:rFonts w:hint="eastAsia" w:ascii="宋体" w:hAnsi="宋体" w:eastAsia="宋体" w:cs="宋体"/>
          <w:color w:val="auto"/>
          <w:spacing w:val="8"/>
          <w:sz w:val="20"/>
          <w:szCs w:val="20"/>
          <w:highlight w:val="none"/>
          <w:lang w:val="en-US" w:eastAsia="zh-CN"/>
        </w:rPr>
        <w:t>.2</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条规定中“必须提供</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”或者</w:t>
      </w:r>
      <w:r>
        <w:rPr>
          <w:rFonts w:ascii="宋体" w:hAnsi="宋体" w:eastAsia="宋体" w:cs="宋体"/>
          <w:color w:val="auto"/>
          <w:spacing w:val="7"/>
          <w:sz w:val="20"/>
          <w:szCs w:val="20"/>
          <w:highlight w:val="none"/>
        </w:rPr>
        <w:t>“委托时必</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须提供</w:t>
      </w:r>
      <w:r>
        <w:rPr>
          <w:rFonts w:ascii="宋体" w:hAnsi="宋体" w:eastAsia="宋体" w:cs="宋体"/>
          <w:color w:val="auto"/>
          <w:spacing w:val="-70"/>
          <w:sz w:val="20"/>
          <w:szCs w:val="20"/>
          <w:highlight w:val="none"/>
        </w:rPr>
        <w:t xml:space="preserve"> </w:t>
      </w:r>
      <w:r>
        <w:rPr>
          <w:rFonts w:ascii="宋体" w:hAnsi="宋体" w:eastAsia="宋体" w:cs="宋体"/>
          <w:color w:val="auto"/>
          <w:spacing w:val="5"/>
          <w:sz w:val="20"/>
          <w:szCs w:val="20"/>
          <w:highlight w:val="none"/>
        </w:rPr>
        <w:t>”的文件资料的</w:t>
      </w:r>
      <w:r>
        <w:rPr>
          <w:rFonts w:ascii="宋体" w:hAnsi="宋体" w:eastAsia="宋体" w:cs="宋体"/>
          <w:color w:val="auto"/>
          <w:spacing w:val="-56"/>
          <w:sz w:val="20"/>
          <w:szCs w:val="20"/>
          <w:highlight w:val="none"/>
        </w:rPr>
        <w:t xml:space="preserve"> </w:t>
      </w:r>
      <w:r>
        <w:rPr>
          <w:rFonts w:ascii="宋体" w:hAnsi="宋体" w:eastAsia="宋体" w:cs="宋体"/>
          <w:color w:val="auto"/>
          <w:spacing w:val="5"/>
          <w:sz w:val="20"/>
          <w:szCs w:val="20"/>
          <w:highlight w:val="none"/>
        </w:rPr>
        <w:t>;</w:t>
      </w:r>
    </w:p>
    <w:p w14:paraId="75654596">
      <w:pPr>
        <w:spacing w:before="16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（5）商务条款评审允许负偏离的条款数超过“投标人须知前附表</w:t>
      </w:r>
      <w:r>
        <w:rPr>
          <w:rFonts w:ascii="宋体" w:hAnsi="宋体" w:eastAsia="宋体" w:cs="宋体"/>
          <w:color w:val="auto"/>
          <w:spacing w:val="-64"/>
          <w:sz w:val="20"/>
          <w:szCs w:val="20"/>
          <w:highlight w:val="none"/>
        </w:rPr>
        <w:t xml:space="preserve"> </w:t>
      </w:r>
      <w:r>
        <w:rPr>
          <w:rFonts w:ascii="宋体" w:hAnsi="宋体" w:eastAsia="宋体" w:cs="宋体"/>
          <w:color w:val="auto"/>
          <w:spacing w:val="8"/>
          <w:sz w:val="20"/>
          <w:szCs w:val="20"/>
          <w:highlight w:val="none"/>
        </w:rPr>
        <w:t>”规定项数的。</w:t>
      </w:r>
    </w:p>
    <w:p w14:paraId="0EC77D03">
      <w:pPr>
        <w:spacing w:before="161"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（6）投标文件的实质性内容未使用中文表述、使用计量单位不符合招标文件要求的；</w:t>
      </w:r>
    </w:p>
    <w:p w14:paraId="79FA62F7">
      <w:pPr>
        <w:spacing w:line="228" w:lineRule="auto"/>
        <w:rPr>
          <w:rFonts w:ascii="宋体" w:hAnsi="宋体" w:eastAsia="宋体" w:cs="宋体"/>
          <w:color w:val="auto"/>
          <w:sz w:val="20"/>
          <w:szCs w:val="20"/>
          <w:highlight w:val="none"/>
        </w:rPr>
        <w:sectPr>
          <w:footerReference r:id="rId22" w:type="default"/>
          <w:pgSz w:w="11906" w:h="16839"/>
          <w:pgMar w:top="1431" w:right="1371" w:bottom="1362" w:left="1593" w:header="0" w:footer="1200" w:gutter="0"/>
          <w:pgNumType w:fmt="decimal"/>
          <w:cols w:space="720" w:num="1"/>
        </w:sectPr>
      </w:pPr>
    </w:p>
    <w:p w14:paraId="49CA3D0B">
      <w:pPr>
        <w:spacing w:before="41" w:line="302" w:lineRule="auto"/>
        <w:ind w:left="8" w:right="2" w:firstLine="421"/>
        <w:rPr>
          <w:rFonts w:ascii="宋体" w:hAnsi="宋体" w:eastAsia="宋体" w:cs="宋体"/>
          <w:color w:val="auto"/>
          <w:sz w:val="20"/>
          <w:szCs w:val="20"/>
          <w:highlight w:val="none"/>
        </w:rPr>
      </w:pPr>
      <w:bookmarkStart w:id="4" w:name="bookmark8"/>
      <w:bookmarkEnd w:id="4"/>
      <w:r>
        <w:rPr>
          <w:rFonts w:ascii="宋体" w:hAnsi="宋体" w:eastAsia="宋体" w:cs="宋体"/>
          <w:color w:val="auto"/>
          <w:spacing w:val="13"/>
          <w:sz w:val="20"/>
          <w:szCs w:val="20"/>
          <w:highlight w:val="none"/>
        </w:rPr>
        <w:t>（7）投标文件中的文件资料因填写不齐全或者内容虚假或者出现其他情形而导致被评标委</w:t>
      </w:r>
      <w:r>
        <w:rPr>
          <w:rFonts w:ascii="宋体" w:hAnsi="宋体" w:eastAsia="宋体" w:cs="宋体"/>
          <w:color w:val="auto"/>
          <w:spacing w:val="18"/>
          <w:sz w:val="20"/>
          <w:szCs w:val="20"/>
          <w:highlight w:val="none"/>
        </w:rPr>
        <w:t xml:space="preserve"> </w:t>
      </w:r>
      <w:r>
        <w:rPr>
          <w:rFonts w:ascii="宋体" w:hAnsi="宋体" w:eastAsia="宋体" w:cs="宋体"/>
          <w:color w:val="auto"/>
          <w:spacing w:val="6"/>
          <w:sz w:val="20"/>
          <w:szCs w:val="20"/>
          <w:highlight w:val="none"/>
        </w:rPr>
        <w:t>员会认定无效的；</w:t>
      </w:r>
    </w:p>
    <w:p w14:paraId="61CA09D4">
      <w:pPr>
        <w:spacing w:before="164"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（8）投标文件含有采购人不能接受的附加条件的；</w:t>
      </w:r>
    </w:p>
    <w:p w14:paraId="1227C27B">
      <w:pPr>
        <w:spacing w:before="161" w:line="228"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（9）属于投标人须知正文第</w:t>
      </w:r>
      <w:r>
        <w:rPr>
          <w:rFonts w:ascii="宋体" w:hAnsi="宋体" w:eastAsia="宋体" w:cs="宋体"/>
          <w:color w:val="auto"/>
          <w:spacing w:val="-24"/>
          <w:sz w:val="20"/>
          <w:szCs w:val="20"/>
          <w:highlight w:val="none"/>
        </w:rPr>
        <w:t xml:space="preserve"> </w:t>
      </w:r>
      <w:r>
        <w:rPr>
          <w:rFonts w:ascii="宋体" w:hAnsi="宋体" w:eastAsia="宋体" w:cs="宋体"/>
          <w:color w:val="auto"/>
          <w:spacing w:val="6"/>
          <w:sz w:val="20"/>
          <w:szCs w:val="20"/>
          <w:highlight w:val="none"/>
        </w:rPr>
        <w:t>9.2</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条情形的；</w:t>
      </w:r>
    </w:p>
    <w:p w14:paraId="6AA962CA">
      <w:pPr>
        <w:spacing w:before="162" w:line="302" w:lineRule="auto"/>
        <w:ind w:firstLine="43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（10）投标文件标注的项目名称或者项目编号与招标文件标注的项</w:t>
      </w:r>
      <w:r>
        <w:rPr>
          <w:rFonts w:ascii="宋体" w:hAnsi="宋体" w:eastAsia="宋体" w:cs="宋体"/>
          <w:color w:val="auto"/>
          <w:spacing w:val="10"/>
          <w:sz w:val="20"/>
          <w:szCs w:val="20"/>
          <w:highlight w:val="none"/>
        </w:rPr>
        <w:t>目名称或者项目编号不一</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致的；</w:t>
      </w:r>
    </w:p>
    <w:p w14:paraId="64C09C97">
      <w:pPr>
        <w:spacing w:before="162"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（11）未响应招标文件实质性要求的；</w:t>
      </w:r>
    </w:p>
    <w:p w14:paraId="57DD0BAD">
      <w:pPr>
        <w:spacing w:before="161"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（12）法律、法规和招标文件规定的其他无效情形。</w:t>
      </w:r>
    </w:p>
    <w:p w14:paraId="184B939B">
      <w:pPr>
        <w:spacing w:before="259" w:line="228" w:lineRule="auto"/>
        <w:ind w:left="422"/>
        <w:outlineLvl w:val="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2.3</w:t>
      </w:r>
      <w:r>
        <w:rPr>
          <w:rFonts w:ascii="宋体" w:hAnsi="宋体" w:eastAsia="宋体" w:cs="宋体"/>
          <w:color w:val="auto"/>
          <w:spacing w:val="-27"/>
          <w:sz w:val="20"/>
          <w:szCs w:val="20"/>
          <w:highlight w:val="none"/>
        </w:rPr>
        <w:t xml:space="preserve"> </w:t>
      </w:r>
      <w:r>
        <w:rPr>
          <w:rFonts w:ascii="宋体" w:hAnsi="宋体" w:eastAsia="宋体" w:cs="宋体"/>
          <w:color w:val="auto"/>
          <w:spacing w:val="8"/>
          <w:sz w:val="20"/>
          <w:szCs w:val="20"/>
          <w:highlight w:val="none"/>
        </w:rPr>
        <w:t>在技术评审时，如发现下列情形之一的，将被视为投标无效：</w:t>
      </w:r>
    </w:p>
    <w:p w14:paraId="70EE124F">
      <w:pPr>
        <w:spacing w:before="123" w:line="228" w:lineRule="auto"/>
        <w:ind w:left="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（1）明显不满足招标文件要求的服务内容、技术要求、安全、</w:t>
      </w:r>
      <w:r>
        <w:rPr>
          <w:rFonts w:ascii="宋体" w:hAnsi="宋体" w:eastAsia="宋体" w:cs="宋体"/>
          <w:color w:val="auto"/>
          <w:spacing w:val="8"/>
          <w:sz w:val="20"/>
          <w:szCs w:val="20"/>
          <w:highlight w:val="none"/>
        </w:rPr>
        <w:t>质量标准；</w:t>
      </w:r>
    </w:p>
    <w:p w14:paraId="318B211E">
      <w:pPr>
        <w:spacing w:before="161" w:line="227"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（2）服务需求评审允许负偏离的条款数超过“投标人须知前附表</w:t>
      </w:r>
      <w:r>
        <w:rPr>
          <w:rFonts w:ascii="宋体" w:hAnsi="宋体" w:eastAsia="宋体" w:cs="宋体"/>
          <w:color w:val="auto"/>
          <w:spacing w:val="-64"/>
          <w:sz w:val="20"/>
          <w:szCs w:val="20"/>
          <w:highlight w:val="none"/>
        </w:rPr>
        <w:t xml:space="preserve"> </w:t>
      </w:r>
      <w:r>
        <w:rPr>
          <w:rFonts w:ascii="宋体" w:hAnsi="宋体" w:eastAsia="宋体" w:cs="宋体"/>
          <w:color w:val="auto"/>
          <w:spacing w:val="8"/>
          <w:sz w:val="20"/>
          <w:szCs w:val="20"/>
          <w:highlight w:val="none"/>
        </w:rPr>
        <w:t>”规定项数的；</w:t>
      </w:r>
    </w:p>
    <w:p w14:paraId="3777E2EA">
      <w:pPr>
        <w:spacing w:before="165" w:line="227" w:lineRule="auto"/>
        <w:ind w:left="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（3）投标文件未提供“投标人须知前附表</w:t>
      </w:r>
      <w:r>
        <w:rPr>
          <w:rFonts w:ascii="宋体" w:hAnsi="宋体" w:eastAsia="宋体" w:cs="宋体"/>
          <w:color w:val="auto"/>
          <w:spacing w:val="-53"/>
          <w:sz w:val="20"/>
          <w:szCs w:val="20"/>
          <w:highlight w:val="none"/>
        </w:rPr>
        <w:t xml:space="preserve"> </w:t>
      </w:r>
      <w:r>
        <w:rPr>
          <w:rFonts w:ascii="宋体" w:hAnsi="宋体" w:eastAsia="宋体" w:cs="宋体"/>
          <w:color w:val="auto"/>
          <w:spacing w:val="6"/>
          <w:sz w:val="20"/>
          <w:szCs w:val="20"/>
          <w:highlight w:val="none"/>
        </w:rPr>
        <w:t>”第</w:t>
      </w:r>
      <w:r>
        <w:rPr>
          <w:rFonts w:ascii="宋体" w:hAnsi="宋体" w:eastAsia="宋体" w:cs="宋体"/>
          <w:color w:val="auto"/>
          <w:spacing w:val="-24"/>
          <w:sz w:val="20"/>
          <w:szCs w:val="20"/>
          <w:highlight w:val="none"/>
        </w:rPr>
        <w:t xml:space="preserve"> </w:t>
      </w:r>
      <w:r>
        <w:rPr>
          <w:rFonts w:ascii="宋体" w:hAnsi="宋体" w:eastAsia="宋体" w:cs="宋体"/>
          <w:color w:val="auto"/>
          <w:spacing w:val="6"/>
          <w:sz w:val="20"/>
          <w:szCs w:val="20"/>
          <w:highlight w:val="none"/>
        </w:rPr>
        <w:t>1</w:t>
      </w:r>
      <w:r>
        <w:rPr>
          <w:rFonts w:hint="eastAsia" w:ascii="宋体" w:hAnsi="宋体" w:eastAsia="宋体" w:cs="宋体"/>
          <w:color w:val="auto"/>
          <w:spacing w:val="6"/>
          <w:sz w:val="20"/>
          <w:szCs w:val="20"/>
          <w:highlight w:val="none"/>
          <w:lang w:val="en-US" w:eastAsia="zh-CN"/>
        </w:rPr>
        <w:t>2</w:t>
      </w:r>
      <w:r>
        <w:rPr>
          <w:rFonts w:ascii="宋体" w:hAnsi="宋体" w:eastAsia="宋体" w:cs="宋体"/>
          <w:color w:val="auto"/>
          <w:spacing w:val="6"/>
          <w:sz w:val="20"/>
          <w:szCs w:val="20"/>
          <w:highlight w:val="none"/>
        </w:rPr>
        <w:t>.1</w:t>
      </w:r>
      <w:r>
        <w:rPr>
          <w:rFonts w:hint="eastAsia" w:ascii="宋体" w:hAnsi="宋体" w:eastAsia="宋体" w:cs="宋体"/>
          <w:color w:val="auto"/>
          <w:spacing w:val="6"/>
          <w:sz w:val="20"/>
          <w:szCs w:val="20"/>
          <w:highlight w:val="none"/>
          <w:lang w:val="en-US" w:eastAsia="zh-CN"/>
        </w:rPr>
        <w:t>.2</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条规定中“必须提供</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”的文件资料的</w:t>
      </w:r>
      <w:r>
        <w:rPr>
          <w:rFonts w:ascii="宋体" w:hAnsi="宋体" w:eastAsia="宋体" w:cs="宋体"/>
          <w:color w:val="auto"/>
          <w:spacing w:val="-56"/>
          <w:sz w:val="20"/>
          <w:szCs w:val="20"/>
          <w:highlight w:val="none"/>
        </w:rPr>
        <w:t xml:space="preserve"> </w:t>
      </w:r>
      <w:r>
        <w:rPr>
          <w:rFonts w:ascii="宋体" w:hAnsi="宋体" w:eastAsia="宋体" w:cs="宋体"/>
          <w:color w:val="auto"/>
          <w:spacing w:val="6"/>
          <w:sz w:val="20"/>
          <w:szCs w:val="20"/>
          <w:highlight w:val="none"/>
        </w:rPr>
        <w:t>;</w:t>
      </w:r>
    </w:p>
    <w:p w14:paraId="15C6EFDE">
      <w:pPr>
        <w:spacing w:before="162" w:line="227" w:lineRule="auto"/>
        <w:ind w:left="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（4）虚假投标，或者出现其他情形而导致被评标委员</w:t>
      </w:r>
      <w:r>
        <w:rPr>
          <w:rFonts w:ascii="宋体" w:hAnsi="宋体" w:eastAsia="宋体" w:cs="宋体"/>
          <w:color w:val="auto"/>
          <w:spacing w:val="8"/>
          <w:sz w:val="20"/>
          <w:szCs w:val="20"/>
          <w:highlight w:val="none"/>
        </w:rPr>
        <w:t>会认定无效的；</w:t>
      </w:r>
    </w:p>
    <w:p w14:paraId="45F50EB9">
      <w:pPr>
        <w:spacing w:before="162" w:line="302" w:lineRule="auto"/>
        <w:ind w:left="1" w:right="2"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（5）招标文件未载明允许提供备选（替代）投标方案或明确不允许提供备选（替代）投标方</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rPr>
        <w:t>案时，投标人提供了备选（替代）投标方案的；</w:t>
      </w:r>
    </w:p>
    <w:p w14:paraId="0588D15B">
      <w:pPr>
        <w:spacing w:before="161" w:line="228" w:lineRule="auto"/>
        <w:ind w:left="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（6）未响应招标文件实质性要求的。</w:t>
      </w:r>
    </w:p>
    <w:p w14:paraId="40D3FBF0">
      <w:pPr>
        <w:spacing w:before="261" w:line="228" w:lineRule="auto"/>
        <w:ind w:left="424"/>
        <w:outlineLvl w:val="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3.澄清补正</w:t>
      </w:r>
    </w:p>
    <w:p w14:paraId="41EC419D">
      <w:pPr>
        <w:spacing w:before="122" w:line="378" w:lineRule="auto"/>
        <w:ind w:right="2" w:firstLine="419"/>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对投标文件中含义不明确、同类问题表述不一致或者有明显文字和计算错误的内容，评标委</w:t>
      </w:r>
      <w:r>
        <w:rPr>
          <w:rFonts w:ascii="宋体" w:hAnsi="宋体" w:eastAsia="宋体" w:cs="宋体"/>
          <w:color w:val="auto"/>
          <w:spacing w:val="9"/>
          <w:sz w:val="20"/>
          <w:szCs w:val="20"/>
          <w:highlight w:val="none"/>
        </w:rPr>
        <w:t xml:space="preserve"> </w:t>
      </w:r>
      <w:r>
        <w:rPr>
          <w:rFonts w:ascii="宋体" w:hAnsi="宋体" w:eastAsia="宋体" w:cs="宋体"/>
          <w:color w:val="auto"/>
          <w:spacing w:val="11"/>
          <w:sz w:val="20"/>
          <w:szCs w:val="20"/>
          <w:highlight w:val="none"/>
        </w:rPr>
        <w:t>员会以书面形式要求投标人在规定时间内作出必要的澄清、说明或者纠正。投标人的澄清、说明</w:t>
      </w:r>
      <w:r>
        <w:rPr>
          <w:rFonts w:ascii="宋体" w:hAnsi="宋体" w:eastAsia="宋体" w:cs="宋体"/>
          <w:color w:val="auto"/>
          <w:spacing w:val="6"/>
          <w:sz w:val="20"/>
          <w:szCs w:val="20"/>
          <w:highlight w:val="none"/>
        </w:rPr>
        <w:t xml:space="preserve"> </w:t>
      </w:r>
      <w:r>
        <w:rPr>
          <w:rFonts w:ascii="宋体" w:hAnsi="宋体" w:eastAsia="宋体" w:cs="宋体"/>
          <w:color w:val="auto"/>
          <w:spacing w:val="11"/>
          <w:sz w:val="20"/>
          <w:szCs w:val="20"/>
          <w:highlight w:val="none"/>
        </w:rPr>
        <w:t>或者补正必须采用书面形式，并加盖公章，或者由法定代表人或者其授权的代表签字。投标人的</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澄清、说明或者补正不得超出投标文件的范围或者改变投标文件的实质性内容。</w:t>
      </w:r>
    </w:p>
    <w:p w14:paraId="1AEC54B4">
      <w:pPr>
        <w:spacing w:before="94" w:line="228" w:lineRule="auto"/>
        <w:ind w:left="419"/>
        <w:outlineLvl w:val="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4.投标文件修正</w:t>
      </w:r>
    </w:p>
    <w:p w14:paraId="24EAEF12">
      <w:pPr>
        <w:spacing w:before="222" w:line="226" w:lineRule="auto"/>
        <w:ind w:left="419"/>
        <w:outlineLvl w:val="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4.1</w:t>
      </w:r>
      <w:r>
        <w:rPr>
          <w:rFonts w:ascii="宋体" w:hAnsi="宋体" w:eastAsia="宋体" w:cs="宋体"/>
          <w:color w:val="auto"/>
          <w:spacing w:val="-29"/>
          <w:sz w:val="20"/>
          <w:szCs w:val="20"/>
          <w:highlight w:val="none"/>
        </w:rPr>
        <w:t xml:space="preserve"> </w:t>
      </w:r>
      <w:r>
        <w:rPr>
          <w:rFonts w:ascii="宋体" w:hAnsi="宋体" w:eastAsia="宋体" w:cs="宋体"/>
          <w:color w:val="auto"/>
          <w:spacing w:val="8"/>
          <w:sz w:val="20"/>
          <w:szCs w:val="20"/>
          <w:highlight w:val="none"/>
        </w:rPr>
        <w:t>投标文件报价出现前后不一致的，按照下列规定修正：</w:t>
      </w:r>
    </w:p>
    <w:p w14:paraId="41B49CD8">
      <w:pPr>
        <w:spacing w:before="123" w:line="303" w:lineRule="auto"/>
        <w:ind w:left="12" w:right="2"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 xml:space="preserve">（1）投标文件中开标一览表（报价表）内容与投标文件中相应内容不一致的，以开标一览表 </w:t>
      </w:r>
      <w:r>
        <w:rPr>
          <w:rFonts w:ascii="宋体" w:hAnsi="宋体" w:eastAsia="宋体" w:cs="宋体"/>
          <w:color w:val="auto"/>
          <w:spacing w:val="6"/>
          <w:sz w:val="20"/>
          <w:szCs w:val="20"/>
          <w:highlight w:val="none"/>
        </w:rPr>
        <w:t>（报价表）为准；</w:t>
      </w:r>
    </w:p>
    <w:p w14:paraId="262B1BB2">
      <w:pPr>
        <w:spacing w:before="163" w:line="228" w:lineRule="auto"/>
        <w:ind w:left="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（2）大写金额和小写金额不一致的，以大写金额为准；</w:t>
      </w:r>
    </w:p>
    <w:p w14:paraId="5D617608">
      <w:pPr>
        <w:spacing w:before="161" w:line="226" w:lineRule="auto"/>
        <w:ind w:left="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（3）单价金额小数点或者百分比有明显错位的，</w:t>
      </w:r>
      <w:r>
        <w:rPr>
          <w:rFonts w:ascii="宋体" w:hAnsi="宋体" w:eastAsia="宋体" w:cs="宋体"/>
          <w:color w:val="auto"/>
          <w:spacing w:val="-57"/>
          <w:sz w:val="20"/>
          <w:szCs w:val="20"/>
          <w:highlight w:val="none"/>
        </w:rPr>
        <w:t xml:space="preserve"> </w:t>
      </w:r>
      <w:r>
        <w:rPr>
          <w:rFonts w:ascii="宋体" w:hAnsi="宋体" w:eastAsia="宋体" w:cs="宋体"/>
          <w:color w:val="auto"/>
          <w:spacing w:val="8"/>
          <w:sz w:val="20"/>
          <w:szCs w:val="20"/>
          <w:highlight w:val="none"/>
        </w:rPr>
        <w:t>以开标一览表的总价为准，并修改单价；</w:t>
      </w:r>
    </w:p>
    <w:p w14:paraId="1CB04E75">
      <w:pPr>
        <w:spacing w:before="164" w:line="226" w:lineRule="auto"/>
        <w:ind w:left="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（4）总价金额与按单价汇总金额不一致的</w:t>
      </w:r>
      <w:r>
        <w:rPr>
          <w:rFonts w:ascii="宋体" w:hAnsi="宋体" w:eastAsia="宋体" w:cs="宋体"/>
          <w:color w:val="auto"/>
          <w:spacing w:val="7"/>
          <w:sz w:val="20"/>
          <w:szCs w:val="20"/>
          <w:highlight w:val="none"/>
        </w:rPr>
        <w:t>，</w:t>
      </w:r>
      <w:r>
        <w:rPr>
          <w:rFonts w:ascii="宋体" w:hAnsi="宋体" w:eastAsia="宋体" w:cs="宋体"/>
          <w:color w:val="auto"/>
          <w:spacing w:val="-60"/>
          <w:sz w:val="20"/>
          <w:szCs w:val="20"/>
          <w:highlight w:val="none"/>
        </w:rPr>
        <w:t xml:space="preserve"> </w:t>
      </w:r>
      <w:r>
        <w:rPr>
          <w:rFonts w:ascii="宋体" w:hAnsi="宋体" w:eastAsia="宋体" w:cs="宋体"/>
          <w:color w:val="auto"/>
          <w:spacing w:val="7"/>
          <w:sz w:val="20"/>
          <w:szCs w:val="20"/>
          <w:highlight w:val="none"/>
        </w:rPr>
        <w:t>以单价金额计算结果为准。</w:t>
      </w:r>
    </w:p>
    <w:p w14:paraId="6781F8EE">
      <w:pPr>
        <w:spacing w:before="163" w:line="378" w:lineRule="auto"/>
        <w:ind w:left="2" w:right="4" w:firstLine="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同时出现两种以上不一致的，按照以上（1）-（4）规定的顺序</w:t>
      </w:r>
      <w:r>
        <w:rPr>
          <w:rFonts w:ascii="宋体" w:hAnsi="宋体" w:eastAsia="宋体" w:cs="宋体"/>
          <w:color w:val="auto"/>
          <w:spacing w:val="7"/>
          <w:sz w:val="20"/>
          <w:szCs w:val="20"/>
          <w:highlight w:val="none"/>
        </w:rPr>
        <w:t>修正。修正后的报价经投标人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确认后产生约束力，投标人不确认的，其投标无效。</w:t>
      </w:r>
    </w:p>
    <w:p w14:paraId="044F53DF">
      <w:pPr>
        <w:spacing w:before="98" w:line="226" w:lineRule="auto"/>
        <w:ind w:left="419"/>
        <w:outlineLvl w:val="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4.2</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经投标人确认修正后的报价若超过采购预算金额或者最高限价</w:t>
      </w:r>
      <w:r>
        <w:rPr>
          <w:rFonts w:ascii="宋体" w:hAnsi="宋体" w:eastAsia="宋体" w:cs="宋体"/>
          <w:color w:val="auto"/>
          <w:spacing w:val="8"/>
          <w:sz w:val="20"/>
          <w:szCs w:val="20"/>
          <w:highlight w:val="none"/>
        </w:rPr>
        <w:t>，其投标无效。</w:t>
      </w:r>
    </w:p>
    <w:p w14:paraId="092D0521">
      <w:pPr>
        <w:spacing w:before="124" w:line="226" w:lineRule="auto"/>
        <w:ind w:left="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4.3</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经投标人确认修正后的报价作为签订合同的依据，并以</w:t>
      </w:r>
      <w:r>
        <w:rPr>
          <w:rFonts w:ascii="宋体" w:hAnsi="宋体" w:eastAsia="宋体" w:cs="宋体"/>
          <w:color w:val="auto"/>
          <w:spacing w:val="8"/>
          <w:sz w:val="20"/>
          <w:szCs w:val="20"/>
          <w:highlight w:val="none"/>
        </w:rPr>
        <w:t>此报价计算价格分。</w:t>
      </w:r>
    </w:p>
    <w:p w14:paraId="3EDA9270">
      <w:pPr>
        <w:spacing w:before="262" w:line="226" w:lineRule="auto"/>
        <w:ind w:left="424"/>
        <w:outlineLvl w:val="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5.比较与评价</w:t>
      </w:r>
    </w:p>
    <w:p w14:paraId="7DCF019F">
      <w:pPr>
        <w:spacing w:line="226" w:lineRule="auto"/>
        <w:rPr>
          <w:rFonts w:ascii="宋体" w:hAnsi="宋体" w:eastAsia="宋体" w:cs="宋体"/>
          <w:color w:val="auto"/>
          <w:sz w:val="20"/>
          <w:szCs w:val="20"/>
          <w:highlight w:val="none"/>
        </w:rPr>
        <w:sectPr>
          <w:footerReference r:id="rId23" w:type="default"/>
          <w:pgSz w:w="11906" w:h="16839"/>
          <w:pgMar w:top="1428" w:right="1439" w:bottom="1362" w:left="1594" w:header="0" w:footer="1200" w:gutter="0"/>
          <w:pgNumType w:fmt="decimal"/>
          <w:cols w:space="720" w:num="1"/>
        </w:sectPr>
      </w:pPr>
    </w:p>
    <w:p w14:paraId="0BE6C89A">
      <w:pPr>
        <w:spacing w:before="41" w:line="227"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5.1</w:t>
      </w:r>
      <w:r>
        <w:rPr>
          <w:rFonts w:ascii="宋体" w:hAnsi="宋体" w:eastAsia="宋体" w:cs="宋体"/>
          <w:color w:val="auto"/>
          <w:spacing w:val="-35"/>
          <w:sz w:val="20"/>
          <w:szCs w:val="20"/>
          <w:highlight w:val="none"/>
        </w:rPr>
        <w:t xml:space="preserve"> </w:t>
      </w:r>
      <w:r>
        <w:rPr>
          <w:rFonts w:ascii="宋体" w:hAnsi="宋体" w:eastAsia="宋体" w:cs="宋体"/>
          <w:color w:val="auto"/>
          <w:spacing w:val="6"/>
          <w:sz w:val="20"/>
          <w:szCs w:val="20"/>
          <w:highlight w:val="none"/>
        </w:rPr>
        <w:t>采用综合评分法的</w:t>
      </w:r>
    </w:p>
    <w:p w14:paraId="1A79B781">
      <w:pPr>
        <w:spacing w:before="161" w:line="303" w:lineRule="auto"/>
        <w:ind w:firstLine="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（1）评标委员会按照招标文件中规定的评标方法及评标标准，对符合性审查合格的投标文件</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进行商务和技术评估，综合比较与评价。</w:t>
      </w:r>
    </w:p>
    <w:p w14:paraId="157A4716">
      <w:pPr>
        <w:spacing w:before="163" w:line="226"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（2）评标委员会独立对每个投标人的投标文件进行评价，并汇总每个投标人的得分。</w:t>
      </w:r>
    </w:p>
    <w:p w14:paraId="1496FF20">
      <w:pPr>
        <w:spacing w:before="164" w:line="377" w:lineRule="auto"/>
        <w:ind w:left="1" w:firstLine="419"/>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评标委员会认为投标人的报价明显低于其他通过符合性审查投标人的报价，有可能影响产品</w:t>
      </w:r>
      <w:r>
        <w:rPr>
          <w:rFonts w:ascii="宋体" w:hAnsi="宋体" w:eastAsia="宋体" w:cs="宋体"/>
          <w:color w:val="auto"/>
          <w:spacing w:val="9"/>
          <w:sz w:val="20"/>
          <w:szCs w:val="20"/>
          <w:highlight w:val="none"/>
        </w:rPr>
        <w:t xml:space="preserve"> </w:t>
      </w:r>
      <w:r>
        <w:rPr>
          <w:rFonts w:ascii="宋体" w:hAnsi="宋体" w:eastAsia="宋体" w:cs="宋体"/>
          <w:color w:val="auto"/>
          <w:spacing w:val="11"/>
          <w:sz w:val="20"/>
          <w:szCs w:val="20"/>
          <w:highlight w:val="none"/>
        </w:rPr>
        <w:t>质量或者不能诚信履约的，应当要求其在评标现场合理的时间内提供书面说明，必要时提交相关</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证明材料；投标人不能证明其报价合理性的，评标委员会将其作为无效投标处理。</w:t>
      </w:r>
    </w:p>
    <w:p w14:paraId="1AC7F3AB">
      <w:pPr>
        <w:spacing w:line="301" w:lineRule="auto"/>
        <w:ind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（3）评标委员会按照招标文件中规定的评标方法和标准计算各投标人的报价得分。在计算过</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rPr>
        <w:t>程中，不得去掉最高报价或者最低报价。</w:t>
      </w:r>
    </w:p>
    <w:p w14:paraId="1897C065">
      <w:pPr>
        <w:spacing w:before="162"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（4）各投标人的得分为所有评委的有效评分的算术平均数。</w:t>
      </w:r>
    </w:p>
    <w:p w14:paraId="0530EF07">
      <w:pPr>
        <w:spacing w:before="164"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（5）评标委员会按照招标文件中的规定推荐投标候选人。</w:t>
      </w:r>
    </w:p>
    <w:p w14:paraId="53C196B0">
      <w:pPr>
        <w:spacing w:before="162" w:line="339" w:lineRule="auto"/>
        <w:ind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（6）起草并签署评标报告。评标委员会根据评标委员会成员签字的原始评标记录和评标结果</w:t>
      </w:r>
      <w:r>
        <w:rPr>
          <w:rFonts w:ascii="宋体" w:hAnsi="宋体" w:eastAsia="宋体" w:cs="宋体"/>
          <w:color w:val="auto"/>
          <w:spacing w:val="10"/>
          <w:sz w:val="20"/>
          <w:szCs w:val="20"/>
          <w:highlight w:val="none"/>
        </w:rPr>
        <w:t xml:space="preserve"> </w:t>
      </w:r>
      <w:r>
        <w:rPr>
          <w:rFonts w:ascii="宋体" w:hAnsi="宋体" w:eastAsia="宋体" w:cs="宋体"/>
          <w:color w:val="auto"/>
          <w:spacing w:val="11"/>
          <w:sz w:val="20"/>
          <w:szCs w:val="20"/>
          <w:highlight w:val="none"/>
        </w:rPr>
        <w:t>编写评标报告。评标委员会成员均应当在评标报告上签字，对自己的评标意见承担法律责任。对</w:t>
      </w:r>
      <w:r>
        <w:rPr>
          <w:rFonts w:ascii="宋体" w:hAnsi="宋体" w:eastAsia="宋体" w:cs="宋体"/>
          <w:color w:val="auto"/>
          <w:spacing w:val="7"/>
          <w:sz w:val="20"/>
          <w:szCs w:val="20"/>
          <w:highlight w:val="none"/>
        </w:rPr>
        <w:t xml:space="preserve"> </w:t>
      </w:r>
      <w:r>
        <w:rPr>
          <w:rFonts w:ascii="宋体" w:hAnsi="宋体" w:eastAsia="宋体" w:cs="宋体"/>
          <w:color w:val="auto"/>
          <w:spacing w:val="11"/>
          <w:sz w:val="20"/>
          <w:szCs w:val="20"/>
          <w:highlight w:val="none"/>
        </w:rPr>
        <w:t>评标过程中需要共同认定的事项存在争议的，应当按照少数服从多数的原则做出结论。持不同意</w:t>
      </w:r>
      <w:r>
        <w:rPr>
          <w:rFonts w:ascii="宋体" w:hAnsi="宋体" w:eastAsia="宋体" w:cs="宋体"/>
          <w:color w:val="auto"/>
          <w:spacing w:val="7"/>
          <w:sz w:val="20"/>
          <w:szCs w:val="20"/>
          <w:highlight w:val="none"/>
        </w:rPr>
        <w:t xml:space="preserve"> </w:t>
      </w:r>
      <w:r>
        <w:rPr>
          <w:rFonts w:ascii="宋体" w:hAnsi="宋体" w:eastAsia="宋体" w:cs="宋体"/>
          <w:color w:val="auto"/>
          <w:spacing w:val="9"/>
          <w:sz w:val="20"/>
          <w:szCs w:val="20"/>
          <w:highlight w:val="none"/>
        </w:rPr>
        <w:t>见的评标委员会成员应当在评标报告上签署不同意见及理由，否则视为同意评标报告。</w:t>
      </w:r>
    </w:p>
    <w:p w14:paraId="55E2E850">
      <w:pPr>
        <w:spacing w:before="163" w:line="226" w:lineRule="auto"/>
        <w:ind w:left="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5.2</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采用最低评标报价法的</w:t>
      </w:r>
    </w:p>
    <w:p w14:paraId="364CCA0C">
      <w:pPr>
        <w:spacing w:before="166" w:line="301" w:lineRule="auto"/>
        <w:ind w:firstLine="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（1）评标委员会按照招标文件中规定的评标方法及评标标准，对符合性审查合格的投标文件</w:t>
      </w:r>
      <w:r>
        <w:rPr>
          <w:rFonts w:ascii="宋体" w:hAnsi="宋体" w:eastAsia="宋体" w:cs="宋体"/>
          <w:color w:val="auto"/>
          <w:spacing w:val="5"/>
          <w:sz w:val="20"/>
          <w:szCs w:val="20"/>
          <w:highlight w:val="none"/>
        </w:rPr>
        <w:t xml:space="preserve"> </w:t>
      </w:r>
      <w:r>
        <w:rPr>
          <w:rFonts w:ascii="宋体" w:hAnsi="宋体" w:eastAsia="宋体" w:cs="宋体"/>
          <w:color w:val="auto"/>
          <w:spacing w:val="7"/>
          <w:sz w:val="20"/>
          <w:szCs w:val="20"/>
          <w:highlight w:val="none"/>
        </w:rPr>
        <w:t>报价进行比较。</w:t>
      </w:r>
    </w:p>
    <w:p w14:paraId="3B6B357E">
      <w:pPr>
        <w:spacing w:before="164" w:line="327" w:lineRule="auto"/>
        <w:ind w:left="1" w:firstLine="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（2）评标委员会认为投标人的报价明显低于其他通过符合性审查投标人的报价，有可能影响</w:t>
      </w:r>
      <w:r>
        <w:rPr>
          <w:rFonts w:ascii="宋体" w:hAnsi="宋体" w:eastAsia="宋体" w:cs="宋体"/>
          <w:color w:val="auto"/>
          <w:spacing w:val="5"/>
          <w:sz w:val="20"/>
          <w:szCs w:val="20"/>
          <w:highlight w:val="none"/>
        </w:rPr>
        <w:t xml:space="preserve"> </w:t>
      </w:r>
      <w:r>
        <w:rPr>
          <w:rFonts w:ascii="宋体" w:hAnsi="宋体" w:eastAsia="宋体" w:cs="宋体"/>
          <w:color w:val="auto"/>
          <w:spacing w:val="10"/>
          <w:sz w:val="20"/>
          <w:szCs w:val="20"/>
          <w:highlight w:val="none"/>
        </w:rPr>
        <w:t>产品质量或者不能诚信履约的，应当要求其在评标现场合理的时间内</w:t>
      </w:r>
      <w:r>
        <w:rPr>
          <w:rFonts w:ascii="宋体" w:hAnsi="宋体" w:eastAsia="宋体" w:cs="宋体"/>
          <w:color w:val="auto"/>
          <w:spacing w:val="9"/>
          <w:sz w:val="20"/>
          <w:szCs w:val="20"/>
          <w:highlight w:val="none"/>
        </w:rPr>
        <w:t>提供书面说明，必要时提交</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相关证明材料；投标人不能证明其报价合理性的，评标委员会将其作为无效投标处理。</w:t>
      </w:r>
    </w:p>
    <w:p w14:paraId="39AFE921">
      <w:pPr>
        <w:spacing w:before="163" w:line="227"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（3）评标委员会按照招标文件中的规定推荐投标候选人。</w:t>
      </w:r>
    </w:p>
    <w:p w14:paraId="2615EE57">
      <w:pPr>
        <w:spacing w:before="162" w:line="327" w:lineRule="auto"/>
        <w:ind w:left="29" w:firstLine="40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（4）起草并签署评标报告。评标委员会根据评标委员会成员签字的原始评标记录和评标结果</w:t>
      </w:r>
      <w:r>
        <w:rPr>
          <w:rFonts w:ascii="宋体" w:hAnsi="宋体" w:eastAsia="宋体" w:cs="宋体"/>
          <w:color w:val="auto"/>
          <w:spacing w:val="5"/>
          <w:sz w:val="20"/>
          <w:szCs w:val="20"/>
          <w:highlight w:val="none"/>
        </w:rPr>
        <w:t xml:space="preserve"> </w:t>
      </w:r>
      <w:r>
        <w:rPr>
          <w:rFonts w:ascii="宋体" w:hAnsi="宋体" w:eastAsia="宋体" w:cs="宋体"/>
          <w:color w:val="auto"/>
          <w:spacing w:val="10"/>
          <w:sz w:val="20"/>
          <w:szCs w:val="20"/>
          <w:highlight w:val="none"/>
        </w:rPr>
        <w:t>编写评标报告。评标委员会成员均应当在评标报告上签字，对自己的评</w:t>
      </w:r>
      <w:r>
        <w:rPr>
          <w:rFonts w:ascii="宋体" w:hAnsi="宋体" w:eastAsia="宋体" w:cs="宋体"/>
          <w:color w:val="auto"/>
          <w:spacing w:val="9"/>
          <w:sz w:val="20"/>
          <w:szCs w:val="20"/>
          <w:highlight w:val="none"/>
        </w:rPr>
        <w:t>标意见承担法律责任。对</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评标过程中需要共同认定的事项存在争议的，应当按照少数服从多数的</w:t>
      </w:r>
      <w:r>
        <w:rPr>
          <w:rFonts w:ascii="宋体" w:hAnsi="宋体" w:eastAsia="宋体" w:cs="宋体"/>
          <w:color w:val="auto"/>
          <w:spacing w:val="9"/>
          <w:sz w:val="20"/>
          <w:szCs w:val="20"/>
          <w:highlight w:val="none"/>
        </w:rPr>
        <w:t>原则做出结论。持不同意</w:t>
      </w:r>
    </w:p>
    <w:p w14:paraId="023E9A18">
      <w:pPr>
        <w:spacing w:before="161" w:line="226" w:lineRule="auto"/>
        <w:ind w:left="45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见的评标委员会成员应当在评标报告上签署不同意见及理由，否则视为同意评标报告。</w:t>
      </w:r>
    </w:p>
    <w:p w14:paraId="526C914D">
      <w:pPr>
        <w:spacing w:line="226" w:lineRule="auto"/>
        <w:rPr>
          <w:rFonts w:ascii="宋体" w:hAnsi="宋体" w:eastAsia="宋体" w:cs="宋体"/>
          <w:color w:val="auto"/>
          <w:sz w:val="20"/>
          <w:szCs w:val="20"/>
          <w:highlight w:val="none"/>
        </w:rPr>
        <w:sectPr>
          <w:footerReference r:id="rId24" w:type="default"/>
          <w:pgSz w:w="11906" w:h="16839"/>
          <w:pgMar w:top="1428" w:right="1441" w:bottom="1362" w:left="1592" w:header="0" w:footer="1200" w:gutter="0"/>
          <w:pgNumType w:fmt="decimal"/>
          <w:cols w:space="720" w:num="1"/>
        </w:sectPr>
      </w:pPr>
    </w:p>
    <w:p w14:paraId="42DBEB3C">
      <w:pPr>
        <w:spacing w:before="64" w:line="225" w:lineRule="auto"/>
        <w:ind w:left="4279"/>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三、评标标准</w:t>
      </w:r>
    </w:p>
    <w:p w14:paraId="2ABC1D1D">
      <w:pPr>
        <w:spacing w:before="181"/>
        <w:ind w:firstLine="400" w:firstLineChars="200"/>
        <w:rPr>
          <w:color w:val="auto"/>
          <w:sz w:val="20"/>
          <w:szCs w:val="20"/>
          <w:highlight w:val="none"/>
        </w:rPr>
      </w:pPr>
      <w:r>
        <w:rPr>
          <w:rFonts w:hint="eastAsia" w:ascii="宋体" w:hAnsi="宋体" w:eastAsia="宋体" w:cs="宋体"/>
          <w:bCs/>
          <w:color w:val="auto"/>
          <w:sz w:val="20"/>
          <w:szCs w:val="20"/>
          <w:highlight w:val="none"/>
        </w:rPr>
        <w:t>评审依据：磋商小组将以磋商响应文件为评审依据，对供应商的报价、技术、商务等方面内容按百分制打分。（计分方法按四舍五入取至百分位）</w:t>
      </w:r>
    </w:p>
    <w:tbl>
      <w:tblPr>
        <w:tblStyle w:val="9"/>
        <w:tblW w:w="9622" w:type="dxa"/>
        <w:tblInd w:w="-4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187"/>
        <w:gridCol w:w="6803"/>
        <w:gridCol w:w="752"/>
      </w:tblGrid>
      <w:tr w14:paraId="64A05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0" w:type="dxa"/>
            <w:vAlign w:val="top"/>
          </w:tcPr>
          <w:p w14:paraId="1EB412FE">
            <w:pPr>
              <w:pStyle w:val="10"/>
              <w:spacing w:before="178" w:line="229" w:lineRule="auto"/>
              <w:ind w:left="141"/>
              <w:rPr>
                <w:color w:val="auto"/>
                <w:highlight w:val="none"/>
              </w:rPr>
            </w:pPr>
            <w:r>
              <w:rPr>
                <w:b/>
                <w:bCs/>
                <w:color w:val="auto"/>
                <w:spacing w:val="4"/>
                <w:highlight w:val="none"/>
              </w:rPr>
              <w:t>序号</w:t>
            </w:r>
          </w:p>
        </w:tc>
        <w:tc>
          <w:tcPr>
            <w:tcW w:w="1187" w:type="dxa"/>
            <w:vAlign w:val="top"/>
          </w:tcPr>
          <w:p w14:paraId="0F351080">
            <w:pPr>
              <w:pStyle w:val="10"/>
              <w:spacing w:before="178" w:line="228" w:lineRule="auto"/>
              <w:ind w:left="162"/>
              <w:rPr>
                <w:color w:val="auto"/>
                <w:highlight w:val="none"/>
              </w:rPr>
            </w:pPr>
            <w:r>
              <w:rPr>
                <w:b/>
                <w:bCs/>
                <w:color w:val="auto"/>
                <w:spacing w:val="6"/>
                <w:highlight w:val="none"/>
              </w:rPr>
              <w:t>评审因素</w:t>
            </w:r>
          </w:p>
        </w:tc>
        <w:tc>
          <w:tcPr>
            <w:tcW w:w="6803" w:type="dxa"/>
            <w:vAlign w:val="top"/>
          </w:tcPr>
          <w:p w14:paraId="6C143AF9">
            <w:pPr>
              <w:pStyle w:val="10"/>
              <w:spacing w:before="178" w:line="228" w:lineRule="auto"/>
              <w:ind w:left="2525"/>
              <w:rPr>
                <w:color w:val="auto"/>
                <w:highlight w:val="none"/>
              </w:rPr>
            </w:pPr>
            <w:r>
              <w:rPr>
                <w:b/>
                <w:bCs/>
                <w:color w:val="auto"/>
                <w:spacing w:val="7"/>
                <w:highlight w:val="none"/>
              </w:rPr>
              <w:t>评审因素具体内容</w:t>
            </w:r>
          </w:p>
        </w:tc>
        <w:tc>
          <w:tcPr>
            <w:tcW w:w="752" w:type="dxa"/>
            <w:vAlign w:val="top"/>
          </w:tcPr>
          <w:p w14:paraId="02462876">
            <w:pPr>
              <w:pStyle w:val="10"/>
              <w:spacing w:before="178" w:line="228" w:lineRule="auto"/>
              <w:ind w:left="218"/>
              <w:rPr>
                <w:color w:val="auto"/>
                <w:highlight w:val="none"/>
              </w:rPr>
            </w:pPr>
            <w:r>
              <w:rPr>
                <w:b/>
                <w:bCs/>
                <w:color w:val="auto"/>
                <w:spacing w:val="2"/>
                <w:highlight w:val="none"/>
              </w:rPr>
              <w:t>分值</w:t>
            </w:r>
          </w:p>
        </w:tc>
      </w:tr>
      <w:tr w14:paraId="193F9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3" w:hRule="atLeast"/>
        </w:trPr>
        <w:tc>
          <w:tcPr>
            <w:tcW w:w="880" w:type="dxa"/>
            <w:vAlign w:val="top"/>
          </w:tcPr>
          <w:p w14:paraId="41B06104">
            <w:pPr>
              <w:spacing w:line="249" w:lineRule="auto"/>
              <w:rPr>
                <w:rFonts w:ascii="Arial"/>
                <w:color w:val="auto"/>
                <w:sz w:val="21"/>
                <w:highlight w:val="none"/>
              </w:rPr>
            </w:pPr>
          </w:p>
          <w:p w14:paraId="2F57C1E2">
            <w:pPr>
              <w:spacing w:line="250" w:lineRule="auto"/>
              <w:rPr>
                <w:rFonts w:ascii="Arial"/>
                <w:color w:val="auto"/>
                <w:sz w:val="21"/>
                <w:highlight w:val="none"/>
              </w:rPr>
            </w:pPr>
          </w:p>
          <w:p w14:paraId="50DC7848">
            <w:pPr>
              <w:spacing w:line="250" w:lineRule="auto"/>
              <w:rPr>
                <w:rFonts w:ascii="Arial"/>
                <w:color w:val="auto"/>
                <w:sz w:val="21"/>
                <w:highlight w:val="none"/>
              </w:rPr>
            </w:pPr>
          </w:p>
          <w:p w14:paraId="23FD8422">
            <w:pPr>
              <w:spacing w:line="250" w:lineRule="auto"/>
              <w:rPr>
                <w:rFonts w:ascii="Arial"/>
                <w:color w:val="auto"/>
                <w:sz w:val="21"/>
                <w:highlight w:val="none"/>
              </w:rPr>
            </w:pPr>
          </w:p>
          <w:p w14:paraId="21B5D76D">
            <w:pPr>
              <w:spacing w:line="250" w:lineRule="auto"/>
              <w:rPr>
                <w:rFonts w:ascii="Arial"/>
                <w:color w:val="auto"/>
                <w:sz w:val="21"/>
                <w:highlight w:val="none"/>
              </w:rPr>
            </w:pPr>
          </w:p>
          <w:p w14:paraId="5903B383">
            <w:pPr>
              <w:spacing w:line="250" w:lineRule="auto"/>
              <w:rPr>
                <w:rFonts w:ascii="Arial"/>
                <w:color w:val="auto"/>
                <w:sz w:val="21"/>
                <w:highlight w:val="none"/>
              </w:rPr>
            </w:pPr>
          </w:p>
          <w:p w14:paraId="4038BACA">
            <w:pPr>
              <w:pStyle w:val="10"/>
              <w:spacing w:before="65" w:line="189" w:lineRule="auto"/>
              <w:jc w:val="center"/>
              <w:rPr>
                <w:color w:val="auto"/>
                <w:highlight w:val="none"/>
              </w:rPr>
            </w:pPr>
            <w:r>
              <w:rPr>
                <w:b/>
                <w:bCs/>
                <w:color w:val="auto"/>
                <w:highlight w:val="none"/>
              </w:rPr>
              <w:t>1</w:t>
            </w:r>
          </w:p>
        </w:tc>
        <w:tc>
          <w:tcPr>
            <w:tcW w:w="1187" w:type="dxa"/>
            <w:vAlign w:val="top"/>
          </w:tcPr>
          <w:p w14:paraId="50691197">
            <w:pPr>
              <w:spacing w:line="248" w:lineRule="auto"/>
              <w:rPr>
                <w:rFonts w:ascii="Arial"/>
                <w:color w:val="auto"/>
                <w:sz w:val="21"/>
                <w:highlight w:val="none"/>
              </w:rPr>
            </w:pPr>
          </w:p>
          <w:p w14:paraId="15C1CCA9">
            <w:pPr>
              <w:spacing w:line="248" w:lineRule="auto"/>
              <w:rPr>
                <w:rFonts w:ascii="Arial"/>
                <w:color w:val="auto"/>
                <w:sz w:val="21"/>
                <w:highlight w:val="none"/>
              </w:rPr>
            </w:pPr>
          </w:p>
          <w:p w14:paraId="0F5CB747">
            <w:pPr>
              <w:spacing w:line="248" w:lineRule="auto"/>
              <w:rPr>
                <w:rFonts w:ascii="Arial"/>
                <w:color w:val="auto"/>
                <w:sz w:val="21"/>
                <w:highlight w:val="none"/>
              </w:rPr>
            </w:pPr>
          </w:p>
          <w:p w14:paraId="7CCBE283">
            <w:pPr>
              <w:spacing w:line="248" w:lineRule="auto"/>
              <w:rPr>
                <w:rFonts w:ascii="Arial"/>
                <w:color w:val="auto"/>
                <w:sz w:val="21"/>
                <w:highlight w:val="none"/>
              </w:rPr>
            </w:pPr>
          </w:p>
          <w:p w14:paraId="0E81530D">
            <w:pPr>
              <w:spacing w:line="248" w:lineRule="auto"/>
              <w:rPr>
                <w:rFonts w:ascii="Arial"/>
                <w:color w:val="auto"/>
                <w:sz w:val="21"/>
                <w:highlight w:val="none"/>
              </w:rPr>
            </w:pPr>
          </w:p>
          <w:p w14:paraId="665EC7D5">
            <w:pPr>
              <w:spacing w:line="248" w:lineRule="auto"/>
              <w:rPr>
                <w:rFonts w:ascii="Arial"/>
                <w:color w:val="auto"/>
                <w:sz w:val="21"/>
                <w:highlight w:val="none"/>
              </w:rPr>
            </w:pPr>
          </w:p>
          <w:p w14:paraId="6E7D7BBD">
            <w:pPr>
              <w:pStyle w:val="10"/>
              <w:spacing w:before="65" w:line="226" w:lineRule="auto"/>
              <w:jc w:val="center"/>
              <w:rPr>
                <w:color w:val="auto"/>
                <w:highlight w:val="none"/>
              </w:rPr>
            </w:pPr>
            <w:r>
              <w:rPr>
                <w:b/>
                <w:bCs/>
                <w:color w:val="auto"/>
                <w:spacing w:val="6"/>
                <w:highlight w:val="none"/>
              </w:rPr>
              <w:t>价格分</w:t>
            </w:r>
          </w:p>
        </w:tc>
        <w:tc>
          <w:tcPr>
            <w:tcW w:w="6803" w:type="dxa"/>
            <w:vAlign w:val="top"/>
          </w:tcPr>
          <w:p w14:paraId="07ADFECC">
            <w:pPr>
              <w:pStyle w:val="10"/>
              <w:spacing w:line="226" w:lineRule="auto"/>
              <w:ind w:firstLine="432" w:firstLineChars="200"/>
              <w:rPr>
                <w:rFonts w:hint="eastAsia" w:ascii="宋体" w:hAnsi="宋体" w:eastAsia="宋体" w:cs="宋体"/>
                <w:snapToGrid w:val="0"/>
                <w:color w:val="auto"/>
                <w:spacing w:val="8"/>
                <w:kern w:val="0"/>
                <w:sz w:val="20"/>
                <w:szCs w:val="20"/>
                <w:highlight w:val="none"/>
                <w:lang w:val="en-US" w:eastAsia="en-US" w:bidi="ar-SA"/>
              </w:rPr>
            </w:pPr>
          </w:p>
          <w:p w14:paraId="0DAEF1A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38" w:rightChars="18" w:firstLine="432" w:firstLineChars="200"/>
              <w:textAlignment w:val="baseline"/>
              <w:rPr>
                <w:rFonts w:hint="eastAsia" w:ascii="宋体" w:hAnsi="宋体" w:eastAsia="宋体" w:cs="宋体"/>
                <w:snapToGrid w:val="0"/>
                <w:color w:val="auto"/>
                <w:spacing w:val="8"/>
                <w:kern w:val="0"/>
                <w:sz w:val="20"/>
                <w:szCs w:val="20"/>
                <w:highlight w:val="none"/>
                <w:lang w:val="en-US" w:eastAsia="zh-CN" w:bidi="ar-SA"/>
              </w:rPr>
            </w:pPr>
            <w:r>
              <w:rPr>
                <w:rFonts w:hint="eastAsia" w:ascii="宋体" w:hAnsi="宋体" w:eastAsia="宋体" w:cs="宋体"/>
                <w:snapToGrid w:val="0"/>
                <w:color w:val="auto"/>
                <w:spacing w:val="8"/>
                <w:kern w:val="0"/>
                <w:sz w:val="20"/>
                <w:szCs w:val="20"/>
                <w:highlight w:val="none"/>
                <w:lang w:val="en-US" w:eastAsia="en-US" w:bidi="ar-SA"/>
              </w:rPr>
              <w:t>项目工程的勘察设计费控制价暂定为9</w:t>
            </w:r>
            <w:r>
              <w:rPr>
                <w:rFonts w:hint="eastAsia" w:cs="宋体"/>
                <w:snapToGrid w:val="0"/>
                <w:color w:val="auto"/>
                <w:spacing w:val="8"/>
                <w:kern w:val="0"/>
                <w:sz w:val="20"/>
                <w:szCs w:val="20"/>
                <w:highlight w:val="none"/>
                <w:lang w:val="en-US" w:eastAsia="zh-CN" w:bidi="ar-SA"/>
              </w:rPr>
              <w:t>1</w:t>
            </w:r>
            <w:r>
              <w:rPr>
                <w:rFonts w:hint="eastAsia" w:ascii="宋体" w:hAnsi="宋体" w:eastAsia="宋体" w:cs="宋体"/>
                <w:snapToGrid w:val="0"/>
                <w:color w:val="auto"/>
                <w:spacing w:val="8"/>
                <w:kern w:val="0"/>
                <w:sz w:val="20"/>
                <w:szCs w:val="20"/>
                <w:highlight w:val="none"/>
                <w:lang w:val="en-US" w:eastAsia="en-US" w:bidi="ar-SA"/>
              </w:rPr>
              <w:t>6600.00元，本项目采用费率报价。</w:t>
            </w:r>
            <w:r>
              <w:rPr>
                <w:rFonts w:hint="eastAsia" w:cs="宋体"/>
                <w:snapToGrid w:val="0"/>
                <w:color w:val="auto"/>
                <w:spacing w:val="8"/>
                <w:kern w:val="0"/>
                <w:sz w:val="20"/>
                <w:szCs w:val="20"/>
                <w:highlight w:val="none"/>
                <w:lang w:val="en-US" w:eastAsia="zh-CN" w:bidi="ar-SA"/>
              </w:rPr>
              <w:t>本项目为专门面向中小企业采购，因此不进行</w:t>
            </w:r>
            <w:r>
              <w:rPr>
                <w:color w:val="auto"/>
                <w:spacing w:val="8"/>
                <w:highlight w:val="none"/>
              </w:rPr>
              <w:t>政府采购政策性扣除</w:t>
            </w:r>
            <w:r>
              <w:rPr>
                <w:rFonts w:hint="eastAsia"/>
                <w:color w:val="auto"/>
                <w:spacing w:val="8"/>
                <w:highlight w:val="none"/>
                <w:lang w:eastAsia="zh-CN"/>
              </w:rPr>
              <w:t>。</w:t>
            </w:r>
          </w:p>
          <w:p w14:paraId="33B6C6A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38" w:rightChars="18" w:firstLine="432" w:firstLineChars="200"/>
              <w:textAlignment w:val="baseline"/>
              <w:rPr>
                <w:rFonts w:hint="eastAsia" w:ascii="宋体" w:hAnsi="宋体" w:eastAsia="宋体" w:cs="宋体"/>
                <w:snapToGrid w:val="0"/>
                <w:color w:val="auto"/>
                <w:spacing w:val="8"/>
                <w:kern w:val="0"/>
                <w:sz w:val="20"/>
                <w:szCs w:val="20"/>
                <w:highlight w:val="none"/>
                <w:lang w:val="en-US" w:eastAsia="en-US" w:bidi="ar-SA"/>
              </w:rPr>
            </w:pPr>
          </w:p>
          <w:p w14:paraId="482E7D3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38" w:rightChars="18" w:firstLine="432" w:firstLineChars="200"/>
              <w:textAlignment w:val="baseline"/>
              <w:rPr>
                <w:rFonts w:hint="eastAsia" w:ascii="宋体" w:hAnsi="宋体" w:eastAsia="宋体" w:cs="宋体"/>
                <w:snapToGrid w:val="0"/>
                <w:color w:val="auto"/>
                <w:spacing w:val="8"/>
                <w:kern w:val="0"/>
                <w:sz w:val="20"/>
                <w:szCs w:val="20"/>
                <w:highlight w:val="none"/>
                <w:lang w:val="en-US" w:eastAsia="zh-CN" w:bidi="ar-SA"/>
              </w:rPr>
            </w:pPr>
            <w:r>
              <w:rPr>
                <w:rFonts w:hint="eastAsia" w:ascii="宋体" w:hAnsi="宋体" w:eastAsia="宋体" w:cs="宋体"/>
                <w:snapToGrid w:val="0"/>
                <w:color w:val="auto"/>
                <w:spacing w:val="8"/>
                <w:kern w:val="0"/>
                <w:sz w:val="20"/>
                <w:szCs w:val="20"/>
                <w:highlight w:val="none"/>
                <w:lang w:val="en-US" w:eastAsia="en-US" w:bidi="ar-SA"/>
              </w:rPr>
              <w:t>费率报价有效报价范围：0%≤投标报价（投标费率） ≤</w:t>
            </w:r>
            <w:r>
              <w:rPr>
                <w:rFonts w:hint="eastAsia" w:cs="宋体"/>
                <w:snapToGrid w:val="0"/>
                <w:color w:val="auto"/>
                <w:spacing w:val="8"/>
                <w:kern w:val="0"/>
                <w:sz w:val="20"/>
                <w:szCs w:val="20"/>
                <w:highlight w:val="none"/>
                <w:lang w:val="en-US" w:eastAsia="zh-CN" w:bidi="ar-SA"/>
              </w:rPr>
              <w:t>2.88</w:t>
            </w:r>
            <w:r>
              <w:rPr>
                <w:rFonts w:hint="eastAsia" w:ascii="宋体" w:hAnsi="宋体" w:eastAsia="宋体" w:cs="宋体"/>
                <w:snapToGrid w:val="0"/>
                <w:color w:val="auto"/>
                <w:spacing w:val="8"/>
                <w:kern w:val="0"/>
                <w:sz w:val="20"/>
                <w:szCs w:val="20"/>
                <w:highlight w:val="none"/>
                <w:lang w:val="en-US" w:eastAsia="en-US" w:bidi="ar-SA"/>
              </w:rPr>
              <w:t>%。实际支付的勘察设计费用=上级部门批复的初步设计概算中建安费×中标费率（若勘察设计人在勘察设计范围内中投资超过本项目估算总投资的，发包人不给予增加设计费）供应商报价超出采购上限控制费率的，响应文件按无效处理</w:t>
            </w:r>
            <w:r>
              <w:rPr>
                <w:rFonts w:hint="eastAsia" w:ascii="宋体" w:hAnsi="宋体" w:eastAsia="宋体" w:cs="宋体"/>
                <w:snapToGrid w:val="0"/>
                <w:color w:val="auto"/>
                <w:spacing w:val="8"/>
                <w:kern w:val="0"/>
                <w:sz w:val="20"/>
                <w:szCs w:val="20"/>
                <w:highlight w:val="none"/>
                <w:lang w:val="en-US" w:eastAsia="zh-CN" w:bidi="ar-SA"/>
              </w:rPr>
              <w:t>。</w:t>
            </w:r>
          </w:p>
          <w:p w14:paraId="38498F3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38" w:rightChars="18" w:firstLine="432" w:firstLineChars="200"/>
              <w:textAlignment w:val="baseline"/>
              <w:rPr>
                <w:rFonts w:hint="eastAsia" w:ascii="宋体" w:hAnsi="宋体" w:eastAsia="宋体" w:cs="宋体"/>
                <w:snapToGrid w:val="0"/>
                <w:color w:val="auto"/>
                <w:spacing w:val="8"/>
                <w:kern w:val="0"/>
                <w:sz w:val="20"/>
                <w:szCs w:val="20"/>
                <w:highlight w:val="none"/>
                <w:lang w:val="en-US" w:eastAsia="zh-CN" w:bidi="ar-SA"/>
              </w:rPr>
            </w:pPr>
          </w:p>
          <w:p w14:paraId="7DE6011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38" w:rightChars="18" w:firstLine="432" w:firstLineChars="200"/>
              <w:textAlignment w:val="baseline"/>
              <w:rPr>
                <w:rFonts w:hint="default" w:ascii="宋体" w:hAnsi="宋体" w:eastAsia="宋体" w:cs="宋体"/>
                <w:snapToGrid w:val="0"/>
                <w:color w:val="auto"/>
                <w:spacing w:val="8"/>
                <w:kern w:val="0"/>
                <w:sz w:val="20"/>
                <w:szCs w:val="20"/>
                <w:highlight w:val="none"/>
                <w:lang w:val="en-US" w:eastAsia="zh-CN" w:bidi="ar-SA"/>
              </w:rPr>
            </w:pPr>
            <w:r>
              <w:rPr>
                <w:rFonts w:hint="eastAsia" w:ascii="宋体" w:hAnsi="宋体" w:eastAsia="宋体" w:cs="宋体"/>
                <w:snapToGrid w:val="0"/>
                <w:color w:val="auto"/>
                <w:spacing w:val="8"/>
                <w:kern w:val="0"/>
                <w:sz w:val="20"/>
                <w:szCs w:val="20"/>
                <w:highlight w:val="none"/>
                <w:lang w:val="en-US" w:eastAsia="zh-CN" w:bidi="ar-SA"/>
              </w:rPr>
              <w:t>本项目价格评议采取低价优先法计算，即满足磋商文件要求且报价最低的投标报价为评标基准价，其价格分为满分。供应商的价格分统一按照下列公式计算：竞标报价得分＝（评标基准价/最后竞标报价）×价格分值10分。</w:t>
            </w:r>
          </w:p>
        </w:tc>
        <w:tc>
          <w:tcPr>
            <w:tcW w:w="752" w:type="dxa"/>
            <w:vAlign w:val="top"/>
          </w:tcPr>
          <w:p w14:paraId="127542FB">
            <w:pPr>
              <w:spacing w:line="248" w:lineRule="auto"/>
              <w:rPr>
                <w:rFonts w:ascii="Arial"/>
                <w:color w:val="auto"/>
                <w:sz w:val="21"/>
                <w:highlight w:val="none"/>
              </w:rPr>
            </w:pPr>
          </w:p>
          <w:p w14:paraId="07B3F4AB">
            <w:pPr>
              <w:spacing w:line="248" w:lineRule="auto"/>
              <w:rPr>
                <w:rFonts w:ascii="Arial"/>
                <w:color w:val="auto"/>
                <w:sz w:val="21"/>
                <w:highlight w:val="none"/>
              </w:rPr>
            </w:pPr>
          </w:p>
          <w:p w14:paraId="5DF26DB2">
            <w:pPr>
              <w:spacing w:line="248" w:lineRule="auto"/>
              <w:rPr>
                <w:rFonts w:ascii="Arial"/>
                <w:color w:val="auto"/>
                <w:sz w:val="21"/>
                <w:highlight w:val="none"/>
              </w:rPr>
            </w:pPr>
          </w:p>
          <w:p w14:paraId="5E5E6BB9">
            <w:pPr>
              <w:spacing w:line="248" w:lineRule="auto"/>
              <w:rPr>
                <w:rFonts w:ascii="Arial"/>
                <w:color w:val="auto"/>
                <w:sz w:val="21"/>
                <w:highlight w:val="none"/>
              </w:rPr>
            </w:pPr>
          </w:p>
          <w:p w14:paraId="5430EDB0">
            <w:pPr>
              <w:spacing w:line="248" w:lineRule="auto"/>
              <w:rPr>
                <w:rFonts w:ascii="Arial"/>
                <w:color w:val="auto"/>
                <w:sz w:val="21"/>
                <w:highlight w:val="none"/>
              </w:rPr>
            </w:pPr>
          </w:p>
          <w:p w14:paraId="1586AD3C">
            <w:pPr>
              <w:spacing w:line="248" w:lineRule="auto"/>
              <w:rPr>
                <w:rFonts w:ascii="Arial"/>
                <w:color w:val="auto"/>
                <w:sz w:val="21"/>
                <w:highlight w:val="none"/>
              </w:rPr>
            </w:pPr>
          </w:p>
          <w:p w14:paraId="1B1D4CC3">
            <w:pPr>
              <w:pStyle w:val="10"/>
              <w:spacing w:before="65" w:line="228" w:lineRule="auto"/>
              <w:jc w:val="center"/>
              <w:rPr>
                <w:color w:val="auto"/>
                <w:highlight w:val="none"/>
              </w:rPr>
            </w:pPr>
            <w:r>
              <w:rPr>
                <w:b/>
                <w:bCs/>
                <w:color w:val="auto"/>
                <w:spacing w:val="-5"/>
                <w:highlight w:val="none"/>
              </w:rPr>
              <w:t>1</w:t>
            </w:r>
            <w:r>
              <w:rPr>
                <w:rFonts w:hint="eastAsia"/>
                <w:b/>
                <w:bCs/>
                <w:color w:val="auto"/>
                <w:spacing w:val="-5"/>
                <w:highlight w:val="none"/>
                <w:lang w:val="en-US" w:eastAsia="zh-CN"/>
              </w:rPr>
              <w:t>0</w:t>
            </w:r>
            <w:r>
              <w:rPr>
                <w:b/>
                <w:bCs/>
                <w:color w:val="auto"/>
                <w:spacing w:val="-38"/>
                <w:highlight w:val="none"/>
              </w:rPr>
              <w:t xml:space="preserve"> </w:t>
            </w:r>
            <w:r>
              <w:rPr>
                <w:b/>
                <w:bCs/>
                <w:color w:val="auto"/>
                <w:spacing w:val="-5"/>
                <w:highlight w:val="none"/>
              </w:rPr>
              <w:t>分</w:t>
            </w:r>
          </w:p>
        </w:tc>
      </w:tr>
      <w:tr w14:paraId="42B72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80" w:type="dxa"/>
            <w:vAlign w:val="top"/>
          </w:tcPr>
          <w:p w14:paraId="2216D64B">
            <w:pPr>
              <w:pStyle w:val="10"/>
              <w:spacing w:before="205" w:line="189" w:lineRule="auto"/>
              <w:ind w:left="303"/>
              <w:rPr>
                <w:color w:val="auto"/>
                <w:highlight w:val="none"/>
              </w:rPr>
            </w:pPr>
            <w:r>
              <w:rPr>
                <w:b/>
                <w:bCs/>
                <w:color w:val="auto"/>
                <w:spacing w:val="-3"/>
                <w:highlight w:val="none"/>
              </w:rPr>
              <w:t>2</w:t>
            </w:r>
          </w:p>
        </w:tc>
        <w:tc>
          <w:tcPr>
            <w:tcW w:w="1187" w:type="dxa"/>
            <w:vAlign w:val="top"/>
          </w:tcPr>
          <w:p w14:paraId="1C1DAD9A">
            <w:pPr>
              <w:pStyle w:val="10"/>
              <w:spacing w:before="172" w:line="228" w:lineRule="auto"/>
              <w:ind w:left="269"/>
              <w:rPr>
                <w:color w:val="auto"/>
                <w:highlight w:val="none"/>
              </w:rPr>
            </w:pPr>
            <w:r>
              <w:rPr>
                <w:b/>
                <w:bCs/>
                <w:color w:val="auto"/>
                <w:spacing w:val="5"/>
                <w:highlight w:val="none"/>
              </w:rPr>
              <w:t>技术分</w:t>
            </w:r>
          </w:p>
        </w:tc>
        <w:tc>
          <w:tcPr>
            <w:tcW w:w="6803" w:type="dxa"/>
            <w:vAlign w:val="top"/>
          </w:tcPr>
          <w:p w14:paraId="263C7707">
            <w:pPr>
              <w:pStyle w:val="10"/>
              <w:spacing w:before="172" w:line="228" w:lineRule="auto"/>
              <w:ind w:left="3157"/>
              <w:rPr>
                <w:color w:val="auto"/>
                <w:highlight w:val="none"/>
              </w:rPr>
            </w:pPr>
            <w:r>
              <w:rPr>
                <w:b/>
                <w:bCs/>
                <w:color w:val="auto"/>
                <w:spacing w:val="6"/>
                <w:highlight w:val="none"/>
              </w:rPr>
              <w:t>评审因素</w:t>
            </w:r>
          </w:p>
        </w:tc>
        <w:tc>
          <w:tcPr>
            <w:tcW w:w="752" w:type="dxa"/>
            <w:vAlign w:val="top"/>
          </w:tcPr>
          <w:p w14:paraId="07D31909">
            <w:pPr>
              <w:pStyle w:val="10"/>
              <w:spacing w:before="141" w:line="228" w:lineRule="auto"/>
              <w:ind w:left="188"/>
              <w:rPr>
                <w:color w:val="auto"/>
                <w:highlight w:val="none"/>
              </w:rPr>
            </w:pPr>
            <w:r>
              <w:rPr>
                <w:rFonts w:hint="eastAsia"/>
                <w:b/>
                <w:bCs/>
                <w:color w:val="auto"/>
                <w:spacing w:val="-1"/>
                <w:highlight w:val="none"/>
                <w:lang w:val="en-US" w:eastAsia="zh-CN"/>
              </w:rPr>
              <w:t>56</w:t>
            </w:r>
            <w:r>
              <w:rPr>
                <w:color w:val="auto"/>
                <w:spacing w:val="-37"/>
                <w:highlight w:val="none"/>
              </w:rPr>
              <w:t xml:space="preserve"> </w:t>
            </w:r>
            <w:r>
              <w:rPr>
                <w:b/>
                <w:bCs/>
                <w:color w:val="auto"/>
                <w:spacing w:val="-1"/>
                <w:highlight w:val="none"/>
              </w:rPr>
              <w:t>分</w:t>
            </w:r>
          </w:p>
        </w:tc>
      </w:tr>
      <w:tr w14:paraId="18448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7" w:hRule="atLeast"/>
        </w:trPr>
        <w:tc>
          <w:tcPr>
            <w:tcW w:w="880" w:type="dxa"/>
            <w:vAlign w:val="top"/>
          </w:tcPr>
          <w:p w14:paraId="556C14DA">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0BA6E04">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E7CF04F">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5EADB6D">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1865EA22">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14E425D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1420E519">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jc w:val="center"/>
              <w:textAlignment w:val="baseline"/>
              <w:rPr>
                <w:color w:val="auto"/>
                <w:spacing w:val="1"/>
                <w:highlight w:val="none"/>
              </w:rPr>
            </w:pPr>
          </w:p>
          <w:p w14:paraId="1553B2D2">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jc w:val="center"/>
              <w:textAlignment w:val="baseline"/>
              <w:rPr>
                <w:color w:val="auto"/>
                <w:highlight w:val="none"/>
              </w:rPr>
            </w:pPr>
            <w:r>
              <w:rPr>
                <w:color w:val="auto"/>
                <w:spacing w:val="1"/>
                <w:highlight w:val="none"/>
              </w:rPr>
              <w:t>2.1</w:t>
            </w:r>
          </w:p>
        </w:tc>
        <w:tc>
          <w:tcPr>
            <w:tcW w:w="1187" w:type="dxa"/>
            <w:vAlign w:val="top"/>
          </w:tcPr>
          <w:p w14:paraId="12FB1C2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32697744">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74396AF3">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2D43214">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4E78216">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78BB65C">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62902B0">
            <w:pPr>
              <w:pStyle w:val="10"/>
              <w:keepNext w:val="0"/>
              <w:keepLines w:val="0"/>
              <w:pageBreakBefore w:val="0"/>
              <w:widowControl/>
              <w:kinsoku w:val="0"/>
              <w:wordWrap/>
              <w:overflowPunct/>
              <w:topLinePunct w:val="0"/>
              <w:bidi w:val="0"/>
              <w:adjustRightInd w:val="0"/>
              <w:snapToGrid w:val="0"/>
              <w:spacing w:before="153" w:line="31" w:lineRule="atLeast"/>
              <w:ind w:left="42" w:leftChars="20" w:right="108" w:firstLine="20" w:firstLineChars="10"/>
              <w:jc w:val="center"/>
              <w:textAlignment w:val="baseline"/>
              <w:rPr>
                <w:color w:val="auto"/>
                <w:highlight w:val="none"/>
              </w:rPr>
            </w:pPr>
            <w:r>
              <w:rPr>
                <w:rFonts w:hint="eastAsia"/>
                <w:color w:val="auto"/>
                <w:highlight w:val="none"/>
                <w:lang w:val="en-US" w:eastAsia="zh-CN"/>
              </w:rPr>
              <w:t xml:space="preserve"> </w:t>
            </w:r>
            <w:r>
              <w:rPr>
                <w:rFonts w:hint="eastAsia"/>
                <w:color w:val="auto"/>
                <w:highlight w:val="none"/>
              </w:rPr>
              <w:t>服务范围、内容</w:t>
            </w:r>
          </w:p>
        </w:tc>
        <w:tc>
          <w:tcPr>
            <w:tcW w:w="6803" w:type="dxa"/>
            <w:vAlign w:val="top"/>
          </w:tcPr>
          <w:p w14:paraId="1FE72936">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40" w:firstLineChars="20"/>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四档</w:t>
            </w:r>
            <w:r>
              <w:rPr>
                <w:rFonts w:hint="eastAsia" w:ascii="宋体" w:hAnsi="宋体" w:eastAsia="宋体" w:cs="宋体"/>
                <w:color w:val="auto"/>
                <w:sz w:val="20"/>
                <w:szCs w:val="20"/>
                <w:highlight w:val="none"/>
              </w:rPr>
              <w:t>：（</w:t>
            </w:r>
            <w:r>
              <w:rPr>
                <w:rFonts w:hint="eastAsia" w:cs="宋体"/>
                <w:color w:val="auto"/>
                <w:sz w:val="20"/>
                <w:szCs w:val="20"/>
                <w:highlight w:val="none"/>
                <w:lang w:val="en-US" w:eastAsia="zh-CN"/>
              </w:rPr>
              <w:t>7</w:t>
            </w:r>
            <w:r>
              <w:rPr>
                <w:rFonts w:hint="eastAsia" w:ascii="宋体" w:hAnsi="宋体" w:eastAsia="宋体" w:cs="宋体"/>
                <w:color w:val="auto"/>
                <w:sz w:val="20"/>
                <w:szCs w:val="20"/>
                <w:highlight w:val="none"/>
              </w:rPr>
              <w:t xml:space="preserve"> 分）对项目服务范围和设计内容认识准确透彻，对勘察设计内容表述清晰、完整，符合规范要求；</w:t>
            </w:r>
          </w:p>
          <w:p w14:paraId="66B39279">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40" w:firstLineChars="20"/>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三档</w:t>
            </w:r>
            <w:r>
              <w:rPr>
                <w:rFonts w:hint="eastAsia" w:ascii="宋体" w:hAnsi="宋体" w:eastAsia="宋体" w:cs="宋体"/>
                <w:color w:val="auto"/>
                <w:sz w:val="20"/>
                <w:szCs w:val="20"/>
                <w:highlight w:val="none"/>
              </w:rPr>
              <w:t>：（</w:t>
            </w:r>
            <w:r>
              <w:rPr>
                <w:rFonts w:hint="eastAsia" w:cs="宋体"/>
                <w:color w:val="auto"/>
                <w:sz w:val="20"/>
                <w:szCs w:val="20"/>
                <w:highlight w:val="none"/>
                <w:lang w:val="en-US" w:eastAsia="zh-CN"/>
              </w:rPr>
              <w:t>5</w:t>
            </w:r>
            <w:r>
              <w:rPr>
                <w:rFonts w:hint="eastAsia" w:ascii="宋体" w:hAnsi="宋体" w:eastAsia="宋体" w:cs="宋体"/>
                <w:color w:val="auto"/>
                <w:sz w:val="20"/>
                <w:szCs w:val="20"/>
                <w:highlight w:val="none"/>
              </w:rPr>
              <w:t xml:space="preserve"> 分）对项目服务范围和设计内容认识充分， 对勘察设计内容表述清晰；</w:t>
            </w:r>
          </w:p>
          <w:p w14:paraId="37BF3A41">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40" w:firstLineChars="20"/>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二档</w:t>
            </w:r>
            <w:r>
              <w:rPr>
                <w:rFonts w:hint="eastAsia" w:ascii="宋体" w:hAnsi="宋体" w:eastAsia="宋体" w:cs="宋体"/>
                <w:color w:val="auto"/>
                <w:sz w:val="20"/>
                <w:szCs w:val="20"/>
                <w:highlight w:val="none"/>
              </w:rPr>
              <w:t>：（</w:t>
            </w:r>
            <w:r>
              <w:rPr>
                <w:rFonts w:hint="eastAsia" w:cs="宋体"/>
                <w:color w:val="auto"/>
                <w:sz w:val="20"/>
                <w:szCs w:val="20"/>
                <w:highlight w:val="none"/>
                <w:lang w:val="en-US" w:eastAsia="zh-CN"/>
              </w:rPr>
              <w:t>3</w:t>
            </w:r>
            <w:r>
              <w:rPr>
                <w:rFonts w:hint="eastAsia" w:ascii="宋体" w:hAnsi="宋体" w:eastAsia="宋体" w:cs="宋体"/>
                <w:color w:val="auto"/>
                <w:sz w:val="20"/>
                <w:szCs w:val="20"/>
                <w:highlight w:val="none"/>
              </w:rPr>
              <w:t xml:space="preserve"> 分）对项目服务范围和设计内容有一定认识 但不够充分，对勘察设计内容有表述；</w:t>
            </w:r>
          </w:p>
          <w:p w14:paraId="7382146E">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40" w:firstLineChars="20"/>
              <w:textAlignment w:val="baseline"/>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val="en-US" w:eastAsia="zh-CN"/>
              </w:rPr>
              <w:t>一档</w:t>
            </w:r>
            <w:r>
              <w:rPr>
                <w:rFonts w:hint="eastAsia" w:ascii="宋体" w:hAnsi="宋体" w:eastAsia="宋体" w:cs="宋体"/>
                <w:color w:val="auto"/>
                <w:sz w:val="20"/>
                <w:szCs w:val="20"/>
                <w:highlight w:val="none"/>
              </w:rPr>
              <w:t>：（1分）对勘察设计项目范围、内容认识不足， 思路不清晰。</w:t>
            </w:r>
          </w:p>
          <w:p w14:paraId="0679F479">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40" w:firstLineChars="20"/>
              <w:textAlignment w:val="baseline"/>
              <w:rPr>
                <w:rFonts w:hint="eastAsia" w:ascii="宋体" w:hAnsi="宋体" w:eastAsia="宋体" w:cs="宋体"/>
                <w:color w:val="auto"/>
                <w:sz w:val="20"/>
                <w:szCs w:val="20"/>
                <w:highlight w:val="none"/>
              </w:rPr>
            </w:pPr>
          </w:p>
        </w:tc>
        <w:tc>
          <w:tcPr>
            <w:tcW w:w="752" w:type="dxa"/>
            <w:vAlign w:val="top"/>
          </w:tcPr>
          <w:p w14:paraId="193B587E">
            <w:pPr>
              <w:spacing w:line="266" w:lineRule="auto"/>
              <w:rPr>
                <w:rFonts w:ascii="Arial"/>
                <w:color w:val="auto"/>
                <w:sz w:val="21"/>
                <w:highlight w:val="none"/>
              </w:rPr>
            </w:pPr>
          </w:p>
          <w:p w14:paraId="0515E2E1">
            <w:pPr>
              <w:spacing w:line="266" w:lineRule="auto"/>
              <w:rPr>
                <w:rFonts w:ascii="Arial"/>
                <w:color w:val="auto"/>
                <w:sz w:val="21"/>
                <w:highlight w:val="none"/>
              </w:rPr>
            </w:pPr>
          </w:p>
          <w:p w14:paraId="1F1FD8FB">
            <w:pPr>
              <w:spacing w:line="266" w:lineRule="auto"/>
              <w:rPr>
                <w:rFonts w:ascii="Arial"/>
                <w:color w:val="auto"/>
                <w:sz w:val="21"/>
                <w:highlight w:val="none"/>
              </w:rPr>
            </w:pPr>
          </w:p>
          <w:p w14:paraId="19A35CF1">
            <w:pPr>
              <w:spacing w:line="266" w:lineRule="auto"/>
              <w:rPr>
                <w:rFonts w:ascii="Arial"/>
                <w:color w:val="auto"/>
                <w:sz w:val="21"/>
                <w:highlight w:val="none"/>
              </w:rPr>
            </w:pPr>
          </w:p>
          <w:p w14:paraId="00B57B6B">
            <w:pPr>
              <w:pStyle w:val="10"/>
              <w:spacing w:before="65" w:line="228" w:lineRule="auto"/>
              <w:ind w:left="245"/>
              <w:rPr>
                <w:rFonts w:hint="eastAsia"/>
                <w:color w:val="auto"/>
                <w:spacing w:val="-3"/>
                <w:highlight w:val="none"/>
                <w:lang w:val="en-US" w:eastAsia="zh-CN"/>
              </w:rPr>
            </w:pPr>
          </w:p>
          <w:p w14:paraId="2B514EF7">
            <w:pPr>
              <w:pStyle w:val="10"/>
              <w:spacing w:before="65" w:line="228" w:lineRule="auto"/>
              <w:ind w:left="245"/>
              <w:rPr>
                <w:rFonts w:hint="eastAsia"/>
                <w:color w:val="auto"/>
                <w:spacing w:val="-3"/>
                <w:highlight w:val="none"/>
                <w:lang w:val="en-US" w:eastAsia="zh-CN"/>
              </w:rPr>
            </w:pPr>
          </w:p>
          <w:p w14:paraId="0D566016">
            <w:pPr>
              <w:pStyle w:val="10"/>
              <w:spacing w:before="65" w:line="228" w:lineRule="auto"/>
              <w:ind w:left="245"/>
              <w:rPr>
                <w:color w:val="auto"/>
                <w:highlight w:val="none"/>
              </w:rPr>
            </w:pPr>
            <w:r>
              <w:rPr>
                <w:rFonts w:hint="eastAsia"/>
                <w:color w:val="auto"/>
                <w:spacing w:val="-38"/>
                <w:highlight w:val="none"/>
                <w:lang w:val="en-US" w:eastAsia="zh-CN"/>
              </w:rPr>
              <w:t>7</w:t>
            </w:r>
            <w:r>
              <w:rPr>
                <w:color w:val="auto"/>
                <w:spacing w:val="-38"/>
                <w:highlight w:val="none"/>
              </w:rPr>
              <w:t xml:space="preserve"> </w:t>
            </w:r>
            <w:r>
              <w:rPr>
                <w:color w:val="auto"/>
                <w:spacing w:val="-3"/>
                <w:highlight w:val="none"/>
              </w:rPr>
              <w:t>分</w:t>
            </w:r>
          </w:p>
        </w:tc>
      </w:tr>
      <w:tr w14:paraId="43F3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880" w:type="dxa"/>
            <w:vAlign w:val="top"/>
          </w:tcPr>
          <w:p w14:paraId="261C57B8">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083B90E">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57756EDF">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4BC98E7">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70DDF541">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2002702">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21A202C">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7AF14514">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75ED6BE2">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jc w:val="center"/>
              <w:textAlignment w:val="baseline"/>
              <w:rPr>
                <w:color w:val="auto"/>
                <w:highlight w:val="none"/>
              </w:rPr>
            </w:pPr>
            <w:r>
              <w:rPr>
                <w:color w:val="auto"/>
                <w:highlight w:val="none"/>
              </w:rPr>
              <w:t>2.2</w:t>
            </w:r>
          </w:p>
        </w:tc>
        <w:tc>
          <w:tcPr>
            <w:tcW w:w="1187" w:type="dxa"/>
            <w:vAlign w:val="top"/>
          </w:tcPr>
          <w:p w14:paraId="54F6F7F1">
            <w:pPr>
              <w:keepNext w:val="0"/>
              <w:keepLines w:val="0"/>
              <w:pageBreakBefore w:val="0"/>
              <w:widowControl/>
              <w:kinsoku w:val="0"/>
              <w:wordWrap/>
              <w:overflowPunct/>
              <w:topLinePunct w:val="0"/>
              <w:autoSpaceDE w:val="0"/>
              <w:autoSpaceDN w:val="0"/>
              <w:bidi w:val="0"/>
              <w:adjustRightInd w:val="0"/>
              <w:snapToGrid w:val="0"/>
              <w:spacing w:before="0" w:beforeLines="765" w:line="31" w:lineRule="atLeast"/>
              <w:ind w:left="42" w:leftChars="20" w:right="108" w:firstLine="20" w:firstLineChars="10"/>
              <w:jc w:val="center"/>
              <w:textAlignment w:val="baseline"/>
              <w:rPr>
                <w:rFonts w:hint="eastAsia" w:ascii="宋体" w:hAnsi="宋体" w:eastAsia="宋体" w:cs="宋体"/>
                <w:snapToGrid w:val="0"/>
                <w:color w:val="auto"/>
                <w:kern w:val="0"/>
                <w:sz w:val="20"/>
                <w:szCs w:val="20"/>
                <w:highlight w:val="none"/>
                <w:lang w:val="en-US" w:eastAsia="zh-CN" w:bidi="ar-SA"/>
              </w:rPr>
            </w:pPr>
            <w:r>
              <w:rPr>
                <w:rFonts w:hint="eastAsia" w:ascii="宋体" w:hAnsi="宋体" w:eastAsia="宋体" w:cs="宋体"/>
                <w:snapToGrid w:val="0"/>
                <w:color w:val="auto"/>
                <w:kern w:val="0"/>
                <w:sz w:val="20"/>
                <w:szCs w:val="20"/>
                <w:highlight w:val="none"/>
                <w:lang w:val="en-US" w:eastAsia="zh-CN" w:bidi="ar-SA"/>
              </w:rPr>
              <w:t>机构设置和岗位职责</w:t>
            </w:r>
          </w:p>
          <w:p w14:paraId="6AAAE5CF">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1D4F6968">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79FF90E3">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3D99F56">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1FA9E96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DECE876">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2A6559D">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color w:val="auto"/>
                <w:highlight w:val="none"/>
              </w:rPr>
            </w:pPr>
          </w:p>
        </w:tc>
        <w:tc>
          <w:tcPr>
            <w:tcW w:w="6803" w:type="dxa"/>
            <w:vAlign w:val="top"/>
          </w:tcPr>
          <w:p w14:paraId="412F2AAC">
            <w:pPr>
              <w:pStyle w:val="12"/>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lang w:eastAsia="zh-CN"/>
              </w:rPr>
            </w:pPr>
          </w:p>
          <w:p w14:paraId="32D9CF25">
            <w:pPr>
              <w:pStyle w:val="12"/>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四档</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rPr>
              <w:t>分）编制有机构设置和岗位职责，有详细周密的安排计划，对项目特点的针对性强可行性强，有安排计划，投入科学合理分工明确，完全满足项目需要。</w:t>
            </w:r>
          </w:p>
          <w:p w14:paraId="2E6D4819">
            <w:pPr>
              <w:pStyle w:val="12"/>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三档</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分）编制有机构设置和岗位职责，有安排计划，对项目特点具有可行性，有安排计划、有分工安排，分工安排科学合理，满足需要。</w:t>
            </w:r>
          </w:p>
          <w:p w14:paraId="5C09389C">
            <w:pPr>
              <w:pStyle w:val="12"/>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二档：（</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分）编制有机构设置和岗位职责，有安排计划，对项目特点有一定的可操作性，有安排计划、有分工安排，分工安排合理，能满足需要。</w:t>
            </w:r>
          </w:p>
          <w:p w14:paraId="78C02F12">
            <w:pPr>
              <w:pStyle w:val="10"/>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val="en-US" w:eastAsia="zh-CN"/>
              </w:rPr>
              <w:t>一档</w:t>
            </w:r>
            <w:r>
              <w:rPr>
                <w:rFonts w:hint="eastAsia" w:ascii="宋体" w:hAnsi="宋体" w:eastAsia="宋体" w:cs="宋体"/>
                <w:color w:val="auto"/>
                <w:sz w:val="20"/>
                <w:szCs w:val="20"/>
                <w:highlight w:val="none"/>
              </w:rPr>
              <w:t>：（1分）编制的机构设置和岗位职责不齐全，对项目特点没有针对性，有各工种劳动力安排计划，分工安排不合理，不能满足需要。</w:t>
            </w:r>
          </w:p>
        </w:tc>
        <w:tc>
          <w:tcPr>
            <w:tcW w:w="752" w:type="dxa"/>
            <w:vAlign w:val="top"/>
          </w:tcPr>
          <w:p w14:paraId="16A86A6F">
            <w:pPr>
              <w:spacing w:line="243" w:lineRule="auto"/>
              <w:rPr>
                <w:rFonts w:ascii="Arial"/>
                <w:color w:val="auto"/>
                <w:sz w:val="21"/>
                <w:highlight w:val="none"/>
              </w:rPr>
            </w:pPr>
          </w:p>
          <w:p w14:paraId="1BE14625">
            <w:pPr>
              <w:spacing w:line="243" w:lineRule="auto"/>
              <w:rPr>
                <w:rFonts w:ascii="Arial"/>
                <w:color w:val="auto"/>
                <w:sz w:val="21"/>
                <w:highlight w:val="none"/>
              </w:rPr>
            </w:pPr>
          </w:p>
          <w:p w14:paraId="7BACA19B">
            <w:pPr>
              <w:spacing w:line="243" w:lineRule="auto"/>
              <w:rPr>
                <w:rFonts w:ascii="Arial"/>
                <w:color w:val="auto"/>
                <w:sz w:val="21"/>
                <w:highlight w:val="none"/>
              </w:rPr>
            </w:pPr>
          </w:p>
          <w:p w14:paraId="3101C4C3">
            <w:pPr>
              <w:spacing w:line="243" w:lineRule="auto"/>
              <w:rPr>
                <w:rFonts w:ascii="Arial"/>
                <w:color w:val="auto"/>
                <w:sz w:val="21"/>
                <w:highlight w:val="none"/>
              </w:rPr>
            </w:pPr>
          </w:p>
          <w:p w14:paraId="5730B91A">
            <w:pPr>
              <w:spacing w:line="244" w:lineRule="auto"/>
              <w:rPr>
                <w:rFonts w:ascii="Arial"/>
                <w:color w:val="auto"/>
                <w:sz w:val="21"/>
                <w:highlight w:val="none"/>
              </w:rPr>
            </w:pPr>
          </w:p>
          <w:p w14:paraId="598A4A25">
            <w:pPr>
              <w:spacing w:line="244" w:lineRule="auto"/>
              <w:rPr>
                <w:rFonts w:ascii="Arial"/>
                <w:color w:val="auto"/>
                <w:sz w:val="21"/>
                <w:highlight w:val="none"/>
              </w:rPr>
            </w:pPr>
          </w:p>
          <w:p w14:paraId="34A18612">
            <w:pPr>
              <w:spacing w:line="244" w:lineRule="auto"/>
              <w:rPr>
                <w:rFonts w:ascii="Arial"/>
                <w:color w:val="auto"/>
                <w:sz w:val="21"/>
                <w:highlight w:val="none"/>
              </w:rPr>
            </w:pPr>
          </w:p>
          <w:p w14:paraId="7C9219AD">
            <w:pPr>
              <w:spacing w:line="244" w:lineRule="auto"/>
              <w:rPr>
                <w:rFonts w:ascii="Arial"/>
                <w:color w:val="auto"/>
                <w:sz w:val="21"/>
                <w:highlight w:val="none"/>
              </w:rPr>
            </w:pPr>
          </w:p>
          <w:p w14:paraId="14D5ABFE">
            <w:pPr>
              <w:pStyle w:val="10"/>
              <w:spacing w:before="65" w:line="228" w:lineRule="auto"/>
              <w:ind w:left="207"/>
              <w:rPr>
                <w:color w:val="auto"/>
                <w:highlight w:val="none"/>
              </w:rPr>
            </w:pPr>
            <w:r>
              <w:rPr>
                <w:rFonts w:hint="eastAsia"/>
                <w:color w:val="auto"/>
                <w:spacing w:val="-38"/>
                <w:highlight w:val="none"/>
                <w:lang w:val="en-US" w:eastAsia="zh-CN"/>
              </w:rPr>
              <w:t>7</w:t>
            </w:r>
            <w:r>
              <w:rPr>
                <w:color w:val="auto"/>
                <w:spacing w:val="-38"/>
                <w:highlight w:val="none"/>
              </w:rPr>
              <w:t xml:space="preserve"> </w:t>
            </w:r>
            <w:r>
              <w:rPr>
                <w:color w:val="auto"/>
                <w:spacing w:val="-5"/>
                <w:highlight w:val="none"/>
              </w:rPr>
              <w:t>分</w:t>
            </w:r>
          </w:p>
        </w:tc>
      </w:tr>
      <w:tr w14:paraId="68AF8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0" w:type="dxa"/>
            <w:vAlign w:val="top"/>
          </w:tcPr>
          <w:p w14:paraId="7E6F0E96">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14D5BC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D80ED11">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54733D9E">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46993F4">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ACCC510">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40C740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167899C3">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CA6E9C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812408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19FF9DF">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color w:val="auto"/>
                <w:highlight w:val="none"/>
              </w:rPr>
            </w:pPr>
            <w:r>
              <w:rPr>
                <w:color w:val="auto"/>
                <w:highlight w:val="none"/>
              </w:rPr>
              <w:t>2.3</w:t>
            </w:r>
          </w:p>
        </w:tc>
        <w:tc>
          <w:tcPr>
            <w:tcW w:w="1187" w:type="dxa"/>
            <w:vAlign w:val="top"/>
          </w:tcPr>
          <w:p w14:paraId="1F4213F8">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3436D36B">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2C83596">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69EC1AC">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549AD043">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A1BA787">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8C8B66C">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3E96EB8E">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EF6A370">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8F30BC9">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262738C">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textAlignment w:val="baseline"/>
              <w:rPr>
                <w:color w:val="auto"/>
                <w:highlight w:val="none"/>
              </w:rPr>
            </w:pPr>
            <w:r>
              <w:rPr>
                <w:rFonts w:hint="eastAsia"/>
                <w:color w:val="auto"/>
                <w:highlight w:val="none"/>
              </w:rPr>
              <w:t>质量、进度、保密等保证措施</w:t>
            </w:r>
          </w:p>
        </w:tc>
        <w:tc>
          <w:tcPr>
            <w:tcW w:w="6803" w:type="dxa"/>
            <w:vAlign w:val="top"/>
          </w:tcPr>
          <w:p w14:paraId="64C75402">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38" w:firstLineChars="20"/>
              <w:textAlignment w:val="baseline"/>
              <w:rPr>
                <w:rFonts w:hint="eastAsia" w:ascii="宋体" w:hAnsi="宋体" w:eastAsia="宋体" w:cs="宋体"/>
                <w:color w:val="auto"/>
                <w:spacing w:val="-3"/>
                <w:sz w:val="20"/>
                <w:szCs w:val="20"/>
                <w:highlight w:val="none"/>
              </w:rPr>
            </w:pPr>
            <w:r>
              <w:rPr>
                <w:rFonts w:hint="eastAsia" w:ascii="宋体" w:hAnsi="宋体" w:eastAsia="宋体" w:cs="宋体"/>
                <w:color w:val="auto"/>
                <w:spacing w:val="-3"/>
                <w:sz w:val="20"/>
                <w:szCs w:val="20"/>
                <w:highlight w:val="none"/>
              </w:rPr>
              <w:t>各项目质量、进度、保密等保证措施应有详细周密的 安排计划，计划合理，满足施工需要。</w:t>
            </w:r>
          </w:p>
          <w:p w14:paraId="53157EE1">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38" w:firstLineChars="20"/>
              <w:textAlignment w:val="baseline"/>
              <w:rPr>
                <w:rFonts w:hint="eastAsia" w:ascii="宋体" w:hAnsi="宋体" w:eastAsia="宋体" w:cs="宋体"/>
                <w:color w:val="auto"/>
                <w:spacing w:val="-3"/>
                <w:sz w:val="20"/>
                <w:szCs w:val="20"/>
                <w:highlight w:val="none"/>
              </w:rPr>
            </w:pPr>
            <w:r>
              <w:rPr>
                <w:rFonts w:hint="eastAsia" w:ascii="宋体" w:hAnsi="宋体" w:eastAsia="宋体" w:cs="宋体"/>
                <w:color w:val="auto"/>
                <w:spacing w:val="-3"/>
                <w:sz w:val="20"/>
                <w:szCs w:val="20"/>
                <w:highlight w:val="none"/>
                <w:lang w:eastAsia="zh-CN"/>
              </w:rPr>
              <w:t>四档</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3"/>
                <w:sz w:val="20"/>
                <w:szCs w:val="20"/>
                <w:highlight w:val="none"/>
                <w:lang w:val="en-US" w:eastAsia="zh-CN"/>
              </w:rPr>
              <w:t>7</w:t>
            </w:r>
            <w:r>
              <w:rPr>
                <w:rFonts w:hint="eastAsia" w:ascii="宋体" w:hAnsi="宋体" w:eastAsia="宋体" w:cs="宋体"/>
                <w:color w:val="auto"/>
                <w:spacing w:val="-3"/>
                <w:sz w:val="20"/>
                <w:szCs w:val="20"/>
                <w:highlight w:val="none"/>
              </w:rPr>
              <w:t>分）各项目质量、进度、保密等保证措施有详细周密的安排计划，对项目特点的针对性强，有各项目安排计划，计划科学合理，完全满足需要，可操作性强。</w:t>
            </w:r>
          </w:p>
          <w:p w14:paraId="6E9F11EA">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38" w:firstLineChars="20"/>
              <w:textAlignment w:val="baseline"/>
              <w:rPr>
                <w:rFonts w:hint="eastAsia" w:ascii="宋体" w:hAnsi="宋体" w:eastAsia="宋体" w:cs="宋体"/>
                <w:color w:val="auto"/>
                <w:spacing w:val="-3"/>
                <w:sz w:val="20"/>
                <w:szCs w:val="20"/>
                <w:highlight w:val="none"/>
                <w:lang w:eastAsia="zh-CN"/>
              </w:rPr>
            </w:pPr>
            <w:r>
              <w:rPr>
                <w:rFonts w:hint="eastAsia" w:ascii="宋体" w:hAnsi="宋体" w:eastAsia="宋体" w:cs="宋体"/>
                <w:color w:val="auto"/>
                <w:spacing w:val="-3"/>
                <w:sz w:val="20"/>
                <w:szCs w:val="20"/>
                <w:highlight w:val="none"/>
                <w:lang w:eastAsia="zh-CN"/>
              </w:rPr>
              <w:t>三档</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3"/>
                <w:sz w:val="20"/>
                <w:szCs w:val="20"/>
                <w:highlight w:val="none"/>
                <w:lang w:val="en-US" w:eastAsia="zh-CN"/>
              </w:rPr>
              <w:t>5</w:t>
            </w:r>
            <w:r>
              <w:rPr>
                <w:rFonts w:hint="eastAsia" w:ascii="宋体" w:hAnsi="宋体" w:eastAsia="宋体" w:cs="宋体"/>
                <w:color w:val="auto"/>
                <w:spacing w:val="-3"/>
                <w:sz w:val="20"/>
                <w:szCs w:val="20"/>
                <w:highlight w:val="none"/>
              </w:rPr>
              <w:t xml:space="preserve"> 分）各项目质量、进度、保密等保证措施有安排计划，有各项目安排计划，计划比科学合理，能满足需要，对项目可操作性强，但缺乏针对性</w:t>
            </w:r>
            <w:r>
              <w:rPr>
                <w:rFonts w:hint="eastAsia" w:cs="宋体"/>
                <w:color w:val="auto"/>
                <w:spacing w:val="-3"/>
                <w:sz w:val="20"/>
                <w:szCs w:val="20"/>
                <w:highlight w:val="none"/>
                <w:lang w:eastAsia="zh-CN"/>
              </w:rPr>
              <w:t>。</w:t>
            </w:r>
          </w:p>
          <w:p w14:paraId="1E8D2BC3">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40" w:firstLineChars="20"/>
              <w:textAlignment w:val="baseline"/>
              <w:rPr>
                <w:rFonts w:hint="eastAsia" w:ascii="宋体" w:hAnsi="宋体" w:eastAsia="宋体" w:cs="宋体"/>
                <w:color w:val="auto"/>
                <w:spacing w:val="-3"/>
                <w:sz w:val="20"/>
                <w:szCs w:val="20"/>
                <w:highlight w:val="none"/>
              </w:rPr>
            </w:pPr>
            <w:r>
              <w:rPr>
                <w:rFonts w:hint="eastAsia" w:ascii="宋体" w:hAnsi="宋体" w:eastAsia="宋体" w:cs="宋体"/>
                <w:color w:val="auto"/>
                <w:sz w:val="20"/>
                <w:szCs w:val="20"/>
                <w:highlight w:val="none"/>
                <w:lang w:val="en-US" w:eastAsia="zh-CN"/>
              </w:rPr>
              <w:t>二档</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3"/>
                <w:sz w:val="20"/>
                <w:szCs w:val="20"/>
                <w:highlight w:val="none"/>
                <w:lang w:val="en-US" w:eastAsia="zh-CN"/>
              </w:rPr>
              <w:t>3</w:t>
            </w:r>
            <w:r>
              <w:rPr>
                <w:rFonts w:hint="eastAsia" w:ascii="宋体" w:hAnsi="宋体" w:eastAsia="宋体" w:cs="宋体"/>
                <w:color w:val="auto"/>
                <w:spacing w:val="-3"/>
                <w:sz w:val="20"/>
                <w:szCs w:val="20"/>
                <w:highlight w:val="none"/>
              </w:rPr>
              <w:t xml:space="preserve"> 分）各项目质量、进度、保密等保证措施有安排计划，对项目有可操作性，有各项目安排计划，计划合理，能满足需要。</w:t>
            </w:r>
          </w:p>
          <w:p w14:paraId="331500F9">
            <w:pPr>
              <w:pStyle w:val="10"/>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36" w:lineRule="auto"/>
              <w:ind w:left="42" w:leftChars="20" w:right="108" w:firstLine="40" w:firstLineChars="20"/>
              <w:textAlignment w:val="baseline"/>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val="en-US" w:eastAsia="zh-CN"/>
              </w:rPr>
              <w:t>一档</w:t>
            </w:r>
            <w:r>
              <w:rPr>
                <w:rFonts w:hint="eastAsia" w:ascii="宋体" w:hAnsi="宋体" w:eastAsia="宋体" w:cs="宋体"/>
                <w:color w:val="auto"/>
                <w:spacing w:val="-3"/>
                <w:sz w:val="20"/>
                <w:szCs w:val="20"/>
                <w:highlight w:val="none"/>
              </w:rPr>
              <w:t>：（1分）各项目质量、进度、保密等保证措施没有安排计划不齐全，对项目特点没有针对性，不能满足需要。</w:t>
            </w:r>
          </w:p>
        </w:tc>
        <w:tc>
          <w:tcPr>
            <w:tcW w:w="752" w:type="dxa"/>
            <w:vAlign w:val="top"/>
          </w:tcPr>
          <w:p w14:paraId="39C56C0C">
            <w:pPr>
              <w:spacing w:line="241" w:lineRule="auto"/>
              <w:rPr>
                <w:rFonts w:ascii="Arial"/>
                <w:color w:val="auto"/>
                <w:sz w:val="21"/>
                <w:highlight w:val="none"/>
              </w:rPr>
            </w:pPr>
          </w:p>
          <w:p w14:paraId="2CA5B088">
            <w:pPr>
              <w:spacing w:line="241" w:lineRule="auto"/>
              <w:rPr>
                <w:rFonts w:ascii="Arial"/>
                <w:color w:val="auto"/>
                <w:sz w:val="21"/>
                <w:highlight w:val="none"/>
              </w:rPr>
            </w:pPr>
          </w:p>
          <w:p w14:paraId="361DA72C">
            <w:pPr>
              <w:spacing w:line="242" w:lineRule="auto"/>
              <w:rPr>
                <w:rFonts w:ascii="Arial"/>
                <w:color w:val="auto"/>
                <w:sz w:val="21"/>
                <w:highlight w:val="none"/>
              </w:rPr>
            </w:pPr>
          </w:p>
          <w:p w14:paraId="4E9AB95D">
            <w:pPr>
              <w:spacing w:line="242" w:lineRule="auto"/>
              <w:rPr>
                <w:rFonts w:ascii="Arial"/>
                <w:color w:val="auto"/>
                <w:sz w:val="21"/>
                <w:highlight w:val="none"/>
              </w:rPr>
            </w:pPr>
          </w:p>
          <w:p w14:paraId="1D2992AC">
            <w:pPr>
              <w:spacing w:line="242" w:lineRule="auto"/>
              <w:rPr>
                <w:rFonts w:ascii="Arial"/>
                <w:color w:val="auto"/>
                <w:sz w:val="21"/>
                <w:highlight w:val="none"/>
              </w:rPr>
            </w:pPr>
          </w:p>
          <w:p w14:paraId="218AA9C6">
            <w:pPr>
              <w:spacing w:line="242" w:lineRule="auto"/>
              <w:rPr>
                <w:rFonts w:ascii="Arial"/>
                <w:color w:val="auto"/>
                <w:sz w:val="21"/>
                <w:highlight w:val="none"/>
              </w:rPr>
            </w:pPr>
          </w:p>
          <w:p w14:paraId="65487FB8">
            <w:pPr>
              <w:spacing w:line="242" w:lineRule="auto"/>
              <w:rPr>
                <w:rFonts w:ascii="Arial"/>
                <w:color w:val="auto"/>
                <w:sz w:val="21"/>
                <w:highlight w:val="none"/>
              </w:rPr>
            </w:pPr>
          </w:p>
          <w:p w14:paraId="60A9232B">
            <w:pPr>
              <w:spacing w:line="242" w:lineRule="auto"/>
              <w:rPr>
                <w:rFonts w:ascii="Arial"/>
                <w:color w:val="auto"/>
                <w:sz w:val="21"/>
                <w:highlight w:val="none"/>
              </w:rPr>
            </w:pPr>
          </w:p>
          <w:p w14:paraId="317A7E70">
            <w:pPr>
              <w:spacing w:line="242" w:lineRule="auto"/>
              <w:rPr>
                <w:rFonts w:ascii="Arial"/>
                <w:color w:val="auto"/>
                <w:sz w:val="21"/>
                <w:highlight w:val="none"/>
              </w:rPr>
            </w:pPr>
          </w:p>
          <w:p w14:paraId="4ADEFFFC">
            <w:pPr>
              <w:spacing w:line="242" w:lineRule="auto"/>
              <w:rPr>
                <w:rFonts w:ascii="Arial"/>
                <w:color w:val="auto"/>
                <w:sz w:val="21"/>
                <w:highlight w:val="none"/>
              </w:rPr>
            </w:pPr>
          </w:p>
          <w:p w14:paraId="329289E7">
            <w:pPr>
              <w:pStyle w:val="10"/>
              <w:spacing w:before="65" w:line="228" w:lineRule="auto"/>
              <w:ind w:left="207"/>
              <w:rPr>
                <w:color w:val="auto"/>
                <w:highlight w:val="none"/>
              </w:rPr>
            </w:pPr>
            <w:r>
              <w:rPr>
                <w:rFonts w:hint="eastAsia"/>
                <w:color w:val="auto"/>
                <w:spacing w:val="-6"/>
                <w:highlight w:val="none"/>
                <w:lang w:val="en-US" w:eastAsia="zh-CN"/>
              </w:rPr>
              <w:t>7</w:t>
            </w:r>
            <w:r>
              <w:rPr>
                <w:color w:val="auto"/>
                <w:spacing w:val="-35"/>
                <w:highlight w:val="none"/>
              </w:rPr>
              <w:t xml:space="preserve"> </w:t>
            </w:r>
            <w:r>
              <w:rPr>
                <w:color w:val="auto"/>
                <w:spacing w:val="-6"/>
                <w:highlight w:val="none"/>
              </w:rPr>
              <w:t>分</w:t>
            </w:r>
          </w:p>
        </w:tc>
      </w:tr>
      <w:tr w14:paraId="24DF4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2" w:hRule="atLeast"/>
        </w:trPr>
        <w:tc>
          <w:tcPr>
            <w:tcW w:w="880" w:type="dxa"/>
            <w:vAlign w:val="top"/>
          </w:tcPr>
          <w:p w14:paraId="4AF897AC">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68A07CF">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B92E4B3">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39793E0">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F155EFB">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05423522">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10EE261B">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CFB71B7">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color w:val="auto"/>
                <w:highlight w:val="none"/>
              </w:rPr>
            </w:pPr>
            <w:r>
              <w:rPr>
                <w:color w:val="auto"/>
                <w:highlight w:val="none"/>
              </w:rPr>
              <w:t>2.4</w:t>
            </w:r>
          </w:p>
        </w:tc>
        <w:tc>
          <w:tcPr>
            <w:tcW w:w="1187" w:type="dxa"/>
            <w:vAlign w:val="top"/>
          </w:tcPr>
          <w:p w14:paraId="72D6A59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3712DA5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35EB95FA">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7551754F">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E99C26F">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4E73210">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318D5C09">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jc w:val="center"/>
              <w:textAlignment w:val="baseline"/>
              <w:rPr>
                <w:rFonts w:hint="eastAsia" w:ascii="宋体" w:hAnsi="宋体" w:eastAsia="宋体" w:cs="宋体"/>
                <w:color w:val="auto"/>
                <w:highlight w:val="none"/>
              </w:rPr>
            </w:pPr>
          </w:p>
          <w:p w14:paraId="236C95D2">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jc w:val="center"/>
              <w:textAlignment w:val="baseline"/>
              <w:rPr>
                <w:color w:val="auto"/>
                <w:highlight w:val="none"/>
              </w:rPr>
            </w:pPr>
            <w:r>
              <w:rPr>
                <w:rFonts w:hint="eastAsia" w:ascii="宋体" w:hAnsi="宋体" w:eastAsia="宋体" w:cs="宋体"/>
                <w:color w:val="auto"/>
                <w:highlight w:val="none"/>
              </w:rPr>
              <w:t>安全保证措施</w:t>
            </w:r>
          </w:p>
        </w:tc>
        <w:tc>
          <w:tcPr>
            <w:tcW w:w="6803" w:type="dxa"/>
            <w:vAlign w:val="top"/>
          </w:tcPr>
          <w:p w14:paraId="1321EF2E">
            <w:pPr>
              <w:pStyle w:val="10"/>
              <w:keepNext w:val="0"/>
              <w:keepLines w:val="0"/>
              <w:pageBreakBefore w:val="0"/>
              <w:widowControl/>
              <w:wordWrap/>
              <w:overflowPunct/>
              <w:topLinePunct w:val="0"/>
              <w:bidi w:val="0"/>
              <w:spacing w:before="0" w:beforeLines="50" w:after="0" w:afterLines="50" w:line="336" w:lineRule="auto"/>
              <w:ind w:left="42" w:leftChars="20" w:right="108" w:firstLine="39" w:firstLineChars="2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1"/>
                <w:sz w:val="20"/>
                <w:szCs w:val="20"/>
                <w:highlight w:val="none"/>
                <w:lang w:eastAsia="zh-CN"/>
              </w:rPr>
              <w:t>四档</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1"/>
                <w:sz w:val="20"/>
                <w:szCs w:val="20"/>
                <w:highlight w:val="none"/>
              </w:rPr>
              <w:t>（</w:t>
            </w:r>
            <w:r>
              <w:rPr>
                <w:rFonts w:hint="eastAsia" w:cs="宋体"/>
                <w:color w:val="auto"/>
                <w:spacing w:val="-1"/>
                <w:sz w:val="20"/>
                <w:szCs w:val="20"/>
                <w:highlight w:val="none"/>
                <w:lang w:val="en-US" w:eastAsia="zh-CN"/>
              </w:rPr>
              <w:t>7</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1"/>
                <w:sz w:val="20"/>
                <w:szCs w:val="20"/>
                <w:highlight w:val="none"/>
              </w:rPr>
              <w:t>分</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1"/>
                <w:sz w:val="20"/>
                <w:szCs w:val="20"/>
                <w:highlight w:val="none"/>
              </w:rPr>
              <w:t>提供的安全保证措施应有专门的安全技术管理班子和制度，且人员配备合理，制度健全。主要工序应有安全技术保证措施和手段，自控体系完整，能有效保证安全性，达到承诺的安全标准，具有针对性措施</w:t>
            </w:r>
            <w:r>
              <w:rPr>
                <w:rFonts w:hint="eastAsia" w:ascii="宋体" w:hAnsi="宋体" w:eastAsia="宋体" w:cs="宋体"/>
                <w:color w:val="auto"/>
                <w:spacing w:val="-1"/>
                <w:sz w:val="20"/>
                <w:szCs w:val="20"/>
                <w:highlight w:val="none"/>
                <w:lang w:eastAsia="zh-CN"/>
              </w:rPr>
              <w:t>。</w:t>
            </w:r>
          </w:p>
          <w:p w14:paraId="0351B610">
            <w:pPr>
              <w:pStyle w:val="10"/>
              <w:keepNext w:val="0"/>
              <w:keepLines w:val="0"/>
              <w:pageBreakBefore w:val="0"/>
              <w:widowControl/>
              <w:wordWrap/>
              <w:overflowPunct/>
              <w:topLinePunct w:val="0"/>
              <w:bidi w:val="0"/>
              <w:spacing w:before="0" w:beforeLines="50" w:after="0" w:afterLines="50" w:line="336" w:lineRule="auto"/>
              <w:ind w:left="42" w:leftChars="20" w:right="108" w:firstLine="39" w:firstLineChars="20"/>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lang w:eastAsia="zh-CN"/>
              </w:rPr>
              <w:t>三档</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2"/>
                <w:sz w:val="20"/>
                <w:szCs w:val="20"/>
                <w:highlight w:val="none"/>
              </w:rPr>
              <w:t>（</w:t>
            </w:r>
            <w:r>
              <w:rPr>
                <w:rFonts w:hint="eastAsia" w:cs="宋体"/>
                <w:color w:val="auto"/>
                <w:spacing w:val="-2"/>
                <w:sz w:val="20"/>
                <w:szCs w:val="20"/>
                <w:highlight w:val="none"/>
                <w:lang w:val="en-US" w:eastAsia="zh-CN"/>
              </w:rPr>
              <w:t>5</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2"/>
                <w:sz w:val="20"/>
                <w:szCs w:val="20"/>
                <w:highlight w:val="none"/>
              </w:rPr>
              <w:t>分</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2"/>
                <w:sz w:val="20"/>
                <w:szCs w:val="20"/>
                <w:highlight w:val="none"/>
              </w:rPr>
              <w:t>提供的安全保证措施内容完整，切合实</w:t>
            </w:r>
            <w:r>
              <w:rPr>
                <w:rFonts w:hint="eastAsia" w:ascii="宋体" w:hAnsi="宋体" w:eastAsia="宋体" w:cs="宋体"/>
                <w:color w:val="auto"/>
                <w:spacing w:val="-1"/>
                <w:sz w:val="20"/>
                <w:szCs w:val="20"/>
                <w:highlight w:val="none"/>
              </w:rPr>
              <w:t>际，可行，具有可操作性，人员配备合理，制度健全。主要工序应有安全技术保证措施和手段，自控体</w:t>
            </w:r>
            <w:r>
              <w:rPr>
                <w:rFonts w:hint="eastAsia" w:ascii="宋体" w:hAnsi="宋体" w:eastAsia="宋体" w:cs="宋体"/>
                <w:color w:val="auto"/>
                <w:sz w:val="20"/>
                <w:szCs w:val="20"/>
                <w:highlight w:val="none"/>
              </w:rPr>
              <w:t>系完整，能有效保证安全性，达到承诺的安</w:t>
            </w:r>
            <w:r>
              <w:rPr>
                <w:rFonts w:hint="eastAsia" w:ascii="宋体" w:hAnsi="宋体" w:eastAsia="宋体" w:cs="宋体"/>
                <w:color w:val="auto"/>
                <w:spacing w:val="-1"/>
                <w:sz w:val="20"/>
                <w:szCs w:val="20"/>
                <w:highlight w:val="none"/>
              </w:rPr>
              <w:t>全标准，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但缺乏针对性措施。</w:t>
            </w:r>
          </w:p>
          <w:p w14:paraId="737B9322">
            <w:pPr>
              <w:pStyle w:val="10"/>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二档</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2"/>
                <w:sz w:val="20"/>
                <w:szCs w:val="20"/>
                <w:highlight w:val="none"/>
              </w:rPr>
              <w:t>（</w:t>
            </w:r>
            <w:r>
              <w:rPr>
                <w:rFonts w:hint="eastAsia" w:cs="宋体"/>
                <w:color w:val="auto"/>
                <w:spacing w:val="-2"/>
                <w:sz w:val="20"/>
                <w:szCs w:val="20"/>
                <w:highlight w:val="none"/>
                <w:lang w:val="en-US" w:eastAsia="zh-CN"/>
              </w:rPr>
              <w:t>3</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2"/>
                <w:sz w:val="20"/>
                <w:szCs w:val="20"/>
                <w:highlight w:val="none"/>
              </w:rPr>
              <w:t>分</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2"/>
                <w:sz w:val="20"/>
                <w:szCs w:val="20"/>
                <w:highlight w:val="none"/>
              </w:rPr>
              <w:t>提供的安全保证措施满足需要，内</w:t>
            </w:r>
            <w:r>
              <w:rPr>
                <w:rFonts w:hint="eastAsia" w:ascii="宋体" w:hAnsi="宋体" w:eastAsia="宋体" w:cs="宋体"/>
                <w:color w:val="auto"/>
                <w:spacing w:val="-4"/>
                <w:sz w:val="20"/>
                <w:szCs w:val="20"/>
                <w:highlight w:val="none"/>
              </w:rPr>
              <w:t>容具有合理性。</w:t>
            </w:r>
          </w:p>
          <w:p w14:paraId="40EB56D2">
            <w:pPr>
              <w:pStyle w:val="10"/>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val="en-US" w:eastAsia="zh-CN"/>
              </w:rPr>
              <w:t>一档</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rPr>
              <w:t>（1分</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rPr>
              <w:t>提供的安全保证措施内容差，不能满</w:t>
            </w:r>
            <w:r>
              <w:rPr>
                <w:rFonts w:hint="eastAsia" w:ascii="宋体" w:hAnsi="宋体" w:eastAsia="宋体" w:cs="宋体"/>
                <w:color w:val="auto"/>
                <w:spacing w:val="-2"/>
                <w:sz w:val="20"/>
                <w:szCs w:val="20"/>
                <w:highlight w:val="none"/>
              </w:rPr>
              <w:t>足要求。</w:t>
            </w:r>
          </w:p>
        </w:tc>
        <w:tc>
          <w:tcPr>
            <w:tcW w:w="752" w:type="dxa"/>
            <w:vAlign w:val="top"/>
          </w:tcPr>
          <w:p w14:paraId="0C682CC5">
            <w:pPr>
              <w:spacing w:line="245" w:lineRule="auto"/>
              <w:rPr>
                <w:rFonts w:ascii="Arial"/>
                <w:color w:val="auto"/>
                <w:sz w:val="21"/>
                <w:highlight w:val="none"/>
              </w:rPr>
            </w:pPr>
          </w:p>
          <w:p w14:paraId="545CE3C8">
            <w:pPr>
              <w:spacing w:line="245" w:lineRule="auto"/>
              <w:rPr>
                <w:rFonts w:ascii="Arial"/>
                <w:color w:val="auto"/>
                <w:sz w:val="21"/>
                <w:highlight w:val="none"/>
              </w:rPr>
            </w:pPr>
          </w:p>
          <w:p w14:paraId="74452B16">
            <w:pPr>
              <w:spacing w:line="245" w:lineRule="auto"/>
              <w:rPr>
                <w:rFonts w:ascii="Arial"/>
                <w:color w:val="auto"/>
                <w:sz w:val="21"/>
                <w:highlight w:val="none"/>
              </w:rPr>
            </w:pPr>
          </w:p>
          <w:p w14:paraId="1FB68C9E">
            <w:pPr>
              <w:spacing w:line="245" w:lineRule="auto"/>
              <w:rPr>
                <w:rFonts w:ascii="Arial"/>
                <w:color w:val="auto"/>
                <w:sz w:val="21"/>
                <w:highlight w:val="none"/>
              </w:rPr>
            </w:pPr>
          </w:p>
          <w:p w14:paraId="69E76C76">
            <w:pPr>
              <w:spacing w:line="245" w:lineRule="auto"/>
              <w:rPr>
                <w:rFonts w:ascii="Arial"/>
                <w:color w:val="auto"/>
                <w:sz w:val="21"/>
                <w:highlight w:val="none"/>
              </w:rPr>
            </w:pPr>
          </w:p>
          <w:p w14:paraId="128604B2">
            <w:pPr>
              <w:spacing w:line="245" w:lineRule="auto"/>
              <w:rPr>
                <w:rFonts w:ascii="Arial"/>
                <w:color w:val="auto"/>
                <w:sz w:val="21"/>
                <w:highlight w:val="none"/>
              </w:rPr>
            </w:pPr>
          </w:p>
          <w:p w14:paraId="52BE5982">
            <w:pPr>
              <w:pStyle w:val="10"/>
              <w:spacing w:before="65" w:line="228" w:lineRule="auto"/>
              <w:ind w:left="116"/>
              <w:rPr>
                <w:color w:val="auto"/>
                <w:spacing w:val="-3"/>
                <w:highlight w:val="none"/>
              </w:rPr>
            </w:pPr>
          </w:p>
          <w:p w14:paraId="131872F8">
            <w:pPr>
              <w:pStyle w:val="10"/>
              <w:spacing w:before="65" w:line="228" w:lineRule="auto"/>
              <w:ind w:left="116"/>
              <w:rPr>
                <w:color w:val="auto"/>
                <w:highlight w:val="none"/>
              </w:rPr>
            </w:pPr>
            <w:r>
              <w:rPr>
                <w:rFonts w:hint="eastAsia"/>
                <w:color w:val="auto"/>
                <w:spacing w:val="-36"/>
                <w:highlight w:val="none"/>
                <w:lang w:val="en-US" w:eastAsia="zh-CN"/>
              </w:rPr>
              <w:t>7</w:t>
            </w:r>
            <w:r>
              <w:rPr>
                <w:color w:val="auto"/>
                <w:spacing w:val="-36"/>
                <w:highlight w:val="none"/>
              </w:rPr>
              <w:t xml:space="preserve"> </w:t>
            </w:r>
            <w:r>
              <w:rPr>
                <w:color w:val="auto"/>
                <w:spacing w:val="-3"/>
                <w:highlight w:val="none"/>
              </w:rPr>
              <w:t>分</w:t>
            </w:r>
          </w:p>
        </w:tc>
      </w:tr>
      <w:tr w14:paraId="5DA34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880" w:type="dxa"/>
            <w:vAlign w:val="top"/>
          </w:tcPr>
          <w:p w14:paraId="537BC2B2">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3641EDB7">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6FE7CE5">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8430DC9">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87B861D">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56E17806">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299220D7">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148E62BD">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color w:val="auto"/>
                <w:highlight w:val="none"/>
              </w:rPr>
            </w:pPr>
            <w:r>
              <w:rPr>
                <w:color w:val="auto"/>
                <w:highlight w:val="none"/>
              </w:rPr>
              <w:t>2.5</w:t>
            </w:r>
          </w:p>
        </w:tc>
        <w:tc>
          <w:tcPr>
            <w:tcW w:w="1187" w:type="dxa"/>
            <w:vAlign w:val="top"/>
          </w:tcPr>
          <w:p w14:paraId="43C2D494">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450A06D">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2446E77">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5823DBA6">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C52AF01">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68DB1768">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43477187">
            <w:pPr>
              <w:keepNext w:val="0"/>
              <w:keepLines w:val="0"/>
              <w:pageBreakBefore w:val="0"/>
              <w:widowControl/>
              <w:kinsoku w:val="0"/>
              <w:wordWrap/>
              <w:overflowPunct/>
              <w:topLinePunct w:val="0"/>
              <w:bidi w:val="0"/>
              <w:adjustRightInd w:val="0"/>
              <w:snapToGrid w:val="0"/>
              <w:spacing w:line="31" w:lineRule="atLeast"/>
              <w:ind w:left="42" w:leftChars="20" w:right="108" w:firstLine="21" w:firstLineChars="10"/>
              <w:textAlignment w:val="baseline"/>
              <w:rPr>
                <w:rFonts w:ascii="Arial"/>
                <w:color w:val="auto"/>
                <w:sz w:val="21"/>
                <w:highlight w:val="none"/>
              </w:rPr>
            </w:pPr>
          </w:p>
          <w:p w14:paraId="7E42926D">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jc w:val="center"/>
              <w:textAlignment w:val="baseline"/>
              <w:rPr>
                <w:color w:val="auto"/>
                <w:highlight w:val="none"/>
              </w:rPr>
            </w:pPr>
            <w:r>
              <w:rPr>
                <w:rFonts w:hint="eastAsia"/>
                <w:color w:val="auto"/>
                <w:highlight w:val="none"/>
              </w:rPr>
              <w:t>技术说明和方案</w:t>
            </w:r>
          </w:p>
        </w:tc>
        <w:tc>
          <w:tcPr>
            <w:tcW w:w="6803" w:type="dxa"/>
            <w:vAlign w:val="top"/>
          </w:tcPr>
          <w:p w14:paraId="45F8FEEA">
            <w:pPr>
              <w:pStyle w:val="10"/>
              <w:keepNext w:val="0"/>
              <w:keepLines w:val="0"/>
              <w:pageBreakBefore w:val="0"/>
              <w:widowControl/>
              <w:wordWrap/>
              <w:overflowPunct/>
              <w:topLinePunct w:val="0"/>
              <w:bidi w:val="0"/>
              <w:spacing w:before="0" w:beforeLines="50" w:after="0" w:afterLines="50" w:line="336" w:lineRule="auto"/>
              <w:ind w:left="42" w:leftChars="20" w:right="108" w:firstLine="39" w:firstLineChars="20"/>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主要结合投标人提供的技术说明和方案是否能够满足</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1"/>
                <w:sz w:val="20"/>
                <w:szCs w:val="20"/>
                <w:highlight w:val="none"/>
              </w:rPr>
              <w:t>本项目的总体建设要求，各目标切实是否可行，科学</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3"/>
                <w:sz w:val="20"/>
                <w:szCs w:val="20"/>
                <w:highlight w:val="none"/>
              </w:rPr>
              <w:t>合理进行评定。</w:t>
            </w:r>
          </w:p>
          <w:p w14:paraId="6D414CEB">
            <w:pPr>
              <w:pStyle w:val="10"/>
              <w:keepNext w:val="0"/>
              <w:keepLines w:val="0"/>
              <w:pageBreakBefore w:val="0"/>
              <w:widowControl/>
              <w:wordWrap/>
              <w:overflowPunct/>
              <w:topLinePunct w:val="0"/>
              <w:bidi w:val="0"/>
              <w:spacing w:before="0" w:beforeLines="50" w:after="0" w:afterLines="50" w:line="336" w:lineRule="auto"/>
              <w:ind w:left="42" w:leftChars="20" w:right="108" w:firstLine="39" w:firstLineChars="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 w:val="20"/>
                <w:szCs w:val="20"/>
                <w:highlight w:val="none"/>
                <w:lang w:eastAsia="zh-CN"/>
              </w:rPr>
              <w:t>四档</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lang w:eastAsia="zh-CN"/>
              </w:rPr>
              <w:t>15</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1"/>
                <w:sz w:val="20"/>
                <w:szCs w:val="20"/>
                <w:highlight w:val="none"/>
              </w:rPr>
              <w:t>分</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1"/>
                <w:sz w:val="20"/>
                <w:szCs w:val="20"/>
                <w:highlight w:val="none"/>
              </w:rPr>
              <w:t>技术说明和方案实施可行性高，对项目特点的针对性描述全面合理，完全满足本项目的总体要求，各目标切实可行且科学合理，可操作性强。</w:t>
            </w:r>
            <w:r>
              <w:rPr>
                <w:rFonts w:hint="eastAsia" w:ascii="宋体" w:hAnsi="宋体" w:eastAsia="宋体" w:cs="宋体"/>
                <w:color w:val="auto"/>
                <w:spacing w:val="-1"/>
                <w:sz w:val="20"/>
                <w:szCs w:val="20"/>
                <w:highlight w:val="none"/>
                <w:lang w:eastAsia="zh-CN"/>
              </w:rPr>
              <w:t>（提供项目布置图或平面图）</w:t>
            </w:r>
          </w:p>
          <w:p w14:paraId="3BD22DE5">
            <w:pPr>
              <w:pStyle w:val="10"/>
              <w:keepNext w:val="0"/>
              <w:keepLines w:val="0"/>
              <w:pageBreakBefore w:val="0"/>
              <w:widowControl/>
              <w:wordWrap/>
              <w:overflowPunct/>
              <w:topLinePunct w:val="0"/>
              <w:bidi w:val="0"/>
              <w:spacing w:before="0" w:beforeLines="50" w:after="0" w:afterLines="50" w:line="336" w:lineRule="auto"/>
              <w:ind w:left="42" w:leftChars="20" w:right="108" w:firstLine="39" w:firstLineChars="20"/>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lang w:eastAsia="zh-CN"/>
              </w:rPr>
              <w:t>三档</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lang w:eastAsia="zh-CN"/>
              </w:rPr>
              <w:t>11</w:t>
            </w:r>
            <w:r>
              <w:rPr>
                <w:rFonts w:hint="eastAsia" w:ascii="宋体" w:hAnsi="宋体" w:eastAsia="宋体" w:cs="宋体"/>
                <w:color w:val="auto"/>
                <w:spacing w:val="-2"/>
                <w:sz w:val="20"/>
                <w:szCs w:val="20"/>
                <w:highlight w:val="none"/>
              </w:rPr>
              <w:t>分</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2"/>
                <w:sz w:val="20"/>
                <w:szCs w:val="20"/>
                <w:highlight w:val="none"/>
              </w:rPr>
              <w:t>编制的技术说明和方案实施能满足项目</w:t>
            </w:r>
            <w:r>
              <w:rPr>
                <w:rFonts w:hint="eastAsia" w:ascii="宋体" w:hAnsi="宋体" w:eastAsia="宋体" w:cs="宋体"/>
                <w:color w:val="auto"/>
                <w:spacing w:val="-1"/>
                <w:sz w:val="20"/>
                <w:szCs w:val="20"/>
                <w:highlight w:val="none"/>
              </w:rPr>
              <w:t>需求，对项目实施具有可行性，满足本项目的总体要</w:t>
            </w:r>
            <w:r>
              <w:rPr>
                <w:rFonts w:hint="eastAsia" w:ascii="宋体" w:hAnsi="宋体" w:eastAsia="宋体" w:cs="宋体"/>
                <w:color w:val="auto"/>
                <w:spacing w:val="-3"/>
                <w:sz w:val="20"/>
                <w:szCs w:val="20"/>
                <w:highlight w:val="none"/>
              </w:rPr>
              <w:t>求，但缺乏针对性。</w:t>
            </w:r>
          </w:p>
          <w:p w14:paraId="7C137F0D">
            <w:pPr>
              <w:pStyle w:val="10"/>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pacing w:val="-1"/>
                <w:sz w:val="20"/>
                <w:szCs w:val="20"/>
                <w:highlight w:val="none"/>
              </w:rPr>
            </w:pPr>
            <w:r>
              <w:rPr>
                <w:rFonts w:hint="eastAsia" w:ascii="宋体" w:hAnsi="宋体" w:eastAsia="宋体" w:cs="宋体"/>
                <w:color w:val="auto"/>
                <w:sz w:val="20"/>
                <w:szCs w:val="20"/>
                <w:highlight w:val="none"/>
                <w:lang w:val="en-US" w:eastAsia="zh-CN"/>
              </w:rPr>
              <w:t>二档</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4"/>
                <w:sz w:val="20"/>
                <w:szCs w:val="20"/>
                <w:highlight w:val="none"/>
                <w:lang w:eastAsia="zh-CN"/>
              </w:rPr>
              <w:t>7</w:t>
            </w:r>
            <w:r>
              <w:rPr>
                <w:rFonts w:hint="eastAsia" w:ascii="宋体" w:hAnsi="宋体" w:eastAsia="宋体" w:cs="宋体"/>
                <w:color w:val="auto"/>
                <w:spacing w:val="-4"/>
                <w:sz w:val="20"/>
                <w:szCs w:val="20"/>
                <w:highlight w:val="none"/>
              </w:rPr>
              <w:t>分</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4"/>
                <w:sz w:val="20"/>
                <w:szCs w:val="20"/>
                <w:highlight w:val="none"/>
              </w:rPr>
              <w:t>技术说明和方案实施能满足项目需求，</w:t>
            </w:r>
            <w:r>
              <w:rPr>
                <w:rFonts w:hint="eastAsia" w:ascii="宋体" w:hAnsi="宋体" w:eastAsia="宋体" w:cs="宋体"/>
                <w:color w:val="auto"/>
                <w:sz w:val="20"/>
                <w:szCs w:val="20"/>
                <w:highlight w:val="none"/>
              </w:rPr>
              <w:t>对项目特点</w:t>
            </w:r>
            <w:r>
              <w:rPr>
                <w:rFonts w:hint="eastAsia" w:ascii="宋体" w:hAnsi="宋体" w:eastAsia="宋体" w:cs="宋体"/>
                <w:color w:val="auto"/>
                <w:spacing w:val="-1"/>
                <w:sz w:val="20"/>
                <w:szCs w:val="20"/>
                <w:highlight w:val="none"/>
              </w:rPr>
              <w:t>有针对性的描述，满足本项目的总体要求，各目标可行合理。</w:t>
            </w:r>
          </w:p>
          <w:p w14:paraId="77214248">
            <w:pPr>
              <w:pStyle w:val="10"/>
              <w:keepNext w:val="0"/>
              <w:keepLines w:val="0"/>
              <w:pageBreakBefore w:val="0"/>
              <w:widowControl/>
              <w:wordWrap/>
              <w:overflowPunct/>
              <w:topLinePunct w:val="0"/>
              <w:bidi w:val="0"/>
              <w:spacing w:before="0" w:beforeLines="50" w:after="0" w:afterLines="50" w:line="336" w:lineRule="auto"/>
              <w:ind w:left="42" w:leftChars="20" w:right="108" w:firstLine="39" w:firstLineChars="20"/>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一档：（3分）编制的技术说明和方案差，对项目特点没有针对性，不能满足本项目的总体要求，各目标不可行不合理。</w:t>
            </w:r>
          </w:p>
        </w:tc>
        <w:tc>
          <w:tcPr>
            <w:tcW w:w="752" w:type="dxa"/>
            <w:vAlign w:val="top"/>
          </w:tcPr>
          <w:p w14:paraId="70A9BAC5">
            <w:pPr>
              <w:spacing w:line="278" w:lineRule="auto"/>
              <w:rPr>
                <w:rFonts w:ascii="Arial"/>
                <w:color w:val="auto"/>
                <w:sz w:val="21"/>
                <w:highlight w:val="none"/>
              </w:rPr>
            </w:pPr>
          </w:p>
          <w:p w14:paraId="6AA3495B">
            <w:pPr>
              <w:spacing w:line="278" w:lineRule="auto"/>
              <w:rPr>
                <w:rFonts w:ascii="Arial"/>
                <w:color w:val="auto"/>
                <w:sz w:val="21"/>
                <w:highlight w:val="none"/>
              </w:rPr>
            </w:pPr>
          </w:p>
          <w:p w14:paraId="7354DD4A">
            <w:pPr>
              <w:spacing w:line="278" w:lineRule="auto"/>
              <w:rPr>
                <w:rFonts w:ascii="Arial"/>
                <w:color w:val="auto"/>
                <w:sz w:val="21"/>
                <w:highlight w:val="none"/>
              </w:rPr>
            </w:pPr>
          </w:p>
          <w:p w14:paraId="6691D643">
            <w:pPr>
              <w:spacing w:line="278" w:lineRule="auto"/>
              <w:rPr>
                <w:rFonts w:ascii="Arial"/>
                <w:color w:val="auto"/>
                <w:sz w:val="21"/>
                <w:highlight w:val="none"/>
              </w:rPr>
            </w:pPr>
          </w:p>
          <w:p w14:paraId="57200CE4">
            <w:pPr>
              <w:spacing w:line="279" w:lineRule="auto"/>
              <w:rPr>
                <w:rFonts w:ascii="Arial"/>
                <w:color w:val="auto"/>
                <w:sz w:val="21"/>
                <w:highlight w:val="none"/>
              </w:rPr>
            </w:pPr>
          </w:p>
          <w:p w14:paraId="0C6C77C4">
            <w:pPr>
              <w:spacing w:line="279" w:lineRule="auto"/>
              <w:rPr>
                <w:rFonts w:ascii="Arial"/>
                <w:color w:val="auto"/>
                <w:sz w:val="21"/>
                <w:highlight w:val="none"/>
              </w:rPr>
            </w:pPr>
          </w:p>
          <w:p w14:paraId="249733E1">
            <w:pPr>
              <w:pStyle w:val="10"/>
              <w:spacing w:before="65" w:line="228" w:lineRule="auto"/>
              <w:rPr>
                <w:color w:val="auto"/>
                <w:highlight w:val="none"/>
              </w:rPr>
            </w:pPr>
            <w:r>
              <w:rPr>
                <w:rFonts w:hint="eastAsia"/>
                <w:color w:val="auto"/>
                <w:spacing w:val="-3"/>
                <w:highlight w:val="none"/>
                <w:lang w:val="en-US" w:eastAsia="zh-CN"/>
              </w:rPr>
              <w:t>15</w:t>
            </w:r>
            <w:r>
              <w:rPr>
                <w:color w:val="auto"/>
                <w:spacing w:val="-38"/>
                <w:highlight w:val="none"/>
              </w:rPr>
              <w:t xml:space="preserve"> </w:t>
            </w:r>
            <w:r>
              <w:rPr>
                <w:color w:val="auto"/>
                <w:spacing w:val="-3"/>
                <w:highlight w:val="none"/>
              </w:rPr>
              <w:t>分</w:t>
            </w:r>
          </w:p>
        </w:tc>
      </w:tr>
      <w:tr w14:paraId="0D9F0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4" w:hRule="atLeast"/>
        </w:trPr>
        <w:tc>
          <w:tcPr>
            <w:tcW w:w="880" w:type="dxa"/>
            <w:vAlign w:val="top"/>
          </w:tcPr>
          <w:p w14:paraId="477D83B1">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eastAsia"/>
                <w:color w:val="auto"/>
                <w:highlight w:val="none"/>
                <w:lang w:val="en-US" w:eastAsia="zh-CN"/>
              </w:rPr>
            </w:pPr>
          </w:p>
          <w:p w14:paraId="6DAC6CAD">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eastAsia"/>
                <w:color w:val="auto"/>
                <w:highlight w:val="none"/>
                <w:lang w:val="en-US" w:eastAsia="zh-CN"/>
              </w:rPr>
            </w:pPr>
          </w:p>
          <w:p w14:paraId="23ECE672">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eastAsia"/>
                <w:color w:val="auto"/>
                <w:highlight w:val="none"/>
                <w:lang w:val="en-US" w:eastAsia="zh-CN"/>
              </w:rPr>
            </w:pPr>
          </w:p>
          <w:p w14:paraId="31DEA701">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eastAsia"/>
                <w:color w:val="auto"/>
                <w:highlight w:val="none"/>
                <w:lang w:val="en-US" w:eastAsia="zh-CN"/>
              </w:rPr>
            </w:pPr>
          </w:p>
          <w:p w14:paraId="47CD8910">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default" w:eastAsia="宋体"/>
                <w:color w:val="auto"/>
                <w:highlight w:val="none"/>
                <w:lang w:val="en-US" w:eastAsia="zh-CN"/>
              </w:rPr>
            </w:pPr>
            <w:r>
              <w:rPr>
                <w:rFonts w:hint="eastAsia"/>
                <w:color w:val="auto"/>
                <w:highlight w:val="none"/>
                <w:lang w:val="en-US" w:eastAsia="zh-CN"/>
              </w:rPr>
              <w:t>2.6</w:t>
            </w:r>
          </w:p>
        </w:tc>
        <w:tc>
          <w:tcPr>
            <w:tcW w:w="1187" w:type="dxa"/>
            <w:vAlign w:val="top"/>
          </w:tcPr>
          <w:p w14:paraId="2A42ACC5">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textAlignment w:val="baseline"/>
              <w:rPr>
                <w:rFonts w:hint="eastAsia"/>
                <w:color w:val="auto"/>
                <w:highlight w:val="none"/>
              </w:rPr>
            </w:pPr>
          </w:p>
          <w:p w14:paraId="307BBC85">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textAlignment w:val="baseline"/>
              <w:rPr>
                <w:rFonts w:hint="eastAsia"/>
                <w:color w:val="auto"/>
                <w:highlight w:val="none"/>
              </w:rPr>
            </w:pPr>
          </w:p>
          <w:p w14:paraId="53A9754E">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textAlignment w:val="baseline"/>
              <w:rPr>
                <w:rFonts w:hint="eastAsia"/>
                <w:color w:val="auto"/>
                <w:highlight w:val="none"/>
              </w:rPr>
            </w:pPr>
          </w:p>
          <w:p w14:paraId="27F92890">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textAlignment w:val="baseline"/>
              <w:rPr>
                <w:rFonts w:hint="eastAsia"/>
                <w:color w:val="auto"/>
                <w:highlight w:val="none"/>
              </w:rPr>
            </w:pPr>
          </w:p>
          <w:p w14:paraId="676EC1F7">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textAlignment w:val="baseline"/>
              <w:rPr>
                <w:rFonts w:hint="eastAsia"/>
                <w:color w:val="auto"/>
                <w:highlight w:val="none"/>
              </w:rPr>
            </w:pPr>
          </w:p>
          <w:p w14:paraId="15C88BCD">
            <w:pPr>
              <w:pStyle w:val="10"/>
              <w:keepNext w:val="0"/>
              <w:keepLines w:val="0"/>
              <w:pageBreakBefore w:val="0"/>
              <w:widowControl/>
              <w:kinsoku w:val="0"/>
              <w:wordWrap/>
              <w:overflowPunct/>
              <w:topLinePunct w:val="0"/>
              <w:autoSpaceDE w:val="0"/>
              <w:autoSpaceDN w:val="0"/>
              <w:bidi w:val="0"/>
              <w:adjustRightInd w:val="0"/>
              <w:snapToGrid w:val="0"/>
              <w:spacing w:line="31" w:lineRule="atLeast"/>
              <w:ind w:left="42" w:leftChars="20" w:right="108" w:firstLine="20" w:firstLineChars="10"/>
              <w:textAlignment w:val="baseline"/>
              <w:rPr>
                <w:rFonts w:hint="eastAsia"/>
                <w:color w:val="auto"/>
                <w:highlight w:val="none"/>
              </w:rPr>
            </w:pPr>
            <w:r>
              <w:rPr>
                <w:rFonts w:hint="eastAsia"/>
                <w:color w:val="auto"/>
                <w:highlight w:val="none"/>
              </w:rPr>
              <w:t>工作重点、难点分析</w:t>
            </w:r>
          </w:p>
        </w:tc>
        <w:tc>
          <w:tcPr>
            <w:tcW w:w="6803" w:type="dxa"/>
            <w:vAlign w:val="top"/>
          </w:tcPr>
          <w:p w14:paraId="57D60D74">
            <w:pPr>
              <w:pStyle w:val="10"/>
              <w:keepNext w:val="0"/>
              <w:keepLines w:val="0"/>
              <w:pageBreakBefore w:val="0"/>
              <w:widowControl/>
              <w:wordWrap/>
              <w:overflowPunct/>
              <w:topLinePunct w:val="0"/>
              <w:bidi w:val="0"/>
              <w:spacing w:before="0" w:beforeLines="50" w:after="0" w:afterLines="50" w:line="336" w:lineRule="auto"/>
              <w:ind w:left="42" w:leftChars="20" w:right="108" w:firstLine="39" w:firstLineChars="20"/>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针对本项目的特点，阐述本项目的重点和难点，解决</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
                <w:sz w:val="20"/>
                <w:szCs w:val="20"/>
                <w:highlight w:val="none"/>
              </w:rPr>
              <w:t>重点和难点问题的方法是否合理。</w:t>
            </w:r>
          </w:p>
          <w:p w14:paraId="69618E71">
            <w:pPr>
              <w:pStyle w:val="10"/>
              <w:keepNext w:val="0"/>
              <w:keepLines w:val="0"/>
              <w:pageBreakBefore w:val="0"/>
              <w:widowControl/>
              <w:wordWrap/>
              <w:overflowPunct/>
              <w:topLinePunct w:val="0"/>
              <w:bidi w:val="0"/>
              <w:spacing w:before="0" w:beforeLines="50" w:after="0" w:afterLines="50" w:line="336" w:lineRule="auto"/>
              <w:ind w:left="42" w:leftChars="20" w:right="108" w:firstLine="39" w:firstLineChars="20"/>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lang w:eastAsia="zh-CN"/>
              </w:rPr>
              <w:t>四档</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1"/>
                <w:sz w:val="20"/>
                <w:szCs w:val="20"/>
                <w:highlight w:val="none"/>
              </w:rPr>
              <w:t>（</w:t>
            </w:r>
            <w:r>
              <w:rPr>
                <w:rFonts w:hint="eastAsia" w:cs="宋体"/>
                <w:color w:val="auto"/>
                <w:spacing w:val="-1"/>
                <w:sz w:val="20"/>
                <w:szCs w:val="20"/>
                <w:highlight w:val="none"/>
                <w:lang w:val="en-US" w:eastAsia="zh-CN"/>
              </w:rPr>
              <w:t xml:space="preserve">7 </w:t>
            </w:r>
            <w:r>
              <w:rPr>
                <w:rFonts w:hint="eastAsia" w:ascii="宋体" w:hAnsi="宋体" w:eastAsia="宋体" w:cs="宋体"/>
                <w:color w:val="auto"/>
                <w:spacing w:val="-1"/>
                <w:sz w:val="20"/>
                <w:szCs w:val="20"/>
                <w:highlight w:val="none"/>
              </w:rPr>
              <w:t>分</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1"/>
                <w:sz w:val="20"/>
                <w:szCs w:val="20"/>
                <w:highlight w:val="none"/>
              </w:rPr>
              <w:t>针对本项目的特点，详细阐述了本项目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的重点和难点，解决重点和难点问题的方法科学合</w:t>
            </w:r>
            <w:r>
              <w:rPr>
                <w:rFonts w:hint="eastAsia" w:ascii="宋体" w:hAnsi="宋体" w:eastAsia="宋体" w:cs="宋体"/>
                <w:color w:val="auto"/>
                <w:spacing w:val="-2"/>
                <w:sz w:val="20"/>
                <w:szCs w:val="20"/>
                <w:highlight w:val="none"/>
              </w:rPr>
              <w:t>理，可操作性强，针对性强。</w:t>
            </w:r>
          </w:p>
          <w:p w14:paraId="69E29268">
            <w:pPr>
              <w:pStyle w:val="10"/>
              <w:keepNext w:val="0"/>
              <w:keepLines w:val="0"/>
              <w:pageBreakBefore w:val="0"/>
              <w:widowControl/>
              <w:wordWrap/>
              <w:overflowPunct/>
              <w:topLinePunct w:val="0"/>
              <w:bidi w:val="0"/>
              <w:spacing w:before="0" w:beforeLines="50" w:after="0" w:afterLines="50" w:line="336" w:lineRule="auto"/>
              <w:ind w:left="42" w:leftChars="20" w:right="108" w:firstLine="39" w:firstLineChars="20"/>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lang w:eastAsia="zh-CN"/>
              </w:rPr>
              <w:t>三档</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2"/>
                <w:sz w:val="20"/>
                <w:szCs w:val="20"/>
                <w:highlight w:val="none"/>
              </w:rPr>
              <w:t>（</w:t>
            </w:r>
            <w:r>
              <w:rPr>
                <w:rFonts w:hint="eastAsia" w:cs="宋体"/>
                <w:color w:val="auto"/>
                <w:spacing w:val="-2"/>
                <w:sz w:val="20"/>
                <w:szCs w:val="20"/>
                <w:highlight w:val="none"/>
                <w:lang w:val="en-US" w:eastAsia="zh-CN"/>
              </w:rPr>
              <w:t xml:space="preserve">5 </w:t>
            </w:r>
            <w:r>
              <w:rPr>
                <w:rFonts w:hint="eastAsia" w:ascii="宋体" w:hAnsi="宋体" w:eastAsia="宋体" w:cs="宋体"/>
                <w:color w:val="auto"/>
                <w:spacing w:val="-2"/>
                <w:sz w:val="20"/>
                <w:szCs w:val="20"/>
                <w:highlight w:val="none"/>
              </w:rPr>
              <w:t>分</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2"/>
                <w:sz w:val="20"/>
                <w:szCs w:val="20"/>
                <w:highlight w:val="none"/>
              </w:rPr>
              <w:t>针对本项目的特点，详细阐述了本项目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的重点和难点，解决重点和难点问题的方法科学合</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1"/>
                <w:sz w:val="20"/>
                <w:szCs w:val="20"/>
                <w:highlight w:val="none"/>
              </w:rPr>
              <w:t>理，可操作性强，但缺乏针对性。</w:t>
            </w:r>
          </w:p>
          <w:p w14:paraId="5EB6CCF7">
            <w:pPr>
              <w:pStyle w:val="10"/>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pacing w:val="-1"/>
                <w:sz w:val="20"/>
                <w:szCs w:val="20"/>
                <w:highlight w:val="none"/>
              </w:rPr>
            </w:pPr>
            <w:r>
              <w:rPr>
                <w:rFonts w:hint="eastAsia" w:ascii="宋体" w:hAnsi="宋体" w:eastAsia="宋体" w:cs="宋体"/>
                <w:color w:val="auto"/>
                <w:sz w:val="20"/>
                <w:szCs w:val="20"/>
                <w:highlight w:val="none"/>
                <w:lang w:val="en-US" w:eastAsia="zh-CN"/>
              </w:rPr>
              <w:t>二档</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rPr>
              <w:t>（</w:t>
            </w:r>
            <w:r>
              <w:rPr>
                <w:rFonts w:hint="eastAsia" w:cs="宋体"/>
                <w:color w:val="auto"/>
                <w:spacing w:val="-1"/>
                <w:sz w:val="20"/>
                <w:szCs w:val="20"/>
                <w:highlight w:val="none"/>
                <w:lang w:val="en-US" w:eastAsia="zh-CN"/>
              </w:rPr>
              <w:t>3</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1"/>
                <w:sz w:val="20"/>
                <w:szCs w:val="20"/>
                <w:highlight w:val="none"/>
              </w:rPr>
              <w:t>分</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rPr>
              <w:t>阐述了本项目的重点和难点，解决重点和难点问题的方法合理，满足项目要求，具备可操作性。</w:t>
            </w:r>
          </w:p>
          <w:p w14:paraId="29597720">
            <w:pPr>
              <w:pStyle w:val="10"/>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pacing w:val="-1"/>
                <w:sz w:val="20"/>
                <w:szCs w:val="20"/>
                <w:highlight w:val="none"/>
              </w:rPr>
            </w:pPr>
            <w:r>
              <w:rPr>
                <w:rFonts w:hint="eastAsia" w:ascii="宋体" w:hAnsi="宋体" w:eastAsia="宋体" w:cs="宋体"/>
                <w:color w:val="auto"/>
                <w:kern w:val="2"/>
                <w:sz w:val="20"/>
                <w:szCs w:val="20"/>
                <w:highlight w:val="none"/>
                <w:lang w:val="en-US" w:eastAsia="zh-CN"/>
              </w:rPr>
              <w:t>一档</w:t>
            </w:r>
            <w:r>
              <w:rPr>
                <w:rFonts w:hint="eastAsia" w:ascii="宋体" w:hAnsi="宋体" w:eastAsia="宋体" w:cs="宋体"/>
                <w:color w:val="auto"/>
                <w:spacing w:val="-1"/>
                <w:sz w:val="20"/>
                <w:szCs w:val="20"/>
                <w:highlight w:val="none"/>
              </w:rPr>
              <w:t>：（1分）未针对本项目的特点，未阐述了本项目的重点和难点，解决重点和难点问题的方法不合理。</w:t>
            </w:r>
          </w:p>
        </w:tc>
        <w:tc>
          <w:tcPr>
            <w:tcW w:w="752" w:type="dxa"/>
            <w:vAlign w:val="top"/>
          </w:tcPr>
          <w:p w14:paraId="6E67335C">
            <w:pPr>
              <w:pStyle w:val="10"/>
              <w:spacing w:before="65" w:line="228" w:lineRule="auto"/>
              <w:ind w:left="245"/>
              <w:rPr>
                <w:color w:val="auto"/>
                <w:spacing w:val="-3"/>
                <w:highlight w:val="none"/>
              </w:rPr>
            </w:pPr>
          </w:p>
          <w:p w14:paraId="4FF59867">
            <w:pPr>
              <w:pStyle w:val="10"/>
              <w:spacing w:before="65" w:line="228" w:lineRule="auto"/>
              <w:ind w:left="245"/>
              <w:rPr>
                <w:color w:val="auto"/>
                <w:spacing w:val="-3"/>
                <w:highlight w:val="none"/>
              </w:rPr>
            </w:pPr>
          </w:p>
          <w:p w14:paraId="6DC9BAD5">
            <w:pPr>
              <w:pStyle w:val="10"/>
              <w:spacing w:before="65" w:line="228" w:lineRule="auto"/>
              <w:ind w:left="245"/>
              <w:rPr>
                <w:color w:val="auto"/>
                <w:spacing w:val="-3"/>
                <w:highlight w:val="none"/>
              </w:rPr>
            </w:pPr>
          </w:p>
          <w:p w14:paraId="1AF0877F">
            <w:pPr>
              <w:pStyle w:val="10"/>
              <w:spacing w:before="65" w:line="228" w:lineRule="auto"/>
              <w:rPr>
                <w:color w:val="auto"/>
                <w:spacing w:val="-3"/>
                <w:highlight w:val="none"/>
              </w:rPr>
            </w:pPr>
          </w:p>
          <w:p w14:paraId="377B2689">
            <w:pPr>
              <w:pStyle w:val="10"/>
              <w:spacing w:before="65" w:line="228" w:lineRule="auto"/>
              <w:ind w:left="245"/>
              <w:rPr>
                <w:rFonts w:hint="default" w:eastAsia="宋体"/>
                <w:color w:val="auto"/>
                <w:spacing w:val="-3"/>
                <w:highlight w:val="none"/>
                <w:lang w:val="en-US" w:eastAsia="zh-CN"/>
              </w:rPr>
            </w:pPr>
            <w:r>
              <w:rPr>
                <w:rFonts w:hint="eastAsia"/>
                <w:color w:val="auto"/>
                <w:spacing w:val="-3"/>
                <w:highlight w:val="none"/>
                <w:lang w:val="en-US" w:eastAsia="zh-CN"/>
              </w:rPr>
              <w:t>7分</w:t>
            </w:r>
          </w:p>
        </w:tc>
      </w:tr>
      <w:tr w14:paraId="7DBA7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4" w:hRule="atLeast"/>
        </w:trPr>
        <w:tc>
          <w:tcPr>
            <w:tcW w:w="880" w:type="dxa"/>
            <w:vAlign w:val="top"/>
          </w:tcPr>
          <w:p w14:paraId="7E043BD1">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eastAsia"/>
                <w:color w:val="auto"/>
                <w:highlight w:val="none"/>
                <w:lang w:val="en-US" w:eastAsia="zh-CN"/>
              </w:rPr>
            </w:pPr>
          </w:p>
          <w:p w14:paraId="4F0AAB19">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eastAsia"/>
                <w:color w:val="auto"/>
                <w:highlight w:val="none"/>
                <w:lang w:val="en-US" w:eastAsia="zh-CN"/>
              </w:rPr>
            </w:pPr>
          </w:p>
          <w:p w14:paraId="35CABB06">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eastAsia"/>
                <w:color w:val="auto"/>
                <w:highlight w:val="none"/>
                <w:lang w:val="en-US" w:eastAsia="zh-CN"/>
              </w:rPr>
            </w:pPr>
          </w:p>
          <w:p w14:paraId="644C6678">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eastAsia"/>
                <w:color w:val="auto"/>
                <w:highlight w:val="none"/>
                <w:lang w:val="en-US" w:eastAsia="zh-CN"/>
              </w:rPr>
            </w:pPr>
          </w:p>
          <w:p w14:paraId="3300F883">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eastAsia"/>
                <w:color w:val="auto"/>
                <w:highlight w:val="none"/>
                <w:lang w:val="en-US" w:eastAsia="zh-CN"/>
              </w:rPr>
            </w:pPr>
          </w:p>
          <w:p w14:paraId="6EA7DD19">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0" w:firstLineChars="10"/>
              <w:textAlignment w:val="baseline"/>
              <w:rPr>
                <w:rFonts w:hint="default"/>
                <w:color w:val="auto"/>
                <w:highlight w:val="none"/>
                <w:lang w:val="en-US" w:eastAsia="zh-CN"/>
              </w:rPr>
            </w:pPr>
            <w:r>
              <w:rPr>
                <w:rFonts w:hint="eastAsia"/>
                <w:color w:val="auto"/>
                <w:highlight w:val="none"/>
                <w:lang w:val="en-US" w:eastAsia="zh-CN"/>
              </w:rPr>
              <w:t>2.7</w:t>
            </w:r>
          </w:p>
        </w:tc>
        <w:tc>
          <w:tcPr>
            <w:tcW w:w="1187" w:type="dxa"/>
            <w:vAlign w:val="top"/>
          </w:tcPr>
          <w:p w14:paraId="70BE0FB8">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1" w:firstLineChars="10"/>
              <w:textAlignment w:val="baseline"/>
              <w:rPr>
                <w:rFonts w:ascii="宋体" w:hAnsi="宋体" w:eastAsia="宋体" w:cs="宋体"/>
                <w:color w:val="auto"/>
                <w:sz w:val="21"/>
                <w:highlight w:val="none"/>
              </w:rPr>
            </w:pPr>
          </w:p>
          <w:p w14:paraId="191CD414">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1" w:firstLineChars="10"/>
              <w:textAlignment w:val="baseline"/>
              <w:rPr>
                <w:rFonts w:ascii="宋体" w:hAnsi="宋体" w:eastAsia="宋体" w:cs="宋体"/>
                <w:color w:val="auto"/>
                <w:sz w:val="21"/>
                <w:highlight w:val="none"/>
              </w:rPr>
            </w:pPr>
          </w:p>
          <w:p w14:paraId="3F12F033">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1" w:firstLineChars="10"/>
              <w:textAlignment w:val="baseline"/>
              <w:rPr>
                <w:rFonts w:ascii="宋体" w:hAnsi="宋体" w:eastAsia="宋体" w:cs="宋体"/>
                <w:color w:val="auto"/>
                <w:sz w:val="21"/>
                <w:highlight w:val="none"/>
              </w:rPr>
            </w:pPr>
          </w:p>
          <w:p w14:paraId="59C25009">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1" w:firstLineChars="10"/>
              <w:textAlignment w:val="baseline"/>
              <w:rPr>
                <w:rFonts w:ascii="宋体" w:hAnsi="宋体" w:eastAsia="宋体" w:cs="宋体"/>
                <w:color w:val="auto"/>
                <w:sz w:val="21"/>
                <w:highlight w:val="none"/>
              </w:rPr>
            </w:pPr>
          </w:p>
          <w:p w14:paraId="058C182C">
            <w:pPr>
              <w:pStyle w:val="10"/>
              <w:keepNext w:val="0"/>
              <w:keepLines w:val="0"/>
              <w:pageBreakBefore w:val="0"/>
              <w:widowControl/>
              <w:kinsoku w:val="0"/>
              <w:wordWrap/>
              <w:overflowPunct/>
              <w:topLinePunct w:val="0"/>
              <w:bidi w:val="0"/>
              <w:adjustRightInd w:val="0"/>
              <w:snapToGrid w:val="0"/>
              <w:spacing w:before="65" w:line="31" w:lineRule="atLeast"/>
              <w:ind w:left="42" w:leftChars="20" w:right="108" w:firstLine="21" w:firstLineChars="10"/>
              <w:textAlignment w:val="baseline"/>
              <w:rPr>
                <w:rFonts w:hint="default"/>
                <w:color w:val="auto"/>
                <w:highlight w:val="none"/>
                <w:lang w:val="en-US" w:eastAsia="zh-CN"/>
              </w:rPr>
            </w:pPr>
            <w:r>
              <w:rPr>
                <w:rFonts w:ascii="宋体" w:hAnsi="宋体" w:eastAsia="宋体" w:cs="宋体"/>
                <w:color w:val="auto"/>
                <w:sz w:val="21"/>
                <w:highlight w:val="none"/>
              </w:rPr>
              <w:t>工作依据、目标</w:t>
            </w:r>
          </w:p>
        </w:tc>
        <w:tc>
          <w:tcPr>
            <w:tcW w:w="6803" w:type="dxa"/>
            <w:vAlign w:val="top"/>
          </w:tcPr>
          <w:p w14:paraId="3907F813">
            <w:pPr>
              <w:pStyle w:val="10"/>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四档</w:t>
            </w:r>
            <w:r>
              <w:rPr>
                <w:rFonts w:hint="eastAsia" w:ascii="宋体" w:hAnsi="宋体" w:eastAsia="宋体" w:cs="宋体"/>
                <w:color w:val="auto"/>
                <w:spacing w:val="-6"/>
                <w:sz w:val="20"/>
                <w:szCs w:val="20"/>
                <w:highlight w:val="none"/>
              </w:rPr>
              <w:t>：</w:t>
            </w:r>
            <w:r>
              <w:rPr>
                <w:rFonts w:hint="eastAsia" w:ascii="宋体" w:hAnsi="宋体" w:eastAsia="宋体" w:cs="宋体"/>
                <w:color w:val="auto"/>
                <w:sz w:val="20"/>
                <w:szCs w:val="20"/>
                <w:highlight w:val="none"/>
              </w:rPr>
              <w:t>（</w:t>
            </w:r>
            <w:r>
              <w:rPr>
                <w:rFonts w:hint="eastAsia" w:cs="宋体"/>
                <w:color w:val="auto"/>
                <w:sz w:val="20"/>
                <w:szCs w:val="20"/>
                <w:highlight w:val="none"/>
                <w:lang w:val="en-US" w:eastAsia="zh-CN"/>
              </w:rPr>
              <w:t>6</w:t>
            </w:r>
            <w:r>
              <w:rPr>
                <w:rFonts w:hint="eastAsia" w:ascii="宋体" w:hAnsi="宋体" w:eastAsia="宋体" w:cs="宋体"/>
                <w:color w:val="auto"/>
                <w:sz w:val="20"/>
                <w:szCs w:val="20"/>
                <w:highlight w:val="none"/>
              </w:rPr>
              <w:t>分</w:t>
            </w:r>
            <w:r>
              <w:rPr>
                <w:rFonts w:hint="eastAsia" w:ascii="宋体" w:hAnsi="宋体" w:eastAsia="宋体" w:cs="宋体"/>
                <w:color w:val="auto"/>
                <w:spacing w:val="-6"/>
                <w:sz w:val="20"/>
                <w:szCs w:val="20"/>
                <w:highlight w:val="none"/>
              </w:rPr>
              <w:t>）</w:t>
            </w:r>
            <w:r>
              <w:rPr>
                <w:rFonts w:hint="eastAsia" w:ascii="宋体" w:hAnsi="宋体" w:eastAsia="宋体" w:cs="宋体"/>
                <w:color w:val="auto"/>
                <w:sz w:val="20"/>
                <w:szCs w:val="20"/>
                <w:highlight w:val="none"/>
              </w:rPr>
              <w:t>编制的工作依据、目标完全符合项</w:t>
            </w:r>
            <w:r>
              <w:rPr>
                <w:rFonts w:hint="eastAsia" w:ascii="宋体" w:hAnsi="宋体" w:eastAsia="宋体" w:cs="宋体"/>
                <w:color w:val="auto"/>
                <w:spacing w:val="-1"/>
                <w:sz w:val="20"/>
                <w:szCs w:val="20"/>
                <w:highlight w:val="none"/>
              </w:rPr>
              <w:t>目实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际，提出了合理性建议和深化优化建议，表述内容详</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尽周密，针对性措施强</w:t>
            </w:r>
            <w:r>
              <w:rPr>
                <w:rFonts w:hint="eastAsia" w:ascii="宋体" w:hAnsi="宋体" w:eastAsia="宋体" w:cs="宋体"/>
                <w:color w:val="auto"/>
                <w:sz w:val="20"/>
                <w:szCs w:val="20"/>
                <w:highlight w:val="none"/>
              </w:rPr>
              <w:t>且科学合理，可操性强。</w:t>
            </w:r>
          </w:p>
          <w:p w14:paraId="2A061172">
            <w:pPr>
              <w:pStyle w:val="10"/>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三档</w:t>
            </w:r>
            <w:r>
              <w:rPr>
                <w:rFonts w:hint="eastAsia" w:ascii="宋体" w:hAnsi="宋体" w:eastAsia="宋体" w:cs="宋体"/>
                <w:color w:val="auto"/>
                <w:sz w:val="20"/>
                <w:szCs w:val="20"/>
                <w:highlight w:val="none"/>
              </w:rPr>
              <w:t>：（</w:t>
            </w:r>
            <w:r>
              <w:rPr>
                <w:rFonts w:hint="eastAsia" w:cs="宋体"/>
                <w:color w:val="auto"/>
                <w:sz w:val="20"/>
                <w:szCs w:val="20"/>
                <w:highlight w:val="none"/>
                <w:lang w:val="en-US" w:eastAsia="zh-CN"/>
              </w:rPr>
              <w:t>4</w:t>
            </w:r>
            <w:r>
              <w:rPr>
                <w:rFonts w:hint="eastAsia" w:ascii="宋体" w:hAnsi="宋体" w:eastAsia="宋体" w:cs="宋体"/>
                <w:color w:val="auto"/>
                <w:sz w:val="20"/>
                <w:szCs w:val="20"/>
                <w:highlight w:val="none"/>
              </w:rPr>
              <w:t xml:space="preserve"> 分）编制的工作依据、目标符合项目实际，表述内容详尽周密，且科学合理，具有一定可操作性，但缺乏针对性。</w:t>
            </w:r>
          </w:p>
          <w:p w14:paraId="2E707E31">
            <w:pPr>
              <w:pStyle w:val="12"/>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kern w:val="2"/>
                <w:sz w:val="20"/>
                <w:szCs w:val="20"/>
                <w:highlight w:val="none"/>
                <w:lang w:val="en-US" w:eastAsia="en-US"/>
              </w:rPr>
            </w:pPr>
            <w:r>
              <w:rPr>
                <w:rFonts w:hint="eastAsia" w:ascii="宋体" w:hAnsi="宋体" w:eastAsia="宋体" w:cs="宋体"/>
                <w:color w:val="auto"/>
                <w:kern w:val="2"/>
                <w:sz w:val="20"/>
                <w:szCs w:val="20"/>
                <w:highlight w:val="none"/>
                <w:lang w:val="en-US" w:eastAsia="en-US"/>
              </w:rPr>
              <w:t>二档：（</w:t>
            </w:r>
            <w:r>
              <w:rPr>
                <w:rFonts w:hint="eastAsia" w:ascii="宋体" w:hAnsi="宋体" w:eastAsia="宋体" w:cs="宋体"/>
                <w:color w:val="auto"/>
                <w:kern w:val="2"/>
                <w:sz w:val="20"/>
                <w:szCs w:val="20"/>
                <w:highlight w:val="none"/>
                <w:lang w:val="en-US" w:eastAsia="zh-CN"/>
              </w:rPr>
              <w:t>2</w:t>
            </w:r>
            <w:r>
              <w:rPr>
                <w:rFonts w:hint="eastAsia" w:ascii="宋体" w:hAnsi="宋体" w:eastAsia="宋体" w:cs="宋体"/>
                <w:color w:val="auto"/>
                <w:kern w:val="2"/>
                <w:sz w:val="20"/>
                <w:szCs w:val="20"/>
                <w:highlight w:val="none"/>
                <w:lang w:val="en-US" w:eastAsia="en-US"/>
              </w:rPr>
              <w:t xml:space="preserve"> 分）编制的工作依据、目标符合项目实际， 表述内容能满足项目要求。</w:t>
            </w:r>
          </w:p>
          <w:p w14:paraId="06630901">
            <w:pPr>
              <w:pStyle w:val="10"/>
              <w:keepNext w:val="0"/>
              <w:keepLines w:val="0"/>
              <w:pageBreakBefore w:val="0"/>
              <w:widowControl/>
              <w:wordWrap/>
              <w:overflowPunct/>
              <w:topLinePunct w:val="0"/>
              <w:bidi w:val="0"/>
              <w:spacing w:before="0" w:beforeLines="50" w:after="0" w:afterLines="50" w:line="336" w:lineRule="auto"/>
              <w:ind w:left="42" w:leftChars="20" w:right="108" w:firstLine="40" w:firstLineChars="20"/>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2"/>
                <w:sz w:val="20"/>
                <w:szCs w:val="20"/>
                <w:highlight w:val="none"/>
                <w:lang w:val="en-US" w:eastAsia="zh-CN"/>
              </w:rPr>
              <w:t>一档</w:t>
            </w:r>
            <w:r>
              <w:rPr>
                <w:rFonts w:hint="eastAsia" w:ascii="宋体" w:hAnsi="宋体" w:eastAsia="宋体" w:cs="宋体"/>
                <w:color w:val="auto"/>
                <w:kern w:val="2"/>
                <w:sz w:val="20"/>
                <w:szCs w:val="20"/>
                <w:highlight w:val="none"/>
                <w:lang w:val="en-US" w:eastAsia="en-US"/>
              </w:rPr>
              <w:t>：（1分）编制的工作依据、目标表述的内容存在较多欠缺、不符合实际、不可行。</w:t>
            </w:r>
          </w:p>
        </w:tc>
        <w:tc>
          <w:tcPr>
            <w:tcW w:w="752" w:type="dxa"/>
            <w:vAlign w:val="top"/>
          </w:tcPr>
          <w:p w14:paraId="3F5AD352">
            <w:pPr>
              <w:pStyle w:val="10"/>
              <w:spacing w:before="65" w:line="228" w:lineRule="auto"/>
              <w:ind w:left="245"/>
              <w:rPr>
                <w:rFonts w:hint="eastAsia"/>
                <w:color w:val="auto"/>
                <w:highlight w:val="none"/>
                <w:lang w:val="en-US" w:eastAsia="zh-CN"/>
              </w:rPr>
            </w:pPr>
          </w:p>
          <w:p w14:paraId="7A199207">
            <w:pPr>
              <w:pStyle w:val="10"/>
              <w:spacing w:before="65" w:line="228" w:lineRule="auto"/>
              <w:ind w:left="245"/>
              <w:rPr>
                <w:rFonts w:hint="eastAsia"/>
                <w:color w:val="auto"/>
                <w:highlight w:val="none"/>
                <w:lang w:val="en-US" w:eastAsia="zh-CN"/>
              </w:rPr>
            </w:pPr>
          </w:p>
          <w:p w14:paraId="31233CB6">
            <w:pPr>
              <w:pStyle w:val="10"/>
              <w:spacing w:before="65" w:line="228" w:lineRule="auto"/>
              <w:ind w:left="245"/>
              <w:rPr>
                <w:rFonts w:hint="eastAsia"/>
                <w:color w:val="auto"/>
                <w:highlight w:val="none"/>
                <w:lang w:val="en-US" w:eastAsia="zh-CN"/>
              </w:rPr>
            </w:pPr>
          </w:p>
          <w:p w14:paraId="635E7C32">
            <w:pPr>
              <w:pStyle w:val="10"/>
              <w:spacing w:before="65" w:line="228" w:lineRule="auto"/>
              <w:ind w:left="245"/>
              <w:rPr>
                <w:rFonts w:hint="eastAsia"/>
                <w:color w:val="auto"/>
                <w:highlight w:val="none"/>
                <w:lang w:val="en-US" w:eastAsia="zh-CN"/>
              </w:rPr>
            </w:pPr>
          </w:p>
          <w:p w14:paraId="7A2037E6">
            <w:pPr>
              <w:pStyle w:val="10"/>
              <w:spacing w:before="65" w:line="228" w:lineRule="auto"/>
              <w:ind w:left="245"/>
              <w:rPr>
                <w:rFonts w:hint="eastAsia"/>
                <w:color w:val="auto"/>
                <w:highlight w:val="none"/>
                <w:lang w:val="en-US" w:eastAsia="zh-CN"/>
              </w:rPr>
            </w:pPr>
          </w:p>
          <w:p w14:paraId="2FFE7026">
            <w:pPr>
              <w:pStyle w:val="10"/>
              <w:spacing w:before="65" w:line="228" w:lineRule="auto"/>
              <w:ind w:left="245"/>
              <w:rPr>
                <w:rFonts w:hint="default"/>
                <w:color w:val="auto"/>
                <w:highlight w:val="none"/>
                <w:lang w:val="en-US" w:eastAsia="zh-CN"/>
              </w:rPr>
            </w:pPr>
            <w:r>
              <w:rPr>
                <w:rFonts w:hint="eastAsia"/>
                <w:color w:val="auto"/>
                <w:highlight w:val="none"/>
                <w:lang w:val="en-US" w:eastAsia="zh-CN"/>
              </w:rPr>
              <w:t>6分</w:t>
            </w:r>
          </w:p>
        </w:tc>
      </w:tr>
      <w:tr w14:paraId="24385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0" w:type="dxa"/>
            <w:vAlign w:val="top"/>
          </w:tcPr>
          <w:p w14:paraId="72C2B857">
            <w:pPr>
              <w:pStyle w:val="10"/>
              <w:spacing w:before="286" w:line="189" w:lineRule="auto"/>
              <w:ind w:left="305"/>
              <w:rPr>
                <w:color w:val="auto"/>
                <w:highlight w:val="none"/>
              </w:rPr>
            </w:pPr>
            <w:r>
              <w:rPr>
                <w:b/>
                <w:bCs/>
                <w:color w:val="auto"/>
                <w:spacing w:val="-3"/>
                <w:highlight w:val="none"/>
              </w:rPr>
              <w:t>3</w:t>
            </w:r>
          </w:p>
        </w:tc>
        <w:tc>
          <w:tcPr>
            <w:tcW w:w="1187" w:type="dxa"/>
            <w:vAlign w:val="top"/>
          </w:tcPr>
          <w:p w14:paraId="3A358100">
            <w:pPr>
              <w:pStyle w:val="10"/>
              <w:spacing w:before="253" w:line="228" w:lineRule="auto"/>
              <w:ind w:left="272"/>
              <w:rPr>
                <w:color w:val="auto"/>
                <w:highlight w:val="none"/>
              </w:rPr>
            </w:pPr>
            <w:r>
              <w:rPr>
                <w:b/>
                <w:bCs/>
                <w:color w:val="auto"/>
                <w:spacing w:val="4"/>
                <w:highlight w:val="none"/>
              </w:rPr>
              <w:t>商务分</w:t>
            </w:r>
          </w:p>
        </w:tc>
        <w:tc>
          <w:tcPr>
            <w:tcW w:w="6803" w:type="dxa"/>
            <w:vAlign w:val="top"/>
          </w:tcPr>
          <w:p w14:paraId="10B700BC">
            <w:pPr>
              <w:pStyle w:val="10"/>
              <w:spacing w:before="253" w:line="228" w:lineRule="auto"/>
              <w:ind w:left="3157"/>
              <w:rPr>
                <w:color w:val="auto"/>
                <w:highlight w:val="none"/>
              </w:rPr>
            </w:pPr>
            <w:r>
              <w:rPr>
                <w:b/>
                <w:bCs/>
                <w:color w:val="auto"/>
                <w:spacing w:val="6"/>
                <w:highlight w:val="none"/>
              </w:rPr>
              <w:t>评审因素</w:t>
            </w:r>
          </w:p>
        </w:tc>
        <w:tc>
          <w:tcPr>
            <w:tcW w:w="752" w:type="dxa"/>
            <w:vAlign w:val="top"/>
          </w:tcPr>
          <w:p w14:paraId="6CB6005B">
            <w:pPr>
              <w:pStyle w:val="10"/>
              <w:spacing w:before="254" w:line="228" w:lineRule="auto"/>
              <w:ind w:left="193"/>
              <w:rPr>
                <w:color w:val="auto"/>
                <w:highlight w:val="none"/>
              </w:rPr>
            </w:pPr>
            <w:r>
              <w:rPr>
                <w:rFonts w:hint="eastAsia"/>
                <w:b/>
                <w:bCs/>
                <w:color w:val="auto"/>
                <w:spacing w:val="-3"/>
                <w:highlight w:val="none"/>
                <w:lang w:val="en-US" w:eastAsia="zh-CN"/>
              </w:rPr>
              <w:t>34</w:t>
            </w:r>
            <w:r>
              <w:rPr>
                <w:b/>
                <w:bCs/>
                <w:color w:val="auto"/>
                <w:spacing w:val="-3"/>
                <w:highlight w:val="none"/>
              </w:rPr>
              <w:t>分</w:t>
            </w:r>
          </w:p>
        </w:tc>
      </w:tr>
      <w:tr w14:paraId="46499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0" w:hRule="atLeast"/>
        </w:trPr>
        <w:tc>
          <w:tcPr>
            <w:tcW w:w="880" w:type="dxa"/>
            <w:vAlign w:val="top"/>
          </w:tcPr>
          <w:p w14:paraId="6148A081">
            <w:pPr>
              <w:spacing w:line="254" w:lineRule="auto"/>
              <w:rPr>
                <w:rFonts w:ascii="Arial"/>
                <w:color w:val="auto"/>
                <w:sz w:val="21"/>
                <w:highlight w:val="none"/>
              </w:rPr>
            </w:pPr>
          </w:p>
          <w:p w14:paraId="09FAABC3">
            <w:pPr>
              <w:spacing w:line="254" w:lineRule="auto"/>
              <w:rPr>
                <w:rFonts w:ascii="Arial"/>
                <w:color w:val="auto"/>
                <w:sz w:val="21"/>
                <w:highlight w:val="none"/>
              </w:rPr>
            </w:pPr>
          </w:p>
          <w:p w14:paraId="5F92708F">
            <w:pPr>
              <w:spacing w:line="255" w:lineRule="auto"/>
              <w:rPr>
                <w:rFonts w:ascii="Arial"/>
                <w:color w:val="auto"/>
                <w:sz w:val="21"/>
                <w:highlight w:val="none"/>
              </w:rPr>
            </w:pPr>
          </w:p>
          <w:p w14:paraId="6A04484A">
            <w:pPr>
              <w:spacing w:line="255" w:lineRule="auto"/>
              <w:rPr>
                <w:rFonts w:ascii="Arial"/>
                <w:color w:val="auto"/>
                <w:sz w:val="21"/>
                <w:highlight w:val="none"/>
              </w:rPr>
            </w:pPr>
          </w:p>
          <w:p w14:paraId="71A598EC">
            <w:pPr>
              <w:spacing w:line="255" w:lineRule="auto"/>
              <w:rPr>
                <w:rFonts w:ascii="Arial"/>
                <w:color w:val="auto"/>
                <w:sz w:val="21"/>
                <w:highlight w:val="none"/>
              </w:rPr>
            </w:pPr>
          </w:p>
          <w:p w14:paraId="34CCB5B4">
            <w:pPr>
              <w:spacing w:line="255" w:lineRule="auto"/>
              <w:rPr>
                <w:rFonts w:ascii="Arial"/>
                <w:color w:val="auto"/>
                <w:sz w:val="21"/>
                <w:highlight w:val="none"/>
              </w:rPr>
            </w:pPr>
          </w:p>
          <w:p w14:paraId="3DDD01FD">
            <w:pPr>
              <w:spacing w:line="255" w:lineRule="auto"/>
              <w:rPr>
                <w:rFonts w:ascii="Arial"/>
                <w:color w:val="auto"/>
                <w:sz w:val="21"/>
                <w:highlight w:val="none"/>
              </w:rPr>
            </w:pPr>
          </w:p>
          <w:p w14:paraId="7AC95735">
            <w:pPr>
              <w:spacing w:line="255" w:lineRule="auto"/>
              <w:rPr>
                <w:rFonts w:ascii="Arial"/>
                <w:color w:val="auto"/>
                <w:sz w:val="21"/>
                <w:highlight w:val="none"/>
              </w:rPr>
            </w:pPr>
          </w:p>
          <w:p w14:paraId="0919D49E">
            <w:pPr>
              <w:spacing w:line="255" w:lineRule="auto"/>
              <w:rPr>
                <w:rFonts w:ascii="Arial"/>
                <w:color w:val="auto"/>
                <w:sz w:val="21"/>
                <w:highlight w:val="none"/>
              </w:rPr>
            </w:pPr>
          </w:p>
          <w:p w14:paraId="639FCB46">
            <w:pPr>
              <w:pStyle w:val="10"/>
              <w:spacing w:before="65" w:line="190" w:lineRule="auto"/>
              <w:ind w:left="120"/>
              <w:jc w:val="center"/>
              <w:rPr>
                <w:color w:val="auto"/>
                <w:highlight w:val="none"/>
              </w:rPr>
            </w:pPr>
            <w:r>
              <w:rPr>
                <w:color w:val="auto"/>
                <w:spacing w:val="1"/>
                <w:highlight w:val="none"/>
              </w:rPr>
              <w:t>3.1</w:t>
            </w:r>
          </w:p>
        </w:tc>
        <w:tc>
          <w:tcPr>
            <w:tcW w:w="1187" w:type="dxa"/>
            <w:vAlign w:val="top"/>
          </w:tcPr>
          <w:p w14:paraId="15411C26">
            <w:pPr>
              <w:spacing w:line="251" w:lineRule="auto"/>
              <w:rPr>
                <w:rFonts w:ascii="Arial"/>
                <w:color w:val="auto"/>
                <w:sz w:val="21"/>
                <w:highlight w:val="none"/>
              </w:rPr>
            </w:pPr>
          </w:p>
          <w:p w14:paraId="4C45CDF1">
            <w:pPr>
              <w:spacing w:line="251" w:lineRule="auto"/>
              <w:rPr>
                <w:rFonts w:ascii="Arial"/>
                <w:color w:val="auto"/>
                <w:sz w:val="21"/>
                <w:highlight w:val="none"/>
              </w:rPr>
            </w:pPr>
          </w:p>
          <w:p w14:paraId="3CAE7888">
            <w:pPr>
              <w:spacing w:line="251" w:lineRule="auto"/>
              <w:rPr>
                <w:rFonts w:ascii="Arial"/>
                <w:color w:val="auto"/>
                <w:sz w:val="21"/>
                <w:highlight w:val="none"/>
              </w:rPr>
            </w:pPr>
          </w:p>
          <w:p w14:paraId="7A4E4684">
            <w:pPr>
              <w:spacing w:line="251" w:lineRule="auto"/>
              <w:rPr>
                <w:rFonts w:ascii="Arial"/>
                <w:color w:val="auto"/>
                <w:sz w:val="21"/>
                <w:highlight w:val="none"/>
              </w:rPr>
            </w:pPr>
          </w:p>
          <w:p w14:paraId="66C4293A">
            <w:pPr>
              <w:spacing w:line="251" w:lineRule="auto"/>
              <w:rPr>
                <w:rFonts w:ascii="Arial"/>
                <w:color w:val="auto"/>
                <w:sz w:val="21"/>
                <w:highlight w:val="none"/>
              </w:rPr>
            </w:pPr>
          </w:p>
          <w:p w14:paraId="45152902">
            <w:pPr>
              <w:spacing w:line="251" w:lineRule="auto"/>
              <w:rPr>
                <w:rFonts w:ascii="Arial"/>
                <w:color w:val="auto"/>
                <w:sz w:val="21"/>
                <w:highlight w:val="none"/>
              </w:rPr>
            </w:pPr>
          </w:p>
          <w:p w14:paraId="4E6C2F45">
            <w:pPr>
              <w:spacing w:line="252" w:lineRule="auto"/>
              <w:rPr>
                <w:rFonts w:ascii="Arial"/>
                <w:color w:val="auto"/>
                <w:sz w:val="21"/>
                <w:highlight w:val="none"/>
              </w:rPr>
            </w:pPr>
          </w:p>
          <w:p w14:paraId="070518EF">
            <w:pPr>
              <w:spacing w:line="252" w:lineRule="auto"/>
              <w:rPr>
                <w:rFonts w:ascii="Arial"/>
                <w:color w:val="auto"/>
                <w:sz w:val="21"/>
                <w:highlight w:val="none"/>
              </w:rPr>
            </w:pPr>
          </w:p>
          <w:p w14:paraId="79A48AC9">
            <w:pPr>
              <w:spacing w:line="252" w:lineRule="auto"/>
              <w:rPr>
                <w:rFonts w:ascii="Arial"/>
                <w:color w:val="auto"/>
                <w:sz w:val="21"/>
                <w:highlight w:val="none"/>
              </w:rPr>
            </w:pPr>
          </w:p>
          <w:p w14:paraId="5F0C1420">
            <w:pPr>
              <w:pStyle w:val="10"/>
              <w:spacing w:before="65" w:line="228" w:lineRule="auto"/>
              <w:ind w:left="267"/>
              <w:rPr>
                <w:color w:val="auto"/>
                <w:highlight w:val="none"/>
              </w:rPr>
            </w:pPr>
            <w:r>
              <w:rPr>
                <w:color w:val="auto"/>
                <w:spacing w:val="7"/>
                <w:highlight w:val="none"/>
              </w:rPr>
              <w:t>业绩分</w:t>
            </w:r>
          </w:p>
        </w:tc>
        <w:tc>
          <w:tcPr>
            <w:tcW w:w="6803" w:type="dxa"/>
            <w:vAlign w:val="top"/>
          </w:tcPr>
          <w:p w14:paraId="6EAEAF9F">
            <w:pPr>
              <w:pStyle w:val="10"/>
              <w:spacing w:before="137" w:line="370" w:lineRule="auto"/>
              <w:ind w:left="112" w:right="106" w:firstLine="15"/>
              <w:jc w:val="both"/>
              <w:rPr>
                <w:color w:val="auto"/>
                <w:highlight w:val="none"/>
              </w:rPr>
            </w:pPr>
            <w:r>
              <w:rPr>
                <w:color w:val="auto"/>
                <w:spacing w:val="4"/>
                <w:highlight w:val="none"/>
              </w:rPr>
              <w:t>1、</w:t>
            </w:r>
            <w:r>
              <w:rPr>
                <w:rFonts w:hint="eastAsia"/>
                <w:color w:val="auto"/>
                <w:spacing w:val="4"/>
                <w:highlight w:val="none"/>
                <w:lang w:val="en-US" w:eastAsia="zh-CN"/>
              </w:rPr>
              <w:t>供应商</w:t>
            </w:r>
            <w:r>
              <w:rPr>
                <w:color w:val="auto"/>
                <w:spacing w:val="4"/>
                <w:highlight w:val="none"/>
              </w:rPr>
              <w:t>自</w:t>
            </w:r>
            <w:r>
              <w:rPr>
                <w:color w:val="auto"/>
                <w:spacing w:val="-32"/>
                <w:highlight w:val="none"/>
              </w:rPr>
              <w:t xml:space="preserve"> </w:t>
            </w:r>
            <w:r>
              <w:rPr>
                <w:color w:val="auto"/>
                <w:spacing w:val="4"/>
                <w:highlight w:val="none"/>
              </w:rPr>
              <w:t>202</w:t>
            </w:r>
            <w:r>
              <w:rPr>
                <w:rFonts w:hint="eastAsia"/>
                <w:color w:val="auto"/>
                <w:spacing w:val="4"/>
                <w:highlight w:val="none"/>
                <w:lang w:val="en-US" w:eastAsia="zh-CN"/>
              </w:rPr>
              <w:t>0</w:t>
            </w:r>
            <w:r>
              <w:rPr>
                <w:color w:val="auto"/>
                <w:spacing w:val="-40"/>
                <w:highlight w:val="none"/>
              </w:rPr>
              <w:t xml:space="preserve"> </w:t>
            </w:r>
            <w:r>
              <w:rPr>
                <w:color w:val="auto"/>
                <w:spacing w:val="4"/>
                <w:highlight w:val="none"/>
              </w:rPr>
              <w:t>年</w:t>
            </w:r>
            <w:r>
              <w:rPr>
                <w:color w:val="auto"/>
                <w:spacing w:val="-24"/>
                <w:highlight w:val="none"/>
              </w:rPr>
              <w:t xml:space="preserve"> </w:t>
            </w:r>
            <w:r>
              <w:rPr>
                <w:rFonts w:hint="eastAsia"/>
                <w:color w:val="auto"/>
                <w:spacing w:val="-24"/>
                <w:highlight w:val="none"/>
                <w:lang w:val="en-US" w:eastAsia="zh-CN"/>
              </w:rPr>
              <w:t>4</w:t>
            </w:r>
            <w:r>
              <w:rPr>
                <w:color w:val="auto"/>
                <w:spacing w:val="-32"/>
                <w:highlight w:val="none"/>
              </w:rPr>
              <w:t xml:space="preserve"> </w:t>
            </w:r>
            <w:r>
              <w:rPr>
                <w:color w:val="auto"/>
                <w:spacing w:val="4"/>
                <w:highlight w:val="none"/>
              </w:rPr>
              <w:t>月</w:t>
            </w:r>
            <w:r>
              <w:rPr>
                <w:color w:val="auto"/>
                <w:spacing w:val="-24"/>
                <w:highlight w:val="none"/>
              </w:rPr>
              <w:t xml:space="preserve"> </w:t>
            </w:r>
            <w:r>
              <w:rPr>
                <w:color w:val="auto"/>
                <w:spacing w:val="4"/>
                <w:highlight w:val="none"/>
              </w:rPr>
              <w:t>1 日以来（以合同签订的日期为准）承担过</w:t>
            </w:r>
            <w:r>
              <w:rPr>
                <w:rFonts w:hint="eastAsia"/>
                <w:color w:val="auto"/>
                <w:spacing w:val="4"/>
                <w:highlight w:val="none"/>
                <w:lang w:val="en-US" w:eastAsia="zh-CN"/>
              </w:rPr>
              <w:t>类似水利勘察设计</w:t>
            </w:r>
            <w:r>
              <w:rPr>
                <w:color w:val="auto"/>
                <w:spacing w:val="9"/>
                <w:highlight w:val="none"/>
              </w:rPr>
              <w:t>项目，每</w:t>
            </w:r>
            <w:r>
              <w:rPr>
                <w:rFonts w:hint="eastAsia"/>
                <w:color w:val="auto"/>
                <w:spacing w:val="9"/>
                <w:highlight w:val="none"/>
                <w:lang w:val="en-US" w:eastAsia="zh-CN"/>
              </w:rPr>
              <w:t>提供一</w:t>
            </w:r>
            <w:r>
              <w:rPr>
                <w:color w:val="auto"/>
                <w:spacing w:val="4"/>
                <w:highlight w:val="none"/>
              </w:rPr>
              <w:t>个得</w:t>
            </w:r>
            <w:r>
              <w:rPr>
                <w:color w:val="auto"/>
                <w:spacing w:val="-19"/>
                <w:highlight w:val="none"/>
              </w:rPr>
              <w:t xml:space="preserve"> </w:t>
            </w:r>
            <w:r>
              <w:rPr>
                <w:color w:val="auto"/>
                <w:spacing w:val="4"/>
                <w:highlight w:val="none"/>
              </w:rPr>
              <w:t>3</w:t>
            </w:r>
            <w:r>
              <w:rPr>
                <w:color w:val="auto"/>
                <w:spacing w:val="-35"/>
                <w:highlight w:val="none"/>
              </w:rPr>
              <w:t xml:space="preserve"> </w:t>
            </w:r>
            <w:r>
              <w:rPr>
                <w:color w:val="auto"/>
                <w:spacing w:val="4"/>
                <w:highlight w:val="none"/>
              </w:rPr>
              <w:t>分，</w:t>
            </w:r>
            <w:r>
              <w:rPr>
                <w:rFonts w:hint="eastAsia"/>
                <w:color w:val="auto"/>
                <w:spacing w:val="4"/>
                <w:highlight w:val="none"/>
                <w:lang w:val="en-US" w:eastAsia="zh-CN"/>
              </w:rPr>
              <w:t>本项</w:t>
            </w:r>
            <w:r>
              <w:rPr>
                <w:color w:val="auto"/>
                <w:spacing w:val="4"/>
                <w:highlight w:val="none"/>
              </w:rPr>
              <w:t>最多得</w:t>
            </w:r>
            <w:r>
              <w:rPr>
                <w:color w:val="auto"/>
                <w:spacing w:val="-21"/>
                <w:highlight w:val="none"/>
              </w:rPr>
              <w:t xml:space="preserve"> </w:t>
            </w:r>
            <w:r>
              <w:rPr>
                <w:color w:val="auto"/>
                <w:spacing w:val="4"/>
                <w:highlight w:val="none"/>
              </w:rPr>
              <w:t>12</w:t>
            </w:r>
            <w:r>
              <w:rPr>
                <w:color w:val="auto"/>
                <w:spacing w:val="-38"/>
                <w:highlight w:val="none"/>
              </w:rPr>
              <w:t xml:space="preserve"> </w:t>
            </w:r>
            <w:r>
              <w:rPr>
                <w:color w:val="auto"/>
                <w:spacing w:val="4"/>
                <w:highlight w:val="none"/>
              </w:rPr>
              <w:t>分。</w:t>
            </w:r>
          </w:p>
          <w:p w14:paraId="28F0DE10">
            <w:pPr>
              <w:pStyle w:val="10"/>
              <w:spacing w:before="137" w:line="370" w:lineRule="auto"/>
              <w:ind w:left="112" w:right="106" w:firstLine="15"/>
              <w:jc w:val="both"/>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2、项目负责人自 202</w:t>
            </w:r>
            <w:r>
              <w:rPr>
                <w:rFonts w:hint="eastAsia" w:cs="宋体"/>
                <w:color w:val="auto"/>
                <w:spacing w:val="4"/>
                <w:highlight w:val="none"/>
                <w:lang w:val="en-US" w:eastAsia="zh-CN"/>
              </w:rPr>
              <w:t>0</w:t>
            </w:r>
            <w:r>
              <w:rPr>
                <w:rFonts w:hint="eastAsia" w:ascii="宋体" w:hAnsi="宋体" w:eastAsia="宋体" w:cs="宋体"/>
                <w:color w:val="auto"/>
                <w:spacing w:val="4"/>
                <w:highlight w:val="none"/>
                <w:lang w:val="en-US" w:eastAsia="zh-CN"/>
              </w:rPr>
              <w:t xml:space="preserve"> 年 </w:t>
            </w:r>
            <w:r>
              <w:rPr>
                <w:rFonts w:hint="eastAsia" w:cs="宋体"/>
                <w:color w:val="auto"/>
                <w:spacing w:val="4"/>
                <w:highlight w:val="none"/>
                <w:lang w:val="en-US" w:eastAsia="zh-CN"/>
              </w:rPr>
              <w:t>4</w:t>
            </w:r>
            <w:r>
              <w:rPr>
                <w:rFonts w:hint="eastAsia" w:ascii="宋体" w:hAnsi="宋体" w:eastAsia="宋体" w:cs="宋体"/>
                <w:color w:val="auto"/>
                <w:spacing w:val="4"/>
                <w:highlight w:val="none"/>
                <w:lang w:val="en-US" w:eastAsia="zh-CN"/>
              </w:rPr>
              <w:t xml:space="preserve"> 月 1 日以来</w:t>
            </w:r>
            <w:r>
              <w:rPr>
                <w:rFonts w:hint="eastAsia" w:ascii="宋体" w:hAnsi="宋体" w:eastAsia="宋体" w:cs="宋体"/>
                <w:color w:val="auto"/>
                <w:spacing w:val="4"/>
                <w:highlight w:val="none"/>
                <w:lang w:val="zh-CN"/>
              </w:rPr>
              <w:t>以项目负责人身份承担过</w:t>
            </w:r>
            <w:r>
              <w:rPr>
                <w:rFonts w:hint="eastAsia" w:ascii="宋体" w:hAnsi="宋体" w:eastAsia="宋体" w:cs="宋体"/>
                <w:color w:val="auto"/>
                <w:spacing w:val="4"/>
                <w:highlight w:val="none"/>
                <w:lang w:val="en-US"/>
              </w:rPr>
              <w:t>类似</w:t>
            </w:r>
            <w:r>
              <w:rPr>
                <w:rFonts w:hint="eastAsia" w:ascii="宋体" w:hAnsi="宋体" w:eastAsia="宋体" w:cs="宋体"/>
                <w:color w:val="auto"/>
                <w:spacing w:val="4"/>
                <w:highlight w:val="none"/>
                <w:lang w:val="en-US" w:eastAsia="zh-CN"/>
              </w:rPr>
              <w:t>勘察设计项目的，每提供一个得3分，本项最多得6分。</w:t>
            </w:r>
          </w:p>
          <w:p w14:paraId="554347C2">
            <w:pPr>
              <w:pStyle w:val="10"/>
              <w:spacing w:line="226" w:lineRule="auto"/>
              <w:ind w:left="112"/>
              <w:rPr>
                <w:color w:val="auto"/>
                <w:highlight w:val="none"/>
              </w:rPr>
            </w:pPr>
            <w:r>
              <w:rPr>
                <w:rFonts w:hint="eastAsia"/>
                <w:color w:val="auto"/>
                <w:spacing w:val="8"/>
                <w:highlight w:val="none"/>
                <w:lang w:val="en-US" w:eastAsia="zh-CN"/>
              </w:rPr>
              <w:t>注：</w:t>
            </w:r>
            <w:r>
              <w:rPr>
                <w:color w:val="auto"/>
                <w:spacing w:val="8"/>
                <w:highlight w:val="none"/>
              </w:rPr>
              <w:t>以上证明材料</w:t>
            </w:r>
            <w:r>
              <w:rPr>
                <w:color w:val="auto"/>
                <w:spacing w:val="7"/>
                <w:highlight w:val="none"/>
              </w:rPr>
              <w:t>提供：</w:t>
            </w:r>
          </w:p>
          <w:p w14:paraId="3C229A62">
            <w:pPr>
              <w:pStyle w:val="10"/>
              <w:spacing w:before="152" w:line="227" w:lineRule="auto"/>
              <w:rPr>
                <w:color w:val="auto"/>
                <w:highlight w:val="none"/>
              </w:rPr>
            </w:pP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1</w:t>
            </w:r>
            <w:r>
              <w:rPr>
                <w:rFonts w:hint="eastAsia" w:ascii="宋体" w:hAnsi="宋体" w:eastAsia="宋体" w:cs="宋体"/>
                <w:color w:val="auto"/>
                <w:spacing w:val="6"/>
                <w:highlight w:val="none"/>
                <w:lang w:eastAsia="zh-CN"/>
              </w:rPr>
              <w:t>）</w:t>
            </w:r>
            <w:r>
              <w:rPr>
                <w:color w:val="auto"/>
                <w:spacing w:val="5"/>
                <w:highlight w:val="none"/>
              </w:rPr>
              <w:t>合同协议书或中标通知书</w:t>
            </w:r>
            <w:r>
              <w:rPr>
                <w:rFonts w:hint="eastAsia"/>
                <w:color w:val="auto"/>
                <w:spacing w:val="5"/>
                <w:highlight w:val="none"/>
                <w:lang w:eastAsia="zh-CN"/>
              </w:rPr>
              <w:t>（以合同签订</w:t>
            </w:r>
            <w:r>
              <w:rPr>
                <w:rFonts w:hint="eastAsia"/>
                <w:color w:val="auto"/>
                <w:spacing w:val="5"/>
                <w:highlight w:val="none"/>
                <w:lang w:val="en-US" w:eastAsia="zh-CN"/>
              </w:rPr>
              <w:t>的</w:t>
            </w:r>
            <w:r>
              <w:rPr>
                <w:rFonts w:hint="eastAsia"/>
                <w:color w:val="auto"/>
                <w:spacing w:val="5"/>
                <w:highlight w:val="none"/>
                <w:lang w:eastAsia="zh-CN"/>
              </w:rPr>
              <w:t>日期为准）</w:t>
            </w:r>
            <w:r>
              <w:rPr>
                <w:color w:val="auto"/>
                <w:spacing w:val="5"/>
                <w:highlight w:val="none"/>
              </w:rPr>
              <w:t>。</w:t>
            </w:r>
          </w:p>
          <w:p w14:paraId="101B9888">
            <w:pPr>
              <w:pStyle w:val="10"/>
              <w:spacing w:before="155" w:line="334" w:lineRule="auto"/>
              <w:ind w:right="104"/>
              <w:rPr>
                <w:color w:val="auto"/>
                <w:highlight w:val="none"/>
              </w:rPr>
            </w:pPr>
            <w:r>
              <w:rPr>
                <w:color w:val="auto"/>
                <w:spacing w:val="6"/>
                <w:highlight w:val="none"/>
              </w:rPr>
              <w:t>（2）</w:t>
            </w:r>
            <w:r>
              <w:rPr>
                <w:rFonts w:hint="eastAsia"/>
                <w:color w:val="auto"/>
                <w:spacing w:val="6"/>
                <w:highlight w:val="none"/>
              </w:rPr>
              <w:t>上传中（成）标通知书或合同证明材料原件彩色扫描件</w:t>
            </w:r>
            <w:r>
              <w:rPr>
                <w:rFonts w:hint="eastAsia"/>
                <w:color w:val="auto"/>
                <w:spacing w:val="6"/>
                <w:highlight w:val="none"/>
                <w:lang w:eastAsia="zh-CN"/>
              </w:rPr>
              <w:t>，</w:t>
            </w:r>
            <w:r>
              <w:rPr>
                <w:rFonts w:hint="eastAsia"/>
                <w:color w:val="auto"/>
                <w:spacing w:val="6"/>
                <w:highlight w:val="none"/>
                <w:lang w:val="en-US" w:eastAsia="zh-CN"/>
              </w:rPr>
              <w:t>并</w:t>
            </w:r>
            <w:r>
              <w:rPr>
                <w:color w:val="auto"/>
                <w:spacing w:val="8"/>
                <w:highlight w:val="none"/>
              </w:rPr>
              <w:t>需清晰且加盖供应商公章</w:t>
            </w:r>
            <w:r>
              <w:rPr>
                <w:rFonts w:hint="eastAsia"/>
                <w:color w:val="auto"/>
                <w:spacing w:val="8"/>
                <w:highlight w:val="none"/>
                <w:lang w:eastAsia="zh-CN"/>
              </w:rPr>
              <w:t>，</w:t>
            </w:r>
            <w:r>
              <w:rPr>
                <w:rFonts w:hint="eastAsia"/>
                <w:color w:val="auto"/>
                <w:spacing w:val="8"/>
                <w:highlight w:val="none"/>
                <w:lang w:val="en-US" w:eastAsia="zh-CN"/>
              </w:rPr>
              <w:t>否则不得分。</w:t>
            </w:r>
          </w:p>
        </w:tc>
        <w:tc>
          <w:tcPr>
            <w:tcW w:w="752" w:type="dxa"/>
            <w:vAlign w:val="top"/>
          </w:tcPr>
          <w:p w14:paraId="6E7F82DA">
            <w:pPr>
              <w:spacing w:line="251" w:lineRule="auto"/>
              <w:rPr>
                <w:rFonts w:ascii="Arial"/>
                <w:color w:val="auto"/>
                <w:sz w:val="21"/>
                <w:highlight w:val="none"/>
              </w:rPr>
            </w:pPr>
          </w:p>
          <w:p w14:paraId="26B615E6">
            <w:pPr>
              <w:spacing w:line="251" w:lineRule="auto"/>
              <w:rPr>
                <w:rFonts w:ascii="Arial"/>
                <w:color w:val="auto"/>
                <w:sz w:val="21"/>
                <w:highlight w:val="none"/>
              </w:rPr>
            </w:pPr>
          </w:p>
          <w:p w14:paraId="0FD198B1">
            <w:pPr>
              <w:spacing w:line="251" w:lineRule="auto"/>
              <w:rPr>
                <w:rFonts w:ascii="Arial"/>
                <w:color w:val="auto"/>
                <w:sz w:val="21"/>
                <w:highlight w:val="none"/>
              </w:rPr>
            </w:pPr>
          </w:p>
          <w:p w14:paraId="4994BAD3">
            <w:pPr>
              <w:spacing w:line="251" w:lineRule="auto"/>
              <w:rPr>
                <w:rFonts w:ascii="Arial"/>
                <w:color w:val="auto"/>
                <w:sz w:val="21"/>
                <w:highlight w:val="none"/>
              </w:rPr>
            </w:pPr>
          </w:p>
          <w:p w14:paraId="23868C36">
            <w:pPr>
              <w:spacing w:line="251" w:lineRule="auto"/>
              <w:rPr>
                <w:rFonts w:ascii="Arial"/>
                <w:color w:val="auto"/>
                <w:sz w:val="21"/>
                <w:highlight w:val="none"/>
              </w:rPr>
            </w:pPr>
          </w:p>
          <w:p w14:paraId="2C8944C5">
            <w:pPr>
              <w:spacing w:line="251" w:lineRule="auto"/>
              <w:rPr>
                <w:rFonts w:ascii="Arial"/>
                <w:color w:val="auto"/>
                <w:sz w:val="21"/>
                <w:highlight w:val="none"/>
              </w:rPr>
            </w:pPr>
          </w:p>
          <w:p w14:paraId="26B2A02B">
            <w:pPr>
              <w:spacing w:line="252" w:lineRule="auto"/>
              <w:rPr>
                <w:rFonts w:ascii="Arial"/>
                <w:color w:val="auto"/>
                <w:sz w:val="21"/>
                <w:highlight w:val="none"/>
              </w:rPr>
            </w:pPr>
          </w:p>
          <w:p w14:paraId="21EDF66A">
            <w:pPr>
              <w:spacing w:line="252" w:lineRule="auto"/>
              <w:rPr>
                <w:rFonts w:ascii="Arial"/>
                <w:color w:val="auto"/>
                <w:sz w:val="21"/>
                <w:highlight w:val="none"/>
              </w:rPr>
            </w:pPr>
          </w:p>
          <w:p w14:paraId="7FDC7CBF">
            <w:pPr>
              <w:spacing w:line="252" w:lineRule="auto"/>
              <w:rPr>
                <w:rFonts w:ascii="Arial"/>
                <w:color w:val="auto"/>
                <w:sz w:val="21"/>
                <w:highlight w:val="none"/>
              </w:rPr>
            </w:pPr>
          </w:p>
          <w:p w14:paraId="3FD4442E">
            <w:pPr>
              <w:pStyle w:val="10"/>
              <w:spacing w:before="65" w:line="228" w:lineRule="auto"/>
              <w:ind w:left="194"/>
              <w:rPr>
                <w:color w:val="auto"/>
                <w:highlight w:val="none"/>
              </w:rPr>
            </w:pPr>
            <w:r>
              <w:rPr>
                <w:rFonts w:hint="eastAsia"/>
                <w:color w:val="auto"/>
                <w:spacing w:val="-1"/>
                <w:highlight w:val="none"/>
                <w:lang w:val="en-US" w:eastAsia="zh-CN"/>
              </w:rPr>
              <w:t>18</w:t>
            </w:r>
            <w:r>
              <w:rPr>
                <w:color w:val="auto"/>
                <w:spacing w:val="-37"/>
                <w:highlight w:val="none"/>
              </w:rPr>
              <w:t xml:space="preserve"> </w:t>
            </w:r>
            <w:r>
              <w:rPr>
                <w:color w:val="auto"/>
                <w:spacing w:val="-1"/>
                <w:highlight w:val="none"/>
              </w:rPr>
              <w:t>分</w:t>
            </w:r>
          </w:p>
        </w:tc>
      </w:tr>
      <w:tr w14:paraId="32751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0" w:hRule="atLeast"/>
        </w:trPr>
        <w:tc>
          <w:tcPr>
            <w:tcW w:w="880" w:type="dxa"/>
            <w:vAlign w:val="top"/>
          </w:tcPr>
          <w:p w14:paraId="074CF982">
            <w:pPr>
              <w:spacing w:line="253" w:lineRule="auto"/>
              <w:rPr>
                <w:rFonts w:ascii="Arial"/>
                <w:color w:val="auto"/>
                <w:sz w:val="21"/>
                <w:highlight w:val="none"/>
              </w:rPr>
            </w:pPr>
          </w:p>
          <w:p w14:paraId="514F25DE">
            <w:pPr>
              <w:spacing w:line="253" w:lineRule="auto"/>
              <w:rPr>
                <w:rFonts w:ascii="Arial"/>
                <w:color w:val="auto"/>
                <w:sz w:val="21"/>
                <w:highlight w:val="none"/>
              </w:rPr>
            </w:pPr>
          </w:p>
          <w:p w14:paraId="3D797C0B">
            <w:pPr>
              <w:spacing w:line="253" w:lineRule="auto"/>
              <w:rPr>
                <w:rFonts w:ascii="Arial"/>
                <w:color w:val="auto"/>
                <w:sz w:val="21"/>
                <w:highlight w:val="none"/>
              </w:rPr>
            </w:pPr>
          </w:p>
          <w:p w14:paraId="15672619">
            <w:pPr>
              <w:spacing w:line="253" w:lineRule="auto"/>
              <w:rPr>
                <w:rFonts w:ascii="Arial"/>
                <w:color w:val="auto"/>
                <w:sz w:val="21"/>
                <w:highlight w:val="none"/>
              </w:rPr>
            </w:pPr>
          </w:p>
          <w:p w14:paraId="1C80770F">
            <w:pPr>
              <w:spacing w:line="253" w:lineRule="auto"/>
              <w:rPr>
                <w:rFonts w:ascii="Arial"/>
                <w:color w:val="auto"/>
                <w:sz w:val="21"/>
                <w:highlight w:val="none"/>
              </w:rPr>
            </w:pPr>
          </w:p>
          <w:p w14:paraId="194844CC">
            <w:pPr>
              <w:spacing w:line="253" w:lineRule="auto"/>
              <w:rPr>
                <w:rFonts w:ascii="Arial"/>
                <w:color w:val="auto"/>
                <w:sz w:val="21"/>
                <w:highlight w:val="none"/>
              </w:rPr>
            </w:pPr>
          </w:p>
          <w:p w14:paraId="0BFED8BD">
            <w:pPr>
              <w:pStyle w:val="10"/>
              <w:spacing w:before="65" w:line="189" w:lineRule="auto"/>
              <w:ind w:left="120"/>
              <w:jc w:val="center"/>
              <w:rPr>
                <w:color w:val="auto"/>
                <w:highlight w:val="none"/>
              </w:rPr>
            </w:pPr>
            <w:r>
              <w:rPr>
                <w:color w:val="auto"/>
                <w:spacing w:val="1"/>
                <w:highlight w:val="none"/>
              </w:rPr>
              <w:t>3.2</w:t>
            </w:r>
          </w:p>
        </w:tc>
        <w:tc>
          <w:tcPr>
            <w:tcW w:w="1187" w:type="dxa"/>
            <w:vAlign w:val="top"/>
          </w:tcPr>
          <w:p w14:paraId="2A3CDD3C">
            <w:pPr>
              <w:spacing w:line="250" w:lineRule="auto"/>
              <w:rPr>
                <w:rFonts w:ascii="Arial"/>
                <w:color w:val="auto"/>
                <w:sz w:val="21"/>
                <w:highlight w:val="none"/>
              </w:rPr>
            </w:pPr>
          </w:p>
          <w:p w14:paraId="2CC3922D">
            <w:pPr>
              <w:spacing w:line="250" w:lineRule="auto"/>
              <w:rPr>
                <w:rFonts w:ascii="Arial"/>
                <w:color w:val="auto"/>
                <w:sz w:val="21"/>
                <w:highlight w:val="none"/>
              </w:rPr>
            </w:pPr>
          </w:p>
          <w:p w14:paraId="264D8FC7">
            <w:pPr>
              <w:spacing w:line="250" w:lineRule="auto"/>
              <w:rPr>
                <w:rFonts w:ascii="Arial"/>
                <w:color w:val="auto"/>
                <w:sz w:val="21"/>
                <w:highlight w:val="none"/>
              </w:rPr>
            </w:pPr>
          </w:p>
          <w:p w14:paraId="7C29A0C0">
            <w:pPr>
              <w:spacing w:line="250" w:lineRule="auto"/>
              <w:rPr>
                <w:rFonts w:ascii="Arial"/>
                <w:color w:val="auto"/>
                <w:sz w:val="21"/>
                <w:highlight w:val="none"/>
              </w:rPr>
            </w:pPr>
          </w:p>
          <w:p w14:paraId="2443811F">
            <w:pPr>
              <w:spacing w:line="250" w:lineRule="auto"/>
              <w:rPr>
                <w:rFonts w:ascii="Arial"/>
                <w:color w:val="auto"/>
                <w:sz w:val="21"/>
                <w:highlight w:val="none"/>
              </w:rPr>
            </w:pPr>
          </w:p>
          <w:p w14:paraId="180D029D">
            <w:pPr>
              <w:spacing w:line="251" w:lineRule="auto"/>
              <w:rPr>
                <w:rFonts w:ascii="Arial"/>
                <w:color w:val="auto"/>
                <w:sz w:val="21"/>
                <w:highlight w:val="none"/>
              </w:rPr>
            </w:pPr>
          </w:p>
          <w:p w14:paraId="56025427">
            <w:pPr>
              <w:pStyle w:val="10"/>
              <w:spacing w:before="65" w:line="227" w:lineRule="auto"/>
              <w:ind w:left="174"/>
              <w:rPr>
                <w:color w:val="auto"/>
                <w:highlight w:val="none"/>
              </w:rPr>
            </w:pPr>
            <w:r>
              <w:rPr>
                <w:color w:val="auto"/>
                <w:spacing w:val="5"/>
                <w:highlight w:val="none"/>
              </w:rPr>
              <w:t>资信荣誉</w:t>
            </w:r>
          </w:p>
        </w:tc>
        <w:tc>
          <w:tcPr>
            <w:tcW w:w="6803" w:type="dxa"/>
            <w:vAlign w:val="top"/>
          </w:tcPr>
          <w:p w14:paraId="05DC815E">
            <w:pPr>
              <w:pStyle w:val="10"/>
              <w:spacing w:before="142" w:line="322" w:lineRule="auto"/>
              <w:ind w:left="113" w:right="106" w:firstLine="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（1）供应商同时提供</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z w:val="20"/>
                <w:szCs w:val="20"/>
                <w:highlight w:val="none"/>
              </w:rPr>
              <w:t>ISO</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5"/>
                <w:sz w:val="20"/>
                <w:szCs w:val="20"/>
                <w:highlight w:val="none"/>
              </w:rPr>
              <w:t>质量管理体系、环境管理体系、职业健康安全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管理体系认证，且认证证书均在有效期内的得</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7"/>
                <w:sz w:val="20"/>
                <w:szCs w:val="20"/>
                <w:highlight w:val="none"/>
              </w:rPr>
              <w:t>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分，每缺一项扣</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本项最多得</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3"/>
                <w:sz w:val="20"/>
                <w:szCs w:val="20"/>
                <w:highlight w:val="none"/>
              </w:rPr>
              <w:t>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3"/>
                <w:sz w:val="20"/>
                <w:szCs w:val="20"/>
                <w:highlight w:val="none"/>
              </w:rPr>
              <w:t>分。</w:t>
            </w:r>
            <w:r>
              <w:rPr>
                <w:rFonts w:hint="eastAsia" w:ascii="宋体" w:hAnsi="宋体" w:eastAsia="宋体" w:cs="宋体"/>
                <w:color w:val="auto"/>
                <w:spacing w:val="-19"/>
                <w:sz w:val="20"/>
                <w:szCs w:val="20"/>
                <w:highlight w:val="none"/>
              </w:rPr>
              <w:t>（上传证书原件彩色扫描件）</w:t>
            </w:r>
            <w:r>
              <w:rPr>
                <w:rFonts w:hint="eastAsia" w:ascii="宋体" w:hAnsi="宋体" w:eastAsia="宋体" w:cs="宋体"/>
                <w:color w:val="auto"/>
                <w:spacing w:val="3"/>
                <w:sz w:val="20"/>
                <w:szCs w:val="20"/>
                <w:highlight w:val="none"/>
              </w:rPr>
              <w:t xml:space="preserve"> </w:t>
            </w:r>
          </w:p>
          <w:p w14:paraId="0AAB45B4">
            <w:pPr>
              <w:pStyle w:val="10"/>
              <w:spacing w:before="153" w:line="322" w:lineRule="auto"/>
              <w:ind w:left="112" w:right="106" w:firstLine="1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（2）供应商具有水利建设市场主体信用评价公告等级设计类、勘察</w:t>
            </w:r>
            <w:r>
              <w:rPr>
                <w:rFonts w:hint="eastAsia" w:ascii="宋体" w:hAnsi="宋体" w:eastAsia="宋体" w:cs="宋体"/>
                <w:color w:val="auto"/>
                <w:spacing w:val="3"/>
                <w:sz w:val="20"/>
                <w:szCs w:val="20"/>
                <w:highlight w:val="none"/>
              </w:rPr>
              <w:t>类</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z w:val="20"/>
                <w:szCs w:val="20"/>
                <w:highlight w:val="none"/>
              </w:rPr>
              <w:t>A</w:t>
            </w:r>
            <w:r>
              <w:rPr>
                <w:rFonts w:hint="eastAsia" w:ascii="宋体" w:hAnsi="宋体" w:eastAsia="宋体" w:cs="宋体"/>
                <w:color w:val="auto"/>
                <w:spacing w:val="3"/>
                <w:sz w:val="20"/>
                <w:szCs w:val="20"/>
                <w:highlight w:val="none"/>
              </w:rPr>
              <w:t>级</w:t>
            </w:r>
            <w:r>
              <w:rPr>
                <w:rFonts w:hint="eastAsia" w:ascii="宋体" w:hAnsi="宋体" w:eastAsia="宋体" w:cs="宋体"/>
                <w:color w:val="auto"/>
                <w:spacing w:val="3"/>
                <w:sz w:val="20"/>
                <w:szCs w:val="20"/>
                <w:highlight w:val="none"/>
                <w:lang w:val="en-US" w:eastAsia="zh-CN"/>
              </w:rPr>
              <w:t>及以上</w:t>
            </w:r>
            <w:r>
              <w:rPr>
                <w:rFonts w:hint="eastAsia" w:ascii="宋体" w:hAnsi="宋体" w:eastAsia="宋体" w:cs="宋体"/>
                <w:color w:val="auto"/>
                <w:spacing w:val="3"/>
                <w:sz w:val="20"/>
                <w:szCs w:val="20"/>
                <w:highlight w:val="none"/>
              </w:rPr>
              <w:t>证书的得</w:t>
            </w:r>
            <w:r>
              <w:rPr>
                <w:rFonts w:hint="eastAsia" w:ascii="宋体" w:hAnsi="宋体" w:eastAsia="宋体" w:cs="宋体"/>
                <w:color w:val="auto"/>
                <w:spacing w:val="-37"/>
                <w:sz w:val="20"/>
                <w:szCs w:val="20"/>
                <w:highlight w:val="none"/>
              </w:rPr>
              <w:t xml:space="preserve"> </w:t>
            </w:r>
            <w:r>
              <w:rPr>
                <w:rFonts w:hint="eastAsia" w:cs="宋体"/>
                <w:color w:val="auto"/>
                <w:spacing w:val="-37"/>
                <w:sz w:val="20"/>
                <w:szCs w:val="20"/>
                <w:highlight w:val="none"/>
                <w:lang w:val="en-US" w:eastAsia="zh-CN"/>
              </w:rPr>
              <w:t>3</w:t>
            </w:r>
            <w:r>
              <w:rPr>
                <w:rFonts w:hint="eastAsia" w:ascii="宋体" w:hAnsi="宋体" w:eastAsia="宋体" w:cs="宋体"/>
                <w:color w:val="auto"/>
                <w:spacing w:val="3"/>
                <w:sz w:val="20"/>
                <w:szCs w:val="20"/>
                <w:highlight w:val="none"/>
              </w:rPr>
              <w:t>分</w:t>
            </w:r>
            <w:r>
              <w:rPr>
                <w:rFonts w:hint="eastAsia" w:ascii="宋体" w:hAnsi="宋体" w:eastAsia="宋体" w:cs="宋体"/>
                <w:color w:val="auto"/>
                <w:spacing w:val="3"/>
                <w:sz w:val="20"/>
                <w:szCs w:val="20"/>
                <w:highlight w:val="none"/>
                <w:lang w:eastAsia="zh-CN"/>
              </w:rPr>
              <w:t>，</w:t>
            </w:r>
            <w:r>
              <w:rPr>
                <w:rFonts w:hint="eastAsia" w:ascii="宋体" w:hAnsi="宋体" w:eastAsia="宋体" w:cs="宋体"/>
                <w:color w:val="auto"/>
                <w:spacing w:val="4"/>
                <w:sz w:val="20"/>
                <w:szCs w:val="20"/>
                <w:highlight w:val="none"/>
              </w:rPr>
              <w:t>本项最多得</w:t>
            </w:r>
            <w:r>
              <w:rPr>
                <w:rFonts w:hint="eastAsia" w:ascii="宋体" w:hAnsi="宋体" w:eastAsia="宋体" w:cs="宋体"/>
                <w:color w:val="auto"/>
                <w:spacing w:val="-37"/>
                <w:sz w:val="20"/>
                <w:szCs w:val="20"/>
                <w:highlight w:val="none"/>
              </w:rPr>
              <w:t xml:space="preserve"> </w:t>
            </w:r>
            <w:r>
              <w:rPr>
                <w:rFonts w:hint="eastAsia" w:cs="宋体"/>
                <w:color w:val="auto"/>
                <w:spacing w:val="-37"/>
                <w:sz w:val="20"/>
                <w:szCs w:val="20"/>
                <w:highlight w:val="none"/>
                <w:lang w:val="en-US" w:eastAsia="zh-CN"/>
              </w:rPr>
              <w:t>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rPr>
              <w:t>分。</w:t>
            </w:r>
          </w:p>
          <w:p w14:paraId="42C1E47F">
            <w:pPr>
              <w:pStyle w:val="10"/>
              <w:spacing w:before="151" w:line="227" w:lineRule="auto"/>
              <w:ind w:left="112"/>
              <w:rPr>
                <w:color w:val="auto"/>
                <w:highlight w:val="none"/>
              </w:rPr>
            </w:pPr>
            <w:r>
              <w:rPr>
                <w:color w:val="auto"/>
                <w:spacing w:val="7"/>
                <w:highlight w:val="none"/>
              </w:rPr>
              <w:t>注：</w:t>
            </w:r>
            <w:r>
              <w:rPr>
                <w:color w:val="auto"/>
                <w:spacing w:val="-43"/>
                <w:highlight w:val="none"/>
              </w:rPr>
              <w:t xml:space="preserve"> </w:t>
            </w:r>
            <w:r>
              <w:rPr>
                <w:color w:val="auto"/>
                <w:spacing w:val="7"/>
                <w:highlight w:val="none"/>
              </w:rPr>
              <w:t>以上证明材料需清晰且加盖供应商公章，否则不得分。</w:t>
            </w:r>
          </w:p>
        </w:tc>
        <w:tc>
          <w:tcPr>
            <w:tcW w:w="752" w:type="dxa"/>
            <w:vAlign w:val="top"/>
          </w:tcPr>
          <w:p w14:paraId="6B2EC805">
            <w:pPr>
              <w:spacing w:line="250" w:lineRule="auto"/>
              <w:rPr>
                <w:rFonts w:ascii="Arial"/>
                <w:color w:val="auto"/>
                <w:sz w:val="21"/>
                <w:highlight w:val="none"/>
              </w:rPr>
            </w:pPr>
          </w:p>
          <w:p w14:paraId="2D7F4292">
            <w:pPr>
              <w:spacing w:line="250" w:lineRule="auto"/>
              <w:rPr>
                <w:rFonts w:ascii="Arial"/>
                <w:color w:val="auto"/>
                <w:sz w:val="21"/>
                <w:highlight w:val="none"/>
              </w:rPr>
            </w:pPr>
          </w:p>
          <w:p w14:paraId="2C33D8F9">
            <w:pPr>
              <w:spacing w:line="250" w:lineRule="auto"/>
              <w:rPr>
                <w:rFonts w:ascii="Arial"/>
                <w:color w:val="auto"/>
                <w:sz w:val="21"/>
                <w:highlight w:val="none"/>
              </w:rPr>
            </w:pPr>
          </w:p>
          <w:p w14:paraId="56D4220C">
            <w:pPr>
              <w:spacing w:line="250" w:lineRule="auto"/>
              <w:rPr>
                <w:rFonts w:ascii="Arial"/>
                <w:color w:val="auto"/>
                <w:sz w:val="21"/>
                <w:highlight w:val="none"/>
              </w:rPr>
            </w:pPr>
          </w:p>
          <w:p w14:paraId="4A0C8500">
            <w:pPr>
              <w:spacing w:line="250" w:lineRule="auto"/>
              <w:rPr>
                <w:rFonts w:ascii="Arial"/>
                <w:color w:val="auto"/>
                <w:sz w:val="21"/>
                <w:highlight w:val="none"/>
              </w:rPr>
            </w:pPr>
          </w:p>
          <w:p w14:paraId="195B4AC0">
            <w:pPr>
              <w:spacing w:line="251" w:lineRule="auto"/>
              <w:rPr>
                <w:rFonts w:ascii="Arial"/>
                <w:color w:val="auto"/>
                <w:sz w:val="21"/>
                <w:highlight w:val="none"/>
              </w:rPr>
            </w:pPr>
          </w:p>
          <w:p w14:paraId="41356665">
            <w:pPr>
              <w:pStyle w:val="10"/>
              <w:spacing w:before="65" w:line="228" w:lineRule="auto"/>
              <w:ind w:left="207"/>
              <w:rPr>
                <w:color w:val="auto"/>
                <w:highlight w:val="none"/>
              </w:rPr>
            </w:pPr>
            <w:r>
              <w:rPr>
                <w:rFonts w:hint="eastAsia"/>
                <w:color w:val="auto"/>
                <w:spacing w:val="-5"/>
                <w:highlight w:val="none"/>
                <w:lang w:val="en-US" w:eastAsia="zh-CN"/>
              </w:rPr>
              <w:t>6</w:t>
            </w:r>
            <w:r>
              <w:rPr>
                <w:color w:val="auto"/>
                <w:spacing w:val="-38"/>
                <w:highlight w:val="none"/>
              </w:rPr>
              <w:t xml:space="preserve"> </w:t>
            </w:r>
            <w:r>
              <w:rPr>
                <w:color w:val="auto"/>
                <w:spacing w:val="-5"/>
                <w:highlight w:val="none"/>
              </w:rPr>
              <w:t>分</w:t>
            </w:r>
          </w:p>
        </w:tc>
      </w:tr>
      <w:tr w14:paraId="542CB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880" w:type="dxa"/>
            <w:vAlign w:val="top"/>
          </w:tcPr>
          <w:p w14:paraId="784CC86E">
            <w:pPr>
              <w:pStyle w:val="10"/>
              <w:keepNext w:val="0"/>
              <w:keepLines w:val="0"/>
              <w:pageBreakBefore w:val="0"/>
              <w:widowControl/>
              <w:kinsoku w:val="0"/>
              <w:wordWrap/>
              <w:overflowPunct/>
              <w:topLinePunct w:val="0"/>
              <w:autoSpaceDE w:val="0"/>
              <w:autoSpaceDN w:val="0"/>
              <w:bidi w:val="0"/>
              <w:adjustRightInd w:val="0"/>
              <w:snapToGrid w:val="0"/>
              <w:spacing w:before="151" w:line="189" w:lineRule="auto"/>
              <w:ind w:left="42" w:leftChars="20"/>
              <w:jc w:val="left"/>
              <w:textAlignment w:val="baseline"/>
              <w:rPr>
                <w:rFonts w:hint="eastAsia"/>
                <w:color w:val="auto"/>
                <w:spacing w:val="1"/>
                <w:highlight w:val="none"/>
                <w:lang w:val="en-US" w:eastAsia="zh-CN"/>
              </w:rPr>
            </w:pPr>
          </w:p>
          <w:p w14:paraId="578AD897">
            <w:pPr>
              <w:pStyle w:val="10"/>
              <w:keepNext w:val="0"/>
              <w:keepLines w:val="0"/>
              <w:pageBreakBefore w:val="0"/>
              <w:widowControl/>
              <w:kinsoku w:val="0"/>
              <w:wordWrap/>
              <w:overflowPunct/>
              <w:topLinePunct w:val="0"/>
              <w:autoSpaceDE w:val="0"/>
              <w:autoSpaceDN w:val="0"/>
              <w:bidi w:val="0"/>
              <w:adjustRightInd w:val="0"/>
              <w:snapToGrid w:val="0"/>
              <w:spacing w:before="65" w:line="190" w:lineRule="auto"/>
              <w:ind w:left="48" w:leftChars="23"/>
              <w:jc w:val="center"/>
              <w:textAlignment w:val="baseline"/>
              <w:rPr>
                <w:rFonts w:hint="default" w:eastAsia="宋体"/>
                <w:color w:val="auto"/>
                <w:spacing w:val="1"/>
                <w:highlight w:val="none"/>
                <w:lang w:val="en-US" w:eastAsia="zh-CN"/>
              </w:rPr>
            </w:pPr>
            <w:r>
              <w:rPr>
                <w:rFonts w:hint="eastAsia"/>
                <w:color w:val="auto"/>
                <w:spacing w:val="1"/>
                <w:highlight w:val="none"/>
                <w:lang w:val="en-US" w:eastAsia="zh-CN"/>
              </w:rPr>
              <w:t>3.3</w:t>
            </w:r>
          </w:p>
        </w:tc>
        <w:tc>
          <w:tcPr>
            <w:tcW w:w="1187" w:type="dxa"/>
            <w:vAlign w:val="top"/>
          </w:tcPr>
          <w:p w14:paraId="127EED88">
            <w:pPr>
              <w:pStyle w:val="10"/>
              <w:keepNext w:val="0"/>
              <w:keepLines w:val="0"/>
              <w:pageBreakBefore w:val="0"/>
              <w:widowControl/>
              <w:kinsoku w:val="0"/>
              <w:wordWrap/>
              <w:overflowPunct/>
              <w:topLinePunct w:val="0"/>
              <w:autoSpaceDE w:val="0"/>
              <w:autoSpaceDN w:val="0"/>
              <w:bidi w:val="0"/>
              <w:adjustRightInd w:val="0"/>
              <w:snapToGrid w:val="0"/>
              <w:spacing w:before="151" w:line="322" w:lineRule="auto"/>
              <w:ind w:left="42" w:leftChars="20"/>
              <w:textAlignment w:val="baseline"/>
              <w:rPr>
                <w:rFonts w:hint="eastAsia"/>
                <w:color w:val="auto"/>
                <w:spacing w:val="5"/>
                <w:highlight w:val="none"/>
              </w:rPr>
            </w:pPr>
            <w:r>
              <w:rPr>
                <w:rFonts w:hint="eastAsia"/>
                <w:color w:val="auto"/>
                <w:spacing w:val="5"/>
                <w:highlight w:val="none"/>
              </w:rPr>
              <w:t>项目人员</w:t>
            </w:r>
          </w:p>
          <w:p w14:paraId="00A99D4C">
            <w:pPr>
              <w:pStyle w:val="10"/>
              <w:keepNext w:val="0"/>
              <w:keepLines w:val="0"/>
              <w:pageBreakBefore w:val="0"/>
              <w:widowControl/>
              <w:kinsoku w:val="0"/>
              <w:wordWrap/>
              <w:overflowPunct/>
              <w:topLinePunct w:val="0"/>
              <w:autoSpaceDE w:val="0"/>
              <w:autoSpaceDN w:val="0"/>
              <w:bidi w:val="0"/>
              <w:adjustRightInd w:val="0"/>
              <w:snapToGrid w:val="0"/>
              <w:spacing w:before="151" w:line="322" w:lineRule="auto"/>
              <w:ind w:left="42" w:leftChars="20" w:firstLine="210" w:firstLineChars="100"/>
              <w:textAlignment w:val="baseline"/>
              <w:rPr>
                <w:color w:val="auto"/>
                <w:spacing w:val="5"/>
                <w:highlight w:val="none"/>
              </w:rPr>
            </w:pPr>
            <w:r>
              <w:rPr>
                <w:rFonts w:hint="eastAsia"/>
                <w:color w:val="auto"/>
                <w:spacing w:val="5"/>
                <w:highlight w:val="none"/>
              </w:rPr>
              <w:t>配备</w:t>
            </w:r>
          </w:p>
        </w:tc>
        <w:tc>
          <w:tcPr>
            <w:tcW w:w="6803" w:type="dxa"/>
            <w:vAlign w:val="top"/>
          </w:tcPr>
          <w:p w14:paraId="05C355F8">
            <w:pPr>
              <w:pStyle w:val="10"/>
              <w:keepNext w:val="0"/>
              <w:keepLines w:val="0"/>
              <w:pageBreakBefore w:val="0"/>
              <w:widowControl/>
              <w:kinsoku w:val="0"/>
              <w:wordWrap/>
              <w:overflowPunct/>
              <w:topLinePunct w:val="0"/>
              <w:autoSpaceDE w:val="0"/>
              <w:autoSpaceDN w:val="0"/>
              <w:bidi w:val="0"/>
              <w:adjustRightInd w:val="0"/>
              <w:snapToGrid w:val="0"/>
              <w:spacing w:before="151" w:line="322" w:lineRule="auto"/>
              <w:ind w:left="113"/>
              <w:textAlignment w:val="baseline"/>
              <w:rPr>
                <w:rFonts w:hint="eastAsia" w:eastAsia="宋体"/>
                <w:color w:val="auto"/>
                <w:spacing w:val="7"/>
                <w:highlight w:val="none"/>
                <w:lang w:val="en-US" w:eastAsia="zh-CN"/>
              </w:rPr>
            </w:pPr>
            <w:r>
              <w:rPr>
                <w:rFonts w:hint="eastAsia" w:ascii="宋体" w:hAnsi="宋体" w:eastAsia="宋体" w:cs="宋体"/>
                <w:color w:val="auto"/>
                <w:spacing w:val="6"/>
                <w:sz w:val="20"/>
                <w:szCs w:val="20"/>
                <w:highlight w:val="none"/>
                <w:lang w:val="en-US" w:eastAsia="zh-CN"/>
              </w:rPr>
              <w:t>供应商拟投入本项目的勘察设计人员（项目负责人除外）具有中级或中级及以上职称，每提供一个得2分，本项最多得10分。（上传证书原件彩色扫描件）</w:t>
            </w:r>
          </w:p>
        </w:tc>
        <w:tc>
          <w:tcPr>
            <w:tcW w:w="752" w:type="dxa"/>
            <w:vAlign w:val="top"/>
          </w:tcPr>
          <w:p w14:paraId="4E1CD2EF">
            <w:pPr>
              <w:pStyle w:val="10"/>
              <w:spacing w:before="65" w:line="228" w:lineRule="auto"/>
              <w:ind w:left="207"/>
              <w:rPr>
                <w:rFonts w:hint="eastAsia"/>
                <w:color w:val="auto"/>
                <w:spacing w:val="-5"/>
                <w:highlight w:val="none"/>
                <w:lang w:val="en-US" w:eastAsia="zh-CN"/>
              </w:rPr>
            </w:pPr>
          </w:p>
          <w:p w14:paraId="74625441">
            <w:pPr>
              <w:pStyle w:val="10"/>
              <w:spacing w:before="65" w:line="228" w:lineRule="auto"/>
              <w:ind w:left="207"/>
              <w:rPr>
                <w:rFonts w:hint="default" w:eastAsia="宋体"/>
                <w:color w:val="auto"/>
                <w:spacing w:val="-5"/>
                <w:highlight w:val="none"/>
                <w:lang w:val="en-US" w:eastAsia="zh-CN"/>
              </w:rPr>
            </w:pPr>
            <w:r>
              <w:rPr>
                <w:rFonts w:hint="eastAsia"/>
                <w:color w:val="auto"/>
                <w:spacing w:val="-5"/>
                <w:highlight w:val="none"/>
                <w:lang w:val="en-US" w:eastAsia="zh-CN"/>
              </w:rPr>
              <w:t>10分</w:t>
            </w:r>
          </w:p>
        </w:tc>
      </w:tr>
    </w:tbl>
    <w:p w14:paraId="08874BFC">
      <w:pPr>
        <w:pStyle w:val="3"/>
        <w:rPr>
          <w:color w:val="auto"/>
          <w:highlight w:val="none"/>
        </w:rPr>
      </w:pPr>
    </w:p>
    <w:p w14:paraId="51E6A30C">
      <w:pPr>
        <w:spacing w:before="136" w:line="433" w:lineRule="auto"/>
        <w:ind w:firstLine="446"/>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由磋商小组根据综合评分情况，按照评审得分由高到低顺序推荐</w:t>
      </w:r>
      <w:r>
        <w:rPr>
          <w:rFonts w:ascii="宋体" w:hAnsi="宋体" w:eastAsia="宋体" w:cs="宋体"/>
          <w:color w:val="auto"/>
          <w:spacing w:val="-35"/>
          <w:sz w:val="20"/>
          <w:szCs w:val="20"/>
          <w:highlight w:val="none"/>
        </w:rPr>
        <w:t xml:space="preserve"> </w:t>
      </w:r>
      <w:r>
        <w:rPr>
          <w:rFonts w:ascii="宋体" w:hAnsi="宋体" w:eastAsia="宋体" w:cs="宋体"/>
          <w:color w:val="auto"/>
          <w:spacing w:val="10"/>
          <w:sz w:val="20"/>
          <w:szCs w:val="20"/>
          <w:highlight w:val="none"/>
        </w:rPr>
        <w:t>3</w:t>
      </w:r>
      <w:r>
        <w:rPr>
          <w:rFonts w:ascii="宋体" w:hAnsi="宋体" w:eastAsia="宋体" w:cs="宋体"/>
          <w:color w:val="auto"/>
          <w:spacing w:val="-33"/>
          <w:sz w:val="20"/>
          <w:szCs w:val="20"/>
          <w:highlight w:val="none"/>
        </w:rPr>
        <w:t xml:space="preserve"> </w:t>
      </w:r>
      <w:r>
        <w:rPr>
          <w:rFonts w:ascii="宋体" w:hAnsi="宋体" w:eastAsia="宋体" w:cs="宋体"/>
          <w:color w:val="auto"/>
          <w:spacing w:val="10"/>
          <w:sz w:val="20"/>
          <w:szCs w:val="20"/>
          <w:highlight w:val="none"/>
        </w:rPr>
        <w:t>名成</w:t>
      </w:r>
      <w:r>
        <w:rPr>
          <w:rFonts w:ascii="宋体" w:hAnsi="宋体" w:eastAsia="宋体" w:cs="宋体"/>
          <w:color w:val="auto"/>
          <w:spacing w:val="9"/>
          <w:sz w:val="20"/>
          <w:szCs w:val="20"/>
          <w:highlight w:val="none"/>
        </w:rPr>
        <w:t>交候选供应商，并编</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写评审报告。符合本章第</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4.3</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条情形的，可以推荐</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2</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家成交候选</w:t>
      </w:r>
      <w:r>
        <w:rPr>
          <w:rFonts w:ascii="宋体" w:hAnsi="宋体" w:eastAsia="宋体" w:cs="宋体"/>
          <w:color w:val="auto"/>
          <w:spacing w:val="8"/>
          <w:sz w:val="20"/>
          <w:szCs w:val="20"/>
          <w:highlight w:val="none"/>
        </w:rPr>
        <w:t>供应商。得分相同的，</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rPr>
        <w:t>以报价由</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低到高顺序排列。得分相同且报价相同的并列，响应文件满足磋商文件全部实质性要求，且按照</w:t>
      </w:r>
      <w:r>
        <w:rPr>
          <w:rFonts w:ascii="宋体" w:hAnsi="宋体" w:eastAsia="宋体" w:cs="宋体"/>
          <w:color w:val="auto"/>
          <w:spacing w:val="7"/>
          <w:sz w:val="20"/>
          <w:szCs w:val="20"/>
          <w:highlight w:val="none"/>
        </w:rPr>
        <w:t xml:space="preserve"> </w:t>
      </w:r>
      <w:bookmarkStart w:id="5" w:name="bookmark5"/>
      <w:bookmarkEnd w:id="5"/>
      <w:r>
        <w:rPr>
          <w:rFonts w:ascii="宋体" w:hAnsi="宋体" w:eastAsia="宋体" w:cs="宋体"/>
          <w:color w:val="auto"/>
          <w:spacing w:val="9"/>
          <w:sz w:val="20"/>
          <w:szCs w:val="20"/>
          <w:highlight w:val="none"/>
        </w:rPr>
        <w:t>评审因素的量化指标评审得分最高的投标人为排名第一的中标候选人。</w:t>
      </w:r>
    </w:p>
    <w:p w14:paraId="175BDEFB">
      <w:pPr>
        <w:spacing w:line="433" w:lineRule="auto"/>
        <w:rPr>
          <w:rFonts w:ascii="宋体" w:hAnsi="宋体" w:eastAsia="宋体" w:cs="宋体"/>
          <w:color w:val="auto"/>
          <w:sz w:val="20"/>
          <w:szCs w:val="20"/>
          <w:highlight w:val="none"/>
        </w:rPr>
        <w:sectPr>
          <w:footerReference r:id="rId25" w:type="default"/>
          <w:pgSz w:w="11906" w:h="16839"/>
          <w:pgMar w:top="1431" w:right="1441" w:bottom="1362" w:left="1593" w:header="0" w:footer="1200" w:gutter="0"/>
          <w:pgNumType w:fmt="decimal"/>
          <w:cols w:space="720" w:num="1"/>
        </w:sectPr>
      </w:pPr>
    </w:p>
    <w:p w14:paraId="3A45BE6C">
      <w:pPr>
        <w:spacing w:before="162" w:line="224" w:lineRule="auto"/>
        <w:ind w:left="2726"/>
        <w:outlineLvl w:val="0"/>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第五章</w:t>
      </w:r>
      <w:r>
        <w:rPr>
          <w:rFonts w:ascii="宋体" w:hAnsi="宋体" w:eastAsia="宋体" w:cs="宋体"/>
          <w:color w:val="auto"/>
          <w:spacing w:val="42"/>
          <w:sz w:val="31"/>
          <w:szCs w:val="31"/>
          <w:highlight w:val="none"/>
        </w:rPr>
        <w:t xml:space="preserve"> </w:t>
      </w:r>
      <w:r>
        <w:rPr>
          <w:rFonts w:ascii="宋体" w:hAnsi="宋体" w:eastAsia="宋体" w:cs="宋体"/>
          <w:b/>
          <w:bCs/>
          <w:color w:val="auto"/>
          <w:spacing w:val="2"/>
          <w:sz w:val="31"/>
          <w:szCs w:val="31"/>
          <w:highlight w:val="none"/>
        </w:rPr>
        <w:t>响应文件格式</w:t>
      </w:r>
    </w:p>
    <w:p w14:paraId="07BB3F27">
      <w:pPr>
        <w:pStyle w:val="3"/>
        <w:spacing w:line="268" w:lineRule="auto"/>
        <w:rPr>
          <w:color w:val="auto"/>
          <w:highlight w:val="none"/>
        </w:rPr>
      </w:pPr>
    </w:p>
    <w:p w14:paraId="592BA80E">
      <w:pPr>
        <w:pStyle w:val="3"/>
        <w:spacing w:line="268" w:lineRule="auto"/>
        <w:rPr>
          <w:color w:val="auto"/>
          <w:highlight w:val="none"/>
        </w:rPr>
      </w:pPr>
    </w:p>
    <w:p w14:paraId="0A3FC661">
      <w:pPr>
        <w:spacing w:before="162" w:line="225" w:lineRule="auto"/>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（响应文件封面格式）</w:t>
      </w:r>
    </w:p>
    <w:p w14:paraId="07E86BFB">
      <w:pPr>
        <w:pStyle w:val="3"/>
        <w:spacing w:line="246" w:lineRule="auto"/>
        <w:rPr>
          <w:color w:val="auto"/>
          <w:highlight w:val="none"/>
        </w:rPr>
      </w:pPr>
    </w:p>
    <w:p w14:paraId="32044047">
      <w:pPr>
        <w:pStyle w:val="3"/>
        <w:spacing w:line="246" w:lineRule="auto"/>
        <w:rPr>
          <w:color w:val="auto"/>
          <w:highlight w:val="none"/>
        </w:rPr>
      </w:pPr>
    </w:p>
    <w:p w14:paraId="41323D7D">
      <w:pPr>
        <w:pStyle w:val="3"/>
        <w:spacing w:line="246" w:lineRule="auto"/>
        <w:rPr>
          <w:color w:val="auto"/>
          <w:highlight w:val="none"/>
        </w:rPr>
      </w:pPr>
    </w:p>
    <w:p w14:paraId="00C24798">
      <w:pPr>
        <w:pStyle w:val="3"/>
        <w:spacing w:line="246" w:lineRule="auto"/>
        <w:rPr>
          <w:color w:val="auto"/>
          <w:highlight w:val="none"/>
        </w:rPr>
      </w:pPr>
    </w:p>
    <w:p w14:paraId="040EBB01">
      <w:pPr>
        <w:pStyle w:val="3"/>
        <w:spacing w:line="246" w:lineRule="auto"/>
        <w:rPr>
          <w:color w:val="auto"/>
          <w:highlight w:val="none"/>
        </w:rPr>
      </w:pPr>
    </w:p>
    <w:p w14:paraId="46C39A5C">
      <w:pPr>
        <w:pStyle w:val="3"/>
        <w:spacing w:line="246" w:lineRule="auto"/>
        <w:rPr>
          <w:color w:val="auto"/>
          <w:highlight w:val="none"/>
        </w:rPr>
      </w:pPr>
    </w:p>
    <w:p w14:paraId="7CA22D17">
      <w:pPr>
        <w:pStyle w:val="3"/>
        <w:spacing w:line="246" w:lineRule="auto"/>
        <w:rPr>
          <w:color w:val="auto"/>
          <w:highlight w:val="none"/>
        </w:rPr>
      </w:pPr>
    </w:p>
    <w:p w14:paraId="64E6684F">
      <w:pPr>
        <w:pStyle w:val="3"/>
        <w:spacing w:line="247" w:lineRule="auto"/>
        <w:rPr>
          <w:color w:val="auto"/>
          <w:highlight w:val="none"/>
        </w:rPr>
      </w:pPr>
    </w:p>
    <w:p w14:paraId="644FA838">
      <w:pPr>
        <w:spacing w:before="140" w:line="223" w:lineRule="auto"/>
        <w:ind w:left="2913"/>
        <w:rPr>
          <w:rFonts w:ascii="宋体" w:hAnsi="宋体" w:eastAsia="宋体" w:cs="宋体"/>
          <w:color w:val="auto"/>
          <w:sz w:val="43"/>
          <w:szCs w:val="43"/>
          <w:highlight w:val="none"/>
        </w:rPr>
      </w:pPr>
      <w:r>
        <w:rPr>
          <w:rFonts w:ascii="宋体" w:hAnsi="宋体" w:eastAsia="宋体" w:cs="宋体"/>
          <w:color w:val="auto"/>
          <w:spacing w:val="-13"/>
          <w:sz w:val="43"/>
          <w:szCs w:val="43"/>
          <w:highlight w:val="none"/>
        </w:rPr>
        <w:t>响</w:t>
      </w:r>
      <w:r>
        <w:rPr>
          <w:rFonts w:ascii="宋体" w:hAnsi="宋体" w:eastAsia="宋体" w:cs="宋体"/>
          <w:color w:val="auto"/>
          <w:spacing w:val="14"/>
          <w:sz w:val="43"/>
          <w:szCs w:val="43"/>
          <w:highlight w:val="none"/>
        </w:rPr>
        <w:t xml:space="preserve">  </w:t>
      </w:r>
      <w:r>
        <w:rPr>
          <w:rFonts w:ascii="宋体" w:hAnsi="宋体" w:eastAsia="宋体" w:cs="宋体"/>
          <w:color w:val="auto"/>
          <w:spacing w:val="-13"/>
          <w:sz w:val="43"/>
          <w:szCs w:val="43"/>
          <w:highlight w:val="none"/>
        </w:rPr>
        <w:t>应</w:t>
      </w:r>
      <w:r>
        <w:rPr>
          <w:rFonts w:ascii="宋体" w:hAnsi="宋体" w:eastAsia="宋体" w:cs="宋体"/>
          <w:color w:val="auto"/>
          <w:spacing w:val="15"/>
          <w:sz w:val="43"/>
          <w:szCs w:val="43"/>
          <w:highlight w:val="none"/>
        </w:rPr>
        <w:t xml:space="preserve">  </w:t>
      </w:r>
      <w:r>
        <w:rPr>
          <w:rFonts w:ascii="宋体" w:hAnsi="宋体" w:eastAsia="宋体" w:cs="宋体"/>
          <w:color w:val="auto"/>
          <w:spacing w:val="-13"/>
          <w:sz w:val="43"/>
          <w:szCs w:val="43"/>
          <w:highlight w:val="none"/>
        </w:rPr>
        <w:t>文</w:t>
      </w:r>
      <w:r>
        <w:rPr>
          <w:rFonts w:ascii="宋体" w:hAnsi="宋体" w:eastAsia="宋体" w:cs="宋体"/>
          <w:color w:val="auto"/>
          <w:spacing w:val="14"/>
          <w:sz w:val="43"/>
          <w:szCs w:val="43"/>
          <w:highlight w:val="none"/>
        </w:rPr>
        <w:t xml:space="preserve">  </w:t>
      </w:r>
      <w:r>
        <w:rPr>
          <w:rFonts w:ascii="宋体" w:hAnsi="宋体" w:eastAsia="宋体" w:cs="宋体"/>
          <w:color w:val="auto"/>
          <w:spacing w:val="-13"/>
          <w:sz w:val="43"/>
          <w:szCs w:val="43"/>
          <w:highlight w:val="none"/>
        </w:rPr>
        <w:t>件</w:t>
      </w:r>
    </w:p>
    <w:p w14:paraId="0D54DC99">
      <w:pPr>
        <w:pStyle w:val="3"/>
        <w:spacing w:line="254" w:lineRule="auto"/>
        <w:rPr>
          <w:color w:val="auto"/>
          <w:highlight w:val="none"/>
        </w:rPr>
      </w:pPr>
    </w:p>
    <w:p w14:paraId="5BABCB24">
      <w:pPr>
        <w:pStyle w:val="3"/>
        <w:spacing w:line="254" w:lineRule="auto"/>
        <w:rPr>
          <w:color w:val="auto"/>
          <w:highlight w:val="none"/>
        </w:rPr>
      </w:pPr>
    </w:p>
    <w:p w14:paraId="1781E943">
      <w:pPr>
        <w:pStyle w:val="3"/>
        <w:spacing w:line="254" w:lineRule="auto"/>
        <w:rPr>
          <w:color w:val="auto"/>
          <w:highlight w:val="none"/>
        </w:rPr>
      </w:pPr>
    </w:p>
    <w:p w14:paraId="19EE905D">
      <w:pPr>
        <w:pStyle w:val="3"/>
        <w:spacing w:line="254" w:lineRule="auto"/>
        <w:rPr>
          <w:color w:val="auto"/>
          <w:highlight w:val="none"/>
        </w:rPr>
      </w:pPr>
    </w:p>
    <w:p w14:paraId="71E8EF23">
      <w:pPr>
        <w:pStyle w:val="3"/>
        <w:spacing w:line="255" w:lineRule="auto"/>
        <w:rPr>
          <w:color w:val="auto"/>
          <w:highlight w:val="none"/>
        </w:rPr>
      </w:pPr>
    </w:p>
    <w:p w14:paraId="510A5685">
      <w:pPr>
        <w:pStyle w:val="3"/>
        <w:spacing w:line="255" w:lineRule="auto"/>
        <w:rPr>
          <w:color w:val="auto"/>
          <w:highlight w:val="none"/>
        </w:rPr>
      </w:pPr>
    </w:p>
    <w:p w14:paraId="313DD66F">
      <w:pPr>
        <w:pStyle w:val="3"/>
        <w:spacing w:line="255" w:lineRule="auto"/>
        <w:rPr>
          <w:color w:val="auto"/>
          <w:highlight w:val="none"/>
        </w:rPr>
      </w:pPr>
    </w:p>
    <w:p w14:paraId="6BF671D8">
      <w:pPr>
        <w:pStyle w:val="3"/>
        <w:spacing w:line="255" w:lineRule="auto"/>
        <w:rPr>
          <w:color w:val="auto"/>
          <w:highlight w:val="none"/>
        </w:rPr>
      </w:pPr>
    </w:p>
    <w:p w14:paraId="69C442E9">
      <w:pPr>
        <w:pStyle w:val="3"/>
        <w:spacing w:line="255" w:lineRule="auto"/>
        <w:rPr>
          <w:color w:val="auto"/>
          <w:highlight w:val="none"/>
        </w:rPr>
      </w:pPr>
    </w:p>
    <w:p w14:paraId="13EE4F17">
      <w:pPr>
        <w:pStyle w:val="3"/>
        <w:spacing w:line="255" w:lineRule="auto"/>
        <w:rPr>
          <w:color w:val="auto"/>
          <w:highlight w:val="none"/>
        </w:rPr>
      </w:pPr>
    </w:p>
    <w:p w14:paraId="4F5F0B9B">
      <w:pPr>
        <w:spacing w:before="101" w:line="225" w:lineRule="auto"/>
        <w:ind w:left="632"/>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3BCFF283">
      <w:pPr>
        <w:pStyle w:val="3"/>
        <w:spacing w:line="254" w:lineRule="auto"/>
        <w:rPr>
          <w:color w:val="auto"/>
          <w:highlight w:val="none"/>
        </w:rPr>
      </w:pPr>
    </w:p>
    <w:p w14:paraId="46D577C4">
      <w:pPr>
        <w:pStyle w:val="3"/>
        <w:spacing w:line="254" w:lineRule="auto"/>
        <w:rPr>
          <w:color w:val="auto"/>
          <w:highlight w:val="none"/>
        </w:rPr>
      </w:pPr>
    </w:p>
    <w:p w14:paraId="54070EDC">
      <w:pPr>
        <w:pStyle w:val="3"/>
        <w:spacing w:line="255" w:lineRule="auto"/>
        <w:rPr>
          <w:color w:val="auto"/>
          <w:highlight w:val="none"/>
        </w:rPr>
      </w:pPr>
    </w:p>
    <w:p w14:paraId="6E5414B5">
      <w:pPr>
        <w:spacing w:before="101" w:line="225" w:lineRule="auto"/>
        <w:ind w:left="632"/>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7F11E5E1">
      <w:pPr>
        <w:pStyle w:val="3"/>
        <w:spacing w:line="277" w:lineRule="auto"/>
        <w:rPr>
          <w:color w:val="auto"/>
          <w:highlight w:val="none"/>
        </w:rPr>
      </w:pPr>
    </w:p>
    <w:p w14:paraId="54E93B23">
      <w:pPr>
        <w:pStyle w:val="3"/>
        <w:spacing w:line="277" w:lineRule="auto"/>
        <w:rPr>
          <w:color w:val="auto"/>
          <w:highlight w:val="none"/>
        </w:rPr>
      </w:pPr>
    </w:p>
    <w:p w14:paraId="4E729B82">
      <w:pPr>
        <w:pStyle w:val="3"/>
        <w:spacing w:line="277" w:lineRule="auto"/>
        <w:rPr>
          <w:color w:val="auto"/>
          <w:highlight w:val="none"/>
        </w:rPr>
      </w:pPr>
    </w:p>
    <w:p w14:paraId="53D21381">
      <w:pPr>
        <w:pStyle w:val="3"/>
        <w:spacing w:line="277" w:lineRule="auto"/>
        <w:rPr>
          <w:color w:val="auto"/>
          <w:highlight w:val="none"/>
        </w:rPr>
      </w:pPr>
    </w:p>
    <w:p w14:paraId="2C3DCF93">
      <w:pPr>
        <w:pStyle w:val="3"/>
        <w:spacing w:line="277" w:lineRule="auto"/>
        <w:rPr>
          <w:color w:val="auto"/>
          <w:highlight w:val="none"/>
        </w:rPr>
      </w:pPr>
    </w:p>
    <w:p w14:paraId="2D7F0C56">
      <w:pPr>
        <w:spacing w:before="101" w:line="224" w:lineRule="auto"/>
        <w:ind w:left="627"/>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1BAF8848">
      <w:pPr>
        <w:pStyle w:val="3"/>
        <w:spacing w:line="271" w:lineRule="auto"/>
        <w:rPr>
          <w:color w:val="auto"/>
          <w:highlight w:val="none"/>
        </w:rPr>
      </w:pPr>
    </w:p>
    <w:p w14:paraId="33A0572E">
      <w:pPr>
        <w:pStyle w:val="3"/>
        <w:spacing w:line="271" w:lineRule="auto"/>
        <w:rPr>
          <w:color w:val="auto"/>
          <w:highlight w:val="none"/>
        </w:rPr>
      </w:pPr>
    </w:p>
    <w:p w14:paraId="36857759">
      <w:pPr>
        <w:pStyle w:val="3"/>
        <w:spacing w:line="271" w:lineRule="auto"/>
        <w:rPr>
          <w:color w:val="auto"/>
          <w:highlight w:val="none"/>
        </w:rPr>
      </w:pPr>
    </w:p>
    <w:p w14:paraId="4D74A6C4">
      <w:pPr>
        <w:pStyle w:val="3"/>
        <w:spacing w:line="271" w:lineRule="auto"/>
        <w:rPr>
          <w:color w:val="auto"/>
          <w:highlight w:val="none"/>
        </w:rPr>
      </w:pPr>
    </w:p>
    <w:p w14:paraId="12B923A2">
      <w:pPr>
        <w:pStyle w:val="3"/>
        <w:spacing w:line="271" w:lineRule="auto"/>
        <w:rPr>
          <w:color w:val="auto"/>
          <w:highlight w:val="none"/>
        </w:rPr>
      </w:pPr>
    </w:p>
    <w:p w14:paraId="4D4919BD">
      <w:pPr>
        <w:pStyle w:val="3"/>
        <w:spacing w:line="271" w:lineRule="auto"/>
        <w:rPr>
          <w:color w:val="auto"/>
          <w:highlight w:val="none"/>
        </w:rPr>
      </w:pPr>
    </w:p>
    <w:p w14:paraId="38C77756">
      <w:pPr>
        <w:pStyle w:val="3"/>
        <w:spacing w:line="272" w:lineRule="auto"/>
        <w:rPr>
          <w:color w:val="auto"/>
          <w:highlight w:val="none"/>
        </w:rPr>
      </w:pPr>
    </w:p>
    <w:p w14:paraId="7F94A04F">
      <w:pPr>
        <w:spacing w:before="101" w:line="225" w:lineRule="auto"/>
        <w:ind w:left="3307"/>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522E123F">
      <w:pPr>
        <w:spacing w:line="225" w:lineRule="auto"/>
        <w:rPr>
          <w:rFonts w:ascii="宋体" w:hAnsi="宋体" w:eastAsia="宋体" w:cs="宋体"/>
          <w:color w:val="auto"/>
          <w:sz w:val="31"/>
          <w:szCs w:val="31"/>
          <w:highlight w:val="none"/>
        </w:rPr>
        <w:sectPr>
          <w:footerReference r:id="rId26" w:type="default"/>
          <w:pgSz w:w="11906" w:h="16839"/>
          <w:pgMar w:top="1431" w:right="1785" w:bottom="1362" w:left="1611" w:header="0" w:footer="1200" w:gutter="0"/>
          <w:pgNumType w:fmt="decimal"/>
          <w:cols w:space="720" w:num="1"/>
        </w:sectPr>
      </w:pPr>
    </w:p>
    <w:p w14:paraId="13899821">
      <w:pPr>
        <w:spacing w:before="162" w:line="225" w:lineRule="auto"/>
        <w:ind w:left="145"/>
        <w:jc w:val="center"/>
        <w:outlineLvl w:val="0"/>
        <w:rPr>
          <w:rFonts w:ascii="宋体" w:hAnsi="宋体" w:eastAsia="宋体" w:cs="宋体"/>
          <w:b w:val="0"/>
          <w:bCs w:val="0"/>
          <w:color w:val="auto"/>
          <w:sz w:val="31"/>
          <w:szCs w:val="31"/>
          <w:highlight w:val="none"/>
        </w:rPr>
      </w:pPr>
      <w:r>
        <w:rPr>
          <w:rFonts w:ascii="宋体" w:hAnsi="宋体" w:eastAsia="宋体" w:cs="宋体"/>
          <w:b w:val="0"/>
          <w:bCs w:val="0"/>
          <w:color w:val="auto"/>
          <w:spacing w:val="5"/>
          <w:sz w:val="31"/>
          <w:szCs w:val="31"/>
          <w:highlight w:val="none"/>
        </w:rPr>
        <w:t>目录</w:t>
      </w:r>
    </w:p>
    <w:p w14:paraId="604ACFAC">
      <w:pPr>
        <w:pStyle w:val="3"/>
        <w:spacing w:line="297" w:lineRule="auto"/>
        <w:rPr>
          <w:color w:val="auto"/>
          <w:highlight w:val="none"/>
        </w:rPr>
      </w:pPr>
    </w:p>
    <w:p w14:paraId="2267E2A6">
      <w:pPr>
        <w:spacing w:before="101" w:line="373" w:lineRule="auto"/>
        <w:ind w:firstLine="645"/>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根据磋商文件规定及供应商提供的材料自行编写目录（部分</w:t>
      </w:r>
      <w:r>
        <w:rPr>
          <w:rFonts w:ascii="宋体" w:hAnsi="宋体" w:eastAsia="宋体" w:cs="宋体"/>
          <w:color w:val="auto"/>
          <w:spacing w:val="2"/>
          <w:sz w:val="31"/>
          <w:szCs w:val="31"/>
          <w:highlight w:val="none"/>
        </w:rPr>
        <w:t xml:space="preserve"> </w:t>
      </w:r>
      <w:r>
        <w:rPr>
          <w:rFonts w:ascii="宋体" w:hAnsi="宋体" w:eastAsia="宋体" w:cs="宋体"/>
          <w:color w:val="auto"/>
          <w:spacing w:val="4"/>
          <w:sz w:val="31"/>
          <w:szCs w:val="31"/>
          <w:highlight w:val="none"/>
        </w:rPr>
        <w:t>格式后附）。</w:t>
      </w:r>
    </w:p>
    <w:p w14:paraId="5C3817FE">
      <w:pPr>
        <w:spacing w:line="373" w:lineRule="auto"/>
        <w:rPr>
          <w:rFonts w:ascii="宋体" w:hAnsi="宋体" w:eastAsia="宋体" w:cs="宋体"/>
          <w:color w:val="auto"/>
          <w:sz w:val="31"/>
          <w:szCs w:val="31"/>
          <w:highlight w:val="none"/>
        </w:rPr>
        <w:sectPr>
          <w:footerReference r:id="rId27" w:type="default"/>
          <w:pgSz w:w="11906" w:h="16839"/>
          <w:pgMar w:top="1431" w:right="1442" w:bottom="1362" w:left="1598" w:header="0" w:footer="1200" w:gutter="0"/>
          <w:pgNumType w:fmt="decimal"/>
          <w:cols w:space="720" w:num="1"/>
        </w:sectPr>
      </w:pPr>
    </w:p>
    <w:p w14:paraId="0A8D81CD">
      <w:pPr>
        <w:spacing w:before="63" w:line="225" w:lineRule="auto"/>
        <w:jc w:val="center"/>
        <w:rPr>
          <w:rFonts w:ascii="宋体" w:hAnsi="宋体" w:eastAsia="宋体" w:cs="宋体"/>
          <w:b w:val="0"/>
          <w:bCs w:val="0"/>
          <w:color w:val="auto"/>
          <w:spacing w:val="3"/>
          <w:sz w:val="31"/>
          <w:szCs w:val="31"/>
          <w:highlight w:val="none"/>
        </w:rPr>
      </w:pPr>
      <w:r>
        <w:rPr>
          <w:rFonts w:ascii="宋体" w:hAnsi="宋体" w:eastAsia="宋体" w:cs="宋体"/>
          <w:b w:val="0"/>
          <w:bCs w:val="0"/>
          <w:color w:val="auto"/>
          <w:spacing w:val="3"/>
          <w:sz w:val="31"/>
          <w:szCs w:val="31"/>
          <w:highlight w:val="none"/>
        </w:rPr>
        <w:t>供应商基本情况表</w:t>
      </w:r>
    </w:p>
    <w:p w14:paraId="1A5D04DC">
      <w:pPr>
        <w:rPr>
          <w:color w:val="auto"/>
          <w:highlight w:val="none"/>
        </w:rPr>
      </w:pPr>
    </w:p>
    <w:p w14:paraId="58B17A87">
      <w:pPr>
        <w:rPr>
          <w:color w:val="auto"/>
          <w:highlight w:val="none"/>
        </w:rPr>
      </w:pPr>
    </w:p>
    <w:p w14:paraId="068B38FA">
      <w:pPr>
        <w:pStyle w:val="20"/>
        <w:rPr>
          <w:color w:val="auto"/>
          <w:highlight w:val="none"/>
        </w:rPr>
      </w:pPr>
    </w:p>
    <w:tbl>
      <w:tblPr>
        <w:tblStyle w:val="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74"/>
        <w:gridCol w:w="113"/>
        <w:gridCol w:w="1563"/>
        <w:gridCol w:w="1091"/>
        <w:gridCol w:w="51"/>
        <w:gridCol w:w="719"/>
        <w:gridCol w:w="609"/>
        <w:gridCol w:w="450"/>
        <w:gridCol w:w="136"/>
        <w:gridCol w:w="156"/>
        <w:gridCol w:w="1499"/>
      </w:tblGrid>
      <w:tr w14:paraId="5E39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74" w:type="dxa"/>
            <w:vAlign w:val="center"/>
          </w:tcPr>
          <w:p w14:paraId="414948D3">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供应商名称</w:t>
            </w:r>
          </w:p>
        </w:tc>
        <w:tc>
          <w:tcPr>
            <w:tcW w:w="7261" w:type="dxa"/>
            <w:gridSpan w:val="11"/>
            <w:shd w:val="clear" w:color="auto" w:fill="auto"/>
            <w:vAlign w:val="center"/>
          </w:tcPr>
          <w:p w14:paraId="3B87B23B">
            <w:pPr>
              <w:pStyle w:val="21"/>
              <w:keepNext w:val="0"/>
              <w:keepLines w:val="0"/>
              <w:suppressLineNumbers w:val="0"/>
              <w:spacing w:before="0" w:beforeAutospacing="0" w:after="0" w:afterAutospacing="0"/>
              <w:ind w:left="0" w:right="0"/>
              <w:rPr>
                <w:rFonts w:hint="default"/>
                <w:color w:val="auto"/>
                <w:highlight w:val="none"/>
              </w:rPr>
            </w:pPr>
          </w:p>
        </w:tc>
      </w:tr>
      <w:tr w14:paraId="3B36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74" w:type="dxa"/>
            <w:vAlign w:val="center"/>
          </w:tcPr>
          <w:p w14:paraId="7ABB8498">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注册地址</w:t>
            </w:r>
          </w:p>
        </w:tc>
        <w:tc>
          <w:tcPr>
            <w:tcW w:w="4411" w:type="dxa"/>
            <w:gridSpan w:val="6"/>
            <w:shd w:val="clear" w:color="auto" w:fill="auto"/>
            <w:vAlign w:val="center"/>
          </w:tcPr>
          <w:p w14:paraId="2120CFAD">
            <w:pPr>
              <w:pStyle w:val="21"/>
              <w:keepNext w:val="0"/>
              <w:keepLines w:val="0"/>
              <w:suppressLineNumbers w:val="0"/>
              <w:spacing w:before="0" w:beforeAutospacing="0" w:after="0" w:afterAutospacing="0"/>
              <w:ind w:left="0" w:right="0"/>
              <w:rPr>
                <w:rFonts w:hint="default"/>
                <w:color w:val="auto"/>
                <w:highlight w:val="none"/>
              </w:rPr>
            </w:pPr>
          </w:p>
        </w:tc>
        <w:tc>
          <w:tcPr>
            <w:tcW w:w="1059" w:type="dxa"/>
            <w:gridSpan w:val="2"/>
            <w:shd w:val="clear" w:color="auto" w:fill="auto"/>
            <w:vAlign w:val="center"/>
          </w:tcPr>
          <w:p w14:paraId="5B518AC7">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邮政编码</w:t>
            </w:r>
          </w:p>
        </w:tc>
        <w:tc>
          <w:tcPr>
            <w:tcW w:w="1791" w:type="dxa"/>
            <w:gridSpan w:val="3"/>
            <w:shd w:val="clear" w:color="auto" w:fill="auto"/>
            <w:vAlign w:val="center"/>
          </w:tcPr>
          <w:p w14:paraId="11A8DDB7">
            <w:pPr>
              <w:pStyle w:val="21"/>
              <w:keepNext w:val="0"/>
              <w:keepLines w:val="0"/>
              <w:suppressLineNumbers w:val="0"/>
              <w:spacing w:before="0" w:beforeAutospacing="0" w:after="0" w:afterAutospacing="0"/>
              <w:ind w:left="0" w:right="0"/>
              <w:rPr>
                <w:rFonts w:hint="default"/>
                <w:color w:val="auto"/>
                <w:highlight w:val="none"/>
              </w:rPr>
            </w:pPr>
          </w:p>
        </w:tc>
      </w:tr>
      <w:tr w14:paraId="2F20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74" w:type="dxa"/>
            <w:vMerge w:val="restart"/>
            <w:vAlign w:val="center"/>
          </w:tcPr>
          <w:p w14:paraId="36FD96FF">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联系方式</w:t>
            </w:r>
          </w:p>
        </w:tc>
        <w:tc>
          <w:tcPr>
            <w:tcW w:w="874" w:type="dxa"/>
            <w:vAlign w:val="center"/>
          </w:tcPr>
          <w:p w14:paraId="06A943D1">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联系人</w:t>
            </w:r>
          </w:p>
        </w:tc>
        <w:tc>
          <w:tcPr>
            <w:tcW w:w="2818" w:type="dxa"/>
            <w:gridSpan w:val="4"/>
            <w:shd w:val="clear" w:color="auto" w:fill="auto"/>
            <w:vAlign w:val="center"/>
          </w:tcPr>
          <w:p w14:paraId="6942F42F">
            <w:pPr>
              <w:pStyle w:val="21"/>
              <w:keepNext w:val="0"/>
              <w:keepLines w:val="0"/>
              <w:suppressLineNumbers w:val="0"/>
              <w:spacing w:before="0" w:beforeAutospacing="0" w:after="0" w:afterAutospacing="0"/>
              <w:ind w:left="0" w:right="0"/>
              <w:rPr>
                <w:rFonts w:hint="default"/>
                <w:color w:val="auto"/>
                <w:highlight w:val="none"/>
              </w:rPr>
            </w:pPr>
          </w:p>
        </w:tc>
        <w:tc>
          <w:tcPr>
            <w:tcW w:w="1328" w:type="dxa"/>
            <w:gridSpan w:val="2"/>
            <w:shd w:val="clear" w:color="auto" w:fill="auto"/>
            <w:vAlign w:val="center"/>
          </w:tcPr>
          <w:p w14:paraId="0B9DA89F">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电话</w:t>
            </w:r>
          </w:p>
        </w:tc>
        <w:tc>
          <w:tcPr>
            <w:tcW w:w="2241" w:type="dxa"/>
            <w:gridSpan w:val="4"/>
            <w:shd w:val="clear" w:color="auto" w:fill="auto"/>
            <w:vAlign w:val="center"/>
          </w:tcPr>
          <w:p w14:paraId="48350628">
            <w:pPr>
              <w:pStyle w:val="21"/>
              <w:keepNext w:val="0"/>
              <w:keepLines w:val="0"/>
              <w:suppressLineNumbers w:val="0"/>
              <w:spacing w:before="0" w:beforeAutospacing="0" w:after="0" w:afterAutospacing="0"/>
              <w:ind w:left="0" w:right="0"/>
              <w:rPr>
                <w:rFonts w:hint="default"/>
                <w:color w:val="auto"/>
                <w:highlight w:val="none"/>
              </w:rPr>
            </w:pPr>
          </w:p>
        </w:tc>
      </w:tr>
      <w:tr w14:paraId="5D90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274" w:type="dxa"/>
            <w:vMerge w:val="continue"/>
            <w:vAlign w:val="center"/>
          </w:tcPr>
          <w:p w14:paraId="5392114A">
            <w:pPr>
              <w:pStyle w:val="21"/>
              <w:keepNext w:val="0"/>
              <w:keepLines w:val="0"/>
              <w:suppressLineNumbers w:val="0"/>
              <w:spacing w:before="0" w:beforeAutospacing="0" w:after="0" w:afterAutospacing="0"/>
              <w:ind w:left="0" w:right="0"/>
              <w:rPr>
                <w:rFonts w:hint="default"/>
                <w:color w:val="auto"/>
                <w:highlight w:val="none"/>
              </w:rPr>
            </w:pPr>
          </w:p>
        </w:tc>
        <w:tc>
          <w:tcPr>
            <w:tcW w:w="874" w:type="dxa"/>
            <w:vAlign w:val="center"/>
          </w:tcPr>
          <w:p w14:paraId="025D9205">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传真</w:t>
            </w:r>
          </w:p>
        </w:tc>
        <w:tc>
          <w:tcPr>
            <w:tcW w:w="2818" w:type="dxa"/>
            <w:gridSpan w:val="4"/>
            <w:vAlign w:val="center"/>
          </w:tcPr>
          <w:p w14:paraId="3891F5EA">
            <w:pPr>
              <w:pStyle w:val="21"/>
              <w:keepNext w:val="0"/>
              <w:keepLines w:val="0"/>
              <w:suppressLineNumbers w:val="0"/>
              <w:spacing w:before="0" w:beforeAutospacing="0" w:after="0" w:afterAutospacing="0"/>
              <w:ind w:left="0" w:right="0"/>
              <w:rPr>
                <w:rFonts w:hint="default"/>
                <w:color w:val="auto"/>
                <w:highlight w:val="none"/>
              </w:rPr>
            </w:pPr>
          </w:p>
        </w:tc>
        <w:tc>
          <w:tcPr>
            <w:tcW w:w="1328" w:type="dxa"/>
            <w:gridSpan w:val="2"/>
            <w:vAlign w:val="center"/>
          </w:tcPr>
          <w:p w14:paraId="6B13A87A">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网址</w:t>
            </w:r>
          </w:p>
        </w:tc>
        <w:tc>
          <w:tcPr>
            <w:tcW w:w="2241" w:type="dxa"/>
            <w:gridSpan w:val="4"/>
            <w:vAlign w:val="center"/>
          </w:tcPr>
          <w:p w14:paraId="35084C02">
            <w:pPr>
              <w:pStyle w:val="21"/>
              <w:keepNext w:val="0"/>
              <w:keepLines w:val="0"/>
              <w:suppressLineNumbers w:val="0"/>
              <w:spacing w:before="0" w:beforeAutospacing="0" w:after="0" w:afterAutospacing="0"/>
              <w:ind w:left="0" w:right="0"/>
              <w:rPr>
                <w:rFonts w:hint="default"/>
                <w:color w:val="auto"/>
                <w:highlight w:val="none"/>
              </w:rPr>
            </w:pPr>
          </w:p>
        </w:tc>
      </w:tr>
      <w:tr w14:paraId="645A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74" w:type="dxa"/>
            <w:vAlign w:val="center"/>
          </w:tcPr>
          <w:p w14:paraId="4DCBA561">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组织结构</w:t>
            </w:r>
          </w:p>
        </w:tc>
        <w:tc>
          <w:tcPr>
            <w:tcW w:w="7261" w:type="dxa"/>
            <w:gridSpan w:val="11"/>
            <w:vAlign w:val="center"/>
          </w:tcPr>
          <w:p w14:paraId="265C840B">
            <w:pPr>
              <w:pStyle w:val="21"/>
              <w:keepNext w:val="0"/>
              <w:keepLines w:val="0"/>
              <w:suppressLineNumbers w:val="0"/>
              <w:spacing w:before="0" w:beforeAutospacing="0" w:after="0" w:afterAutospacing="0"/>
              <w:ind w:left="0" w:right="0"/>
              <w:rPr>
                <w:rFonts w:hint="default"/>
                <w:color w:val="auto"/>
                <w:highlight w:val="none"/>
              </w:rPr>
            </w:pPr>
          </w:p>
        </w:tc>
      </w:tr>
      <w:tr w14:paraId="2202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4" w:type="dxa"/>
            <w:vAlign w:val="center"/>
          </w:tcPr>
          <w:p w14:paraId="580A427D">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法定代表人</w:t>
            </w:r>
          </w:p>
        </w:tc>
        <w:tc>
          <w:tcPr>
            <w:tcW w:w="987" w:type="dxa"/>
            <w:gridSpan w:val="2"/>
            <w:vAlign w:val="center"/>
          </w:tcPr>
          <w:p w14:paraId="32C1BA85">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姓名</w:t>
            </w:r>
          </w:p>
        </w:tc>
        <w:tc>
          <w:tcPr>
            <w:tcW w:w="1563" w:type="dxa"/>
            <w:shd w:val="clear" w:color="auto" w:fill="auto"/>
            <w:vAlign w:val="center"/>
          </w:tcPr>
          <w:p w14:paraId="2D861AD8">
            <w:pPr>
              <w:pStyle w:val="21"/>
              <w:keepNext w:val="0"/>
              <w:keepLines w:val="0"/>
              <w:suppressLineNumbers w:val="0"/>
              <w:spacing w:before="0" w:beforeAutospacing="0" w:after="0" w:afterAutospacing="0"/>
              <w:ind w:left="0" w:right="0"/>
              <w:rPr>
                <w:rFonts w:hint="default"/>
                <w:color w:val="auto"/>
                <w:highlight w:val="none"/>
              </w:rPr>
            </w:pPr>
          </w:p>
        </w:tc>
        <w:tc>
          <w:tcPr>
            <w:tcW w:w="1091" w:type="dxa"/>
            <w:shd w:val="clear" w:color="auto" w:fill="auto"/>
            <w:vAlign w:val="center"/>
          </w:tcPr>
          <w:p w14:paraId="6F95EFC3">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技术职称</w:t>
            </w:r>
          </w:p>
        </w:tc>
        <w:tc>
          <w:tcPr>
            <w:tcW w:w="1379" w:type="dxa"/>
            <w:gridSpan w:val="3"/>
            <w:shd w:val="clear" w:color="auto" w:fill="auto"/>
            <w:vAlign w:val="center"/>
          </w:tcPr>
          <w:p w14:paraId="7ACF56AA">
            <w:pPr>
              <w:pStyle w:val="21"/>
              <w:keepNext w:val="0"/>
              <w:keepLines w:val="0"/>
              <w:suppressLineNumbers w:val="0"/>
              <w:spacing w:before="0" w:beforeAutospacing="0" w:after="0" w:afterAutospacing="0"/>
              <w:ind w:left="0" w:right="0"/>
              <w:rPr>
                <w:rFonts w:hint="default"/>
                <w:color w:val="auto"/>
                <w:highlight w:val="none"/>
              </w:rPr>
            </w:pPr>
          </w:p>
        </w:tc>
        <w:tc>
          <w:tcPr>
            <w:tcW w:w="742" w:type="dxa"/>
            <w:gridSpan w:val="3"/>
            <w:vAlign w:val="center"/>
          </w:tcPr>
          <w:p w14:paraId="4F589D78">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电话</w:t>
            </w:r>
          </w:p>
        </w:tc>
        <w:tc>
          <w:tcPr>
            <w:tcW w:w="1499" w:type="dxa"/>
            <w:vAlign w:val="center"/>
          </w:tcPr>
          <w:p w14:paraId="1D82DDE4">
            <w:pPr>
              <w:pStyle w:val="21"/>
              <w:keepNext w:val="0"/>
              <w:keepLines w:val="0"/>
              <w:suppressLineNumbers w:val="0"/>
              <w:spacing w:before="0" w:beforeAutospacing="0" w:after="0" w:afterAutospacing="0"/>
              <w:ind w:left="0" w:right="0"/>
              <w:rPr>
                <w:rFonts w:hint="default"/>
                <w:color w:val="auto"/>
                <w:highlight w:val="none"/>
              </w:rPr>
            </w:pPr>
          </w:p>
        </w:tc>
      </w:tr>
      <w:tr w14:paraId="5A84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74" w:type="dxa"/>
            <w:vAlign w:val="center"/>
          </w:tcPr>
          <w:p w14:paraId="6890353C">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技术负责人</w:t>
            </w:r>
          </w:p>
        </w:tc>
        <w:tc>
          <w:tcPr>
            <w:tcW w:w="987" w:type="dxa"/>
            <w:gridSpan w:val="2"/>
            <w:vAlign w:val="center"/>
          </w:tcPr>
          <w:p w14:paraId="415DB896">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姓名</w:t>
            </w:r>
          </w:p>
        </w:tc>
        <w:tc>
          <w:tcPr>
            <w:tcW w:w="1563" w:type="dxa"/>
            <w:vAlign w:val="center"/>
          </w:tcPr>
          <w:p w14:paraId="35710CEE">
            <w:pPr>
              <w:pStyle w:val="21"/>
              <w:keepNext w:val="0"/>
              <w:keepLines w:val="0"/>
              <w:suppressLineNumbers w:val="0"/>
              <w:spacing w:before="0" w:beforeAutospacing="0" w:after="0" w:afterAutospacing="0"/>
              <w:ind w:left="0" w:right="0"/>
              <w:rPr>
                <w:rFonts w:hint="default"/>
                <w:color w:val="auto"/>
                <w:highlight w:val="none"/>
              </w:rPr>
            </w:pPr>
          </w:p>
        </w:tc>
        <w:tc>
          <w:tcPr>
            <w:tcW w:w="1091" w:type="dxa"/>
            <w:vAlign w:val="center"/>
          </w:tcPr>
          <w:p w14:paraId="258E75A7">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技术职称</w:t>
            </w:r>
          </w:p>
        </w:tc>
        <w:tc>
          <w:tcPr>
            <w:tcW w:w="1379" w:type="dxa"/>
            <w:gridSpan w:val="3"/>
            <w:shd w:val="clear" w:color="auto" w:fill="auto"/>
            <w:vAlign w:val="center"/>
          </w:tcPr>
          <w:p w14:paraId="4BFD19C3">
            <w:pPr>
              <w:pStyle w:val="21"/>
              <w:keepNext w:val="0"/>
              <w:keepLines w:val="0"/>
              <w:suppressLineNumbers w:val="0"/>
              <w:spacing w:before="0" w:beforeAutospacing="0" w:after="0" w:afterAutospacing="0"/>
              <w:ind w:left="0" w:right="0"/>
              <w:rPr>
                <w:rFonts w:hint="default"/>
                <w:color w:val="auto"/>
                <w:highlight w:val="none"/>
              </w:rPr>
            </w:pPr>
          </w:p>
        </w:tc>
        <w:tc>
          <w:tcPr>
            <w:tcW w:w="742" w:type="dxa"/>
            <w:gridSpan w:val="3"/>
            <w:vAlign w:val="center"/>
          </w:tcPr>
          <w:p w14:paraId="0B2DE12E">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电话</w:t>
            </w:r>
          </w:p>
        </w:tc>
        <w:tc>
          <w:tcPr>
            <w:tcW w:w="1499" w:type="dxa"/>
            <w:vAlign w:val="center"/>
          </w:tcPr>
          <w:p w14:paraId="0CC89DED">
            <w:pPr>
              <w:pStyle w:val="21"/>
              <w:keepNext w:val="0"/>
              <w:keepLines w:val="0"/>
              <w:suppressLineNumbers w:val="0"/>
              <w:spacing w:before="0" w:beforeAutospacing="0" w:after="0" w:afterAutospacing="0"/>
              <w:ind w:left="0" w:right="0"/>
              <w:rPr>
                <w:rFonts w:hint="default"/>
                <w:color w:val="auto"/>
                <w:highlight w:val="none"/>
              </w:rPr>
            </w:pPr>
          </w:p>
        </w:tc>
      </w:tr>
      <w:tr w14:paraId="2D8C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74" w:type="dxa"/>
            <w:vAlign w:val="center"/>
          </w:tcPr>
          <w:p w14:paraId="6E5365D9">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成立时间</w:t>
            </w:r>
          </w:p>
        </w:tc>
        <w:tc>
          <w:tcPr>
            <w:tcW w:w="2550" w:type="dxa"/>
            <w:gridSpan w:val="3"/>
            <w:vAlign w:val="center"/>
          </w:tcPr>
          <w:p w14:paraId="56400B84">
            <w:pPr>
              <w:pStyle w:val="21"/>
              <w:keepNext w:val="0"/>
              <w:keepLines w:val="0"/>
              <w:suppressLineNumbers w:val="0"/>
              <w:spacing w:before="0" w:beforeAutospacing="0" w:after="0" w:afterAutospacing="0"/>
              <w:ind w:left="0" w:right="0"/>
              <w:rPr>
                <w:rFonts w:hint="default"/>
                <w:color w:val="auto"/>
                <w:highlight w:val="none"/>
              </w:rPr>
            </w:pPr>
          </w:p>
        </w:tc>
        <w:tc>
          <w:tcPr>
            <w:tcW w:w="4711" w:type="dxa"/>
            <w:gridSpan w:val="8"/>
            <w:vAlign w:val="center"/>
          </w:tcPr>
          <w:p w14:paraId="1E96193F">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员工总人数：</w:t>
            </w:r>
          </w:p>
        </w:tc>
      </w:tr>
      <w:tr w14:paraId="0746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74" w:type="dxa"/>
            <w:vAlign w:val="center"/>
          </w:tcPr>
          <w:p w14:paraId="236E4473">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企业资质等级</w:t>
            </w:r>
          </w:p>
        </w:tc>
        <w:tc>
          <w:tcPr>
            <w:tcW w:w="2550" w:type="dxa"/>
            <w:gridSpan w:val="3"/>
            <w:vAlign w:val="center"/>
          </w:tcPr>
          <w:p w14:paraId="25DEA6DC">
            <w:pPr>
              <w:pStyle w:val="21"/>
              <w:keepNext w:val="0"/>
              <w:keepLines w:val="0"/>
              <w:suppressLineNumbers w:val="0"/>
              <w:spacing w:before="0" w:beforeAutospacing="0" w:after="0" w:afterAutospacing="0"/>
              <w:ind w:left="0" w:right="0"/>
              <w:rPr>
                <w:rFonts w:hint="default"/>
                <w:color w:val="auto"/>
                <w:highlight w:val="none"/>
              </w:rPr>
            </w:pPr>
          </w:p>
        </w:tc>
        <w:tc>
          <w:tcPr>
            <w:tcW w:w="1142" w:type="dxa"/>
            <w:gridSpan w:val="2"/>
            <w:vMerge w:val="restart"/>
            <w:vAlign w:val="center"/>
          </w:tcPr>
          <w:p w14:paraId="75472681">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其中</w:t>
            </w:r>
          </w:p>
        </w:tc>
        <w:tc>
          <w:tcPr>
            <w:tcW w:w="1914" w:type="dxa"/>
            <w:gridSpan w:val="4"/>
            <w:vAlign w:val="center"/>
          </w:tcPr>
          <w:p w14:paraId="39595669">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项目经理</w:t>
            </w:r>
          </w:p>
        </w:tc>
        <w:tc>
          <w:tcPr>
            <w:tcW w:w="1655" w:type="dxa"/>
            <w:gridSpan w:val="2"/>
            <w:vAlign w:val="center"/>
          </w:tcPr>
          <w:p w14:paraId="0359FA4E">
            <w:pPr>
              <w:pStyle w:val="21"/>
              <w:keepNext w:val="0"/>
              <w:keepLines w:val="0"/>
              <w:suppressLineNumbers w:val="0"/>
              <w:spacing w:before="0" w:beforeAutospacing="0" w:after="0" w:afterAutospacing="0"/>
              <w:ind w:left="0" w:right="0"/>
              <w:rPr>
                <w:rFonts w:hint="default"/>
                <w:color w:val="auto"/>
                <w:highlight w:val="none"/>
              </w:rPr>
            </w:pPr>
          </w:p>
        </w:tc>
      </w:tr>
      <w:tr w14:paraId="604A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74" w:type="dxa"/>
            <w:vAlign w:val="center"/>
          </w:tcPr>
          <w:p w14:paraId="79ED20A3">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营业执照号</w:t>
            </w:r>
          </w:p>
        </w:tc>
        <w:tc>
          <w:tcPr>
            <w:tcW w:w="2550" w:type="dxa"/>
            <w:gridSpan w:val="3"/>
            <w:vAlign w:val="center"/>
          </w:tcPr>
          <w:p w14:paraId="0F9952F2">
            <w:pPr>
              <w:pStyle w:val="21"/>
              <w:keepNext w:val="0"/>
              <w:keepLines w:val="0"/>
              <w:suppressLineNumbers w:val="0"/>
              <w:spacing w:before="0" w:beforeAutospacing="0" w:after="0" w:afterAutospacing="0"/>
              <w:ind w:left="0" w:right="0"/>
              <w:rPr>
                <w:rFonts w:hint="default"/>
                <w:color w:val="auto"/>
                <w:highlight w:val="none"/>
              </w:rPr>
            </w:pPr>
          </w:p>
        </w:tc>
        <w:tc>
          <w:tcPr>
            <w:tcW w:w="1142" w:type="dxa"/>
            <w:gridSpan w:val="2"/>
            <w:vMerge w:val="continue"/>
            <w:vAlign w:val="center"/>
          </w:tcPr>
          <w:p w14:paraId="627C059A">
            <w:pPr>
              <w:pStyle w:val="21"/>
              <w:keepNext w:val="0"/>
              <w:keepLines w:val="0"/>
              <w:suppressLineNumbers w:val="0"/>
              <w:spacing w:before="0" w:beforeAutospacing="0" w:after="0" w:afterAutospacing="0"/>
              <w:ind w:left="0" w:right="0"/>
              <w:rPr>
                <w:rFonts w:hint="default"/>
                <w:color w:val="auto"/>
                <w:highlight w:val="none"/>
              </w:rPr>
            </w:pPr>
          </w:p>
        </w:tc>
        <w:tc>
          <w:tcPr>
            <w:tcW w:w="1914" w:type="dxa"/>
            <w:gridSpan w:val="4"/>
            <w:vAlign w:val="center"/>
          </w:tcPr>
          <w:p w14:paraId="3B6E73EF">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高级职称人员</w:t>
            </w:r>
          </w:p>
        </w:tc>
        <w:tc>
          <w:tcPr>
            <w:tcW w:w="1655" w:type="dxa"/>
            <w:gridSpan w:val="2"/>
            <w:vAlign w:val="center"/>
          </w:tcPr>
          <w:p w14:paraId="3AB69DA6">
            <w:pPr>
              <w:pStyle w:val="21"/>
              <w:keepNext w:val="0"/>
              <w:keepLines w:val="0"/>
              <w:suppressLineNumbers w:val="0"/>
              <w:spacing w:before="0" w:beforeAutospacing="0" w:after="0" w:afterAutospacing="0"/>
              <w:ind w:left="0" w:right="0"/>
              <w:rPr>
                <w:rFonts w:hint="default"/>
                <w:color w:val="auto"/>
                <w:highlight w:val="none"/>
              </w:rPr>
            </w:pPr>
          </w:p>
        </w:tc>
      </w:tr>
      <w:tr w14:paraId="682B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74" w:type="dxa"/>
            <w:vAlign w:val="center"/>
          </w:tcPr>
          <w:p w14:paraId="6F297BC5">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注册资金</w:t>
            </w:r>
          </w:p>
        </w:tc>
        <w:tc>
          <w:tcPr>
            <w:tcW w:w="2550" w:type="dxa"/>
            <w:gridSpan w:val="3"/>
            <w:vAlign w:val="center"/>
          </w:tcPr>
          <w:p w14:paraId="0D90A850">
            <w:pPr>
              <w:pStyle w:val="21"/>
              <w:keepNext w:val="0"/>
              <w:keepLines w:val="0"/>
              <w:suppressLineNumbers w:val="0"/>
              <w:spacing w:before="0" w:beforeAutospacing="0" w:after="0" w:afterAutospacing="0"/>
              <w:ind w:left="0" w:right="0"/>
              <w:rPr>
                <w:rFonts w:hint="default"/>
                <w:color w:val="auto"/>
                <w:highlight w:val="none"/>
              </w:rPr>
            </w:pPr>
          </w:p>
        </w:tc>
        <w:tc>
          <w:tcPr>
            <w:tcW w:w="1142" w:type="dxa"/>
            <w:gridSpan w:val="2"/>
            <w:vMerge w:val="continue"/>
            <w:vAlign w:val="center"/>
          </w:tcPr>
          <w:p w14:paraId="552BB6FC">
            <w:pPr>
              <w:pStyle w:val="21"/>
              <w:keepNext w:val="0"/>
              <w:keepLines w:val="0"/>
              <w:suppressLineNumbers w:val="0"/>
              <w:spacing w:before="0" w:beforeAutospacing="0" w:after="0" w:afterAutospacing="0"/>
              <w:ind w:left="0" w:right="0"/>
              <w:rPr>
                <w:rFonts w:hint="default"/>
                <w:color w:val="auto"/>
                <w:highlight w:val="none"/>
              </w:rPr>
            </w:pPr>
          </w:p>
        </w:tc>
        <w:tc>
          <w:tcPr>
            <w:tcW w:w="1914" w:type="dxa"/>
            <w:gridSpan w:val="4"/>
            <w:vAlign w:val="center"/>
          </w:tcPr>
          <w:p w14:paraId="287604CC">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中级职称人员</w:t>
            </w:r>
          </w:p>
        </w:tc>
        <w:tc>
          <w:tcPr>
            <w:tcW w:w="1655" w:type="dxa"/>
            <w:gridSpan w:val="2"/>
            <w:vAlign w:val="center"/>
          </w:tcPr>
          <w:p w14:paraId="21AD7EFA">
            <w:pPr>
              <w:pStyle w:val="21"/>
              <w:keepNext w:val="0"/>
              <w:keepLines w:val="0"/>
              <w:suppressLineNumbers w:val="0"/>
              <w:spacing w:before="0" w:beforeAutospacing="0" w:after="0" w:afterAutospacing="0"/>
              <w:ind w:left="0" w:right="0"/>
              <w:rPr>
                <w:rFonts w:hint="default"/>
                <w:color w:val="auto"/>
                <w:highlight w:val="none"/>
              </w:rPr>
            </w:pPr>
          </w:p>
        </w:tc>
      </w:tr>
      <w:tr w14:paraId="1297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74" w:type="dxa"/>
            <w:vAlign w:val="center"/>
          </w:tcPr>
          <w:p w14:paraId="12299754">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开户银行</w:t>
            </w:r>
          </w:p>
        </w:tc>
        <w:tc>
          <w:tcPr>
            <w:tcW w:w="2550" w:type="dxa"/>
            <w:gridSpan w:val="3"/>
            <w:vAlign w:val="center"/>
          </w:tcPr>
          <w:p w14:paraId="6F796F3A">
            <w:pPr>
              <w:pStyle w:val="21"/>
              <w:keepNext w:val="0"/>
              <w:keepLines w:val="0"/>
              <w:suppressLineNumbers w:val="0"/>
              <w:spacing w:before="0" w:beforeAutospacing="0" w:after="0" w:afterAutospacing="0"/>
              <w:ind w:left="0" w:right="0"/>
              <w:rPr>
                <w:rFonts w:hint="default"/>
                <w:color w:val="auto"/>
                <w:highlight w:val="none"/>
              </w:rPr>
            </w:pPr>
          </w:p>
        </w:tc>
        <w:tc>
          <w:tcPr>
            <w:tcW w:w="1142" w:type="dxa"/>
            <w:gridSpan w:val="2"/>
            <w:vMerge w:val="continue"/>
            <w:vAlign w:val="center"/>
          </w:tcPr>
          <w:p w14:paraId="4010CCF7">
            <w:pPr>
              <w:pStyle w:val="21"/>
              <w:keepNext w:val="0"/>
              <w:keepLines w:val="0"/>
              <w:suppressLineNumbers w:val="0"/>
              <w:spacing w:before="0" w:beforeAutospacing="0" w:after="0" w:afterAutospacing="0"/>
              <w:ind w:left="0" w:right="0"/>
              <w:rPr>
                <w:rFonts w:hint="default"/>
                <w:color w:val="auto"/>
                <w:highlight w:val="none"/>
              </w:rPr>
            </w:pPr>
          </w:p>
        </w:tc>
        <w:tc>
          <w:tcPr>
            <w:tcW w:w="1914" w:type="dxa"/>
            <w:gridSpan w:val="4"/>
            <w:vAlign w:val="center"/>
          </w:tcPr>
          <w:p w14:paraId="13BD725B">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初级职称人员</w:t>
            </w:r>
          </w:p>
        </w:tc>
        <w:tc>
          <w:tcPr>
            <w:tcW w:w="1655" w:type="dxa"/>
            <w:gridSpan w:val="2"/>
            <w:vAlign w:val="center"/>
          </w:tcPr>
          <w:p w14:paraId="105FB3EE">
            <w:pPr>
              <w:pStyle w:val="21"/>
              <w:keepNext w:val="0"/>
              <w:keepLines w:val="0"/>
              <w:suppressLineNumbers w:val="0"/>
              <w:spacing w:before="0" w:beforeAutospacing="0" w:after="0" w:afterAutospacing="0"/>
              <w:ind w:left="0" w:right="0"/>
              <w:rPr>
                <w:rFonts w:hint="default"/>
                <w:color w:val="auto"/>
                <w:highlight w:val="none"/>
              </w:rPr>
            </w:pPr>
          </w:p>
        </w:tc>
      </w:tr>
      <w:tr w14:paraId="0ABB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74" w:type="dxa"/>
            <w:vAlign w:val="center"/>
          </w:tcPr>
          <w:p w14:paraId="15AF11EC">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账号</w:t>
            </w:r>
          </w:p>
        </w:tc>
        <w:tc>
          <w:tcPr>
            <w:tcW w:w="2550" w:type="dxa"/>
            <w:gridSpan w:val="3"/>
            <w:vAlign w:val="center"/>
          </w:tcPr>
          <w:p w14:paraId="26621411">
            <w:pPr>
              <w:pStyle w:val="21"/>
              <w:keepNext w:val="0"/>
              <w:keepLines w:val="0"/>
              <w:suppressLineNumbers w:val="0"/>
              <w:spacing w:before="0" w:beforeAutospacing="0" w:after="0" w:afterAutospacing="0"/>
              <w:ind w:left="0" w:right="0"/>
              <w:rPr>
                <w:rFonts w:hint="default"/>
                <w:color w:val="auto"/>
                <w:highlight w:val="none"/>
              </w:rPr>
            </w:pPr>
          </w:p>
        </w:tc>
        <w:tc>
          <w:tcPr>
            <w:tcW w:w="1142" w:type="dxa"/>
            <w:gridSpan w:val="2"/>
            <w:vMerge w:val="continue"/>
            <w:vAlign w:val="center"/>
          </w:tcPr>
          <w:p w14:paraId="1030C67C">
            <w:pPr>
              <w:pStyle w:val="21"/>
              <w:keepNext w:val="0"/>
              <w:keepLines w:val="0"/>
              <w:suppressLineNumbers w:val="0"/>
              <w:spacing w:before="0" w:beforeAutospacing="0" w:after="0" w:afterAutospacing="0"/>
              <w:ind w:left="0" w:right="0"/>
              <w:rPr>
                <w:rFonts w:hint="default"/>
                <w:color w:val="auto"/>
                <w:highlight w:val="none"/>
              </w:rPr>
            </w:pPr>
          </w:p>
        </w:tc>
        <w:tc>
          <w:tcPr>
            <w:tcW w:w="1914" w:type="dxa"/>
            <w:gridSpan w:val="4"/>
            <w:vAlign w:val="center"/>
          </w:tcPr>
          <w:p w14:paraId="01535AC4">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技工</w:t>
            </w:r>
          </w:p>
        </w:tc>
        <w:tc>
          <w:tcPr>
            <w:tcW w:w="1655" w:type="dxa"/>
            <w:gridSpan w:val="2"/>
            <w:vAlign w:val="center"/>
          </w:tcPr>
          <w:p w14:paraId="232B6EAE">
            <w:pPr>
              <w:pStyle w:val="21"/>
              <w:keepNext w:val="0"/>
              <w:keepLines w:val="0"/>
              <w:suppressLineNumbers w:val="0"/>
              <w:spacing w:before="0" w:beforeAutospacing="0" w:after="0" w:afterAutospacing="0"/>
              <w:ind w:left="0" w:right="0"/>
              <w:rPr>
                <w:rFonts w:hint="default"/>
                <w:color w:val="auto"/>
                <w:highlight w:val="none"/>
              </w:rPr>
            </w:pPr>
          </w:p>
        </w:tc>
      </w:tr>
      <w:tr w14:paraId="3C44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274" w:type="dxa"/>
            <w:vAlign w:val="center"/>
          </w:tcPr>
          <w:p w14:paraId="155BCC76">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经营范围</w:t>
            </w:r>
          </w:p>
        </w:tc>
        <w:tc>
          <w:tcPr>
            <w:tcW w:w="7261" w:type="dxa"/>
            <w:gridSpan w:val="11"/>
            <w:vAlign w:val="center"/>
          </w:tcPr>
          <w:p w14:paraId="39D26863">
            <w:pPr>
              <w:pStyle w:val="21"/>
              <w:keepNext w:val="0"/>
              <w:keepLines w:val="0"/>
              <w:suppressLineNumbers w:val="0"/>
              <w:spacing w:before="0" w:beforeAutospacing="0" w:after="0" w:afterAutospacing="0"/>
              <w:ind w:left="0" w:right="0"/>
              <w:rPr>
                <w:rFonts w:hint="default"/>
                <w:color w:val="auto"/>
                <w:highlight w:val="none"/>
              </w:rPr>
            </w:pPr>
          </w:p>
        </w:tc>
      </w:tr>
      <w:tr w14:paraId="12EF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74" w:type="dxa"/>
          </w:tcPr>
          <w:p w14:paraId="2B54F1EC">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备注</w:t>
            </w:r>
          </w:p>
        </w:tc>
        <w:tc>
          <w:tcPr>
            <w:tcW w:w="7261" w:type="dxa"/>
            <w:gridSpan w:val="11"/>
          </w:tcPr>
          <w:p w14:paraId="5F6475FD">
            <w:pPr>
              <w:pStyle w:val="21"/>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w:t>
            </w:r>
          </w:p>
        </w:tc>
      </w:tr>
    </w:tbl>
    <w:p w14:paraId="69CE60EF">
      <w:pPr>
        <w:pStyle w:val="3"/>
        <w:ind w:firstLine="480"/>
        <w:rPr>
          <w:color w:val="auto"/>
          <w:highlight w:val="none"/>
        </w:rPr>
      </w:pPr>
    </w:p>
    <w:p w14:paraId="150426B7">
      <w:pPr>
        <w:rPr>
          <w:color w:val="auto"/>
          <w:highlight w:val="none"/>
        </w:rPr>
      </w:pPr>
    </w:p>
    <w:p w14:paraId="48A1576C">
      <w:pPr>
        <w:spacing w:before="79" w:line="219" w:lineRule="auto"/>
        <w:ind w:left="226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法定代表人或者委托代理人签字：</w:t>
      </w:r>
    </w:p>
    <w:p w14:paraId="6A27FAAE">
      <w:pPr>
        <w:pStyle w:val="3"/>
        <w:spacing w:line="258" w:lineRule="auto"/>
        <w:rPr>
          <w:color w:val="auto"/>
          <w:highlight w:val="none"/>
        </w:rPr>
      </w:pPr>
    </w:p>
    <w:p w14:paraId="7BE400EA">
      <w:pPr>
        <w:spacing w:before="78" w:line="219" w:lineRule="auto"/>
        <w:ind w:left="334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35"/>
          <w:sz w:val="24"/>
          <w:szCs w:val="24"/>
          <w:highlight w:val="none"/>
        </w:rPr>
        <w:t xml:space="preserve"> </w:t>
      </w:r>
      <w:r>
        <w:rPr>
          <w:rFonts w:ascii="宋体" w:hAnsi="宋体" w:eastAsia="宋体" w:cs="宋体"/>
          <w:color w:val="auto"/>
          <w:spacing w:val="-16"/>
          <w:sz w:val="24"/>
          <w:szCs w:val="24"/>
          <w:highlight w:val="none"/>
        </w:rPr>
        <w:t>）：</w:t>
      </w:r>
    </w:p>
    <w:p w14:paraId="389F302E">
      <w:pPr>
        <w:pStyle w:val="3"/>
        <w:spacing w:line="260" w:lineRule="auto"/>
        <w:rPr>
          <w:color w:val="auto"/>
          <w:highlight w:val="none"/>
        </w:rPr>
      </w:pPr>
    </w:p>
    <w:p w14:paraId="1E643310">
      <w:pPr>
        <w:spacing w:before="79" w:line="219" w:lineRule="auto"/>
        <w:ind w:left="562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360D9733">
      <w:pPr>
        <w:rPr>
          <w:color w:val="auto"/>
          <w:highlight w:val="none"/>
        </w:rPr>
      </w:pPr>
    </w:p>
    <w:p w14:paraId="380DEA87">
      <w:pPr>
        <w:pStyle w:val="3"/>
        <w:spacing w:line="252" w:lineRule="auto"/>
        <w:rPr>
          <w:color w:val="auto"/>
          <w:highlight w:val="none"/>
        </w:rPr>
      </w:pPr>
    </w:p>
    <w:p w14:paraId="1C1126D9">
      <w:pPr>
        <w:pStyle w:val="3"/>
        <w:spacing w:line="252" w:lineRule="auto"/>
        <w:rPr>
          <w:color w:val="auto"/>
          <w:highlight w:val="none"/>
        </w:rPr>
      </w:pPr>
    </w:p>
    <w:p w14:paraId="22E4C144">
      <w:pPr>
        <w:pStyle w:val="3"/>
        <w:spacing w:line="252" w:lineRule="auto"/>
        <w:rPr>
          <w:color w:val="auto"/>
          <w:highlight w:val="none"/>
        </w:rPr>
      </w:pPr>
    </w:p>
    <w:p w14:paraId="632D62F0">
      <w:pPr>
        <w:pStyle w:val="3"/>
        <w:spacing w:line="252" w:lineRule="auto"/>
        <w:rPr>
          <w:color w:val="auto"/>
          <w:highlight w:val="none"/>
        </w:rPr>
      </w:pPr>
    </w:p>
    <w:p w14:paraId="67C7A882">
      <w:pPr>
        <w:rPr>
          <w:color w:val="auto"/>
          <w:highlight w:val="none"/>
        </w:rPr>
      </w:pPr>
    </w:p>
    <w:p w14:paraId="589AA3A3">
      <w:pPr>
        <w:rPr>
          <w:color w:val="auto"/>
          <w:highlight w:val="none"/>
        </w:rPr>
      </w:pPr>
    </w:p>
    <w:p w14:paraId="33DDC4CD">
      <w:pPr>
        <w:rPr>
          <w:color w:val="auto"/>
          <w:highlight w:val="none"/>
        </w:rPr>
      </w:pPr>
    </w:p>
    <w:p w14:paraId="614954BD">
      <w:pPr>
        <w:pStyle w:val="3"/>
        <w:spacing w:line="252" w:lineRule="auto"/>
        <w:rPr>
          <w:color w:val="auto"/>
          <w:highlight w:val="none"/>
        </w:rPr>
      </w:pPr>
    </w:p>
    <w:p w14:paraId="6C22F8CB">
      <w:pPr>
        <w:pStyle w:val="3"/>
        <w:spacing w:line="253" w:lineRule="auto"/>
        <w:rPr>
          <w:color w:val="auto"/>
          <w:highlight w:val="none"/>
        </w:rPr>
      </w:pPr>
    </w:p>
    <w:p w14:paraId="204767D5">
      <w:pPr>
        <w:rPr>
          <w:color w:val="auto"/>
          <w:highlight w:val="none"/>
        </w:rPr>
      </w:pPr>
    </w:p>
    <w:p w14:paraId="5C7028EE">
      <w:pPr>
        <w:rPr>
          <w:color w:val="auto"/>
          <w:highlight w:val="none"/>
        </w:rPr>
      </w:pPr>
    </w:p>
    <w:p w14:paraId="58BCEB4E">
      <w:pPr>
        <w:spacing w:before="63" w:line="225" w:lineRule="auto"/>
        <w:ind w:left="3804"/>
        <w:rPr>
          <w:rFonts w:ascii="宋体" w:hAnsi="宋体" w:eastAsia="宋体" w:cs="宋体"/>
          <w:b w:val="0"/>
          <w:bCs w:val="0"/>
          <w:color w:val="auto"/>
          <w:sz w:val="31"/>
          <w:szCs w:val="31"/>
          <w:highlight w:val="none"/>
        </w:rPr>
      </w:pPr>
      <w:r>
        <w:rPr>
          <w:rFonts w:ascii="宋体" w:hAnsi="宋体" w:eastAsia="宋体" w:cs="宋体"/>
          <w:b w:val="0"/>
          <w:bCs w:val="0"/>
          <w:color w:val="auto"/>
          <w:spacing w:val="3"/>
          <w:sz w:val="31"/>
          <w:szCs w:val="31"/>
          <w:highlight w:val="none"/>
        </w:rPr>
        <w:t>竞标声明</w:t>
      </w:r>
    </w:p>
    <w:p w14:paraId="46C66C8C">
      <w:pPr>
        <w:pStyle w:val="3"/>
        <w:spacing w:line="274" w:lineRule="auto"/>
        <w:rPr>
          <w:color w:val="auto"/>
          <w:highlight w:val="none"/>
        </w:rPr>
      </w:pPr>
    </w:p>
    <w:p w14:paraId="46C5BAF4">
      <w:pPr>
        <w:pStyle w:val="3"/>
        <w:spacing w:line="275" w:lineRule="auto"/>
        <w:rPr>
          <w:color w:val="auto"/>
          <w:highlight w:val="none"/>
        </w:rPr>
      </w:pPr>
    </w:p>
    <w:p w14:paraId="0A0A56CE">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致</w:t>
      </w:r>
      <w:r>
        <w:rPr>
          <w:rFonts w:ascii="宋体" w:hAnsi="宋体" w:eastAsia="宋体" w:cs="宋体"/>
          <w:color w:val="auto"/>
          <w:spacing w:val="-15"/>
          <w:sz w:val="24"/>
          <w:szCs w:val="24"/>
          <w:highlight w:val="none"/>
        </w:rPr>
        <w:t>：</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7"/>
          <w:sz w:val="24"/>
          <w:szCs w:val="24"/>
          <w:highlight w:val="none"/>
          <w:u w:val="single" w:color="auto"/>
        </w:rPr>
        <w:t>采购单位名称</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15"/>
          <w:sz w:val="24"/>
          <w:szCs w:val="24"/>
          <w:highlight w:val="none"/>
        </w:rPr>
        <w:t>：</w:t>
      </w:r>
    </w:p>
    <w:p w14:paraId="21D1415F">
      <w:pPr>
        <w:tabs>
          <w:tab w:val="left" w:pos="607"/>
        </w:tabs>
        <w:spacing w:before="183" w:line="219" w:lineRule="auto"/>
        <w:ind w:left="471"/>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5"/>
          <w:sz w:val="24"/>
          <w:szCs w:val="24"/>
          <w:highlight w:val="none"/>
          <w:u w:val="single" w:color="auto"/>
        </w:rPr>
        <w:t>（供应商名称）</w:t>
      </w:r>
      <w:r>
        <w:rPr>
          <w:rFonts w:ascii="宋体" w:hAnsi="宋体" w:eastAsia="宋体" w:cs="宋体"/>
          <w:color w:val="auto"/>
          <w:spacing w:val="-5"/>
          <w:sz w:val="24"/>
          <w:szCs w:val="24"/>
          <w:highlight w:val="none"/>
        </w:rPr>
        <w:t>系中华人民共和国合法供应</w:t>
      </w:r>
      <w:r>
        <w:rPr>
          <w:rFonts w:ascii="宋体" w:hAnsi="宋体" w:eastAsia="宋体" w:cs="宋体"/>
          <w:color w:val="auto"/>
          <w:spacing w:val="-6"/>
          <w:sz w:val="24"/>
          <w:szCs w:val="24"/>
          <w:highlight w:val="none"/>
        </w:rPr>
        <w:t>商，经营地址。</w:t>
      </w:r>
    </w:p>
    <w:p w14:paraId="2E5A2CA3">
      <w:pPr>
        <w:spacing w:before="183" w:line="360" w:lineRule="auto"/>
        <w:ind w:left="6" w:right="80"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我方愿意参加贵方组织的</w:t>
      </w:r>
      <w:r>
        <w:rPr>
          <w:rFonts w:ascii="宋体" w:hAnsi="宋体" w:eastAsia="宋体" w:cs="宋体"/>
          <w:color w:val="auto"/>
          <w:sz w:val="24"/>
          <w:szCs w:val="24"/>
          <w:highlight w:val="none"/>
          <w:u w:val="single" w:color="auto"/>
        </w:rPr>
        <w:t>（项目名称）</w:t>
      </w:r>
      <w:r>
        <w:rPr>
          <w:rFonts w:ascii="宋体" w:hAnsi="宋体" w:eastAsia="宋体" w:cs="宋体"/>
          <w:color w:val="auto"/>
          <w:sz w:val="24"/>
          <w:szCs w:val="24"/>
          <w:highlight w:val="none"/>
        </w:rPr>
        <w:t>项目的竞标</w:t>
      </w:r>
      <w:r>
        <w:rPr>
          <w:rFonts w:ascii="宋体" w:hAnsi="宋体" w:eastAsia="宋体" w:cs="宋体"/>
          <w:color w:val="auto"/>
          <w:spacing w:val="-1"/>
          <w:sz w:val="24"/>
          <w:szCs w:val="24"/>
          <w:highlight w:val="none"/>
        </w:rPr>
        <w:t>，为便于贵方公正、择优地确</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定成交供应商及其竞标产品和服务，我方就本次竞标有关事项郑重声明如下：</w:t>
      </w:r>
    </w:p>
    <w:p w14:paraId="15182AEC">
      <w:pPr>
        <w:spacing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1.我方向贵方提交的所有响应文件、资料都是准确的和真实的。</w:t>
      </w:r>
    </w:p>
    <w:p w14:paraId="661E258C">
      <w:pPr>
        <w:spacing w:before="182" w:line="313" w:lineRule="auto"/>
        <w:ind w:left="2"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2.我方不是采购人的附属机构；不是为本次采购</w:t>
      </w:r>
      <w:r>
        <w:rPr>
          <w:rFonts w:ascii="宋体" w:hAnsi="宋体" w:eastAsia="宋体" w:cs="宋体"/>
          <w:color w:val="auto"/>
          <w:spacing w:val="-1"/>
          <w:sz w:val="24"/>
          <w:szCs w:val="24"/>
          <w:highlight w:val="none"/>
        </w:rPr>
        <w:t>项目提供整体设计、规范编制或</w:t>
      </w:r>
      <w:r>
        <w:rPr>
          <w:rFonts w:ascii="宋体" w:hAnsi="宋体" w:eastAsia="宋体" w:cs="宋体"/>
          <w:color w:val="auto"/>
          <w:sz w:val="24"/>
          <w:szCs w:val="24"/>
          <w:highlight w:val="none"/>
        </w:rPr>
        <w:t xml:space="preserve"> 者项目管理、监理、检测等服务的供应商；在获知本项</w:t>
      </w:r>
      <w:r>
        <w:rPr>
          <w:rFonts w:ascii="宋体" w:hAnsi="宋体" w:eastAsia="宋体" w:cs="宋体"/>
          <w:color w:val="auto"/>
          <w:spacing w:val="-1"/>
          <w:sz w:val="24"/>
          <w:szCs w:val="24"/>
          <w:highlight w:val="none"/>
        </w:rPr>
        <w:t>目采购信息后，与采购人聘请</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的为此项目提供咨询服务的公司及其附属机构没有任何联系。</w:t>
      </w:r>
    </w:p>
    <w:p w14:paraId="417CB36B">
      <w:pPr>
        <w:spacing w:before="183" w:line="219"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3.在此，我方宣布同意如下：</w:t>
      </w:r>
    </w:p>
    <w:p w14:paraId="3AE135DD">
      <w:pPr>
        <w:spacing w:before="185"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（1）将按磋商文件的约定履行合同责任和义务；</w:t>
      </w:r>
    </w:p>
    <w:p w14:paraId="09DC3614">
      <w:pPr>
        <w:spacing w:before="182" w:line="218"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（2）已详细审查全部磋商文件，包括澄清或者更正公告（如有</w:t>
      </w:r>
      <w:r>
        <w:rPr>
          <w:rFonts w:ascii="宋体" w:hAnsi="宋体" w:eastAsia="宋体" w:cs="宋体"/>
          <w:color w:val="auto"/>
          <w:spacing w:val="3"/>
          <w:sz w:val="24"/>
          <w:szCs w:val="24"/>
          <w:highlight w:val="none"/>
        </w:rPr>
        <w:t>）；</w:t>
      </w:r>
    </w:p>
    <w:p w14:paraId="62219BF1">
      <w:pPr>
        <w:spacing w:before="185"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（3）同意提供按照贵方可能要求的与磋商有关的一切数据或者资料；</w:t>
      </w:r>
    </w:p>
    <w:p w14:paraId="3B4EF2B1">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（4）响应磋商文件规定的竞标有效期。</w:t>
      </w:r>
    </w:p>
    <w:p w14:paraId="5319ABFC">
      <w:pPr>
        <w:spacing w:before="182"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rPr>
        <w:t>4.我方承诺符合《中华人民共和国政府采购</w:t>
      </w:r>
      <w:r>
        <w:rPr>
          <w:rFonts w:ascii="宋体" w:hAnsi="宋体" w:eastAsia="宋体" w:cs="宋体"/>
          <w:color w:val="auto"/>
          <w:spacing w:val="-1"/>
          <w:sz w:val="24"/>
          <w:szCs w:val="24"/>
          <w:highlight w:val="none"/>
        </w:rPr>
        <w:t>法》第二十二条规定：</w:t>
      </w:r>
    </w:p>
    <w:p w14:paraId="220E45B6">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（1）具有独立承担民事责任的能力；</w:t>
      </w:r>
    </w:p>
    <w:p w14:paraId="650FFDA7">
      <w:pPr>
        <w:spacing w:before="183"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（2）具有良好的商业信誉和健全的财务会计制度；</w:t>
      </w:r>
    </w:p>
    <w:p w14:paraId="4F7B9A0D">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（3）具有履行合同所必需的设备和专业技术能力；</w:t>
      </w:r>
    </w:p>
    <w:p w14:paraId="56F99E85">
      <w:pPr>
        <w:spacing w:before="182"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（4）有依法缴纳税收和社会保障资金的良好记录；</w:t>
      </w:r>
    </w:p>
    <w:p w14:paraId="3FBEBB49">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（5）参加政府采购活动前三年内，在经营活动中没有重大违法记录；</w:t>
      </w:r>
    </w:p>
    <w:p w14:paraId="60FDD6E6">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（6）法律、行政法规规定的其他条件。</w:t>
      </w:r>
    </w:p>
    <w:p w14:paraId="795ED9C9">
      <w:pPr>
        <w:spacing w:before="181" w:line="332" w:lineRule="auto"/>
        <w:ind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5.我方在此声明，我方在参加本项目的政府</w:t>
      </w:r>
      <w:r>
        <w:rPr>
          <w:rFonts w:ascii="宋体" w:hAnsi="宋体" w:eastAsia="宋体" w:cs="宋体"/>
          <w:color w:val="auto"/>
          <w:spacing w:val="-1"/>
          <w:sz w:val="24"/>
          <w:szCs w:val="24"/>
          <w:highlight w:val="none"/>
        </w:rPr>
        <w:t>采购活动前三年内，在经营活动中没</w:t>
      </w:r>
      <w:r>
        <w:rPr>
          <w:rFonts w:ascii="宋体" w:hAnsi="宋体" w:eastAsia="宋体" w:cs="宋体"/>
          <w:color w:val="auto"/>
          <w:sz w:val="24"/>
          <w:szCs w:val="24"/>
          <w:highlight w:val="none"/>
        </w:rPr>
        <w:t xml:space="preserve"> 有重大违法记录（重大违法记录是指供应商因违法经营受到刑</w:t>
      </w:r>
      <w:r>
        <w:rPr>
          <w:rFonts w:ascii="宋体" w:hAnsi="宋体" w:eastAsia="宋体" w:cs="宋体"/>
          <w:color w:val="auto"/>
          <w:spacing w:val="-1"/>
          <w:sz w:val="24"/>
          <w:szCs w:val="24"/>
          <w:highlight w:val="none"/>
        </w:rPr>
        <w:t>事处罚或者责令停产停</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业、吊销许可证或者执照、较大数额罚款等行政处罚</w:t>
      </w:r>
      <w:r>
        <w:rPr>
          <w:rFonts w:ascii="宋体" w:hAnsi="宋体" w:eastAsia="宋体" w:cs="宋体"/>
          <w:color w:val="auto"/>
          <w:spacing w:val="11"/>
          <w:sz w:val="24"/>
          <w:szCs w:val="24"/>
          <w:highlight w:val="none"/>
        </w:rPr>
        <w:t>），</w:t>
      </w:r>
      <w:r>
        <w:rPr>
          <w:rFonts w:ascii="宋体" w:hAnsi="宋体" w:eastAsia="宋体" w:cs="宋体"/>
          <w:color w:val="auto"/>
          <w:spacing w:val="-1"/>
          <w:sz w:val="24"/>
          <w:szCs w:val="24"/>
          <w:highlight w:val="none"/>
        </w:rPr>
        <w:t>未被列入失信被执行人、重</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大税收违法失信主体、政府采购严重违法失信行为记录名单，</w:t>
      </w:r>
      <w:r>
        <w:rPr>
          <w:rFonts w:ascii="宋体" w:hAnsi="宋体" w:eastAsia="宋体" w:cs="宋体"/>
          <w:color w:val="auto"/>
          <w:spacing w:val="-1"/>
          <w:sz w:val="24"/>
          <w:szCs w:val="24"/>
          <w:highlight w:val="none"/>
        </w:rPr>
        <w:t>完全符合《中华人民共</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和国政府采购法》第二十二条规定的供应商资</w:t>
      </w:r>
      <w:r>
        <w:rPr>
          <w:rFonts w:ascii="宋体" w:hAnsi="宋体" w:eastAsia="宋体" w:cs="宋体"/>
          <w:color w:val="auto"/>
          <w:spacing w:val="-5"/>
          <w:sz w:val="24"/>
          <w:szCs w:val="24"/>
          <w:highlight w:val="none"/>
        </w:rPr>
        <w:t>格条件，我方对此声明负全部法律责任。</w:t>
      </w:r>
    </w:p>
    <w:p w14:paraId="63C9417E">
      <w:pPr>
        <w:spacing w:before="184" w:line="289" w:lineRule="auto"/>
        <w:ind w:left="4" w:right="80"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6.根据《中华人民共和国政府采购法实施条例》第</w:t>
      </w:r>
      <w:r>
        <w:rPr>
          <w:rFonts w:ascii="宋体" w:hAnsi="宋体" w:eastAsia="宋体" w:cs="宋体"/>
          <w:color w:val="auto"/>
          <w:spacing w:val="-1"/>
          <w:sz w:val="24"/>
          <w:szCs w:val="24"/>
          <w:highlight w:val="none"/>
        </w:rPr>
        <w:t>五十条要求对政府采购合同进</w:t>
      </w:r>
      <w:r>
        <w:rPr>
          <w:rFonts w:ascii="宋体" w:hAnsi="宋体" w:eastAsia="宋体" w:cs="宋体"/>
          <w:color w:val="auto"/>
          <w:sz w:val="24"/>
          <w:szCs w:val="24"/>
          <w:highlight w:val="none"/>
        </w:rPr>
        <w:t xml:space="preserve"> 行公告，但政府采购合同中涉及国家秘密、商业秘</w:t>
      </w:r>
      <w:r>
        <w:rPr>
          <w:rFonts w:ascii="宋体" w:hAnsi="宋体" w:eastAsia="宋体" w:cs="宋体"/>
          <w:color w:val="auto"/>
          <w:spacing w:val="-1"/>
          <w:sz w:val="24"/>
          <w:szCs w:val="24"/>
          <w:highlight w:val="none"/>
        </w:rPr>
        <w:t>密的内容除外。我方就对本次响应</w:t>
      </w:r>
    </w:p>
    <w:p w14:paraId="72604051">
      <w:pPr>
        <w:spacing w:line="289" w:lineRule="auto"/>
        <w:rPr>
          <w:rFonts w:ascii="宋体" w:hAnsi="宋体" w:eastAsia="宋体" w:cs="宋体"/>
          <w:color w:val="auto"/>
          <w:sz w:val="24"/>
          <w:szCs w:val="24"/>
          <w:highlight w:val="none"/>
        </w:rPr>
        <w:sectPr>
          <w:footerReference r:id="rId28" w:type="default"/>
          <w:pgSz w:w="11906" w:h="16839"/>
          <w:pgMar w:top="1424" w:right="1359" w:bottom="1362" w:left="1594" w:header="0" w:footer="1200" w:gutter="0"/>
          <w:pgNumType w:fmt="decimal"/>
          <w:cols w:space="720" w:num="1"/>
        </w:sectPr>
      </w:pPr>
    </w:p>
    <w:p w14:paraId="0C7EA852">
      <w:pPr>
        <w:spacing w:before="123"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文件进行注明如下</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两项内容中必须选择一项）</w:t>
      </w:r>
    </w:p>
    <w:p w14:paraId="786F4892">
      <w:pPr>
        <w:spacing w:before="182" w:line="219" w:lineRule="auto"/>
        <w:ind w:left="5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□我方本次响应文件内容中未涉及商业秘密；</w:t>
      </w:r>
    </w:p>
    <w:p w14:paraId="7A651D16">
      <w:pPr>
        <w:spacing w:before="183" w:line="219" w:lineRule="auto"/>
        <w:ind w:left="5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□我方本次响应文件涉及商业秘密的内容有</w:t>
      </w:r>
      <w:r>
        <w:rPr>
          <w:rFonts w:ascii="宋体" w:hAnsi="宋体" w:eastAsia="宋体" w:cs="宋体"/>
          <w:color w:val="auto"/>
          <w:spacing w:val="1"/>
          <w:sz w:val="24"/>
          <w:szCs w:val="24"/>
          <w:highlight w:val="none"/>
        </w:rPr>
        <w:t>：；</w:t>
      </w:r>
    </w:p>
    <w:p w14:paraId="3B4E9E94">
      <w:pPr>
        <w:spacing w:before="104" w:line="219" w:lineRule="auto"/>
        <w:ind w:left="4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w:t>
      </w:r>
      <w:r>
        <w:rPr>
          <w:rFonts w:ascii="宋体" w:hAnsi="宋体" w:eastAsia="宋体" w:cs="宋体"/>
          <w:color w:val="auto"/>
          <w:spacing w:val="72"/>
          <w:sz w:val="24"/>
          <w:szCs w:val="24"/>
          <w:highlight w:val="none"/>
        </w:rPr>
        <w:t xml:space="preserve"> </w:t>
      </w:r>
      <w:r>
        <w:rPr>
          <w:rFonts w:ascii="宋体" w:hAnsi="宋体" w:eastAsia="宋体" w:cs="宋体"/>
          <w:color w:val="auto"/>
          <w:spacing w:val="-1"/>
          <w:sz w:val="24"/>
          <w:szCs w:val="24"/>
          <w:highlight w:val="none"/>
        </w:rPr>
        <w:t>与本磋商有关的一切正式往来信函请寄</w:t>
      </w:r>
      <w:r>
        <w:rPr>
          <w:rFonts w:ascii="宋体" w:hAnsi="宋体" w:eastAsia="宋体" w:cs="宋体"/>
          <w:color w:val="auto"/>
          <w:spacing w:val="-2"/>
          <w:sz w:val="24"/>
          <w:szCs w:val="24"/>
          <w:highlight w:val="none"/>
        </w:rPr>
        <w:t>：邮政编号：</w:t>
      </w:r>
    </w:p>
    <w:p w14:paraId="1BEEB0C9">
      <w:pPr>
        <w:spacing w:before="183" w:line="219" w:lineRule="auto"/>
        <w:ind w:left="44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电话/传真：</w:t>
      </w:r>
      <w:r>
        <w:rPr>
          <w:rFonts w:ascii="宋体" w:hAnsi="宋体" w:eastAsia="宋体" w:cs="宋体"/>
          <w:color w:val="auto"/>
          <w:spacing w:val="38"/>
          <w:sz w:val="24"/>
          <w:szCs w:val="24"/>
          <w:highlight w:val="none"/>
        </w:rPr>
        <w:t xml:space="preserve"> </w:t>
      </w:r>
      <w:r>
        <w:rPr>
          <w:rFonts w:ascii="宋体" w:hAnsi="宋体" w:eastAsia="宋体" w:cs="宋体"/>
          <w:color w:val="auto"/>
          <w:spacing w:val="-7"/>
          <w:sz w:val="24"/>
          <w:szCs w:val="24"/>
          <w:highlight w:val="none"/>
        </w:rPr>
        <w:t>电子函件：</w:t>
      </w:r>
    </w:p>
    <w:p w14:paraId="760EEECC">
      <w:pPr>
        <w:spacing w:before="260" w:line="220" w:lineRule="auto"/>
        <w:ind w:left="50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开户银行：</w:t>
      </w:r>
      <w:r>
        <w:rPr>
          <w:rFonts w:ascii="宋体" w:hAnsi="宋体" w:eastAsia="宋体" w:cs="宋体"/>
          <w:color w:val="auto"/>
          <w:spacing w:val="10"/>
          <w:sz w:val="24"/>
          <w:szCs w:val="24"/>
          <w:highlight w:val="none"/>
        </w:rPr>
        <w:t xml:space="preserve">  </w:t>
      </w:r>
      <w:r>
        <w:rPr>
          <w:rFonts w:ascii="宋体" w:hAnsi="宋体" w:eastAsia="宋体" w:cs="宋体"/>
          <w:color w:val="auto"/>
          <w:spacing w:val="-4"/>
          <w:sz w:val="24"/>
          <w:szCs w:val="24"/>
          <w:highlight w:val="none"/>
        </w:rPr>
        <w:t>帐号：</w:t>
      </w:r>
    </w:p>
    <w:p w14:paraId="4E6BC6F3">
      <w:pPr>
        <w:spacing w:before="181" w:line="360"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8.以上事项如有虚假或者隐瞒，我方愿意承担一切后</w:t>
      </w:r>
      <w:r>
        <w:rPr>
          <w:rFonts w:ascii="宋体" w:hAnsi="宋体" w:eastAsia="宋体" w:cs="宋体"/>
          <w:color w:val="auto"/>
          <w:spacing w:val="-1"/>
          <w:sz w:val="24"/>
          <w:szCs w:val="24"/>
          <w:highlight w:val="none"/>
        </w:rPr>
        <w:t>果，并不再寻求任何旨在减</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轻或者免除法律责任的辩解。</w:t>
      </w:r>
    </w:p>
    <w:p w14:paraId="618A65D9">
      <w:pPr>
        <w:spacing w:before="1" w:line="219" w:lineRule="auto"/>
        <w:ind w:left="5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0A404624">
      <w:pPr>
        <w:pStyle w:val="3"/>
        <w:spacing w:line="250" w:lineRule="auto"/>
        <w:rPr>
          <w:color w:val="auto"/>
          <w:highlight w:val="none"/>
        </w:rPr>
      </w:pPr>
    </w:p>
    <w:p w14:paraId="71988732">
      <w:pPr>
        <w:pStyle w:val="3"/>
        <w:spacing w:line="250" w:lineRule="auto"/>
        <w:rPr>
          <w:color w:val="auto"/>
          <w:highlight w:val="none"/>
        </w:rPr>
      </w:pPr>
    </w:p>
    <w:p w14:paraId="20D0C830">
      <w:pPr>
        <w:pStyle w:val="3"/>
        <w:spacing w:line="250" w:lineRule="auto"/>
        <w:rPr>
          <w:color w:val="auto"/>
          <w:highlight w:val="none"/>
        </w:rPr>
      </w:pPr>
    </w:p>
    <w:p w14:paraId="06822D9A">
      <w:pPr>
        <w:pStyle w:val="3"/>
        <w:spacing w:line="250" w:lineRule="auto"/>
        <w:rPr>
          <w:color w:val="auto"/>
          <w:highlight w:val="none"/>
        </w:rPr>
      </w:pPr>
    </w:p>
    <w:p w14:paraId="0BC8E75B">
      <w:pPr>
        <w:pStyle w:val="3"/>
        <w:spacing w:line="250" w:lineRule="auto"/>
        <w:rPr>
          <w:color w:val="auto"/>
          <w:highlight w:val="none"/>
        </w:rPr>
      </w:pPr>
    </w:p>
    <w:p w14:paraId="6D26F32E">
      <w:pPr>
        <w:pStyle w:val="3"/>
        <w:spacing w:line="250" w:lineRule="auto"/>
        <w:rPr>
          <w:color w:val="auto"/>
          <w:highlight w:val="none"/>
        </w:rPr>
      </w:pPr>
    </w:p>
    <w:p w14:paraId="7BB3C97B">
      <w:pPr>
        <w:spacing w:before="78" w:line="219" w:lineRule="auto"/>
        <w:ind w:left="431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法定代表人或者委托代理人（签字</w:t>
      </w:r>
      <w:r>
        <w:rPr>
          <w:rFonts w:ascii="宋体" w:hAnsi="宋体" w:eastAsia="宋体" w:cs="宋体"/>
          <w:color w:val="auto"/>
          <w:spacing w:val="1"/>
          <w:sz w:val="24"/>
          <w:szCs w:val="24"/>
          <w:highlight w:val="none"/>
        </w:rPr>
        <w:t>）：</w:t>
      </w:r>
    </w:p>
    <w:p w14:paraId="0872E5D0">
      <w:pPr>
        <w:spacing w:before="182" w:line="219" w:lineRule="auto"/>
        <w:ind w:left="43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p>
    <w:p w14:paraId="0A005D10">
      <w:pPr>
        <w:spacing w:before="261" w:line="219" w:lineRule="auto"/>
        <w:ind w:left="6539"/>
        <w:outlineLvl w:val="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5977B7B6">
      <w:pPr>
        <w:spacing w:line="373" w:lineRule="auto"/>
        <w:rPr>
          <w:rFonts w:ascii="宋体" w:hAnsi="宋体" w:eastAsia="宋体" w:cs="宋体"/>
          <w:color w:val="auto"/>
          <w:sz w:val="31"/>
          <w:szCs w:val="31"/>
          <w:highlight w:val="none"/>
        </w:rPr>
        <w:sectPr>
          <w:footerReference r:id="rId29" w:type="default"/>
          <w:pgSz w:w="11906" w:h="16839"/>
          <w:pgMar w:top="1431" w:right="1442" w:bottom="1362" w:left="1598" w:header="0" w:footer="1200" w:gutter="0"/>
          <w:pgNumType w:fmt="decimal"/>
          <w:cols w:space="720" w:num="1"/>
        </w:sectPr>
      </w:pPr>
    </w:p>
    <w:p w14:paraId="4203D6C5">
      <w:pPr>
        <w:spacing w:before="150" w:line="225" w:lineRule="auto"/>
        <w:ind w:left="2684"/>
        <w:rPr>
          <w:rFonts w:ascii="宋体" w:hAnsi="宋体" w:eastAsia="宋体" w:cs="宋体"/>
          <w:b w:val="0"/>
          <w:bCs w:val="0"/>
          <w:color w:val="auto"/>
          <w:sz w:val="31"/>
          <w:szCs w:val="31"/>
          <w:highlight w:val="none"/>
        </w:rPr>
      </w:pPr>
      <w:r>
        <w:rPr>
          <w:rFonts w:ascii="宋体" w:hAnsi="宋体" w:eastAsia="宋体" w:cs="宋体"/>
          <w:b w:val="0"/>
          <w:bCs w:val="0"/>
          <w:color w:val="auto"/>
          <w:spacing w:val="8"/>
          <w:sz w:val="31"/>
          <w:szCs w:val="31"/>
          <w:highlight w:val="none"/>
        </w:rPr>
        <w:t>无串通竞标行为的承诺函</w:t>
      </w:r>
    </w:p>
    <w:p w14:paraId="0B2DD550">
      <w:pPr>
        <w:pStyle w:val="3"/>
        <w:spacing w:line="435" w:lineRule="auto"/>
        <w:rPr>
          <w:b w:val="0"/>
          <w:bCs w:val="0"/>
          <w:color w:val="auto"/>
          <w:highlight w:val="none"/>
        </w:rPr>
      </w:pPr>
    </w:p>
    <w:p w14:paraId="5CBB4113">
      <w:pPr>
        <w:spacing w:before="78" w:line="219" w:lineRule="auto"/>
        <w:ind w:left="48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一、我方承诺无下列相互串通竞标的情形：</w:t>
      </w:r>
    </w:p>
    <w:p w14:paraId="01B12C35">
      <w:pPr>
        <w:spacing w:before="182" w:line="290" w:lineRule="auto"/>
        <w:ind w:right="14" w:firstLine="49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1.不同供应商的响应文件由同一单位或者</w:t>
      </w:r>
      <w:r>
        <w:rPr>
          <w:rFonts w:ascii="宋体" w:hAnsi="宋体" w:eastAsia="宋体" w:cs="宋体"/>
          <w:color w:val="auto"/>
          <w:spacing w:val="3"/>
          <w:sz w:val="24"/>
          <w:szCs w:val="24"/>
          <w:highlight w:val="none"/>
        </w:rPr>
        <w:t>个人编制；或者不同供应商报名的</w:t>
      </w:r>
      <w:r>
        <w:rPr>
          <w:rFonts w:ascii="宋体" w:hAnsi="宋体" w:eastAsia="宋体" w:cs="宋体"/>
          <w:color w:val="auto"/>
          <w:spacing w:val="-32"/>
          <w:sz w:val="24"/>
          <w:szCs w:val="24"/>
          <w:highlight w:val="none"/>
        </w:rPr>
        <w:t xml:space="preserve"> </w:t>
      </w:r>
      <w:r>
        <w:rPr>
          <w:rFonts w:ascii="宋体" w:hAnsi="宋体" w:eastAsia="宋体" w:cs="宋体"/>
          <w:color w:val="auto"/>
          <w:sz w:val="24"/>
          <w:szCs w:val="24"/>
          <w:highlight w:val="none"/>
        </w:rPr>
        <w:t xml:space="preserve">IP </w:t>
      </w:r>
      <w:r>
        <w:rPr>
          <w:rFonts w:ascii="宋体" w:hAnsi="宋体" w:eastAsia="宋体" w:cs="宋体"/>
          <w:color w:val="auto"/>
          <w:spacing w:val="-2"/>
          <w:sz w:val="24"/>
          <w:szCs w:val="24"/>
          <w:highlight w:val="none"/>
        </w:rPr>
        <w:t>地址一致的；</w:t>
      </w:r>
    </w:p>
    <w:p w14:paraId="61A37942">
      <w:pPr>
        <w:spacing w:before="181" w:line="219"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2.不同供应商委托同一单位或者个人办理竞标事宜；</w:t>
      </w:r>
    </w:p>
    <w:p w14:paraId="4C087844">
      <w:pPr>
        <w:spacing w:before="184"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3.不同供应商的响应文件载明的项目管理员为同一个人；</w:t>
      </w:r>
    </w:p>
    <w:p w14:paraId="1AB31BAB">
      <w:pPr>
        <w:spacing w:before="183" w:line="218" w:lineRule="auto"/>
        <w:ind w:left="480"/>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4.不同供应商的响应文件异常一致或者竞标报</w:t>
      </w:r>
      <w:r>
        <w:rPr>
          <w:rFonts w:ascii="宋体" w:hAnsi="宋体" w:eastAsia="宋体" w:cs="宋体"/>
          <w:color w:val="auto"/>
          <w:spacing w:val="-11"/>
          <w:sz w:val="24"/>
          <w:szCs w:val="24"/>
          <w:highlight w:val="none"/>
        </w:rPr>
        <w:t>价呈规律性差异；</w:t>
      </w:r>
    </w:p>
    <w:p w14:paraId="6ED05C9E">
      <w:pPr>
        <w:spacing w:before="184"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5.不同供应商的响应文件相互混装；</w:t>
      </w:r>
    </w:p>
    <w:p w14:paraId="4503172E">
      <w:pPr>
        <w:spacing w:before="184"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6.不同供应商的磋商保证金从同一单位或者个人账户转出。</w:t>
      </w:r>
    </w:p>
    <w:p w14:paraId="35728446">
      <w:pPr>
        <w:spacing w:before="184" w:line="219" w:lineRule="auto"/>
        <w:ind w:left="48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二、我方承诺无下列恶意串通的情形：</w:t>
      </w:r>
    </w:p>
    <w:p w14:paraId="450B6DA1">
      <w:pPr>
        <w:spacing w:before="182" w:line="290" w:lineRule="auto"/>
        <w:ind w:left="11" w:right="12" w:firstLine="48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1.供应商直接或者间接从采购人或者采购代理机构处获得其他供应商的相关信</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息并修改其响应文件；</w:t>
      </w:r>
    </w:p>
    <w:p w14:paraId="0BC7EFE5">
      <w:pPr>
        <w:spacing w:before="182" w:line="219"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2.供应商按照采购人或者采购代理机构的授意撤换、修改响应文件；</w:t>
      </w:r>
    </w:p>
    <w:p w14:paraId="2B19BF58">
      <w:pPr>
        <w:spacing w:before="184" w:line="218" w:lineRule="auto"/>
        <w:ind w:left="48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3.供应商之间协商报价、技术方案等响应文件的实质性内容；</w:t>
      </w:r>
    </w:p>
    <w:p w14:paraId="4F13BD17">
      <w:pPr>
        <w:spacing w:before="186" w:line="289" w:lineRule="auto"/>
        <w:ind w:right="11"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4.属于同一集团、协会、商会等组织成员的供应商按照该</w:t>
      </w:r>
      <w:r>
        <w:rPr>
          <w:rFonts w:ascii="宋体" w:hAnsi="宋体" w:eastAsia="宋体" w:cs="宋体"/>
          <w:color w:val="auto"/>
          <w:spacing w:val="-1"/>
          <w:sz w:val="24"/>
          <w:szCs w:val="24"/>
          <w:highlight w:val="none"/>
        </w:rPr>
        <w:t>组织要求协同参加政府</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采购活动；</w:t>
      </w:r>
    </w:p>
    <w:p w14:paraId="12D791FD">
      <w:pPr>
        <w:spacing w:before="185" w:line="313" w:lineRule="auto"/>
        <w:ind w:left="2" w:right="11"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5.供应商之间事先约定一致抬高或者压低竞</w:t>
      </w:r>
      <w:r>
        <w:rPr>
          <w:rFonts w:ascii="宋体" w:hAnsi="宋体" w:eastAsia="宋体" w:cs="宋体"/>
          <w:color w:val="auto"/>
          <w:spacing w:val="-1"/>
          <w:sz w:val="24"/>
          <w:szCs w:val="24"/>
          <w:highlight w:val="none"/>
        </w:rPr>
        <w:t>标报价，或者在竞争性磋商项目中事</w:t>
      </w:r>
      <w:r>
        <w:rPr>
          <w:rFonts w:ascii="宋体" w:hAnsi="宋体" w:eastAsia="宋体" w:cs="宋体"/>
          <w:color w:val="auto"/>
          <w:sz w:val="24"/>
          <w:szCs w:val="24"/>
          <w:highlight w:val="none"/>
        </w:rPr>
        <w:t xml:space="preserve"> 先约定轮流以高价位或者低价位成交，或者事先约定由</w:t>
      </w:r>
      <w:r>
        <w:rPr>
          <w:rFonts w:ascii="宋体" w:hAnsi="宋体" w:eastAsia="宋体" w:cs="宋体"/>
          <w:color w:val="auto"/>
          <w:spacing w:val="-1"/>
          <w:sz w:val="24"/>
          <w:szCs w:val="24"/>
          <w:highlight w:val="none"/>
        </w:rPr>
        <w:t>某一特定供应商成交，然后再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参加竞标；</w:t>
      </w:r>
    </w:p>
    <w:p w14:paraId="4C524E63">
      <w:pPr>
        <w:spacing w:before="181"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6.供应商之间商定部分供应商放弃参加政府采购活动或者放弃成交；</w:t>
      </w:r>
    </w:p>
    <w:p w14:paraId="2BDCF058">
      <w:pPr>
        <w:spacing w:before="185" w:line="289" w:lineRule="auto"/>
        <w:ind w:left="2"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7.供应商与采购人或者采购代理机构之间、供应商相互之间，为谋求</w:t>
      </w:r>
      <w:r>
        <w:rPr>
          <w:rFonts w:ascii="宋体" w:hAnsi="宋体" w:eastAsia="宋体" w:cs="宋体"/>
          <w:color w:val="auto"/>
          <w:spacing w:val="-1"/>
          <w:sz w:val="24"/>
          <w:szCs w:val="24"/>
          <w:highlight w:val="none"/>
        </w:rPr>
        <w:t>特定供应商</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成交或者排斥其他供应商的其他串通行为。</w:t>
      </w:r>
    </w:p>
    <w:p w14:paraId="18680F0F">
      <w:pPr>
        <w:pStyle w:val="3"/>
        <w:spacing w:line="285" w:lineRule="auto"/>
        <w:rPr>
          <w:color w:val="auto"/>
          <w:highlight w:val="none"/>
        </w:rPr>
      </w:pPr>
    </w:p>
    <w:p w14:paraId="1E0DB7A4">
      <w:pPr>
        <w:pStyle w:val="3"/>
        <w:spacing w:line="285" w:lineRule="auto"/>
        <w:rPr>
          <w:color w:val="auto"/>
          <w:highlight w:val="none"/>
        </w:rPr>
      </w:pPr>
    </w:p>
    <w:p w14:paraId="531E3BB6">
      <w:pPr>
        <w:spacing w:before="78" w:line="362" w:lineRule="auto"/>
        <w:ind w:left="6" w:right="14" w:firstLine="50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以上情形一经核查属实，我方愿意承担一切后果，并不再寻求任何旨在减轻或者</w:t>
      </w:r>
      <w:r>
        <w:rPr>
          <w:rFonts w:ascii="宋体" w:hAnsi="宋体" w:eastAsia="宋体" w:cs="宋体"/>
          <w:color w:val="auto"/>
          <w:spacing w:val="11"/>
          <w:sz w:val="24"/>
          <w:szCs w:val="24"/>
          <w:highlight w:val="none"/>
        </w:rPr>
        <w:t xml:space="preserve"> </w:t>
      </w:r>
      <w:r>
        <w:rPr>
          <w:rFonts w:ascii="宋体" w:hAnsi="宋体" w:eastAsia="宋体" w:cs="宋体"/>
          <w:b/>
          <w:bCs/>
          <w:color w:val="auto"/>
          <w:spacing w:val="-4"/>
          <w:sz w:val="24"/>
          <w:szCs w:val="24"/>
          <w:highlight w:val="none"/>
        </w:rPr>
        <w:t>免除法律责任的辩解。</w:t>
      </w:r>
    </w:p>
    <w:p w14:paraId="563CCFB0">
      <w:pPr>
        <w:pStyle w:val="3"/>
        <w:spacing w:line="381" w:lineRule="auto"/>
        <w:rPr>
          <w:color w:val="auto"/>
          <w:highlight w:val="none"/>
        </w:rPr>
      </w:pPr>
    </w:p>
    <w:p w14:paraId="00EBF34A">
      <w:pPr>
        <w:spacing w:before="79" w:line="219" w:lineRule="auto"/>
        <w:ind w:left="36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p>
    <w:p w14:paraId="49B7047B">
      <w:pPr>
        <w:spacing w:before="184" w:line="219" w:lineRule="auto"/>
        <w:ind w:left="582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9"/>
          <w:sz w:val="24"/>
          <w:szCs w:val="24"/>
          <w:highlight w:val="none"/>
        </w:rPr>
        <w:t>日</w:t>
      </w:r>
    </w:p>
    <w:p w14:paraId="47F86B26">
      <w:pPr>
        <w:spacing w:line="219" w:lineRule="auto"/>
        <w:rPr>
          <w:rFonts w:ascii="宋体" w:hAnsi="宋体" w:eastAsia="宋体" w:cs="宋体"/>
          <w:color w:val="auto"/>
          <w:sz w:val="24"/>
          <w:szCs w:val="24"/>
          <w:highlight w:val="none"/>
        </w:rPr>
        <w:sectPr>
          <w:footerReference r:id="rId30" w:type="default"/>
          <w:pgSz w:w="11906" w:h="16839"/>
          <w:pgMar w:top="1431" w:right="1427" w:bottom="1362" w:left="1594" w:header="0" w:footer="1200" w:gutter="0"/>
          <w:pgNumType w:fmt="decimal"/>
          <w:cols w:space="720" w:num="1"/>
        </w:sectPr>
      </w:pPr>
    </w:p>
    <w:p w14:paraId="02C02F73">
      <w:pPr>
        <w:spacing w:before="151" w:line="223" w:lineRule="auto"/>
        <w:ind w:left="3766"/>
        <w:rPr>
          <w:b w:val="0"/>
          <w:bCs w:val="0"/>
          <w:color w:val="auto"/>
          <w:highlight w:val="none"/>
        </w:rPr>
      </w:pPr>
      <w:r>
        <w:rPr>
          <w:rFonts w:ascii="宋体" w:hAnsi="宋体" w:eastAsia="宋体" w:cs="宋体"/>
          <w:b w:val="0"/>
          <w:bCs w:val="0"/>
          <w:color w:val="auto"/>
          <w:spacing w:val="6"/>
          <w:sz w:val="31"/>
          <w:szCs w:val="31"/>
          <w:highlight w:val="none"/>
        </w:rPr>
        <w:t>竞标报价表</w:t>
      </w:r>
    </w:p>
    <w:p w14:paraId="5D2F023D">
      <w:pPr>
        <w:keepNext w:val="0"/>
        <w:keepLines w:val="0"/>
        <w:pageBreakBefore w:val="0"/>
        <w:widowControl/>
        <w:kinsoku w:val="0"/>
        <w:wordWrap/>
        <w:overflowPunct/>
        <w:topLinePunct w:val="0"/>
        <w:autoSpaceDE w:val="0"/>
        <w:autoSpaceDN w:val="0"/>
        <w:bidi w:val="0"/>
        <w:adjustRightInd w:val="0"/>
        <w:snapToGrid w:val="0"/>
        <w:spacing w:before="78" w:line="360" w:lineRule="auto"/>
        <w:ind w:left="125"/>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 xml:space="preserve">项目名称：         </w:t>
      </w:r>
    </w:p>
    <w:p w14:paraId="7249B6BB">
      <w:pPr>
        <w:keepNext w:val="0"/>
        <w:keepLines w:val="0"/>
        <w:pageBreakBefore w:val="0"/>
        <w:widowControl/>
        <w:kinsoku w:val="0"/>
        <w:wordWrap/>
        <w:overflowPunct/>
        <w:topLinePunct w:val="0"/>
        <w:autoSpaceDE w:val="0"/>
        <w:autoSpaceDN w:val="0"/>
        <w:bidi w:val="0"/>
        <w:adjustRightInd w:val="0"/>
        <w:snapToGrid w:val="0"/>
        <w:spacing w:before="78" w:line="360" w:lineRule="auto"/>
        <w:ind w:left="125"/>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项目编号：</w:t>
      </w:r>
    </w:p>
    <w:p w14:paraId="6B05BD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12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供应商名称：</w:t>
      </w:r>
    </w:p>
    <w:p w14:paraId="36FEAF9C">
      <w:pPr>
        <w:spacing w:before="234" w:line="220" w:lineRule="auto"/>
        <w:ind w:left="58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w:t>
      </w:r>
    </w:p>
    <w:p w14:paraId="5B1B9AA4">
      <w:pPr>
        <w:spacing w:line="195" w:lineRule="exact"/>
        <w:rPr>
          <w:color w:val="auto"/>
          <w:highlight w:val="none"/>
        </w:rPr>
      </w:pPr>
    </w:p>
    <w:tbl>
      <w:tblPr>
        <w:tblStyle w:val="9"/>
        <w:tblW w:w="9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710"/>
        <w:gridCol w:w="617"/>
        <w:gridCol w:w="617"/>
        <w:gridCol w:w="3376"/>
        <w:gridCol w:w="1188"/>
      </w:tblGrid>
      <w:tr w14:paraId="0EA85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91" w:type="dxa"/>
            <w:textDirection w:val="tbRlV"/>
            <w:vAlign w:val="top"/>
          </w:tcPr>
          <w:p w14:paraId="4805B9C5">
            <w:pPr>
              <w:pStyle w:val="10"/>
              <w:spacing w:before="173" w:line="210" w:lineRule="auto"/>
              <w:ind w:left="118"/>
              <w:rPr>
                <w:color w:val="auto"/>
                <w:sz w:val="24"/>
                <w:szCs w:val="24"/>
                <w:highlight w:val="none"/>
              </w:rPr>
            </w:pPr>
            <w:r>
              <w:rPr>
                <w:color w:val="auto"/>
                <w:spacing w:val="-1"/>
                <w:sz w:val="24"/>
                <w:szCs w:val="24"/>
                <w:highlight w:val="none"/>
              </w:rPr>
              <w:t>序</w:t>
            </w:r>
            <w:r>
              <w:rPr>
                <w:color w:val="auto"/>
                <w:spacing w:val="108"/>
                <w:sz w:val="24"/>
                <w:szCs w:val="24"/>
                <w:highlight w:val="none"/>
              </w:rPr>
              <w:t xml:space="preserve"> </w:t>
            </w:r>
            <w:r>
              <w:rPr>
                <w:color w:val="auto"/>
                <w:spacing w:val="-1"/>
                <w:sz w:val="24"/>
                <w:szCs w:val="24"/>
                <w:highlight w:val="none"/>
              </w:rPr>
              <w:t>号</w:t>
            </w:r>
          </w:p>
        </w:tc>
        <w:tc>
          <w:tcPr>
            <w:tcW w:w="2710" w:type="dxa"/>
            <w:vAlign w:val="top"/>
          </w:tcPr>
          <w:p w14:paraId="745A2A2F">
            <w:pPr>
              <w:spacing w:line="274" w:lineRule="auto"/>
              <w:rPr>
                <w:rFonts w:ascii="Arial"/>
                <w:color w:val="auto"/>
                <w:sz w:val="21"/>
                <w:highlight w:val="none"/>
              </w:rPr>
            </w:pPr>
          </w:p>
          <w:p w14:paraId="2ED0B335">
            <w:pPr>
              <w:pStyle w:val="10"/>
              <w:spacing w:before="78" w:line="219" w:lineRule="auto"/>
              <w:ind w:left="881"/>
              <w:rPr>
                <w:color w:val="auto"/>
                <w:sz w:val="24"/>
                <w:szCs w:val="24"/>
                <w:highlight w:val="none"/>
              </w:rPr>
            </w:pPr>
            <w:r>
              <w:rPr>
                <w:color w:val="auto"/>
                <w:spacing w:val="-3"/>
                <w:sz w:val="24"/>
                <w:szCs w:val="24"/>
                <w:highlight w:val="none"/>
              </w:rPr>
              <w:t>服务名称</w:t>
            </w:r>
          </w:p>
        </w:tc>
        <w:tc>
          <w:tcPr>
            <w:tcW w:w="617" w:type="dxa"/>
            <w:textDirection w:val="tbRlV"/>
            <w:vAlign w:val="top"/>
          </w:tcPr>
          <w:p w14:paraId="0BE05021">
            <w:pPr>
              <w:pStyle w:val="10"/>
              <w:spacing w:before="186" w:line="208" w:lineRule="auto"/>
              <w:ind w:left="118"/>
              <w:rPr>
                <w:color w:val="auto"/>
                <w:sz w:val="24"/>
                <w:szCs w:val="24"/>
                <w:highlight w:val="none"/>
              </w:rPr>
            </w:pPr>
            <w:r>
              <w:rPr>
                <w:color w:val="auto"/>
                <w:spacing w:val="-1"/>
                <w:sz w:val="24"/>
                <w:szCs w:val="24"/>
                <w:highlight w:val="none"/>
              </w:rPr>
              <w:t>数</w:t>
            </w:r>
            <w:r>
              <w:rPr>
                <w:color w:val="auto"/>
                <w:spacing w:val="108"/>
                <w:sz w:val="24"/>
                <w:szCs w:val="24"/>
                <w:highlight w:val="none"/>
              </w:rPr>
              <w:t xml:space="preserve"> </w:t>
            </w:r>
            <w:r>
              <w:rPr>
                <w:color w:val="auto"/>
                <w:spacing w:val="-1"/>
                <w:sz w:val="24"/>
                <w:szCs w:val="24"/>
                <w:highlight w:val="none"/>
              </w:rPr>
              <w:t>量</w:t>
            </w:r>
          </w:p>
        </w:tc>
        <w:tc>
          <w:tcPr>
            <w:tcW w:w="617" w:type="dxa"/>
            <w:textDirection w:val="tbRlV"/>
            <w:vAlign w:val="top"/>
          </w:tcPr>
          <w:p w14:paraId="4FCF4A79">
            <w:pPr>
              <w:pStyle w:val="10"/>
              <w:spacing w:before="186" w:line="209" w:lineRule="auto"/>
              <w:ind w:left="118"/>
              <w:rPr>
                <w:color w:val="auto"/>
                <w:sz w:val="24"/>
                <w:szCs w:val="24"/>
                <w:highlight w:val="none"/>
              </w:rPr>
            </w:pPr>
            <w:r>
              <w:rPr>
                <w:color w:val="auto"/>
                <w:spacing w:val="-1"/>
                <w:sz w:val="24"/>
                <w:szCs w:val="24"/>
                <w:highlight w:val="none"/>
              </w:rPr>
              <w:t>单</w:t>
            </w:r>
            <w:r>
              <w:rPr>
                <w:color w:val="auto"/>
                <w:spacing w:val="108"/>
                <w:sz w:val="24"/>
                <w:szCs w:val="24"/>
                <w:highlight w:val="none"/>
              </w:rPr>
              <w:t xml:space="preserve"> </w:t>
            </w:r>
            <w:r>
              <w:rPr>
                <w:color w:val="auto"/>
                <w:spacing w:val="-1"/>
                <w:sz w:val="24"/>
                <w:szCs w:val="24"/>
                <w:highlight w:val="none"/>
              </w:rPr>
              <w:t>位</w:t>
            </w:r>
          </w:p>
        </w:tc>
        <w:tc>
          <w:tcPr>
            <w:tcW w:w="3376" w:type="dxa"/>
            <w:vAlign w:val="top"/>
          </w:tcPr>
          <w:p w14:paraId="59162F23">
            <w:pPr>
              <w:spacing w:line="274" w:lineRule="auto"/>
              <w:rPr>
                <w:rFonts w:ascii="Arial"/>
                <w:color w:val="auto"/>
                <w:sz w:val="21"/>
                <w:highlight w:val="none"/>
              </w:rPr>
            </w:pPr>
          </w:p>
          <w:p w14:paraId="11E4581C">
            <w:pPr>
              <w:pStyle w:val="10"/>
              <w:spacing w:before="78" w:line="219" w:lineRule="auto"/>
              <w:ind w:left="1344"/>
              <w:rPr>
                <w:color w:val="auto"/>
                <w:sz w:val="24"/>
                <w:szCs w:val="24"/>
                <w:highlight w:val="none"/>
              </w:rPr>
            </w:pPr>
            <w:r>
              <w:rPr>
                <w:rFonts w:hint="eastAsia"/>
                <w:color w:val="auto"/>
                <w:spacing w:val="-6"/>
                <w:sz w:val="24"/>
                <w:szCs w:val="24"/>
                <w:highlight w:val="none"/>
                <w:lang w:val="en-US" w:eastAsia="zh-CN"/>
              </w:rPr>
              <w:t>费</w:t>
            </w:r>
            <w:r>
              <w:rPr>
                <w:color w:val="auto"/>
                <w:spacing w:val="-6"/>
                <w:sz w:val="24"/>
                <w:szCs w:val="24"/>
                <w:highlight w:val="none"/>
              </w:rPr>
              <w:t>率</w:t>
            </w:r>
          </w:p>
        </w:tc>
        <w:tc>
          <w:tcPr>
            <w:tcW w:w="1188" w:type="dxa"/>
            <w:vAlign w:val="top"/>
          </w:tcPr>
          <w:p w14:paraId="13863EDE">
            <w:pPr>
              <w:spacing w:line="273" w:lineRule="auto"/>
              <w:rPr>
                <w:rFonts w:ascii="Arial"/>
                <w:color w:val="auto"/>
                <w:sz w:val="21"/>
                <w:highlight w:val="none"/>
              </w:rPr>
            </w:pPr>
          </w:p>
          <w:p w14:paraId="56212A02">
            <w:pPr>
              <w:pStyle w:val="10"/>
              <w:spacing w:before="78" w:line="221" w:lineRule="auto"/>
              <w:ind w:left="363"/>
              <w:rPr>
                <w:color w:val="auto"/>
                <w:sz w:val="24"/>
                <w:szCs w:val="24"/>
                <w:highlight w:val="none"/>
              </w:rPr>
            </w:pPr>
            <w:r>
              <w:rPr>
                <w:color w:val="auto"/>
                <w:spacing w:val="-7"/>
                <w:sz w:val="24"/>
                <w:szCs w:val="24"/>
                <w:highlight w:val="none"/>
              </w:rPr>
              <w:t>备注</w:t>
            </w:r>
          </w:p>
        </w:tc>
      </w:tr>
      <w:tr w14:paraId="09943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91" w:type="dxa"/>
            <w:vAlign w:val="top"/>
          </w:tcPr>
          <w:p w14:paraId="68EA7369">
            <w:pPr>
              <w:pStyle w:val="10"/>
              <w:spacing w:before="317" w:line="184" w:lineRule="auto"/>
              <w:ind w:left="259"/>
              <w:rPr>
                <w:color w:val="auto"/>
                <w:sz w:val="24"/>
                <w:szCs w:val="24"/>
                <w:highlight w:val="none"/>
              </w:rPr>
            </w:pPr>
            <w:r>
              <w:rPr>
                <w:color w:val="auto"/>
                <w:sz w:val="24"/>
                <w:szCs w:val="24"/>
                <w:highlight w:val="none"/>
              </w:rPr>
              <w:t>1</w:t>
            </w:r>
          </w:p>
        </w:tc>
        <w:tc>
          <w:tcPr>
            <w:tcW w:w="2710" w:type="dxa"/>
            <w:vAlign w:val="top"/>
          </w:tcPr>
          <w:p w14:paraId="62AA14A5">
            <w:pPr>
              <w:rPr>
                <w:rFonts w:ascii="Arial"/>
                <w:color w:val="auto"/>
                <w:sz w:val="21"/>
                <w:highlight w:val="none"/>
              </w:rPr>
            </w:pPr>
          </w:p>
        </w:tc>
        <w:tc>
          <w:tcPr>
            <w:tcW w:w="617" w:type="dxa"/>
            <w:vAlign w:val="top"/>
          </w:tcPr>
          <w:p w14:paraId="44AAE266">
            <w:pPr>
              <w:rPr>
                <w:rFonts w:ascii="Arial"/>
                <w:color w:val="auto"/>
                <w:sz w:val="21"/>
                <w:highlight w:val="none"/>
              </w:rPr>
            </w:pPr>
          </w:p>
        </w:tc>
        <w:tc>
          <w:tcPr>
            <w:tcW w:w="617" w:type="dxa"/>
            <w:vAlign w:val="top"/>
          </w:tcPr>
          <w:p w14:paraId="407F0620">
            <w:pPr>
              <w:rPr>
                <w:rFonts w:ascii="Arial"/>
                <w:color w:val="auto"/>
                <w:sz w:val="21"/>
                <w:highlight w:val="none"/>
              </w:rPr>
            </w:pPr>
          </w:p>
        </w:tc>
        <w:tc>
          <w:tcPr>
            <w:tcW w:w="3376" w:type="dxa"/>
            <w:vAlign w:val="top"/>
          </w:tcPr>
          <w:p w14:paraId="57300F98">
            <w:pPr>
              <w:rPr>
                <w:rFonts w:ascii="Arial"/>
                <w:color w:val="auto"/>
                <w:sz w:val="21"/>
                <w:highlight w:val="none"/>
              </w:rPr>
            </w:pPr>
          </w:p>
        </w:tc>
        <w:tc>
          <w:tcPr>
            <w:tcW w:w="1188" w:type="dxa"/>
            <w:vAlign w:val="top"/>
          </w:tcPr>
          <w:p w14:paraId="39B70A7B">
            <w:pPr>
              <w:rPr>
                <w:rFonts w:ascii="Arial"/>
                <w:color w:val="auto"/>
                <w:sz w:val="21"/>
                <w:highlight w:val="none"/>
              </w:rPr>
            </w:pPr>
          </w:p>
        </w:tc>
      </w:tr>
      <w:tr w14:paraId="2E422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6"/>
            <w:vAlign w:val="top"/>
          </w:tcPr>
          <w:p w14:paraId="27D0BECC">
            <w:pPr>
              <w:pStyle w:val="10"/>
              <w:spacing w:before="203" w:line="219" w:lineRule="auto"/>
              <w:ind w:left="116"/>
              <w:rPr>
                <w:rFonts w:hint="default" w:eastAsia="宋体"/>
                <w:color w:val="auto"/>
                <w:sz w:val="24"/>
                <w:szCs w:val="24"/>
                <w:highlight w:val="none"/>
                <w:lang w:val="en-US" w:eastAsia="zh-CN"/>
              </w:rPr>
            </w:pPr>
            <w:r>
              <w:rPr>
                <w:rFonts w:hint="eastAsia"/>
                <w:color w:val="auto"/>
                <w:sz w:val="24"/>
                <w:szCs w:val="24"/>
                <w:highlight w:val="none"/>
                <w:lang w:val="en-US" w:eastAsia="zh-CN"/>
              </w:rPr>
              <w:t>项目负责人：</w:t>
            </w:r>
          </w:p>
        </w:tc>
      </w:tr>
      <w:tr w14:paraId="1520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6"/>
            <w:vAlign w:val="top"/>
          </w:tcPr>
          <w:p w14:paraId="03A5D294">
            <w:pPr>
              <w:pStyle w:val="10"/>
              <w:spacing w:before="203" w:line="219" w:lineRule="auto"/>
              <w:ind w:left="116"/>
              <w:rPr>
                <w:color w:val="auto"/>
                <w:spacing w:val="7"/>
                <w:sz w:val="24"/>
                <w:szCs w:val="24"/>
                <w:highlight w:val="none"/>
              </w:rPr>
            </w:pPr>
            <w:r>
              <w:rPr>
                <w:rFonts w:hint="eastAsia"/>
                <w:color w:val="auto"/>
                <w:spacing w:val="7"/>
                <w:sz w:val="24"/>
                <w:szCs w:val="24"/>
                <w:highlight w:val="none"/>
              </w:rPr>
              <w:t>合同履行期限</w:t>
            </w:r>
            <w:r>
              <w:rPr>
                <w:color w:val="auto"/>
                <w:spacing w:val="7"/>
                <w:sz w:val="24"/>
                <w:szCs w:val="24"/>
                <w:highlight w:val="none"/>
              </w:rPr>
              <w:t>:</w:t>
            </w:r>
          </w:p>
        </w:tc>
      </w:tr>
      <w:tr w14:paraId="2C8F7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6"/>
            <w:vAlign w:val="top"/>
          </w:tcPr>
          <w:p w14:paraId="75E35CC1">
            <w:pPr>
              <w:pStyle w:val="10"/>
              <w:spacing w:before="203" w:line="219" w:lineRule="auto"/>
              <w:ind w:left="116"/>
              <w:rPr>
                <w:rFonts w:hint="default" w:eastAsia="宋体"/>
                <w:color w:val="auto"/>
                <w:spacing w:val="7"/>
                <w:sz w:val="24"/>
                <w:szCs w:val="24"/>
                <w:highlight w:val="none"/>
                <w:lang w:val="en-US" w:eastAsia="zh-CN"/>
              </w:rPr>
            </w:pPr>
            <w:r>
              <w:rPr>
                <w:rFonts w:hint="eastAsia"/>
                <w:color w:val="auto"/>
                <w:spacing w:val="7"/>
                <w:sz w:val="24"/>
                <w:szCs w:val="24"/>
                <w:highlight w:val="none"/>
                <w:lang w:val="en-US" w:eastAsia="zh-CN"/>
              </w:rPr>
              <w:t>服务质量要求：</w:t>
            </w:r>
          </w:p>
        </w:tc>
      </w:tr>
    </w:tbl>
    <w:p w14:paraId="16D46B6E">
      <w:pPr>
        <w:spacing w:before="78" w:line="224" w:lineRule="auto"/>
        <w:ind w:left="121"/>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注:</w:t>
      </w:r>
    </w:p>
    <w:p w14:paraId="3C349A06">
      <w:pPr>
        <w:spacing w:before="227" w:line="289" w:lineRule="auto"/>
        <w:ind w:left="126" w:right="114" w:firstLine="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1.供应商的报价表必须加盖供应商公章并由法定代表人或者委托代理人签字，</w:t>
      </w:r>
      <w:r>
        <w:rPr>
          <w:rFonts w:ascii="宋体" w:hAnsi="宋体" w:eastAsia="宋体" w:cs="宋体"/>
          <w:b/>
          <w:bCs/>
          <w:color w:val="auto"/>
          <w:spacing w:val="-1"/>
          <w:sz w:val="24"/>
          <w:szCs w:val="24"/>
          <w:highlight w:val="none"/>
        </w:rPr>
        <w:t>否</w:t>
      </w:r>
      <w:r>
        <w:rPr>
          <w:rFonts w:ascii="宋体" w:hAnsi="宋体" w:eastAsia="宋体" w:cs="宋体"/>
          <w:color w:val="auto"/>
          <w:spacing w:val="2"/>
          <w:sz w:val="24"/>
          <w:szCs w:val="24"/>
          <w:highlight w:val="none"/>
        </w:rPr>
        <w:t xml:space="preserve"> </w:t>
      </w:r>
      <w:r>
        <w:rPr>
          <w:rFonts w:ascii="宋体" w:hAnsi="宋体" w:eastAsia="宋体" w:cs="宋体"/>
          <w:b/>
          <w:bCs/>
          <w:color w:val="auto"/>
          <w:spacing w:val="-3"/>
          <w:sz w:val="24"/>
          <w:szCs w:val="24"/>
          <w:highlight w:val="none"/>
        </w:rPr>
        <w:t>则其响应文件按无效响应处理</w:t>
      </w:r>
      <w:r>
        <w:rPr>
          <w:rFonts w:ascii="宋体" w:hAnsi="宋体" w:eastAsia="宋体" w:cs="宋体"/>
          <w:color w:val="auto"/>
          <w:spacing w:val="-3"/>
          <w:sz w:val="24"/>
          <w:szCs w:val="24"/>
          <w:highlight w:val="none"/>
        </w:rPr>
        <w:t>。</w:t>
      </w:r>
    </w:p>
    <w:p w14:paraId="1E1D7095">
      <w:pPr>
        <w:spacing w:before="234" w:line="288" w:lineRule="auto"/>
        <w:ind w:left="121" w:right="112"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2.报价一经涂改，应在涂改处加盖供应商公章或</w:t>
      </w:r>
      <w:r>
        <w:rPr>
          <w:rFonts w:ascii="宋体" w:hAnsi="宋体" w:eastAsia="宋体" w:cs="宋体"/>
          <w:color w:val="auto"/>
          <w:spacing w:val="-1"/>
          <w:sz w:val="24"/>
          <w:szCs w:val="24"/>
          <w:highlight w:val="none"/>
        </w:rPr>
        <w:t>者由法定代表人或者委托代理人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签字或者盖章</w:t>
      </w:r>
      <w:r>
        <w:rPr>
          <w:rFonts w:ascii="宋体" w:hAnsi="宋体" w:eastAsia="宋体" w:cs="宋体"/>
          <w:b/>
          <w:bCs/>
          <w:color w:val="auto"/>
          <w:spacing w:val="-2"/>
          <w:sz w:val="24"/>
          <w:szCs w:val="24"/>
          <w:highlight w:val="none"/>
        </w:rPr>
        <w:t>，否则其响应文件按无效响应处理。</w:t>
      </w:r>
    </w:p>
    <w:p w14:paraId="77D10DF9">
      <w:pPr>
        <w:spacing w:before="231" w:line="290" w:lineRule="auto"/>
        <w:ind w:left="125" w:right="112"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3.如为联合体竞标，“供应商名称</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”处必须列明联合</w:t>
      </w:r>
      <w:r>
        <w:rPr>
          <w:rFonts w:ascii="宋体" w:hAnsi="宋体" w:eastAsia="宋体" w:cs="宋体"/>
          <w:color w:val="auto"/>
          <w:spacing w:val="-2"/>
          <w:sz w:val="24"/>
          <w:szCs w:val="24"/>
          <w:highlight w:val="none"/>
        </w:rPr>
        <w:t>体各方名称，标注联合体牵</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头人名称，</w:t>
      </w:r>
      <w:r>
        <w:rPr>
          <w:rFonts w:ascii="宋体" w:hAnsi="宋体" w:eastAsia="宋体" w:cs="宋体"/>
          <w:b/>
          <w:bCs/>
          <w:color w:val="auto"/>
          <w:spacing w:val="-2"/>
          <w:sz w:val="24"/>
          <w:szCs w:val="24"/>
          <w:highlight w:val="none"/>
        </w:rPr>
        <w:t>否则其响应文件按无效响应处理。</w:t>
      </w:r>
    </w:p>
    <w:p w14:paraId="60180E78">
      <w:pPr>
        <w:spacing w:before="230" w:line="292" w:lineRule="auto"/>
        <w:ind w:left="126" w:right="114" w:firstLine="47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4.如为联合体竞标，盖章处须加盖联合体各方公章，</w:t>
      </w:r>
      <w:r>
        <w:rPr>
          <w:rFonts w:ascii="宋体" w:hAnsi="宋体" w:eastAsia="宋体" w:cs="宋体"/>
          <w:b/>
          <w:bCs/>
          <w:color w:val="auto"/>
          <w:spacing w:val="-1"/>
          <w:sz w:val="24"/>
          <w:szCs w:val="24"/>
          <w:highlight w:val="none"/>
        </w:rPr>
        <w:t>否则其响应</w:t>
      </w:r>
      <w:r>
        <w:rPr>
          <w:rFonts w:ascii="宋体" w:hAnsi="宋体" w:eastAsia="宋体" w:cs="宋体"/>
          <w:b/>
          <w:bCs/>
          <w:color w:val="auto"/>
          <w:spacing w:val="-2"/>
          <w:sz w:val="24"/>
          <w:szCs w:val="24"/>
          <w:highlight w:val="none"/>
        </w:rPr>
        <w:t>文件按无效响应</w:t>
      </w:r>
      <w:r>
        <w:rPr>
          <w:rFonts w:ascii="宋体" w:hAnsi="宋体" w:eastAsia="宋体" w:cs="宋体"/>
          <w:color w:val="auto"/>
          <w:sz w:val="24"/>
          <w:szCs w:val="24"/>
          <w:highlight w:val="none"/>
        </w:rPr>
        <w:t xml:space="preserve"> </w:t>
      </w:r>
      <w:r>
        <w:rPr>
          <w:rFonts w:ascii="宋体" w:hAnsi="宋体" w:eastAsia="宋体" w:cs="宋体"/>
          <w:b/>
          <w:bCs/>
          <w:color w:val="auto"/>
          <w:spacing w:val="-8"/>
          <w:sz w:val="24"/>
          <w:szCs w:val="24"/>
          <w:highlight w:val="none"/>
        </w:rPr>
        <w:t>处理。</w:t>
      </w:r>
    </w:p>
    <w:p w14:paraId="374931C1">
      <w:pPr>
        <w:spacing w:before="226" w:line="218" w:lineRule="auto"/>
        <w:ind w:left="60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5.如有多分标，分别列明各分标的报价表，</w:t>
      </w:r>
      <w:r>
        <w:rPr>
          <w:rFonts w:ascii="宋体" w:hAnsi="宋体" w:eastAsia="宋体" w:cs="宋体"/>
          <w:b/>
          <w:bCs/>
          <w:color w:val="auto"/>
          <w:spacing w:val="-12"/>
          <w:sz w:val="24"/>
          <w:szCs w:val="24"/>
          <w:highlight w:val="none"/>
        </w:rPr>
        <w:t>否则其响应文件按无效响应处理。</w:t>
      </w:r>
    </w:p>
    <w:p w14:paraId="10C6308F">
      <w:pPr>
        <w:pStyle w:val="3"/>
        <w:spacing w:line="334" w:lineRule="auto"/>
        <w:rPr>
          <w:color w:val="auto"/>
          <w:highlight w:val="none"/>
        </w:rPr>
      </w:pPr>
    </w:p>
    <w:p w14:paraId="004441C3">
      <w:pPr>
        <w:pStyle w:val="3"/>
        <w:spacing w:line="335" w:lineRule="auto"/>
        <w:rPr>
          <w:color w:val="auto"/>
          <w:highlight w:val="none"/>
        </w:rPr>
      </w:pPr>
    </w:p>
    <w:p w14:paraId="140FD77F">
      <w:pPr>
        <w:spacing w:before="78" w:line="219" w:lineRule="auto"/>
        <w:ind w:left="10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法定代表人或者委托代理人（签字</w:t>
      </w:r>
      <w:r>
        <w:rPr>
          <w:rFonts w:ascii="宋体" w:hAnsi="宋体" w:eastAsia="宋体" w:cs="宋体"/>
          <w:color w:val="auto"/>
          <w:spacing w:val="1"/>
          <w:sz w:val="24"/>
          <w:szCs w:val="24"/>
          <w:highlight w:val="none"/>
        </w:rPr>
        <w:t>）：</w:t>
      </w:r>
    </w:p>
    <w:p w14:paraId="56BC2804">
      <w:pPr>
        <w:spacing w:before="230" w:line="219" w:lineRule="auto"/>
        <w:ind w:left="276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p>
    <w:p w14:paraId="1651734F">
      <w:pPr>
        <w:spacing w:before="233" w:line="219" w:lineRule="auto"/>
        <w:ind w:left="4242"/>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3"/>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6A4FD9FC">
      <w:pPr>
        <w:spacing w:line="219" w:lineRule="auto"/>
        <w:rPr>
          <w:rFonts w:ascii="宋体" w:hAnsi="宋体" w:eastAsia="宋体" w:cs="宋体"/>
          <w:color w:val="auto"/>
          <w:sz w:val="24"/>
          <w:szCs w:val="24"/>
          <w:highlight w:val="none"/>
        </w:rPr>
        <w:sectPr>
          <w:footerReference r:id="rId31" w:type="default"/>
          <w:pgSz w:w="11906" w:h="16839"/>
          <w:pgMar w:top="1431" w:right="1327" w:bottom="1362" w:left="1474" w:header="0" w:footer="1200" w:gutter="0"/>
          <w:pgNumType w:fmt="decimal"/>
          <w:cols w:space="720" w:num="1"/>
        </w:sectPr>
      </w:pPr>
    </w:p>
    <w:p w14:paraId="7DBD8279">
      <w:pPr>
        <w:pStyle w:val="3"/>
        <w:spacing w:line="309" w:lineRule="auto"/>
        <w:rPr>
          <w:color w:val="auto"/>
          <w:highlight w:val="none"/>
        </w:rPr>
      </w:pPr>
    </w:p>
    <w:p w14:paraId="494967D9">
      <w:pPr>
        <w:spacing w:before="101" w:line="224" w:lineRule="auto"/>
        <w:ind w:left="3433"/>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法定代表人证明书</w:t>
      </w:r>
    </w:p>
    <w:p w14:paraId="0B205BDD">
      <w:pPr>
        <w:pStyle w:val="3"/>
        <w:spacing w:line="355" w:lineRule="auto"/>
        <w:rPr>
          <w:color w:val="auto"/>
          <w:highlight w:val="none"/>
        </w:rPr>
      </w:pPr>
    </w:p>
    <w:p w14:paraId="7D04AFEA">
      <w:pPr>
        <w:pStyle w:val="3"/>
        <w:spacing w:line="355" w:lineRule="auto"/>
        <w:rPr>
          <w:color w:val="auto"/>
          <w:highlight w:val="none"/>
        </w:rPr>
      </w:pPr>
    </w:p>
    <w:p w14:paraId="05507472">
      <w:pPr>
        <w:spacing w:before="78" w:line="219" w:lineRule="auto"/>
        <w:ind w:left="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供应商名称：</w:t>
      </w:r>
    </w:p>
    <w:p w14:paraId="6B21AEDD">
      <w:pPr>
        <w:spacing w:before="183" w:line="229" w:lineRule="auto"/>
        <w:ind w:left="54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地</w:t>
      </w:r>
      <w:r>
        <w:rPr>
          <w:rFonts w:ascii="宋体" w:hAnsi="宋体" w:eastAsia="宋体" w:cs="宋体"/>
          <w:color w:val="auto"/>
          <w:spacing w:val="2"/>
          <w:sz w:val="24"/>
          <w:szCs w:val="24"/>
          <w:highlight w:val="none"/>
        </w:rPr>
        <w:t xml:space="preserve">    </w:t>
      </w:r>
      <w:r>
        <w:rPr>
          <w:rFonts w:ascii="宋体" w:hAnsi="宋体" w:eastAsia="宋体" w:cs="宋体"/>
          <w:color w:val="auto"/>
          <w:spacing w:val="-7"/>
          <w:sz w:val="24"/>
          <w:szCs w:val="24"/>
          <w:highlight w:val="none"/>
        </w:rPr>
        <w:t>址：</w:t>
      </w:r>
    </w:p>
    <w:p w14:paraId="38EAB932">
      <w:pPr>
        <w:spacing w:before="171" w:line="219" w:lineRule="auto"/>
        <w:ind w:left="54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姓</w:t>
      </w:r>
      <w:r>
        <w:rPr>
          <w:rFonts w:ascii="宋体" w:hAnsi="宋体" w:eastAsia="宋体" w:cs="宋体"/>
          <w:color w:val="auto"/>
          <w:spacing w:val="3"/>
          <w:sz w:val="24"/>
          <w:szCs w:val="24"/>
          <w:highlight w:val="none"/>
        </w:rPr>
        <w:t xml:space="preserve">    </w:t>
      </w:r>
      <w:r>
        <w:rPr>
          <w:rFonts w:ascii="宋体" w:hAnsi="宋体" w:eastAsia="宋体" w:cs="宋体"/>
          <w:color w:val="auto"/>
          <w:spacing w:val="-13"/>
          <w:sz w:val="24"/>
          <w:szCs w:val="24"/>
          <w:highlight w:val="none"/>
        </w:rPr>
        <w:t>名</w:t>
      </w:r>
      <w:r>
        <w:rPr>
          <w:rFonts w:ascii="宋体" w:hAnsi="宋体" w:eastAsia="宋体" w:cs="宋体"/>
          <w:color w:val="auto"/>
          <w:spacing w:val="-89"/>
          <w:sz w:val="24"/>
          <w:szCs w:val="24"/>
          <w:highlight w:val="none"/>
        </w:rPr>
        <w:t xml:space="preserve"> </w:t>
      </w:r>
      <w:r>
        <w:rPr>
          <w:rFonts w:ascii="宋体" w:hAnsi="宋体" w:eastAsia="宋体" w:cs="宋体"/>
          <w:color w:val="auto"/>
          <w:spacing w:val="-13"/>
          <w:sz w:val="24"/>
          <w:szCs w:val="24"/>
          <w:highlight w:val="none"/>
        </w:rPr>
        <w:t>：</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性</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别：</w:t>
      </w:r>
    </w:p>
    <w:p w14:paraId="23D67ED1">
      <w:pPr>
        <w:spacing w:before="183" w:line="219" w:lineRule="auto"/>
        <w:ind w:left="54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年</w:t>
      </w:r>
      <w:r>
        <w:rPr>
          <w:rFonts w:ascii="宋体" w:hAnsi="宋体" w:eastAsia="宋体" w:cs="宋体"/>
          <w:color w:val="auto"/>
          <w:spacing w:val="2"/>
          <w:sz w:val="24"/>
          <w:szCs w:val="24"/>
          <w:highlight w:val="none"/>
        </w:rPr>
        <w:t xml:space="preserve">    </w:t>
      </w:r>
      <w:r>
        <w:rPr>
          <w:rFonts w:ascii="宋体" w:hAnsi="宋体" w:eastAsia="宋体" w:cs="宋体"/>
          <w:color w:val="auto"/>
          <w:spacing w:val="-12"/>
          <w:sz w:val="24"/>
          <w:szCs w:val="24"/>
          <w:highlight w:val="none"/>
        </w:rPr>
        <w:t>龄</w:t>
      </w:r>
      <w:r>
        <w:rPr>
          <w:rFonts w:ascii="宋体" w:hAnsi="宋体" w:eastAsia="宋体" w:cs="宋体"/>
          <w:color w:val="auto"/>
          <w:spacing w:val="-89"/>
          <w:sz w:val="24"/>
          <w:szCs w:val="24"/>
          <w:highlight w:val="none"/>
        </w:rPr>
        <w:t xml:space="preserve"> </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职</w:t>
      </w:r>
      <w:r>
        <w:rPr>
          <w:rFonts w:ascii="宋体" w:hAnsi="宋体" w:eastAsia="宋体" w:cs="宋体"/>
          <w:color w:val="auto"/>
          <w:spacing w:val="4"/>
          <w:sz w:val="24"/>
          <w:szCs w:val="24"/>
          <w:highlight w:val="none"/>
        </w:rPr>
        <w:t xml:space="preserve">     </w:t>
      </w:r>
      <w:r>
        <w:rPr>
          <w:rFonts w:ascii="宋体" w:hAnsi="宋体" w:eastAsia="宋体" w:cs="宋体"/>
          <w:color w:val="auto"/>
          <w:spacing w:val="-12"/>
          <w:sz w:val="24"/>
          <w:szCs w:val="24"/>
          <w:highlight w:val="none"/>
        </w:rPr>
        <w:t>务：</w:t>
      </w:r>
    </w:p>
    <w:p w14:paraId="7D809ED2">
      <w:pPr>
        <w:spacing w:before="183" w:line="219" w:lineRule="auto"/>
        <w:ind w:left="54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p>
    <w:p w14:paraId="2E66A5F0">
      <w:pPr>
        <w:spacing w:before="182" w:line="219"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系</w:t>
      </w:r>
      <w:r>
        <w:rPr>
          <w:rFonts w:ascii="宋体" w:hAnsi="宋体" w:eastAsia="宋体" w:cs="宋体"/>
          <w:color w:val="auto"/>
          <w:spacing w:val="-1"/>
          <w:sz w:val="24"/>
          <w:szCs w:val="24"/>
          <w:highlight w:val="none"/>
          <w:u w:val="single" w:color="auto"/>
        </w:rPr>
        <w:t>（供应商名称）</w:t>
      </w:r>
      <w:r>
        <w:rPr>
          <w:rFonts w:ascii="宋体" w:hAnsi="宋体" w:eastAsia="宋体" w:cs="宋体"/>
          <w:color w:val="auto"/>
          <w:spacing w:val="-1"/>
          <w:sz w:val="24"/>
          <w:szCs w:val="24"/>
          <w:highlight w:val="none"/>
        </w:rPr>
        <w:t>的法定代表人。</w:t>
      </w:r>
    </w:p>
    <w:p w14:paraId="713820BD">
      <w:pPr>
        <w:spacing w:before="184" w:line="219" w:lineRule="auto"/>
        <w:ind w:left="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14:paraId="6B3EDD0D">
      <w:pPr>
        <w:pStyle w:val="3"/>
        <w:spacing w:line="249" w:lineRule="auto"/>
        <w:rPr>
          <w:color w:val="auto"/>
          <w:highlight w:val="none"/>
        </w:rPr>
      </w:pPr>
    </w:p>
    <w:p w14:paraId="4ABBE2EB">
      <w:pPr>
        <w:pStyle w:val="3"/>
        <w:spacing w:line="250" w:lineRule="auto"/>
        <w:rPr>
          <w:color w:val="auto"/>
          <w:highlight w:val="none"/>
        </w:rPr>
      </w:pPr>
    </w:p>
    <w:p w14:paraId="16F97017">
      <w:pPr>
        <w:pStyle w:val="3"/>
        <w:spacing w:line="250" w:lineRule="auto"/>
        <w:rPr>
          <w:color w:val="auto"/>
          <w:highlight w:val="none"/>
        </w:rPr>
      </w:pPr>
    </w:p>
    <w:p w14:paraId="1C1A0D84">
      <w:pPr>
        <w:pStyle w:val="3"/>
        <w:spacing w:line="250" w:lineRule="auto"/>
        <w:rPr>
          <w:color w:val="auto"/>
          <w:highlight w:val="none"/>
        </w:rPr>
      </w:pPr>
    </w:p>
    <w:p w14:paraId="4B3BCDA5">
      <w:pPr>
        <w:pStyle w:val="3"/>
        <w:spacing w:line="250" w:lineRule="auto"/>
        <w:rPr>
          <w:color w:val="auto"/>
          <w:highlight w:val="none"/>
        </w:rPr>
      </w:pPr>
    </w:p>
    <w:p w14:paraId="6EC86654">
      <w:pPr>
        <w:pStyle w:val="3"/>
        <w:spacing w:line="250" w:lineRule="auto"/>
        <w:rPr>
          <w:color w:val="auto"/>
          <w:highlight w:val="none"/>
        </w:rPr>
      </w:pPr>
    </w:p>
    <w:p w14:paraId="2EAE25DD">
      <w:pPr>
        <w:spacing w:before="78" w:line="219" w:lineRule="auto"/>
        <w:ind w:left="55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附件：法定代表人有效身份证正反面复印件</w:t>
      </w:r>
    </w:p>
    <w:p w14:paraId="5FA137EA">
      <w:pPr>
        <w:pStyle w:val="3"/>
        <w:spacing w:line="284" w:lineRule="auto"/>
        <w:rPr>
          <w:color w:val="auto"/>
          <w:highlight w:val="none"/>
        </w:rPr>
      </w:pPr>
    </w:p>
    <w:p w14:paraId="3DD0437D">
      <w:pPr>
        <w:pStyle w:val="3"/>
        <w:spacing w:line="285" w:lineRule="auto"/>
        <w:rPr>
          <w:color w:val="auto"/>
          <w:highlight w:val="none"/>
        </w:rPr>
      </w:pPr>
    </w:p>
    <w:p w14:paraId="4546EFAD">
      <w:pPr>
        <w:spacing w:before="79" w:line="219" w:lineRule="auto"/>
        <w:ind w:left="38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p>
    <w:p w14:paraId="09CD4707">
      <w:pPr>
        <w:spacing w:before="261" w:line="219" w:lineRule="auto"/>
        <w:ind w:left="600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lang w:val="en-US" w:eastAsia="zh-CN"/>
        </w:rPr>
        <w:t xml:space="preserve">    </w:t>
      </w:r>
      <w:r>
        <w:rPr>
          <w:rFonts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lang w:val="en-US" w:eastAsia="zh-CN"/>
        </w:rPr>
        <w:t xml:space="preserve">    </w:t>
      </w:r>
      <w:r>
        <w:rPr>
          <w:rFonts w:ascii="宋体" w:hAnsi="宋体" w:eastAsia="宋体" w:cs="宋体"/>
          <w:color w:val="auto"/>
          <w:spacing w:val="-4"/>
          <w:sz w:val="24"/>
          <w:szCs w:val="24"/>
          <w:highlight w:val="none"/>
        </w:rPr>
        <w:t>日</w:t>
      </w:r>
    </w:p>
    <w:p w14:paraId="1A71F815">
      <w:pPr>
        <w:pStyle w:val="3"/>
        <w:spacing w:line="249" w:lineRule="auto"/>
        <w:rPr>
          <w:color w:val="auto"/>
          <w:highlight w:val="none"/>
        </w:rPr>
      </w:pPr>
    </w:p>
    <w:p w14:paraId="283F7831">
      <w:pPr>
        <w:pStyle w:val="3"/>
        <w:spacing w:line="249" w:lineRule="auto"/>
        <w:rPr>
          <w:color w:val="auto"/>
          <w:highlight w:val="none"/>
        </w:rPr>
      </w:pPr>
    </w:p>
    <w:p w14:paraId="7807E177">
      <w:pPr>
        <w:pStyle w:val="3"/>
        <w:spacing w:line="249" w:lineRule="auto"/>
        <w:rPr>
          <w:color w:val="auto"/>
          <w:highlight w:val="none"/>
        </w:rPr>
      </w:pPr>
    </w:p>
    <w:p w14:paraId="5D04D2CB">
      <w:pPr>
        <w:pStyle w:val="3"/>
        <w:spacing w:line="249" w:lineRule="auto"/>
        <w:rPr>
          <w:color w:val="auto"/>
          <w:highlight w:val="none"/>
        </w:rPr>
      </w:pPr>
    </w:p>
    <w:p w14:paraId="3EF3547C">
      <w:pPr>
        <w:pStyle w:val="3"/>
        <w:spacing w:line="249" w:lineRule="auto"/>
        <w:rPr>
          <w:color w:val="auto"/>
          <w:highlight w:val="none"/>
        </w:rPr>
      </w:pPr>
    </w:p>
    <w:p w14:paraId="4C22D49C">
      <w:pPr>
        <w:pStyle w:val="3"/>
        <w:spacing w:line="249" w:lineRule="auto"/>
        <w:rPr>
          <w:color w:val="auto"/>
          <w:highlight w:val="none"/>
        </w:rPr>
      </w:pPr>
    </w:p>
    <w:p w14:paraId="4B65D18F">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注：1.</w:t>
      </w:r>
      <w:r>
        <w:rPr>
          <w:rFonts w:ascii="宋体" w:hAnsi="宋体" w:eastAsia="宋体" w:cs="宋体"/>
          <w:color w:val="auto"/>
          <w:spacing w:val="-71"/>
          <w:sz w:val="24"/>
          <w:szCs w:val="24"/>
          <w:highlight w:val="none"/>
        </w:rPr>
        <w:t xml:space="preserve"> </w:t>
      </w:r>
      <w:r>
        <w:rPr>
          <w:rFonts w:ascii="宋体" w:hAnsi="宋体" w:eastAsia="宋体" w:cs="宋体"/>
          <w:color w:val="auto"/>
          <w:spacing w:val="-2"/>
          <w:sz w:val="24"/>
          <w:szCs w:val="24"/>
          <w:highlight w:val="none"/>
        </w:rPr>
        <w:t>自然人竞标的无需提供，联合体竞标的只需牵头人出</w:t>
      </w:r>
      <w:r>
        <w:rPr>
          <w:rFonts w:ascii="宋体" w:hAnsi="宋体" w:eastAsia="宋体" w:cs="宋体"/>
          <w:color w:val="auto"/>
          <w:spacing w:val="-3"/>
          <w:sz w:val="24"/>
          <w:szCs w:val="24"/>
          <w:highlight w:val="none"/>
        </w:rPr>
        <w:t>具。</w:t>
      </w:r>
    </w:p>
    <w:p w14:paraId="56EA2860">
      <w:pPr>
        <w:pStyle w:val="3"/>
        <w:spacing w:line="261" w:lineRule="auto"/>
        <w:rPr>
          <w:color w:val="auto"/>
          <w:highlight w:val="none"/>
        </w:rPr>
      </w:pPr>
    </w:p>
    <w:p w14:paraId="34F9744D">
      <w:pPr>
        <w:spacing w:before="78" w:line="360" w:lineRule="auto"/>
        <w:ind w:left="4" w:firstLine="47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2.供应商为其他组织或者自然人时，本磋商文件</w:t>
      </w:r>
      <w:r>
        <w:rPr>
          <w:rFonts w:ascii="宋体" w:hAnsi="宋体" w:eastAsia="宋体" w:cs="宋体"/>
          <w:color w:val="auto"/>
          <w:spacing w:val="-1"/>
          <w:sz w:val="24"/>
          <w:szCs w:val="24"/>
          <w:highlight w:val="none"/>
        </w:rPr>
        <w:t>规定的法定代表人指负责人或者</w:t>
      </w:r>
      <w:r>
        <w:rPr>
          <w:rFonts w:ascii="宋体" w:hAnsi="宋体" w:eastAsia="宋体" w:cs="宋体"/>
          <w:color w:val="auto"/>
          <w:sz w:val="24"/>
          <w:szCs w:val="24"/>
          <w:highlight w:val="none"/>
        </w:rPr>
        <w:t xml:space="preserve"> 自然人。本磋商文件所称负责人是指参加竞标的</w:t>
      </w:r>
      <w:r>
        <w:rPr>
          <w:rFonts w:ascii="宋体" w:hAnsi="宋体" w:eastAsia="宋体" w:cs="宋体"/>
          <w:color w:val="auto"/>
          <w:spacing w:val="-1"/>
          <w:sz w:val="24"/>
          <w:szCs w:val="24"/>
          <w:highlight w:val="none"/>
        </w:rPr>
        <w:t>其他组织营业执照上的负责人，本磋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商文件所称自然人指参与竞标的自然人本人。</w:t>
      </w:r>
    </w:p>
    <w:p w14:paraId="6F5002CA">
      <w:pPr>
        <w:spacing w:line="360" w:lineRule="auto"/>
        <w:rPr>
          <w:rFonts w:ascii="宋体" w:hAnsi="宋体" w:eastAsia="宋体" w:cs="宋体"/>
          <w:color w:val="auto"/>
          <w:sz w:val="24"/>
          <w:szCs w:val="24"/>
          <w:highlight w:val="none"/>
        </w:rPr>
        <w:sectPr>
          <w:footerReference r:id="rId32" w:type="default"/>
          <w:pgSz w:w="11906" w:h="16839"/>
          <w:pgMar w:top="1431" w:right="1439" w:bottom="1362" w:left="1595" w:header="0" w:footer="1200" w:gutter="0"/>
          <w:pgNumType w:fmt="decimal"/>
          <w:cols w:space="720" w:num="1"/>
        </w:sectPr>
      </w:pPr>
    </w:p>
    <w:p w14:paraId="2171FBFE">
      <w:pPr>
        <w:spacing w:before="150" w:line="224" w:lineRule="auto"/>
        <w:ind w:left="2844"/>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法定代表人授权委托书</w:t>
      </w:r>
    </w:p>
    <w:p w14:paraId="7B5A10AA">
      <w:pPr>
        <w:spacing w:before="145" w:line="225" w:lineRule="auto"/>
        <w:ind w:left="3336"/>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（如有委托时）</w:t>
      </w:r>
    </w:p>
    <w:p w14:paraId="5C8B5E85">
      <w:pPr>
        <w:pStyle w:val="3"/>
        <w:spacing w:line="275" w:lineRule="auto"/>
        <w:rPr>
          <w:color w:val="auto"/>
          <w:highlight w:val="none"/>
        </w:rPr>
      </w:pPr>
    </w:p>
    <w:p w14:paraId="2D9D5349">
      <w:pPr>
        <w:pStyle w:val="3"/>
        <w:spacing w:line="275" w:lineRule="auto"/>
        <w:rPr>
          <w:color w:val="auto"/>
          <w:highlight w:val="none"/>
        </w:rPr>
      </w:pPr>
    </w:p>
    <w:p w14:paraId="6ED714B4">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致</w:t>
      </w:r>
      <w:r>
        <w:rPr>
          <w:rFonts w:ascii="宋体" w:hAnsi="宋体" w:eastAsia="宋体" w:cs="宋体"/>
          <w:color w:val="auto"/>
          <w:spacing w:val="-15"/>
          <w:sz w:val="24"/>
          <w:szCs w:val="24"/>
          <w:highlight w:val="none"/>
        </w:rPr>
        <w:t>：</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7"/>
          <w:sz w:val="24"/>
          <w:szCs w:val="24"/>
          <w:highlight w:val="none"/>
          <w:u w:val="single" w:color="auto"/>
        </w:rPr>
        <w:t>采购单位名称</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15"/>
          <w:sz w:val="24"/>
          <w:szCs w:val="24"/>
          <w:highlight w:val="none"/>
        </w:rPr>
        <w:t>：</w:t>
      </w:r>
    </w:p>
    <w:p w14:paraId="66FDBA4C">
      <w:pPr>
        <w:spacing w:before="183" w:line="360" w:lineRule="auto"/>
        <w:ind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w:t>
      </w:r>
      <w:r>
        <w:rPr>
          <w:rFonts w:ascii="宋体" w:hAnsi="宋体" w:eastAsia="宋体" w:cs="宋体"/>
          <w:color w:val="auto"/>
          <w:spacing w:val="-3"/>
          <w:sz w:val="24"/>
          <w:szCs w:val="24"/>
          <w:highlight w:val="none"/>
          <w:u w:val="single" w:color="auto"/>
        </w:rPr>
        <w:t xml:space="preserve">  （姓名）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系</w:t>
      </w:r>
      <w:r>
        <w:rPr>
          <w:rFonts w:ascii="宋体" w:hAnsi="宋体" w:eastAsia="宋体" w:cs="宋体"/>
          <w:color w:val="auto"/>
          <w:spacing w:val="-3"/>
          <w:sz w:val="24"/>
          <w:szCs w:val="24"/>
          <w:highlight w:val="none"/>
          <w:u w:val="single" w:color="auto"/>
        </w:rPr>
        <w:t xml:space="preserve">  （供应商名称）  </w:t>
      </w:r>
      <w:r>
        <w:rPr>
          <w:rFonts w:ascii="宋体" w:hAnsi="宋体" w:eastAsia="宋体" w:cs="宋体"/>
          <w:color w:val="auto"/>
          <w:spacing w:val="-91"/>
          <w:sz w:val="24"/>
          <w:szCs w:val="24"/>
          <w:highlight w:val="none"/>
        </w:rPr>
        <w:t xml:space="preserve"> </w:t>
      </w:r>
      <w:r>
        <w:rPr>
          <w:rFonts w:ascii="宋体" w:hAnsi="宋体" w:eastAsia="宋体" w:cs="宋体"/>
          <w:color w:val="auto"/>
          <w:spacing w:val="-3"/>
          <w:sz w:val="24"/>
          <w:szCs w:val="24"/>
          <w:highlight w:val="none"/>
        </w:rPr>
        <w:t>的 (</w:t>
      </w:r>
      <w:r>
        <w:rPr>
          <w:rFonts w:ascii="宋体" w:hAnsi="宋体" w:eastAsia="宋体" w:cs="宋体"/>
          <w:color w:val="auto"/>
          <w:spacing w:val="-88"/>
          <w:sz w:val="24"/>
          <w:szCs w:val="24"/>
          <w:highlight w:val="none"/>
        </w:rPr>
        <w:t xml:space="preserve"> </w:t>
      </w:r>
      <w:r>
        <w:rPr>
          <w:rFonts w:ascii="宋体" w:hAnsi="宋体" w:eastAsia="宋体" w:cs="宋体"/>
          <w:color w:val="auto"/>
          <w:spacing w:val="-86"/>
          <w:sz w:val="24"/>
          <w:szCs w:val="24"/>
          <w:highlight w:val="none"/>
          <w:u w:val="single" w:color="auto"/>
        </w:rPr>
        <w:t xml:space="preserve"> </w:t>
      </w:r>
      <w:r>
        <w:rPr>
          <w:rFonts w:ascii="宋体" w:hAnsi="宋体" w:eastAsia="宋体" w:cs="宋体"/>
          <w:color w:val="auto"/>
          <w:spacing w:val="-3"/>
          <w:sz w:val="24"/>
          <w:szCs w:val="24"/>
          <w:highlight w:val="none"/>
          <w:u w:val="single" w:color="auto"/>
        </w:rPr>
        <w:t>□法定代表人/□负责人/□自然人本</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人</w:t>
      </w:r>
      <w:r>
        <w:rPr>
          <w:rFonts w:ascii="宋体" w:hAnsi="宋体" w:eastAsia="宋体" w:cs="宋体"/>
          <w:color w:val="auto"/>
          <w:spacing w:val="-6"/>
          <w:sz w:val="24"/>
          <w:szCs w:val="24"/>
          <w:highlight w:val="none"/>
        </w:rPr>
        <w:t>），</w:t>
      </w:r>
      <w:r>
        <w:rPr>
          <w:rFonts w:ascii="宋体" w:hAnsi="宋体" w:eastAsia="宋体" w:cs="宋体"/>
          <w:color w:val="auto"/>
          <w:spacing w:val="-1"/>
          <w:sz w:val="24"/>
          <w:szCs w:val="24"/>
          <w:highlight w:val="none"/>
        </w:rPr>
        <w:t>现授权</w:t>
      </w:r>
      <w:r>
        <w:rPr>
          <w:rFonts w:ascii="宋体" w:hAnsi="宋体" w:eastAsia="宋体" w:cs="宋体"/>
          <w:color w:val="auto"/>
          <w:spacing w:val="-1"/>
          <w:sz w:val="24"/>
          <w:szCs w:val="24"/>
          <w:highlight w:val="none"/>
          <w:u w:val="single" w:color="auto"/>
        </w:rPr>
        <w:t xml:space="preserve"> （姓名） </w:t>
      </w:r>
      <w:r>
        <w:rPr>
          <w:rFonts w:ascii="宋体" w:hAnsi="宋体" w:eastAsia="宋体" w:cs="宋体"/>
          <w:color w:val="auto"/>
          <w:spacing w:val="-82"/>
          <w:sz w:val="24"/>
          <w:szCs w:val="24"/>
          <w:highlight w:val="none"/>
        </w:rPr>
        <w:t xml:space="preserve"> </w:t>
      </w:r>
      <w:r>
        <w:rPr>
          <w:rFonts w:ascii="宋体" w:hAnsi="宋体" w:eastAsia="宋体" w:cs="宋体"/>
          <w:color w:val="auto"/>
          <w:spacing w:val="-1"/>
          <w:sz w:val="24"/>
          <w:szCs w:val="24"/>
          <w:highlight w:val="none"/>
        </w:rPr>
        <w:t>以我方的名义参加项目的竞标活动，并代表我方全权办理针</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对上述项目的所有采购程序和环节的具体事务和签署相关文件。</w:t>
      </w:r>
    </w:p>
    <w:p w14:paraId="1744C8F0">
      <w:pPr>
        <w:spacing w:before="1"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我方对委托代理人的签字事项负全部责任。</w:t>
      </w:r>
    </w:p>
    <w:p w14:paraId="73B99865">
      <w:pPr>
        <w:spacing w:before="183" w:line="360" w:lineRule="auto"/>
        <w:ind w:right="39"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本授权书自签署之日起生效，在撤销授权的书面通知以前，本授权书一直有效。</w:t>
      </w:r>
      <w:r>
        <w:rPr>
          <w:rFonts w:ascii="宋体" w:hAnsi="宋体" w:eastAsia="宋体" w:cs="宋体"/>
          <w:color w:val="auto"/>
          <w:spacing w:val="18"/>
          <w:sz w:val="24"/>
          <w:szCs w:val="24"/>
          <w:highlight w:val="none"/>
        </w:rPr>
        <w:t xml:space="preserve"> </w:t>
      </w:r>
      <w:r>
        <w:rPr>
          <w:rFonts w:ascii="宋体" w:hAnsi="宋体" w:eastAsia="宋体" w:cs="宋体"/>
          <w:color w:val="auto"/>
          <w:sz w:val="24"/>
          <w:szCs w:val="24"/>
          <w:highlight w:val="none"/>
        </w:rPr>
        <w:t>委托代理人在授权书有效期内签署的所有文件不</w:t>
      </w:r>
      <w:r>
        <w:rPr>
          <w:rFonts w:ascii="宋体" w:hAnsi="宋体" w:eastAsia="宋体" w:cs="宋体"/>
          <w:color w:val="auto"/>
          <w:spacing w:val="-1"/>
          <w:sz w:val="24"/>
          <w:szCs w:val="24"/>
          <w:highlight w:val="none"/>
        </w:rPr>
        <w:t>因授权的撤销而失效。</w:t>
      </w:r>
    </w:p>
    <w:p w14:paraId="08C4962B">
      <w:pPr>
        <w:spacing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委托代理人无转委托权，特此委托。</w:t>
      </w:r>
    </w:p>
    <w:p w14:paraId="1546C39F">
      <w:pPr>
        <w:spacing w:before="182"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附：法定代表人身份证明书及委托代理人有效身份证正反面复印件</w:t>
      </w:r>
    </w:p>
    <w:p w14:paraId="33E11702">
      <w:pPr>
        <w:pStyle w:val="3"/>
        <w:spacing w:line="285" w:lineRule="auto"/>
        <w:rPr>
          <w:color w:val="auto"/>
          <w:highlight w:val="none"/>
        </w:rPr>
      </w:pPr>
    </w:p>
    <w:p w14:paraId="197B2C54">
      <w:pPr>
        <w:pStyle w:val="3"/>
        <w:spacing w:line="285" w:lineRule="auto"/>
        <w:rPr>
          <w:color w:val="auto"/>
          <w:highlight w:val="none"/>
        </w:rPr>
      </w:pPr>
    </w:p>
    <w:p w14:paraId="01430A05">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委托代理人（签字</w:t>
      </w:r>
      <w:r>
        <w:rPr>
          <w:rFonts w:ascii="宋体" w:hAnsi="宋体" w:eastAsia="宋体" w:cs="宋体"/>
          <w:color w:val="auto"/>
          <w:spacing w:val="3"/>
          <w:sz w:val="24"/>
          <w:szCs w:val="24"/>
          <w:highlight w:val="none"/>
        </w:rPr>
        <w:t>）：</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法定代表人（签字</w:t>
      </w:r>
      <w:r>
        <w:rPr>
          <w:rFonts w:ascii="宋体" w:hAnsi="宋体" w:eastAsia="宋体" w:cs="宋体"/>
          <w:color w:val="auto"/>
          <w:spacing w:val="3"/>
          <w:sz w:val="24"/>
          <w:szCs w:val="24"/>
          <w:highlight w:val="none"/>
        </w:rPr>
        <w:t>）：</w:t>
      </w:r>
    </w:p>
    <w:p w14:paraId="72E8BE3F">
      <w:pPr>
        <w:spacing w:before="183"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委托代理人身份证号码：</w:t>
      </w:r>
    </w:p>
    <w:p w14:paraId="0A18EE10">
      <w:pPr>
        <w:pStyle w:val="3"/>
        <w:spacing w:line="284" w:lineRule="auto"/>
        <w:rPr>
          <w:color w:val="auto"/>
          <w:highlight w:val="none"/>
        </w:rPr>
      </w:pPr>
    </w:p>
    <w:p w14:paraId="353CF1E4">
      <w:pPr>
        <w:pStyle w:val="3"/>
        <w:spacing w:line="284" w:lineRule="auto"/>
        <w:rPr>
          <w:color w:val="auto"/>
          <w:highlight w:val="none"/>
        </w:rPr>
      </w:pPr>
    </w:p>
    <w:p w14:paraId="6B1A47E8">
      <w:pPr>
        <w:spacing w:before="79" w:line="219" w:lineRule="auto"/>
        <w:ind w:left="30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p>
    <w:p w14:paraId="4FD3DC28">
      <w:pPr>
        <w:spacing w:before="184" w:line="219" w:lineRule="auto"/>
        <w:ind w:left="492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5AC99A7B">
      <w:pPr>
        <w:pStyle w:val="3"/>
        <w:spacing w:line="284" w:lineRule="auto"/>
        <w:rPr>
          <w:color w:val="auto"/>
          <w:highlight w:val="none"/>
        </w:rPr>
      </w:pPr>
    </w:p>
    <w:p w14:paraId="0C38AB07">
      <w:pPr>
        <w:pStyle w:val="3"/>
        <w:spacing w:line="285" w:lineRule="auto"/>
        <w:rPr>
          <w:color w:val="auto"/>
          <w:highlight w:val="none"/>
        </w:rPr>
      </w:pPr>
    </w:p>
    <w:p w14:paraId="1225582A">
      <w:pPr>
        <w:spacing w:before="79" w:line="360" w:lineRule="auto"/>
        <w:ind w:left="8" w:hanging="8"/>
        <w:rPr>
          <w:rFonts w:ascii="宋体" w:hAnsi="宋体" w:eastAsia="宋体" w:cs="宋体"/>
          <w:color w:val="auto"/>
          <w:sz w:val="24"/>
          <w:szCs w:val="24"/>
          <w:highlight w:val="none"/>
        </w:rPr>
      </w:pPr>
      <w:r>
        <w:rPr>
          <w:rFonts w:ascii="宋体" w:hAnsi="宋体" w:eastAsia="宋体" w:cs="宋体"/>
          <w:color w:val="auto"/>
          <w:sz w:val="24"/>
          <w:szCs w:val="24"/>
          <w:highlight w:val="none"/>
        </w:rPr>
        <w:t>注：1.法定代表人和委托代理人必须在授权委托书上亲笔签</w:t>
      </w:r>
      <w:r>
        <w:rPr>
          <w:rFonts w:ascii="宋体" w:hAnsi="宋体" w:eastAsia="宋体" w:cs="宋体"/>
          <w:color w:val="auto"/>
          <w:spacing w:val="-1"/>
          <w:sz w:val="24"/>
          <w:szCs w:val="24"/>
          <w:highlight w:val="none"/>
        </w:rPr>
        <w:t>名，不得使用印章、签名</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章或者其他电子制版签名代替；</w:t>
      </w:r>
    </w:p>
    <w:p w14:paraId="22B29963">
      <w:pPr>
        <w:spacing w:line="361" w:lineRule="auto"/>
        <w:ind w:left="5" w:firstLine="47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2.供应商为其他组织或者自然人时，本磋商文件</w:t>
      </w:r>
      <w:r>
        <w:rPr>
          <w:rFonts w:ascii="宋体" w:hAnsi="宋体" w:eastAsia="宋体" w:cs="宋体"/>
          <w:color w:val="auto"/>
          <w:spacing w:val="-1"/>
          <w:sz w:val="24"/>
          <w:szCs w:val="24"/>
          <w:highlight w:val="none"/>
        </w:rPr>
        <w:t>规定的法定代表人指负责人或者</w:t>
      </w:r>
      <w:r>
        <w:rPr>
          <w:rFonts w:ascii="宋体" w:hAnsi="宋体" w:eastAsia="宋体" w:cs="宋体"/>
          <w:color w:val="auto"/>
          <w:sz w:val="24"/>
          <w:szCs w:val="24"/>
          <w:highlight w:val="none"/>
        </w:rPr>
        <w:t xml:space="preserve"> 自然人。本磋商文件所称负责人是指参加竞标的</w:t>
      </w:r>
      <w:r>
        <w:rPr>
          <w:rFonts w:ascii="宋体" w:hAnsi="宋体" w:eastAsia="宋体" w:cs="宋体"/>
          <w:color w:val="auto"/>
          <w:spacing w:val="-1"/>
          <w:sz w:val="24"/>
          <w:szCs w:val="24"/>
          <w:highlight w:val="none"/>
        </w:rPr>
        <w:t>其他组织营业执照上的负责人，本磋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商文件所称自然人指参与竞标的自然人本人。</w:t>
      </w:r>
    </w:p>
    <w:p w14:paraId="1435D509">
      <w:pPr>
        <w:spacing w:line="361" w:lineRule="auto"/>
        <w:rPr>
          <w:rFonts w:ascii="宋体" w:hAnsi="宋体" w:eastAsia="宋体" w:cs="宋体"/>
          <w:color w:val="auto"/>
          <w:sz w:val="24"/>
          <w:szCs w:val="24"/>
          <w:highlight w:val="none"/>
        </w:rPr>
        <w:sectPr>
          <w:footerReference r:id="rId33" w:type="default"/>
          <w:pgSz w:w="11906" w:h="16839"/>
          <w:pgMar w:top="1431" w:right="1439" w:bottom="1362" w:left="1594" w:header="0" w:footer="1200" w:gutter="0"/>
          <w:pgNumType w:fmt="decimal"/>
          <w:cols w:space="720" w:num="1"/>
        </w:sectPr>
      </w:pPr>
    </w:p>
    <w:p w14:paraId="4E674A43">
      <w:pPr>
        <w:spacing w:before="63" w:line="225" w:lineRule="auto"/>
        <w:ind w:left="3521"/>
        <w:rPr>
          <w:rFonts w:ascii="宋体" w:hAnsi="宋体" w:eastAsia="宋体" w:cs="宋体"/>
          <w:b w:val="0"/>
          <w:bCs w:val="0"/>
          <w:color w:val="auto"/>
          <w:sz w:val="31"/>
          <w:szCs w:val="31"/>
          <w:highlight w:val="none"/>
        </w:rPr>
      </w:pPr>
      <w:r>
        <w:rPr>
          <w:rFonts w:ascii="宋体" w:hAnsi="宋体" w:eastAsia="宋体" w:cs="宋体"/>
          <w:b w:val="0"/>
          <w:bCs w:val="0"/>
          <w:color w:val="auto"/>
          <w:spacing w:val="6"/>
          <w:sz w:val="31"/>
          <w:szCs w:val="31"/>
          <w:highlight w:val="none"/>
        </w:rPr>
        <w:t>磋商保证金声明</w:t>
      </w:r>
    </w:p>
    <w:p w14:paraId="66A17E72">
      <w:pPr>
        <w:pStyle w:val="3"/>
        <w:spacing w:line="283" w:lineRule="auto"/>
        <w:rPr>
          <w:color w:val="auto"/>
          <w:highlight w:val="none"/>
        </w:rPr>
      </w:pPr>
    </w:p>
    <w:p w14:paraId="386E13C1">
      <w:pPr>
        <w:pStyle w:val="3"/>
        <w:spacing w:line="283" w:lineRule="auto"/>
        <w:rPr>
          <w:color w:val="auto"/>
          <w:highlight w:val="none"/>
        </w:rPr>
      </w:pPr>
    </w:p>
    <w:p w14:paraId="2D298D57">
      <w:pPr>
        <w:pStyle w:val="3"/>
        <w:spacing w:line="284" w:lineRule="auto"/>
        <w:rPr>
          <w:color w:val="auto"/>
          <w:highlight w:val="none"/>
        </w:rPr>
      </w:pPr>
    </w:p>
    <w:p w14:paraId="18B41FB0">
      <w:pPr>
        <w:spacing w:before="78" w:line="360" w:lineRule="auto"/>
        <w:ind w:firstLine="394"/>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我方参加（</w:t>
      </w:r>
      <w:r>
        <w:rPr>
          <w:rFonts w:ascii="宋体" w:hAnsi="宋体" w:eastAsia="宋体" w:cs="宋体"/>
          <w:color w:val="auto"/>
          <w:spacing w:val="-69"/>
          <w:sz w:val="24"/>
          <w:szCs w:val="24"/>
          <w:highlight w:val="none"/>
        </w:rPr>
        <w:t xml:space="preserve"> </w:t>
      </w:r>
      <w:r>
        <w:rPr>
          <w:rFonts w:ascii="宋体" w:hAnsi="宋体" w:eastAsia="宋体" w:cs="宋体"/>
          <w:b/>
          <w:bCs/>
          <w:color w:val="auto"/>
          <w:spacing w:val="-2"/>
          <w:sz w:val="24"/>
          <w:szCs w:val="24"/>
          <w:highlight w:val="none"/>
          <w:u w:val="single" w:color="auto"/>
        </w:rPr>
        <w:t>项目名称及编号）</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91"/>
          <w:sz w:val="24"/>
          <w:szCs w:val="24"/>
          <w:highlight w:val="none"/>
        </w:rPr>
        <w:t xml:space="preserve"> </w:t>
      </w:r>
      <w:r>
        <w:rPr>
          <w:rFonts w:ascii="宋体" w:hAnsi="宋体" w:eastAsia="宋体" w:cs="宋体"/>
          <w:b/>
          <w:bCs/>
          <w:color w:val="auto"/>
          <w:spacing w:val="-2"/>
          <w:sz w:val="24"/>
          <w:szCs w:val="24"/>
          <w:highlight w:val="none"/>
        </w:rPr>
        <w:t>的投标，请贵方在退付磋商保证金时</w:t>
      </w:r>
      <w:r>
        <w:rPr>
          <w:rFonts w:ascii="宋体" w:hAnsi="宋体" w:eastAsia="宋体" w:cs="宋体"/>
          <w:color w:val="auto"/>
          <w:sz w:val="24"/>
          <w:szCs w:val="24"/>
          <w:highlight w:val="none"/>
        </w:rPr>
        <w:t xml:space="preserve"> </w:t>
      </w:r>
      <w:r>
        <w:rPr>
          <w:rFonts w:ascii="宋体" w:hAnsi="宋体" w:eastAsia="宋体" w:cs="宋体"/>
          <w:b/>
          <w:bCs/>
          <w:color w:val="auto"/>
          <w:spacing w:val="-3"/>
          <w:sz w:val="24"/>
          <w:szCs w:val="24"/>
          <w:highlight w:val="none"/>
        </w:rPr>
        <w:t>转入以下账户（对公账户</w:t>
      </w:r>
      <w:r>
        <w:rPr>
          <w:rFonts w:ascii="宋体" w:hAnsi="宋体" w:eastAsia="宋体" w:cs="宋体"/>
          <w:b/>
          <w:bCs/>
          <w:color w:val="auto"/>
          <w:spacing w:val="-1"/>
          <w:sz w:val="24"/>
          <w:szCs w:val="24"/>
          <w:highlight w:val="none"/>
        </w:rPr>
        <w:t>）：</w:t>
      </w:r>
    </w:p>
    <w:p w14:paraId="2EE360FD">
      <w:pPr>
        <w:spacing w:line="220" w:lineRule="auto"/>
        <w:ind w:left="8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开户名称：</w:t>
      </w:r>
    </w:p>
    <w:p w14:paraId="395188E5">
      <w:pPr>
        <w:spacing w:before="182" w:line="220" w:lineRule="auto"/>
        <w:ind w:left="8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开户银行：</w:t>
      </w:r>
    </w:p>
    <w:p w14:paraId="29CE1389">
      <w:pPr>
        <w:spacing w:before="182" w:line="220" w:lineRule="auto"/>
        <w:ind w:left="8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银行账号：</w:t>
      </w:r>
    </w:p>
    <w:p w14:paraId="0F7AEC71">
      <w:pPr>
        <w:pStyle w:val="3"/>
        <w:spacing w:line="284" w:lineRule="auto"/>
        <w:rPr>
          <w:color w:val="auto"/>
          <w:highlight w:val="none"/>
        </w:rPr>
      </w:pPr>
    </w:p>
    <w:p w14:paraId="4DF1B914">
      <w:pPr>
        <w:pStyle w:val="3"/>
        <w:spacing w:line="285" w:lineRule="auto"/>
        <w:rPr>
          <w:color w:val="auto"/>
          <w:highlight w:val="none"/>
        </w:rPr>
      </w:pPr>
    </w:p>
    <w:p w14:paraId="27D5B207">
      <w:pPr>
        <w:spacing w:before="78" w:line="221" w:lineRule="auto"/>
        <w:ind w:left="90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联系人：</w:t>
      </w:r>
    </w:p>
    <w:p w14:paraId="531085C2">
      <w:pPr>
        <w:spacing w:before="179" w:line="219" w:lineRule="auto"/>
        <w:ind w:left="79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联系电话（手机</w:t>
      </w:r>
      <w:r>
        <w:rPr>
          <w:rFonts w:ascii="宋体" w:hAnsi="宋体" w:eastAsia="宋体" w:cs="宋体"/>
          <w:b/>
          <w:bCs/>
          <w:color w:val="auto"/>
          <w:spacing w:val="-1"/>
          <w:sz w:val="24"/>
          <w:szCs w:val="24"/>
          <w:highlight w:val="none"/>
        </w:rPr>
        <w:t>）：</w:t>
      </w:r>
    </w:p>
    <w:p w14:paraId="129EADBE">
      <w:pPr>
        <w:spacing w:before="184" w:line="221" w:lineRule="auto"/>
        <w:ind w:left="794"/>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联系地址：</w:t>
      </w:r>
    </w:p>
    <w:p w14:paraId="57A06E87">
      <w:pPr>
        <w:pStyle w:val="3"/>
        <w:spacing w:line="283" w:lineRule="auto"/>
        <w:rPr>
          <w:color w:val="auto"/>
          <w:highlight w:val="none"/>
        </w:rPr>
      </w:pPr>
    </w:p>
    <w:p w14:paraId="022F36D3">
      <w:pPr>
        <w:pStyle w:val="3"/>
        <w:spacing w:line="283" w:lineRule="auto"/>
        <w:rPr>
          <w:color w:val="auto"/>
          <w:highlight w:val="none"/>
        </w:rPr>
      </w:pPr>
    </w:p>
    <w:p w14:paraId="1264174D">
      <w:pPr>
        <w:spacing w:before="78" w:line="219" w:lineRule="auto"/>
        <w:ind w:left="201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（粘贴竞标保证金缴纳凭证复印件并加盖单位公章）</w:t>
      </w:r>
    </w:p>
    <w:p w14:paraId="48813583">
      <w:pPr>
        <w:pStyle w:val="3"/>
        <w:spacing w:line="260" w:lineRule="auto"/>
        <w:rPr>
          <w:color w:val="auto"/>
          <w:highlight w:val="none"/>
        </w:rPr>
      </w:pPr>
    </w:p>
    <w:p w14:paraId="24DA7BDA">
      <w:pPr>
        <w:pStyle w:val="3"/>
        <w:spacing w:line="260" w:lineRule="auto"/>
        <w:rPr>
          <w:color w:val="auto"/>
          <w:highlight w:val="none"/>
        </w:rPr>
      </w:pPr>
    </w:p>
    <w:p w14:paraId="0971F8DA">
      <w:pPr>
        <w:pStyle w:val="3"/>
        <w:spacing w:line="260" w:lineRule="auto"/>
        <w:rPr>
          <w:color w:val="auto"/>
          <w:highlight w:val="none"/>
        </w:rPr>
      </w:pPr>
    </w:p>
    <w:p w14:paraId="21FF5374">
      <w:pPr>
        <w:pStyle w:val="3"/>
        <w:spacing w:line="260" w:lineRule="auto"/>
        <w:rPr>
          <w:color w:val="auto"/>
          <w:highlight w:val="none"/>
        </w:rPr>
      </w:pPr>
    </w:p>
    <w:p w14:paraId="1C12DA6E">
      <w:pPr>
        <w:pStyle w:val="3"/>
        <w:spacing w:line="260" w:lineRule="auto"/>
        <w:rPr>
          <w:color w:val="auto"/>
          <w:highlight w:val="none"/>
        </w:rPr>
      </w:pPr>
    </w:p>
    <w:p w14:paraId="6F5EA0D7">
      <w:pPr>
        <w:pStyle w:val="3"/>
        <w:spacing w:line="260" w:lineRule="auto"/>
        <w:rPr>
          <w:color w:val="auto"/>
          <w:highlight w:val="none"/>
        </w:rPr>
      </w:pPr>
    </w:p>
    <w:p w14:paraId="69F0FAB1">
      <w:pPr>
        <w:pStyle w:val="3"/>
        <w:spacing w:line="261" w:lineRule="auto"/>
        <w:rPr>
          <w:color w:val="auto"/>
          <w:highlight w:val="none"/>
        </w:rPr>
      </w:pPr>
    </w:p>
    <w:p w14:paraId="21185139">
      <w:pPr>
        <w:pStyle w:val="3"/>
        <w:spacing w:line="261" w:lineRule="auto"/>
        <w:rPr>
          <w:color w:val="auto"/>
          <w:highlight w:val="none"/>
        </w:rPr>
      </w:pPr>
    </w:p>
    <w:p w14:paraId="53306F32">
      <w:pPr>
        <w:spacing w:line="462" w:lineRule="auto"/>
        <w:rPr>
          <w:rFonts w:ascii="宋体" w:hAnsi="宋体" w:eastAsia="宋体" w:cs="宋体"/>
          <w:color w:val="auto"/>
          <w:sz w:val="20"/>
          <w:szCs w:val="20"/>
          <w:highlight w:val="none"/>
        </w:rPr>
        <w:sectPr>
          <w:footerReference r:id="rId34" w:type="default"/>
          <w:pgSz w:w="11906" w:h="16839"/>
          <w:pgMar w:top="1424" w:right="1442" w:bottom="1362" w:left="1596" w:header="0" w:footer="1200" w:gutter="0"/>
          <w:pgNumType w:fmt="decimal"/>
          <w:cols w:space="720" w:num="1"/>
        </w:sectPr>
      </w:pPr>
    </w:p>
    <w:p w14:paraId="027E8337">
      <w:pPr>
        <w:spacing w:before="63" w:line="225" w:lineRule="auto"/>
        <w:jc w:val="center"/>
        <w:rPr>
          <w:rFonts w:ascii="宋体" w:hAnsi="宋体" w:eastAsia="宋体" w:cs="宋体"/>
          <w:b w:val="0"/>
          <w:bCs w:val="0"/>
          <w:color w:val="auto"/>
          <w:spacing w:val="6"/>
          <w:sz w:val="31"/>
          <w:szCs w:val="31"/>
          <w:highlight w:val="none"/>
        </w:rPr>
      </w:pPr>
      <w:r>
        <w:rPr>
          <w:rFonts w:ascii="宋体" w:hAnsi="宋体" w:eastAsia="宋体" w:cs="宋体"/>
          <w:b w:val="0"/>
          <w:bCs w:val="0"/>
          <w:color w:val="auto"/>
          <w:spacing w:val="6"/>
          <w:sz w:val="31"/>
          <w:szCs w:val="31"/>
          <w:highlight w:val="none"/>
        </w:rPr>
        <w:t>商务</w:t>
      </w:r>
      <w:r>
        <w:rPr>
          <w:rFonts w:hint="eastAsia" w:ascii="宋体" w:hAnsi="宋体" w:eastAsia="宋体" w:cs="宋体"/>
          <w:b w:val="0"/>
          <w:bCs w:val="0"/>
          <w:color w:val="auto"/>
          <w:spacing w:val="6"/>
          <w:sz w:val="31"/>
          <w:szCs w:val="31"/>
          <w:highlight w:val="none"/>
          <w:lang w:eastAsia="zh-CN"/>
        </w:rPr>
        <w:t>评分</w:t>
      </w:r>
      <w:r>
        <w:rPr>
          <w:rFonts w:ascii="宋体" w:hAnsi="宋体" w:eastAsia="宋体" w:cs="宋体"/>
          <w:b w:val="0"/>
          <w:bCs w:val="0"/>
          <w:color w:val="auto"/>
          <w:spacing w:val="6"/>
          <w:sz w:val="31"/>
          <w:szCs w:val="31"/>
          <w:highlight w:val="none"/>
        </w:rPr>
        <w:t>表格式</w:t>
      </w:r>
    </w:p>
    <w:p w14:paraId="3BEDE31C">
      <w:pPr>
        <w:spacing w:before="47"/>
        <w:rPr>
          <w:color w:val="auto"/>
          <w:highlight w:val="none"/>
        </w:rPr>
      </w:pPr>
    </w:p>
    <w:p w14:paraId="350431BF">
      <w:pPr>
        <w:spacing w:before="47"/>
        <w:rPr>
          <w:color w:val="auto"/>
          <w:highlight w:val="none"/>
        </w:rPr>
      </w:pPr>
    </w:p>
    <w:p w14:paraId="6BEED85F">
      <w:pPr>
        <w:spacing w:before="47"/>
        <w:rPr>
          <w:color w:val="auto"/>
          <w:highlight w:val="none"/>
        </w:rPr>
      </w:pPr>
    </w:p>
    <w:tbl>
      <w:tblPr>
        <w:tblStyle w:val="9"/>
        <w:tblW w:w="93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2663"/>
        <w:gridCol w:w="3125"/>
        <w:gridCol w:w="2591"/>
      </w:tblGrid>
      <w:tr w14:paraId="3DA57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933" w:type="dxa"/>
            <w:vAlign w:val="center"/>
          </w:tcPr>
          <w:p w14:paraId="2A529C34">
            <w:pPr>
              <w:jc w:val="center"/>
              <w:rPr>
                <w:rFonts w:ascii="Arial"/>
                <w:color w:val="auto"/>
                <w:sz w:val="21"/>
                <w:highlight w:val="none"/>
              </w:rPr>
            </w:pPr>
            <w:r>
              <w:rPr>
                <w:rFonts w:ascii="Arial"/>
                <w:color w:val="auto"/>
                <w:sz w:val="21"/>
                <w:highlight w:val="none"/>
              </w:rPr>
              <w:t>序号</w:t>
            </w:r>
          </w:p>
        </w:tc>
        <w:tc>
          <w:tcPr>
            <w:tcW w:w="2663" w:type="dxa"/>
            <w:vAlign w:val="top"/>
          </w:tcPr>
          <w:p w14:paraId="235497FA">
            <w:pPr>
              <w:pStyle w:val="10"/>
              <w:spacing w:before="206" w:line="219" w:lineRule="auto"/>
              <w:ind w:left="140"/>
              <w:rPr>
                <w:color w:val="auto"/>
                <w:sz w:val="24"/>
                <w:szCs w:val="24"/>
                <w:highlight w:val="none"/>
              </w:rPr>
            </w:pPr>
            <w:r>
              <w:rPr>
                <w:color w:val="auto"/>
                <w:spacing w:val="-1"/>
                <w:sz w:val="24"/>
                <w:szCs w:val="24"/>
                <w:highlight w:val="none"/>
              </w:rPr>
              <w:t>磋商文件商务</w:t>
            </w:r>
            <w:r>
              <w:rPr>
                <w:rFonts w:hint="eastAsia"/>
                <w:color w:val="auto"/>
                <w:spacing w:val="-1"/>
                <w:sz w:val="24"/>
                <w:szCs w:val="24"/>
                <w:highlight w:val="none"/>
                <w:lang w:eastAsia="zh-CN"/>
              </w:rPr>
              <w:t>评分</w:t>
            </w:r>
            <w:r>
              <w:rPr>
                <w:color w:val="auto"/>
                <w:spacing w:val="-1"/>
                <w:sz w:val="24"/>
                <w:szCs w:val="24"/>
                <w:highlight w:val="none"/>
              </w:rPr>
              <w:t>要求</w:t>
            </w:r>
          </w:p>
        </w:tc>
        <w:tc>
          <w:tcPr>
            <w:tcW w:w="3125" w:type="dxa"/>
            <w:vAlign w:val="center"/>
          </w:tcPr>
          <w:p w14:paraId="4B4D08E5">
            <w:pPr>
              <w:jc w:val="center"/>
              <w:rPr>
                <w:rFonts w:ascii="Arial"/>
                <w:color w:val="auto"/>
                <w:sz w:val="21"/>
                <w:highlight w:val="none"/>
                <w:lang w:val="en-US" w:eastAsia="en-US"/>
              </w:rPr>
            </w:pPr>
            <w:r>
              <w:rPr>
                <w:rFonts w:hint="eastAsia" w:ascii="宋体" w:hAnsi="宋体" w:eastAsia="宋体" w:cs="宋体"/>
                <w:snapToGrid w:val="0"/>
                <w:color w:val="auto"/>
                <w:spacing w:val="-1"/>
                <w:kern w:val="0"/>
                <w:sz w:val="24"/>
                <w:szCs w:val="24"/>
                <w:highlight w:val="none"/>
                <w:lang w:val="en-US" w:eastAsia="en-US" w:bidi="ar-SA"/>
              </w:rPr>
              <w:t>磋商响应文件具体响应</w:t>
            </w:r>
          </w:p>
        </w:tc>
        <w:tc>
          <w:tcPr>
            <w:tcW w:w="2591" w:type="dxa"/>
            <w:vAlign w:val="center"/>
          </w:tcPr>
          <w:p w14:paraId="7833E72E">
            <w:pPr>
              <w:jc w:val="center"/>
              <w:rPr>
                <w:rFonts w:ascii="Arial"/>
                <w:color w:val="auto"/>
                <w:sz w:val="21"/>
                <w:highlight w:val="none"/>
                <w:lang w:val="en-US" w:eastAsia="en-US"/>
              </w:rPr>
            </w:pPr>
            <w:r>
              <w:rPr>
                <w:rFonts w:hint="eastAsia" w:ascii="宋体" w:hAnsi="宋体" w:eastAsia="宋体" w:cs="宋体"/>
                <w:snapToGrid w:val="0"/>
                <w:color w:val="auto"/>
                <w:spacing w:val="-1"/>
                <w:kern w:val="0"/>
                <w:sz w:val="24"/>
                <w:szCs w:val="24"/>
                <w:highlight w:val="none"/>
                <w:lang w:val="en-US" w:eastAsia="en-US" w:bidi="ar-SA"/>
              </w:rPr>
              <w:t>响应文件中对应的页码</w:t>
            </w:r>
          </w:p>
        </w:tc>
      </w:tr>
      <w:tr w14:paraId="27FD7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933" w:type="dxa"/>
            <w:vAlign w:val="center"/>
          </w:tcPr>
          <w:p w14:paraId="5524FAB0">
            <w:pPr>
              <w:jc w:val="center"/>
              <w:rPr>
                <w:rFonts w:ascii="Arial"/>
                <w:color w:val="auto"/>
                <w:sz w:val="21"/>
                <w:highlight w:val="none"/>
              </w:rPr>
            </w:pPr>
            <w:r>
              <w:rPr>
                <w:rFonts w:ascii="Arial"/>
                <w:color w:val="auto"/>
                <w:sz w:val="21"/>
                <w:highlight w:val="none"/>
              </w:rPr>
              <w:t>1</w:t>
            </w:r>
          </w:p>
        </w:tc>
        <w:tc>
          <w:tcPr>
            <w:tcW w:w="2663" w:type="dxa"/>
            <w:vAlign w:val="top"/>
          </w:tcPr>
          <w:p w14:paraId="6CB0050E">
            <w:pPr>
              <w:rPr>
                <w:rFonts w:ascii="Arial"/>
                <w:color w:val="auto"/>
                <w:sz w:val="21"/>
                <w:highlight w:val="none"/>
              </w:rPr>
            </w:pPr>
          </w:p>
        </w:tc>
        <w:tc>
          <w:tcPr>
            <w:tcW w:w="3125" w:type="dxa"/>
            <w:vAlign w:val="center"/>
          </w:tcPr>
          <w:p w14:paraId="49426083">
            <w:pPr>
              <w:jc w:val="center"/>
              <w:rPr>
                <w:rFonts w:ascii="Arial"/>
                <w:color w:val="auto"/>
                <w:sz w:val="21"/>
                <w:highlight w:val="none"/>
              </w:rPr>
            </w:pPr>
          </w:p>
        </w:tc>
        <w:tc>
          <w:tcPr>
            <w:tcW w:w="2591" w:type="dxa"/>
            <w:vAlign w:val="center"/>
          </w:tcPr>
          <w:p w14:paraId="69697929">
            <w:pPr>
              <w:jc w:val="center"/>
              <w:rPr>
                <w:rFonts w:ascii="Arial"/>
                <w:color w:val="auto"/>
                <w:sz w:val="21"/>
                <w:highlight w:val="none"/>
              </w:rPr>
            </w:pPr>
          </w:p>
        </w:tc>
      </w:tr>
      <w:tr w14:paraId="61D34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933" w:type="dxa"/>
            <w:vAlign w:val="center"/>
          </w:tcPr>
          <w:p w14:paraId="493413BD">
            <w:pPr>
              <w:jc w:val="center"/>
              <w:rPr>
                <w:rFonts w:ascii="Arial"/>
                <w:color w:val="auto"/>
                <w:sz w:val="21"/>
                <w:highlight w:val="none"/>
              </w:rPr>
            </w:pPr>
            <w:r>
              <w:rPr>
                <w:rFonts w:ascii="Arial"/>
                <w:color w:val="auto"/>
                <w:sz w:val="21"/>
                <w:highlight w:val="none"/>
              </w:rPr>
              <w:t>2</w:t>
            </w:r>
          </w:p>
        </w:tc>
        <w:tc>
          <w:tcPr>
            <w:tcW w:w="2663" w:type="dxa"/>
            <w:vAlign w:val="top"/>
          </w:tcPr>
          <w:p w14:paraId="5D1F40F6">
            <w:pPr>
              <w:rPr>
                <w:rFonts w:ascii="Arial"/>
                <w:color w:val="auto"/>
                <w:sz w:val="21"/>
                <w:highlight w:val="none"/>
              </w:rPr>
            </w:pPr>
          </w:p>
        </w:tc>
        <w:tc>
          <w:tcPr>
            <w:tcW w:w="3125" w:type="dxa"/>
            <w:vAlign w:val="center"/>
          </w:tcPr>
          <w:p w14:paraId="64FF8718">
            <w:pPr>
              <w:jc w:val="center"/>
              <w:rPr>
                <w:rFonts w:ascii="Arial"/>
                <w:color w:val="auto"/>
                <w:sz w:val="21"/>
                <w:highlight w:val="none"/>
              </w:rPr>
            </w:pPr>
          </w:p>
        </w:tc>
        <w:tc>
          <w:tcPr>
            <w:tcW w:w="2591" w:type="dxa"/>
            <w:vAlign w:val="center"/>
          </w:tcPr>
          <w:p w14:paraId="2F7B8A9D">
            <w:pPr>
              <w:jc w:val="center"/>
              <w:rPr>
                <w:rFonts w:ascii="Arial"/>
                <w:color w:val="auto"/>
                <w:sz w:val="21"/>
                <w:highlight w:val="none"/>
              </w:rPr>
            </w:pPr>
          </w:p>
        </w:tc>
      </w:tr>
      <w:tr w14:paraId="01868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933" w:type="dxa"/>
            <w:vAlign w:val="center"/>
          </w:tcPr>
          <w:p w14:paraId="7FA2CAD7">
            <w:pPr>
              <w:jc w:val="center"/>
              <w:rPr>
                <w:rFonts w:ascii="Arial"/>
                <w:color w:val="auto"/>
                <w:sz w:val="21"/>
                <w:highlight w:val="none"/>
              </w:rPr>
            </w:pPr>
            <w:r>
              <w:rPr>
                <w:rFonts w:ascii="Arial"/>
                <w:color w:val="auto"/>
                <w:sz w:val="21"/>
                <w:highlight w:val="none"/>
              </w:rPr>
              <w:t>3</w:t>
            </w:r>
          </w:p>
        </w:tc>
        <w:tc>
          <w:tcPr>
            <w:tcW w:w="2663" w:type="dxa"/>
            <w:vAlign w:val="top"/>
          </w:tcPr>
          <w:p w14:paraId="568B03A1">
            <w:pPr>
              <w:rPr>
                <w:rFonts w:ascii="Arial"/>
                <w:color w:val="auto"/>
                <w:sz w:val="21"/>
                <w:highlight w:val="none"/>
              </w:rPr>
            </w:pPr>
          </w:p>
        </w:tc>
        <w:tc>
          <w:tcPr>
            <w:tcW w:w="3125" w:type="dxa"/>
            <w:vAlign w:val="center"/>
          </w:tcPr>
          <w:p w14:paraId="1439789B">
            <w:pPr>
              <w:jc w:val="center"/>
              <w:rPr>
                <w:rFonts w:ascii="Arial"/>
                <w:color w:val="auto"/>
                <w:sz w:val="21"/>
                <w:highlight w:val="none"/>
              </w:rPr>
            </w:pPr>
          </w:p>
        </w:tc>
        <w:tc>
          <w:tcPr>
            <w:tcW w:w="2591" w:type="dxa"/>
            <w:vAlign w:val="center"/>
          </w:tcPr>
          <w:p w14:paraId="08FD5279">
            <w:pPr>
              <w:jc w:val="center"/>
              <w:rPr>
                <w:rFonts w:ascii="Arial"/>
                <w:color w:val="auto"/>
                <w:sz w:val="21"/>
                <w:highlight w:val="none"/>
              </w:rPr>
            </w:pPr>
          </w:p>
        </w:tc>
      </w:tr>
      <w:tr w14:paraId="4AF95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933" w:type="dxa"/>
            <w:vAlign w:val="center"/>
          </w:tcPr>
          <w:p w14:paraId="118CB203">
            <w:pPr>
              <w:jc w:val="center"/>
              <w:rPr>
                <w:rFonts w:ascii="Arial"/>
                <w:color w:val="auto"/>
                <w:sz w:val="21"/>
                <w:highlight w:val="none"/>
              </w:rPr>
            </w:pPr>
            <w:r>
              <w:rPr>
                <w:rFonts w:ascii="Arial"/>
                <w:color w:val="auto"/>
                <w:sz w:val="21"/>
                <w:highlight w:val="none"/>
              </w:rPr>
              <w:t>4</w:t>
            </w:r>
          </w:p>
        </w:tc>
        <w:tc>
          <w:tcPr>
            <w:tcW w:w="2663" w:type="dxa"/>
            <w:vAlign w:val="top"/>
          </w:tcPr>
          <w:p w14:paraId="14AC3EC8">
            <w:pPr>
              <w:rPr>
                <w:rFonts w:ascii="Arial"/>
                <w:color w:val="auto"/>
                <w:sz w:val="21"/>
                <w:highlight w:val="none"/>
              </w:rPr>
            </w:pPr>
          </w:p>
        </w:tc>
        <w:tc>
          <w:tcPr>
            <w:tcW w:w="3125" w:type="dxa"/>
            <w:vAlign w:val="center"/>
          </w:tcPr>
          <w:p w14:paraId="27E382FA">
            <w:pPr>
              <w:jc w:val="center"/>
              <w:rPr>
                <w:rFonts w:ascii="Arial"/>
                <w:color w:val="auto"/>
                <w:sz w:val="21"/>
                <w:highlight w:val="none"/>
              </w:rPr>
            </w:pPr>
          </w:p>
        </w:tc>
        <w:tc>
          <w:tcPr>
            <w:tcW w:w="2591" w:type="dxa"/>
            <w:vAlign w:val="center"/>
          </w:tcPr>
          <w:p w14:paraId="4294765A">
            <w:pPr>
              <w:jc w:val="center"/>
              <w:rPr>
                <w:rFonts w:ascii="Arial"/>
                <w:color w:val="auto"/>
                <w:sz w:val="21"/>
                <w:highlight w:val="none"/>
              </w:rPr>
            </w:pPr>
          </w:p>
        </w:tc>
      </w:tr>
    </w:tbl>
    <w:p w14:paraId="54746CD4">
      <w:pPr>
        <w:pStyle w:val="3"/>
        <w:spacing w:line="473" w:lineRule="auto"/>
        <w:rPr>
          <w:color w:val="auto"/>
          <w:highlight w:val="none"/>
        </w:rPr>
      </w:pPr>
    </w:p>
    <w:p w14:paraId="4227B5BB">
      <w:pPr>
        <w:spacing w:before="78" w:line="224" w:lineRule="auto"/>
        <w:ind w:left="1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50CA5F49">
      <w:pPr>
        <w:spacing w:before="217" w:line="290" w:lineRule="auto"/>
        <w:ind w:left="141" w:right="325" w:hanging="2"/>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 说明：应对照磋商文件“第</w:t>
      </w:r>
      <w:r>
        <w:rPr>
          <w:rFonts w:hint="eastAsia" w:ascii="宋体" w:hAnsi="宋体" w:eastAsia="宋体" w:cs="宋体"/>
          <w:color w:val="auto"/>
          <w:spacing w:val="-2"/>
          <w:sz w:val="24"/>
          <w:szCs w:val="24"/>
          <w:highlight w:val="none"/>
          <w:lang w:eastAsia="zh-CN"/>
        </w:rPr>
        <w:t>四</w:t>
      </w:r>
      <w:r>
        <w:rPr>
          <w:rFonts w:ascii="宋体" w:hAnsi="宋体" w:eastAsia="宋体" w:cs="宋体"/>
          <w:color w:val="auto"/>
          <w:spacing w:val="-2"/>
          <w:sz w:val="24"/>
          <w:szCs w:val="24"/>
          <w:highlight w:val="none"/>
        </w:rPr>
        <w:t xml:space="preserve">章 </w:t>
      </w:r>
      <w:r>
        <w:rPr>
          <w:rFonts w:hint="eastAsia" w:ascii="宋体" w:hAnsi="宋体" w:eastAsia="宋体" w:cs="宋体"/>
          <w:color w:val="auto"/>
          <w:spacing w:val="-2"/>
          <w:sz w:val="24"/>
          <w:szCs w:val="24"/>
          <w:highlight w:val="none"/>
          <w:lang w:eastAsia="zh-CN"/>
        </w:rPr>
        <w:t>评审标准</w:t>
      </w:r>
      <w:r>
        <w:rPr>
          <w:rFonts w:ascii="宋体" w:hAnsi="宋体" w:eastAsia="宋体" w:cs="宋体"/>
          <w:color w:val="auto"/>
          <w:spacing w:val="-2"/>
          <w:sz w:val="24"/>
          <w:szCs w:val="24"/>
          <w:highlight w:val="none"/>
        </w:rPr>
        <w:t xml:space="preserve"> ”中的商务</w:t>
      </w:r>
      <w:r>
        <w:rPr>
          <w:rFonts w:hint="eastAsia" w:ascii="宋体" w:hAnsi="宋体" w:eastAsia="宋体" w:cs="宋体"/>
          <w:color w:val="auto"/>
          <w:spacing w:val="-2"/>
          <w:sz w:val="24"/>
          <w:szCs w:val="24"/>
          <w:highlight w:val="none"/>
          <w:lang w:eastAsia="zh-CN"/>
        </w:rPr>
        <w:t>分</w:t>
      </w:r>
      <w:r>
        <w:rPr>
          <w:rFonts w:ascii="宋体" w:hAnsi="宋体" w:eastAsia="宋体" w:cs="宋体"/>
          <w:color w:val="auto"/>
          <w:spacing w:val="-2"/>
          <w:sz w:val="24"/>
          <w:szCs w:val="24"/>
          <w:highlight w:val="none"/>
        </w:rPr>
        <w:t>评审因素逐条实质性响应，并</w:t>
      </w:r>
      <w:r>
        <w:rPr>
          <w:rFonts w:hint="eastAsia" w:ascii="宋体" w:hAnsi="宋体" w:eastAsia="宋体" w:cs="宋体"/>
          <w:color w:val="auto"/>
          <w:spacing w:val="-2"/>
          <w:sz w:val="24"/>
          <w:szCs w:val="24"/>
          <w:highlight w:val="none"/>
          <w:lang w:eastAsia="zh-CN"/>
        </w:rPr>
        <w:t>写</w:t>
      </w:r>
      <w:r>
        <w:rPr>
          <w:rFonts w:ascii="宋体" w:hAnsi="宋体" w:eastAsia="宋体" w:cs="宋体"/>
          <w:color w:val="auto"/>
          <w:spacing w:val="-2"/>
          <w:sz w:val="24"/>
          <w:szCs w:val="24"/>
          <w:highlight w:val="none"/>
        </w:rPr>
        <w:t>出</w:t>
      </w:r>
      <w:r>
        <w:rPr>
          <w:rFonts w:hint="eastAsia" w:ascii="宋体" w:hAnsi="宋体" w:eastAsia="宋体" w:cs="宋体"/>
          <w:color w:val="auto"/>
          <w:spacing w:val="-2"/>
          <w:sz w:val="24"/>
          <w:szCs w:val="24"/>
          <w:highlight w:val="none"/>
          <w:lang w:val="en-US" w:eastAsia="en-US"/>
        </w:rPr>
        <w:t>对应的页码</w:t>
      </w:r>
      <w:r>
        <w:rPr>
          <w:rFonts w:ascii="宋体" w:hAnsi="宋体" w:eastAsia="宋体" w:cs="宋体"/>
          <w:color w:val="auto"/>
          <w:spacing w:val="-2"/>
          <w:sz w:val="24"/>
          <w:szCs w:val="24"/>
          <w:highlight w:val="none"/>
        </w:rPr>
        <w:t>。</w:t>
      </w:r>
    </w:p>
    <w:p w14:paraId="0DA7AA4C">
      <w:pPr>
        <w:pStyle w:val="3"/>
        <w:spacing w:line="333" w:lineRule="auto"/>
        <w:rPr>
          <w:color w:val="auto"/>
          <w:highlight w:val="none"/>
        </w:rPr>
      </w:pPr>
    </w:p>
    <w:p w14:paraId="5DECC244">
      <w:pPr>
        <w:pStyle w:val="3"/>
        <w:spacing w:line="334" w:lineRule="auto"/>
        <w:rPr>
          <w:color w:val="auto"/>
          <w:highlight w:val="none"/>
        </w:rPr>
      </w:pPr>
    </w:p>
    <w:p w14:paraId="7140CA76">
      <w:pPr>
        <w:spacing w:before="79" w:line="219" w:lineRule="auto"/>
        <w:ind w:left="10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法定代表人或者委托代理人（签字</w:t>
      </w:r>
      <w:r>
        <w:rPr>
          <w:rFonts w:ascii="宋体" w:hAnsi="宋体" w:eastAsia="宋体" w:cs="宋体"/>
          <w:color w:val="auto"/>
          <w:spacing w:val="1"/>
          <w:sz w:val="24"/>
          <w:szCs w:val="24"/>
          <w:highlight w:val="none"/>
        </w:rPr>
        <w:t>）：</w:t>
      </w:r>
    </w:p>
    <w:p w14:paraId="56056A96">
      <w:pPr>
        <w:spacing w:before="230" w:line="219" w:lineRule="auto"/>
        <w:ind w:left="276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p>
    <w:p w14:paraId="23984396">
      <w:pPr>
        <w:spacing w:before="235" w:line="219" w:lineRule="auto"/>
        <w:ind w:left="4242"/>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3"/>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00D8651F">
      <w:pPr>
        <w:spacing w:line="219" w:lineRule="auto"/>
        <w:rPr>
          <w:rFonts w:ascii="宋体" w:hAnsi="宋体" w:eastAsia="宋体" w:cs="宋体"/>
          <w:color w:val="auto"/>
          <w:sz w:val="24"/>
          <w:szCs w:val="24"/>
          <w:highlight w:val="none"/>
        </w:rPr>
        <w:sectPr>
          <w:footerReference r:id="rId35" w:type="default"/>
          <w:pgSz w:w="11906" w:h="16839"/>
          <w:pgMar w:top="1431" w:right="1114" w:bottom="1362" w:left="1474" w:header="0" w:footer="1200" w:gutter="0"/>
          <w:pgNumType w:fmt="decimal"/>
          <w:cols w:space="720" w:num="1"/>
        </w:sectPr>
      </w:pPr>
    </w:p>
    <w:p w14:paraId="6DD1EC9F">
      <w:pPr>
        <w:spacing w:before="63" w:line="225" w:lineRule="auto"/>
        <w:ind w:left="3445"/>
        <w:rPr>
          <w:rFonts w:ascii="宋体" w:hAnsi="宋体" w:eastAsia="宋体" w:cs="宋体"/>
          <w:b w:val="0"/>
          <w:bCs w:val="0"/>
          <w:color w:val="auto"/>
          <w:sz w:val="31"/>
          <w:szCs w:val="31"/>
          <w:highlight w:val="none"/>
        </w:rPr>
      </w:pPr>
      <w:r>
        <w:rPr>
          <w:rFonts w:ascii="宋体" w:hAnsi="宋体" w:eastAsia="宋体" w:cs="宋体"/>
          <w:b w:val="0"/>
          <w:bCs w:val="0"/>
          <w:color w:val="auto"/>
          <w:spacing w:val="6"/>
          <w:sz w:val="31"/>
          <w:szCs w:val="31"/>
          <w:highlight w:val="none"/>
        </w:rPr>
        <w:t>技术</w:t>
      </w:r>
      <w:r>
        <w:rPr>
          <w:rFonts w:hint="eastAsia" w:ascii="宋体" w:hAnsi="宋体" w:eastAsia="宋体" w:cs="宋体"/>
          <w:b w:val="0"/>
          <w:bCs w:val="0"/>
          <w:color w:val="auto"/>
          <w:spacing w:val="6"/>
          <w:sz w:val="31"/>
          <w:szCs w:val="31"/>
          <w:highlight w:val="none"/>
          <w:lang w:eastAsia="zh-CN"/>
        </w:rPr>
        <w:t>评分</w:t>
      </w:r>
      <w:r>
        <w:rPr>
          <w:rFonts w:ascii="宋体" w:hAnsi="宋体" w:eastAsia="宋体" w:cs="宋体"/>
          <w:b w:val="0"/>
          <w:bCs w:val="0"/>
          <w:color w:val="auto"/>
          <w:spacing w:val="6"/>
          <w:sz w:val="31"/>
          <w:szCs w:val="31"/>
          <w:highlight w:val="none"/>
        </w:rPr>
        <w:t>表</w:t>
      </w:r>
    </w:p>
    <w:p w14:paraId="29B926A4">
      <w:pPr>
        <w:spacing w:before="29"/>
        <w:rPr>
          <w:color w:val="auto"/>
          <w:highlight w:val="none"/>
        </w:rPr>
      </w:pPr>
    </w:p>
    <w:p w14:paraId="21DFA91F">
      <w:pPr>
        <w:spacing w:before="29"/>
        <w:rPr>
          <w:color w:val="auto"/>
          <w:highlight w:val="none"/>
        </w:rPr>
      </w:pPr>
    </w:p>
    <w:p w14:paraId="4D34CEB9">
      <w:pPr>
        <w:spacing w:before="29"/>
        <w:rPr>
          <w:color w:val="auto"/>
          <w:highlight w:val="none"/>
        </w:rPr>
      </w:pPr>
    </w:p>
    <w:p w14:paraId="7EE420F4">
      <w:pPr>
        <w:spacing w:before="28"/>
        <w:rPr>
          <w:color w:val="auto"/>
          <w:highlight w:val="none"/>
        </w:rPr>
      </w:pPr>
    </w:p>
    <w:tbl>
      <w:tblPr>
        <w:tblStyle w:val="9"/>
        <w:tblW w:w="91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3036"/>
        <w:gridCol w:w="2733"/>
        <w:gridCol w:w="2482"/>
      </w:tblGrid>
      <w:tr w14:paraId="27C3C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20" w:type="dxa"/>
            <w:tcBorders>
              <w:top w:val="single" w:color="000000" w:sz="2" w:space="0"/>
              <w:left w:val="single" w:color="000000" w:sz="2" w:space="0"/>
            </w:tcBorders>
            <w:vAlign w:val="top"/>
          </w:tcPr>
          <w:p w14:paraId="65A27CF9">
            <w:pPr>
              <w:pStyle w:val="10"/>
              <w:spacing w:before="118" w:line="221" w:lineRule="auto"/>
              <w:ind w:left="226"/>
              <w:rPr>
                <w:color w:val="auto"/>
                <w:sz w:val="24"/>
                <w:szCs w:val="24"/>
                <w:highlight w:val="none"/>
              </w:rPr>
            </w:pPr>
            <w:r>
              <w:rPr>
                <w:color w:val="auto"/>
                <w:spacing w:val="-5"/>
                <w:sz w:val="24"/>
                <w:szCs w:val="24"/>
                <w:highlight w:val="none"/>
              </w:rPr>
              <w:t>序号</w:t>
            </w:r>
          </w:p>
        </w:tc>
        <w:tc>
          <w:tcPr>
            <w:tcW w:w="3036" w:type="dxa"/>
            <w:tcBorders>
              <w:top w:val="single" w:color="000000" w:sz="2" w:space="0"/>
              <w:left w:val="single" w:color="000000" w:sz="2" w:space="0"/>
            </w:tcBorders>
            <w:vAlign w:val="center"/>
          </w:tcPr>
          <w:p w14:paraId="5861D10E">
            <w:pPr>
              <w:pStyle w:val="10"/>
              <w:spacing w:before="119" w:line="219" w:lineRule="auto"/>
              <w:jc w:val="center"/>
              <w:rPr>
                <w:color w:val="auto"/>
                <w:sz w:val="24"/>
                <w:szCs w:val="24"/>
                <w:highlight w:val="none"/>
              </w:rPr>
            </w:pPr>
            <w:r>
              <w:rPr>
                <w:color w:val="auto"/>
                <w:spacing w:val="-2"/>
                <w:sz w:val="24"/>
                <w:szCs w:val="24"/>
                <w:highlight w:val="none"/>
              </w:rPr>
              <w:t>磋商文件技术</w:t>
            </w:r>
            <w:r>
              <w:rPr>
                <w:rFonts w:hint="eastAsia"/>
                <w:color w:val="auto"/>
                <w:spacing w:val="-1"/>
                <w:sz w:val="24"/>
                <w:szCs w:val="24"/>
                <w:highlight w:val="none"/>
                <w:lang w:eastAsia="zh-CN"/>
              </w:rPr>
              <w:t>评分</w:t>
            </w:r>
            <w:r>
              <w:rPr>
                <w:rFonts w:hint="eastAsia"/>
                <w:color w:val="auto"/>
                <w:spacing w:val="-2"/>
                <w:sz w:val="24"/>
                <w:szCs w:val="24"/>
                <w:highlight w:val="none"/>
                <w:lang w:eastAsia="zh-CN"/>
              </w:rPr>
              <w:t>要</w:t>
            </w:r>
            <w:r>
              <w:rPr>
                <w:color w:val="auto"/>
                <w:spacing w:val="-2"/>
                <w:sz w:val="24"/>
                <w:szCs w:val="24"/>
                <w:highlight w:val="none"/>
              </w:rPr>
              <w:t>求</w:t>
            </w:r>
          </w:p>
        </w:tc>
        <w:tc>
          <w:tcPr>
            <w:tcW w:w="2733" w:type="dxa"/>
            <w:tcBorders>
              <w:top w:val="single" w:color="000000" w:sz="2" w:space="0"/>
            </w:tcBorders>
            <w:vAlign w:val="center"/>
          </w:tcPr>
          <w:p w14:paraId="5B65F5C0">
            <w:pPr>
              <w:jc w:val="center"/>
              <w:rPr>
                <w:rFonts w:ascii="Arial"/>
                <w:color w:val="auto"/>
                <w:sz w:val="21"/>
                <w:highlight w:val="none"/>
              </w:rPr>
            </w:pPr>
            <w:r>
              <w:rPr>
                <w:rFonts w:hint="eastAsia" w:ascii="宋体" w:hAnsi="宋体" w:eastAsia="宋体" w:cs="宋体"/>
                <w:snapToGrid w:val="0"/>
                <w:color w:val="auto"/>
                <w:spacing w:val="-2"/>
                <w:kern w:val="0"/>
                <w:sz w:val="24"/>
                <w:szCs w:val="24"/>
                <w:highlight w:val="none"/>
                <w:lang w:val="en-US" w:eastAsia="en-US" w:bidi="ar-SA"/>
              </w:rPr>
              <w:t>磋商响应文件具体响应</w:t>
            </w:r>
          </w:p>
        </w:tc>
        <w:tc>
          <w:tcPr>
            <w:tcW w:w="2482" w:type="dxa"/>
            <w:tcBorders>
              <w:top w:val="single" w:color="000000" w:sz="2" w:space="0"/>
              <w:right w:val="single" w:color="000000" w:sz="2" w:space="0"/>
            </w:tcBorders>
            <w:vAlign w:val="center"/>
          </w:tcPr>
          <w:p w14:paraId="7C25FB31">
            <w:pPr>
              <w:jc w:val="center"/>
              <w:rPr>
                <w:rFonts w:ascii="Arial"/>
                <w:color w:val="auto"/>
                <w:sz w:val="21"/>
                <w:highlight w:val="none"/>
              </w:rPr>
            </w:pPr>
            <w:r>
              <w:rPr>
                <w:rFonts w:hint="eastAsia" w:ascii="宋体" w:hAnsi="宋体" w:eastAsia="宋体" w:cs="宋体"/>
                <w:snapToGrid w:val="0"/>
                <w:color w:val="auto"/>
                <w:spacing w:val="-2"/>
                <w:kern w:val="0"/>
                <w:sz w:val="24"/>
                <w:szCs w:val="24"/>
                <w:highlight w:val="none"/>
                <w:lang w:val="en-US" w:eastAsia="en-US" w:bidi="ar-SA"/>
              </w:rPr>
              <w:t>响应文件中对应的页码</w:t>
            </w:r>
          </w:p>
        </w:tc>
      </w:tr>
      <w:tr w14:paraId="22C39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20" w:type="dxa"/>
            <w:tcBorders>
              <w:left w:val="single" w:color="000000" w:sz="2" w:space="0"/>
            </w:tcBorders>
            <w:vAlign w:val="top"/>
          </w:tcPr>
          <w:p w14:paraId="25B354B0">
            <w:pPr>
              <w:pStyle w:val="10"/>
              <w:spacing w:before="147" w:line="184" w:lineRule="auto"/>
              <w:ind w:left="424"/>
              <w:rPr>
                <w:color w:val="auto"/>
                <w:sz w:val="24"/>
                <w:szCs w:val="24"/>
                <w:highlight w:val="none"/>
              </w:rPr>
            </w:pPr>
            <w:r>
              <w:rPr>
                <w:color w:val="auto"/>
                <w:sz w:val="24"/>
                <w:szCs w:val="24"/>
                <w:highlight w:val="none"/>
              </w:rPr>
              <w:t>1</w:t>
            </w:r>
          </w:p>
        </w:tc>
        <w:tc>
          <w:tcPr>
            <w:tcW w:w="3036" w:type="dxa"/>
            <w:tcBorders>
              <w:left w:val="single" w:color="000000" w:sz="2" w:space="0"/>
            </w:tcBorders>
            <w:vAlign w:val="center"/>
          </w:tcPr>
          <w:p w14:paraId="3EBB7E43">
            <w:pPr>
              <w:jc w:val="center"/>
              <w:rPr>
                <w:rFonts w:ascii="Arial"/>
                <w:color w:val="auto"/>
                <w:sz w:val="21"/>
                <w:highlight w:val="none"/>
              </w:rPr>
            </w:pPr>
          </w:p>
        </w:tc>
        <w:tc>
          <w:tcPr>
            <w:tcW w:w="2733" w:type="dxa"/>
            <w:vAlign w:val="center"/>
          </w:tcPr>
          <w:p w14:paraId="2E06575B">
            <w:pPr>
              <w:jc w:val="center"/>
              <w:rPr>
                <w:rFonts w:ascii="Arial"/>
                <w:color w:val="auto"/>
                <w:sz w:val="21"/>
                <w:highlight w:val="none"/>
              </w:rPr>
            </w:pPr>
          </w:p>
        </w:tc>
        <w:tc>
          <w:tcPr>
            <w:tcW w:w="2482" w:type="dxa"/>
            <w:tcBorders>
              <w:right w:val="single" w:color="000000" w:sz="2" w:space="0"/>
            </w:tcBorders>
            <w:vAlign w:val="center"/>
          </w:tcPr>
          <w:p w14:paraId="5873BFFE">
            <w:pPr>
              <w:jc w:val="center"/>
              <w:rPr>
                <w:rFonts w:ascii="Arial"/>
                <w:color w:val="auto"/>
                <w:sz w:val="21"/>
                <w:highlight w:val="none"/>
              </w:rPr>
            </w:pPr>
          </w:p>
        </w:tc>
      </w:tr>
      <w:tr w14:paraId="3B81E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20" w:type="dxa"/>
            <w:tcBorders>
              <w:left w:val="single" w:color="000000" w:sz="2" w:space="0"/>
            </w:tcBorders>
            <w:vAlign w:val="top"/>
          </w:tcPr>
          <w:p w14:paraId="5B1CACB7">
            <w:pPr>
              <w:pStyle w:val="10"/>
              <w:spacing w:before="149" w:line="183" w:lineRule="auto"/>
              <w:ind w:left="409"/>
              <w:rPr>
                <w:color w:val="auto"/>
                <w:sz w:val="24"/>
                <w:szCs w:val="24"/>
                <w:highlight w:val="none"/>
              </w:rPr>
            </w:pPr>
            <w:r>
              <w:rPr>
                <w:color w:val="auto"/>
                <w:sz w:val="24"/>
                <w:szCs w:val="24"/>
                <w:highlight w:val="none"/>
              </w:rPr>
              <w:t>2</w:t>
            </w:r>
          </w:p>
        </w:tc>
        <w:tc>
          <w:tcPr>
            <w:tcW w:w="3036" w:type="dxa"/>
            <w:tcBorders>
              <w:left w:val="single" w:color="000000" w:sz="2" w:space="0"/>
            </w:tcBorders>
            <w:vAlign w:val="center"/>
          </w:tcPr>
          <w:p w14:paraId="55BCE7A3">
            <w:pPr>
              <w:jc w:val="center"/>
              <w:rPr>
                <w:rFonts w:ascii="Arial"/>
                <w:color w:val="auto"/>
                <w:sz w:val="21"/>
                <w:highlight w:val="none"/>
              </w:rPr>
            </w:pPr>
          </w:p>
        </w:tc>
        <w:tc>
          <w:tcPr>
            <w:tcW w:w="2733" w:type="dxa"/>
            <w:vAlign w:val="center"/>
          </w:tcPr>
          <w:p w14:paraId="0856C8DE">
            <w:pPr>
              <w:jc w:val="center"/>
              <w:rPr>
                <w:rFonts w:ascii="Arial"/>
                <w:color w:val="auto"/>
                <w:sz w:val="21"/>
                <w:highlight w:val="none"/>
              </w:rPr>
            </w:pPr>
          </w:p>
        </w:tc>
        <w:tc>
          <w:tcPr>
            <w:tcW w:w="2482" w:type="dxa"/>
            <w:tcBorders>
              <w:right w:val="single" w:color="000000" w:sz="2" w:space="0"/>
            </w:tcBorders>
            <w:vAlign w:val="center"/>
          </w:tcPr>
          <w:p w14:paraId="6E9E370A">
            <w:pPr>
              <w:jc w:val="center"/>
              <w:rPr>
                <w:rFonts w:ascii="Arial"/>
                <w:color w:val="auto"/>
                <w:sz w:val="21"/>
                <w:highlight w:val="none"/>
              </w:rPr>
            </w:pPr>
          </w:p>
        </w:tc>
      </w:tr>
      <w:tr w14:paraId="6355D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20" w:type="dxa"/>
            <w:tcBorders>
              <w:left w:val="single" w:color="000000" w:sz="2" w:space="0"/>
            </w:tcBorders>
            <w:vAlign w:val="top"/>
          </w:tcPr>
          <w:p w14:paraId="0CC2AB4E">
            <w:pPr>
              <w:pStyle w:val="10"/>
              <w:spacing w:before="152" w:line="183" w:lineRule="auto"/>
              <w:ind w:left="411"/>
              <w:rPr>
                <w:color w:val="auto"/>
                <w:sz w:val="24"/>
                <w:szCs w:val="24"/>
                <w:highlight w:val="none"/>
              </w:rPr>
            </w:pPr>
            <w:r>
              <w:rPr>
                <w:color w:val="auto"/>
                <w:sz w:val="24"/>
                <w:szCs w:val="24"/>
                <w:highlight w:val="none"/>
              </w:rPr>
              <w:t>3</w:t>
            </w:r>
          </w:p>
        </w:tc>
        <w:tc>
          <w:tcPr>
            <w:tcW w:w="3036" w:type="dxa"/>
            <w:tcBorders>
              <w:left w:val="single" w:color="000000" w:sz="2" w:space="0"/>
            </w:tcBorders>
            <w:vAlign w:val="top"/>
          </w:tcPr>
          <w:p w14:paraId="711816D9">
            <w:pPr>
              <w:rPr>
                <w:rFonts w:ascii="Arial"/>
                <w:color w:val="auto"/>
                <w:sz w:val="21"/>
                <w:highlight w:val="none"/>
              </w:rPr>
            </w:pPr>
          </w:p>
        </w:tc>
        <w:tc>
          <w:tcPr>
            <w:tcW w:w="2733" w:type="dxa"/>
            <w:vAlign w:val="center"/>
          </w:tcPr>
          <w:p w14:paraId="5703C264">
            <w:pPr>
              <w:jc w:val="center"/>
              <w:rPr>
                <w:rFonts w:ascii="Arial"/>
                <w:color w:val="auto"/>
                <w:sz w:val="21"/>
                <w:highlight w:val="none"/>
              </w:rPr>
            </w:pPr>
          </w:p>
        </w:tc>
        <w:tc>
          <w:tcPr>
            <w:tcW w:w="2482" w:type="dxa"/>
            <w:tcBorders>
              <w:right w:val="single" w:color="000000" w:sz="2" w:space="0"/>
            </w:tcBorders>
            <w:vAlign w:val="center"/>
          </w:tcPr>
          <w:p w14:paraId="22AF46BB">
            <w:pPr>
              <w:jc w:val="center"/>
              <w:rPr>
                <w:rFonts w:ascii="Arial"/>
                <w:color w:val="auto"/>
                <w:sz w:val="21"/>
                <w:highlight w:val="none"/>
              </w:rPr>
            </w:pPr>
          </w:p>
        </w:tc>
      </w:tr>
      <w:tr w14:paraId="25289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20" w:type="dxa"/>
            <w:tcBorders>
              <w:left w:val="single" w:color="000000" w:sz="2" w:space="0"/>
            </w:tcBorders>
            <w:vAlign w:val="top"/>
          </w:tcPr>
          <w:p w14:paraId="2D1C77B0">
            <w:pPr>
              <w:pStyle w:val="10"/>
              <w:spacing w:before="152" w:line="183" w:lineRule="auto"/>
              <w:ind w:left="406"/>
              <w:rPr>
                <w:color w:val="auto"/>
                <w:sz w:val="24"/>
                <w:szCs w:val="24"/>
                <w:highlight w:val="none"/>
              </w:rPr>
            </w:pPr>
            <w:r>
              <w:rPr>
                <w:color w:val="auto"/>
                <w:sz w:val="24"/>
                <w:szCs w:val="24"/>
                <w:highlight w:val="none"/>
              </w:rPr>
              <w:t>4</w:t>
            </w:r>
          </w:p>
        </w:tc>
        <w:tc>
          <w:tcPr>
            <w:tcW w:w="3036" w:type="dxa"/>
            <w:tcBorders>
              <w:left w:val="single" w:color="000000" w:sz="2" w:space="0"/>
            </w:tcBorders>
            <w:vAlign w:val="top"/>
          </w:tcPr>
          <w:p w14:paraId="06FDDF60">
            <w:pPr>
              <w:rPr>
                <w:rFonts w:ascii="Arial"/>
                <w:color w:val="auto"/>
                <w:sz w:val="21"/>
                <w:highlight w:val="none"/>
              </w:rPr>
            </w:pPr>
          </w:p>
        </w:tc>
        <w:tc>
          <w:tcPr>
            <w:tcW w:w="2733" w:type="dxa"/>
            <w:vAlign w:val="top"/>
          </w:tcPr>
          <w:p w14:paraId="010FD265">
            <w:pPr>
              <w:rPr>
                <w:rFonts w:ascii="Arial"/>
                <w:color w:val="auto"/>
                <w:sz w:val="21"/>
                <w:highlight w:val="none"/>
              </w:rPr>
            </w:pPr>
          </w:p>
        </w:tc>
        <w:tc>
          <w:tcPr>
            <w:tcW w:w="2482" w:type="dxa"/>
            <w:tcBorders>
              <w:right w:val="single" w:color="000000" w:sz="2" w:space="0"/>
            </w:tcBorders>
            <w:vAlign w:val="top"/>
          </w:tcPr>
          <w:p w14:paraId="79187C1E">
            <w:pPr>
              <w:rPr>
                <w:rFonts w:ascii="Arial"/>
                <w:color w:val="auto"/>
                <w:sz w:val="21"/>
                <w:highlight w:val="none"/>
              </w:rPr>
            </w:pPr>
          </w:p>
        </w:tc>
      </w:tr>
      <w:tr w14:paraId="21BE7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20" w:type="dxa"/>
            <w:tcBorders>
              <w:left w:val="single" w:color="000000" w:sz="2" w:space="0"/>
            </w:tcBorders>
            <w:vAlign w:val="top"/>
          </w:tcPr>
          <w:p w14:paraId="3ACB00AA">
            <w:pPr>
              <w:pStyle w:val="10"/>
              <w:spacing w:before="154" w:line="182" w:lineRule="auto"/>
              <w:ind w:left="411"/>
              <w:rPr>
                <w:color w:val="auto"/>
                <w:sz w:val="24"/>
                <w:szCs w:val="24"/>
                <w:highlight w:val="none"/>
              </w:rPr>
            </w:pPr>
            <w:r>
              <w:rPr>
                <w:color w:val="auto"/>
                <w:sz w:val="24"/>
                <w:szCs w:val="24"/>
                <w:highlight w:val="none"/>
              </w:rPr>
              <w:t>5</w:t>
            </w:r>
          </w:p>
        </w:tc>
        <w:tc>
          <w:tcPr>
            <w:tcW w:w="3036" w:type="dxa"/>
            <w:tcBorders>
              <w:left w:val="single" w:color="000000" w:sz="2" w:space="0"/>
            </w:tcBorders>
            <w:vAlign w:val="top"/>
          </w:tcPr>
          <w:p w14:paraId="2746858C">
            <w:pPr>
              <w:rPr>
                <w:rFonts w:ascii="Arial"/>
                <w:color w:val="auto"/>
                <w:sz w:val="21"/>
                <w:highlight w:val="none"/>
              </w:rPr>
            </w:pPr>
          </w:p>
        </w:tc>
        <w:tc>
          <w:tcPr>
            <w:tcW w:w="2733" w:type="dxa"/>
            <w:vAlign w:val="top"/>
          </w:tcPr>
          <w:p w14:paraId="2F1DB4BC">
            <w:pPr>
              <w:rPr>
                <w:rFonts w:ascii="Arial"/>
                <w:color w:val="auto"/>
                <w:sz w:val="21"/>
                <w:highlight w:val="none"/>
              </w:rPr>
            </w:pPr>
          </w:p>
        </w:tc>
        <w:tc>
          <w:tcPr>
            <w:tcW w:w="2482" w:type="dxa"/>
            <w:tcBorders>
              <w:right w:val="single" w:color="000000" w:sz="2" w:space="0"/>
            </w:tcBorders>
            <w:vAlign w:val="top"/>
          </w:tcPr>
          <w:p w14:paraId="5F656D2A">
            <w:pPr>
              <w:rPr>
                <w:rFonts w:ascii="Arial"/>
                <w:color w:val="auto"/>
                <w:sz w:val="21"/>
                <w:highlight w:val="none"/>
              </w:rPr>
            </w:pPr>
          </w:p>
        </w:tc>
      </w:tr>
      <w:tr w14:paraId="78E22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20" w:type="dxa"/>
            <w:tcBorders>
              <w:left w:val="single" w:color="000000" w:sz="2" w:space="0"/>
              <w:bottom w:val="single" w:color="000000" w:sz="2" w:space="0"/>
            </w:tcBorders>
            <w:vAlign w:val="top"/>
          </w:tcPr>
          <w:p w14:paraId="7231F87C">
            <w:pPr>
              <w:pStyle w:val="10"/>
              <w:spacing w:before="115" w:line="350" w:lineRule="exact"/>
              <w:ind w:left="362"/>
              <w:rPr>
                <w:color w:val="auto"/>
                <w:sz w:val="24"/>
                <w:szCs w:val="24"/>
                <w:highlight w:val="none"/>
              </w:rPr>
            </w:pPr>
            <w:r>
              <w:rPr>
                <w:color w:val="auto"/>
                <w:position w:val="2"/>
                <w:sz w:val="24"/>
                <w:szCs w:val="24"/>
                <w:highlight w:val="none"/>
              </w:rPr>
              <w:t>…</w:t>
            </w:r>
          </w:p>
        </w:tc>
        <w:tc>
          <w:tcPr>
            <w:tcW w:w="3036" w:type="dxa"/>
            <w:tcBorders>
              <w:left w:val="single" w:color="000000" w:sz="2" w:space="0"/>
              <w:bottom w:val="single" w:color="000000" w:sz="2" w:space="0"/>
            </w:tcBorders>
            <w:vAlign w:val="top"/>
          </w:tcPr>
          <w:p w14:paraId="04CC35DE">
            <w:pPr>
              <w:rPr>
                <w:rFonts w:ascii="Arial"/>
                <w:color w:val="auto"/>
                <w:sz w:val="21"/>
                <w:highlight w:val="none"/>
              </w:rPr>
            </w:pPr>
          </w:p>
        </w:tc>
        <w:tc>
          <w:tcPr>
            <w:tcW w:w="2733" w:type="dxa"/>
            <w:tcBorders>
              <w:bottom w:val="single" w:color="000000" w:sz="2" w:space="0"/>
            </w:tcBorders>
            <w:vAlign w:val="top"/>
          </w:tcPr>
          <w:p w14:paraId="3AC2A77C">
            <w:pPr>
              <w:rPr>
                <w:rFonts w:ascii="Arial"/>
                <w:color w:val="auto"/>
                <w:sz w:val="21"/>
                <w:highlight w:val="none"/>
              </w:rPr>
            </w:pPr>
          </w:p>
        </w:tc>
        <w:tc>
          <w:tcPr>
            <w:tcW w:w="2482" w:type="dxa"/>
            <w:tcBorders>
              <w:bottom w:val="single" w:color="000000" w:sz="2" w:space="0"/>
              <w:right w:val="single" w:color="000000" w:sz="2" w:space="0"/>
            </w:tcBorders>
            <w:vAlign w:val="top"/>
          </w:tcPr>
          <w:p w14:paraId="36E1B0AB">
            <w:pPr>
              <w:rPr>
                <w:rFonts w:ascii="Arial"/>
                <w:color w:val="auto"/>
                <w:sz w:val="21"/>
                <w:highlight w:val="none"/>
              </w:rPr>
            </w:pPr>
          </w:p>
        </w:tc>
      </w:tr>
    </w:tbl>
    <w:p w14:paraId="6957BD1F">
      <w:pPr>
        <w:pStyle w:val="3"/>
        <w:spacing w:line="249" w:lineRule="auto"/>
        <w:rPr>
          <w:color w:val="auto"/>
          <w:highlight w:val="none"/>
        </w:rPr>
      </w:pPr>
    </w:p>
    <w:p w14:paraId="17BC199C">
      <w:pPr>
        <w:pStyle w:val="3"/>
        <w:spacing w:line="250" w:lineRule="auto"/>
        <w:rPr>
          <w:color w:val="auto"/>
          <w:highlight w:val="none"/>
        </w:rPr>
      </w:pPr>
    </w:p>
    <w:p w14:paraId="3DF07DC9">
      <w:pPr>
        <w:spacing w:before="78" w:line="224" w:lineRule="auto"/>
        <w:ind w:left="1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50763EC5">
      <w:pPr>
        <w:spacing w:before="217" w:line="290" w:lineRule="auto"/>
        <w:ind w:left="141" w:right="325" w:hanging="2"/>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 说明：应对照磋商文件“第</w:t>
      </w:r>
      <w:r>
        <w:rPr>
          <w:rFonts w:hint="eastAsia" w:ascii="宋体" w:hAnsi="宋体" w:eastAsia="宋体" w:cs="宋体"/>
          <w:color w:val="auto"/>
          <w:spacing w:val="-2"/>
          <w:sz w:val="24"/>
          <w:szCs w:val="24"/>
          <w:highlight w:val="none"/>
          <w:lang w:eastAsia="zh-CN"/>
        </w:rPr>
        <w:t>四</w:t>
      </w:r>
      <w:r>
        <w:rPr>
          <w:rFonts w:ascii="宋体" w:hAnsi="宋体" w:eastAsia="宋体" w:cs="宋体"/>
          <w:color w:val="auto"/>
          <w:spacing w:val="-2"/>
          <w:sz w:val="24"/>
          <w:szCs w:val="24"/>
          <w:highlight w:val="none"/>
        </w:rPr>
        <w:t xml:space="preserve">章 </w:t>
      </w:r>
      <w:r>
        <w:rPr>
          <w:rFonts w:hint="eastAsia" w:ascii="宋体" w:hAnsi="宋体" w:eastAsia="宋体" w:cs="宋体"/>
          <w:color w:val="auto"/>
          <w:spacing w:val="-2"/>
          <w:sz w:val="24"/>
          <w:szCs w:val="24"/>
          <w:highlight w:val="none"/>
          <w:lang w:eastAsia="zh-CN"/>
        </w:rPr>
        <w:t>评审标准</w:t>
      </w:r>
      <w:r>
        <w:rPr>
          <w:rFonts w:ascii="宋体" w:hAnsi="宋体" w:eastAsia="宋体" w:cs="宋体"/>
          <w:color w:val="auto"/>
          <w:spacing w:val="-2"/>
          <w:sz w:val="24"/>
          <w:szCs w:val="24"/>
          <w:highlight w:val="none"/>
        </w:rPr>
        <w:t xml:space="preserve"> ”中的</w:t>
      </w:r>
      <w:r>
        <w:rPr>
          <w:rFonts w:hint="eastAsia" w:ascii="宋体" w:hAnsi="宋体" w:eastAsia="宋体" w:cs="宋体"/>
          <w:color w:val="auto"/>
          <w:spacing w:val="-2"/>
          <w:sz w:val="24"/>
          <w:szCs w:val="24"/>
          <w:highlight w:val="none"/>
          <w:lang w:eastAsia="zh-CN"/>
        </w:rPr>
        <w:t>技术分</w:t>
      </w:r>
      <w:r>
        <w:rPr>
          <w:rFonts w:ascii="宋体" w:hAnsi="宋体" w:eastAsia="宋体" w:cs="宋体"/>
          <w:color w:val="auto"/>
          <w:spacing w:val="-2"/>
          <w:sz w:val="24"/>
          <w:szCs w:val="24"/>
          <w:highlight w:val="none"/>
        </w:rPr>
        <w:t>评审因素逐条实质性响应，并</w:t>
      </w:r>
      <w:r>
        <w:rPr>
          <w:rFonts w:hint="eastAsia" w:ascii="宋体" w:hAnsi="宋体" w:eastAsia="宋体" w:cs="宋体"/>
          <w:color w:val="auto"/>
          <w:spacing w:val="-2"/>
          <w:sz w:val="24"/>
          <w:szCs w:val="24"/>
          <w:highlight w:val="none"/>
          <w:lang w:eastAsia="zh-CN"/>
        </w:rPr>
        <w:t>写</w:t>
      </w:r>
      <w:r>
        <w:rPr>
          <w:rFonts w:ascii="宋体" w:hAnsi="宋体" w:eastAsia="宋体" w:cs="宋体"/>
          <w:color w:val="auto"/>
          <w:spacing w:val="-2"/>
          <w:sz w:val="24"/>
          <w:szCs w:val="24"/>
          <w:highlight w:val="none"/>
        </w:rPr>
        <w:t>出</w:t>
      </w:r>
      <w:r>
        <w:rPr>
          <w:rFonts w:hint="eastAsia" w:ascii="宋体" w:hAnsi="宋体" w:eastAsia="宋体" w:cs="宋体"/>
          <w:color w:val="auto"/>
          <w:spacing w:val="-2"/>
          <w:sz w:val="24"/>
          <w:szCs w:val="24"/>
          <w:highlight w:val="none"/>
          <w:lang w:val="en-US" w:eastAsia="en-US"/>
        </w:rPr>
        <w:t>对应的页码</w:t>
      </w:r>
      <w:r>
        <w:rPr>
          <w:rFonts w:ascii="宋体" w:hAnsi="宋体" w:eastAsia="宋体" w:cs="宋体"/>
          <w:color w:val="auto"/>
          <w:spacing w:val="-2"/>
          <w:sz w:val="24"/>
          <w:szCs w:val="24"/>
          <w:highlight w:val="none"/>
        </w:rPr>
        <w:t>。</w:t>
      </w:r>
    </w:p>
    <w:p w14:paraId="6BF6D08D">
      <w:pPr>
        <w:pStyle w:val="3"/>
        <w:spacing w:line="241" w:lineRule="auto"/>
        <w:rPr>
          <w:color w:val="auto"/>
          <w:highlight w:val="none"/>
        </w:rPr>
      </w:pPr>
    </w:p>
    <w:p w14:paraId="1C8F33BF">
      <w:pPr>
        <w:pStyle w:val="3"/>
        <w:spacing w:line="242" w:lineRule="auto"/>
        <w:rPr>
          <w:color w:val="auto"/>
          <w:highlight w:val="none"/>
        </w:rPr>
      </w:pPr>
    </w:p>
    <w:p w14:paraId="0B870884">
      <w:pPr>
        <w:pStyle w:val="3"/>
        <w:spacing w:line="242" w:lineRule="auto"/>
        <w:rPr>
          <w:color w:val="auto"/>
          <w:highlight w:val="none"/>
        </w:rPr>
      </w:pPr>
    </w:p>
    <w:p w14:paraId="7D681922">
      <w:pPr>
        <w:pStyle w:val="3"/>
        <w:spacing w:line="242" w:lineRule="auto"/>
        <w:rPr>
          <w:color w:val="auto"/>
          <w:highlight w:val="none"/>
        </w:rPr>
      </w:pPr>
    </w:p>
    <w:p w14:paraId="7432F4D3">
      <w:pPr>
        <w:pStyle w:val="3"/>
        <w:spacing w:line="242" w:lineRule="auto"/>
        <w:rPr>
          <w:color w:val="auto"/>
          <w:highlight w:val="none"/>
        </w:rPr>
      </w:pPr>
    </w:p>
    <w:p w14:paraId="30A67EF2">
      <w:pPr>
        <w:spacing w:before="78" w:line="219" w:lineRule="auto"/>
        <w:ind w:left="10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法定代表人或者委托代理人（签字</w:t>
      </w:r>
      <w:r>
        <w:rPr>
          <w:rFonts w:ascii="宋体" w:hAnsi="宋体" w:eastAsia="宋体" w:cs="宋体"/>
          <w:color w:val="auto"/>
          <w:spacing w:val="1"/>
          <w:sz w:val="24"/>
          <w:szCs w:val="24"/>
          <w:highlight w:val="none"/>
        </w:rPr>
        <w:t>）：</w:t>
      </w:r>
    </w:p>
    <w:p w14:paraId="5AD04AA7">
      <w:pPr>
        <w:spacing w:before="230" w:line="219" w:lineRule="auto"/>
        <w:ind w:left="276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p>
    <w:p w14:paraId="65CF0E07">
      <w:pPr>
        <w:spacing w:before="234" w:line="219" w:lineRule="auto"/>
        <w:ind w:left="4242"/>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3"/>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0C5EDDA4">
      <w:pPr>
        <w:spacing w:line="219" w:lineRule="auto"/>
        <w:rPr>
          <w:rFonts w:ascii="宋体" w:hAnsi="宋体" w:eastAsia="宋体" w:cs="宋体"/>
          <w:color w:val="auto"/>
          <w:sz w:val="24"/>
          <w:szCs w:val="24"/>
          <w:highlight w:val="none"/>
        </w:rPr>
        <w:sectPr>
          <w:footerReference r:id="rId36" w:type="default"/>
          <w:pgSz w:w="11906" w:h="16839"/>
          <w:pgMar w:top="1424" w:right="1327" w:bottom="1362" w:left="1474" w:header="0" w:footer="1200" w:gutter="0"/>
          <w:pgNumType w:fmt="decimal"/>
          <w:cols w:space="720" w:num="1"/>
        </w:sectPr>
      </w:pPr>
    </w:p>
    <w:p w14:paraId="165D5565">
      <w:pPr>
        <w:spacing w:before="162" w:line="225" w:lineRule="auto"/>
        <w:ind w:left="271"/>
        <w:rPr>
          <w:rFonts w:ascii="宋体" w:hAnsi="宋体" w:eastAsia="宋体" w:cs="宋体"/>
          <w:b w:val="0"/>
          <w:bCs w:val="0"/>
          <w:color w:val="auto"/>
          <w:sz w:val="31"/>
          <w:szCs w:val="31"/>
          <w:highlight w:val="none"/>
        </w:rPr>
      </w:pPr>
      <w:r>
        <w:rPr>
          <w:rFonts w:ascii="宋体" w:hAnsi="宋体" w:eastAsia="宋体" w:cs="宋体"/>
          <w:b w:val="0"/>
          <w:bCs w:val="0"/>
          <w:color w:val="auto"/>
          <w:spacing w:val="6"/>
          <w:sz w:val="31"/>
          <w:szCs w:val="31"/>
          <w:highlight w:val="none"/>
        </w:rPr>
        <w:t>项目实施人员一览表格式</w:t>
      </w:r>
    </w:p>
    <w:p w14:paraId="3A8B2AD9">
      <w:pPr>
        <w:pStyle w:val="3"/>
        <w:spacing w:line="278" w:lineRule="auto"/>
        <w:rPr>
          <w:color w:val="auto"/>
          <w:highlight w:val="none"/>
        </w:rPr>
      </w:pPr>
    </w:p>
    <w:p w14:paraId="2F879798">
      <w:pPr>
        <w:pStyle w:val="3"/>
        <w:spacing w:line="279" w:lineRule="auto"/>
        <w:rPr>
          <w:color w:val="auto"/>
          <w:highlight w:val="none"/>
        </w:rPr>
      </w:pPr>
    </w:p>
    <w:p w14:paraId="79D18013">
      <w:pPr>
        <w:spacing w:before="162" w:line="225" w:lineRule="auto"/>
        <w:ind w:left="271"/>
        <w:jc w:val="center"/>
        <w:rPr>
          <w:rFonts w:ascii="宋体" w:hAnsi="宋体" w:eastAsia="宋体" w:cs="宋体"/>
          <w:b w:val="0"/>
          <w:bCs w:val="0"/>
          <w:color w:val="auto"/>
          <w:spacing w:val="6"/>
          <w:sz w:val="31"/>
          <w:szCs w:val="31"/>
          <w:highlight w:val="none"/>
        </w:rPr>
      </w:pPr>
      <w:r>
        <w:rPr>
          <w:rFonts w:ascii="宋体" w:hAnsi="宋体" w:eastAsia="宋体" w:cs="宋体"/>
          <w:b w:val="0"/>
          <w:bCs w:val="0"/>
          <w:color w:val="auto"/>
          <w:spacing w:val="6"/>
          <w:sz w:val="31"/>
          <w:szCs w:val="31"/>
          <w:highlight w:val="none"/>
        </w:rPr>
        <w:t>拟投入项目实施人员一览表</w:t>
      </w:r>
    </w:p>
    <w:p w14:paraId="7E9E6A09">
      <w:pPr>
        <w:spacing w:before="64"/>
        <w:rPr>
          <w:b w:val="0"/>
          <w:bCs w:val="0"/>
          <w:color w:val="auto"/>
          <w:highlight w:val="none"/>
        </w:rPr>
      </w:pPr>
    </w:p>
    <w:p w14:paraId="3E0F6B81">
      <w:pPr>
        <w:spacing w:before="109"/>
        <w:rPr>
          <w:color w:val="auto"/>
          <w:highlight w:val="none"/>
        </w:rPr>
      </w:pPr>
    </w:p>
    <w:tbl>
      <w:tblPr>
        <w:tblStyle w:val="9"/>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1028"/>
        <w:gridCol w:w="922"/>
        <w:gridCol w:w="2036"/>
        <w:gridCol w:w="1092"/>
        <w:gridCol w:w="1436"/>
        <w:gridCol w:w="2355"/>
      </w:tblGrid>
      <w:tr w14:paraId="1CDF5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488" w:type="dxa"/>
            <w:vAlign w:val="top"/>
          </w:tcPr>
          <w:p w14:paraId="6622B1D5">
            <w:pPr>
              <w:pStyle w:val="10"/>
              <w:spacing w:before="134" w:line="230" w:lineRule="auto"/>
              <w:rPr>
                <w:color w:val="auto"/>
                <w:highlight w:val="none"/>
              </w:rPr>
            </w:pPr>
            <w:r>
              <w:rPr>
                <w:color w:val="auto"/>
                <w:spacing w:val="5"/>
                <w:highlight w:val="none"/>
              </w:rPr>
              <w:t>序号</w:t>
            </w:r>
          </w:p>
        </w:tc>
        <w:tc>
          <w:tcPr>
            <w:tcW w:w="1028" w:type="dxa"/>
            <w:vAlign w:val="top"/>
          </w:tcPr>
          <w:p w14:paraId="17D7061E">
            <w:pPr>
              <w:pStyle w:val="10"/>
              <w:spacing w:before="134" w:line="228" w:lineRule="auto"/>
              <w:ind w:left="371"/>
              <w:rPr>
                <w:color w:val="auto"/>
                <w:highlight w:val="none"/>
              </w:rPr>
            </w:pPr>
            <w:r>
              <w:rPr>
                <w:color w:val="auto"/>
                <w:spacing w:val="4"/>
                <w:highlight w:val="none"/>
              </w:rPr>
              <w:t>姓名</w:t>
            </w:r>
          </w:p>
        </w:tc>
        <w:tc>
          <w:tcPr>
            <w:tcW w:w="922" w:type="dxa"/>
            <w:vAlign w:val="top"/>
          </w:tcPr>
          <w:p w14:paraId="7D5D4E3C">
            <w:pPr>
              <w:pStyle w:val="10"/>
              <w:spacing w:before="134" w:line="228" w:lineRule="auto"/>
              <w:ind w:left="275"/>
              <w:rPr>
                <w:color w:val="auto"/>
                <w:highlight w:val="none"/>
              </w:rPr>
            </w:pPr>
            <w:r>
              <w:rPr>
                <w:color w:val="auto"/>
                <w:spacing w:val="4"/>
                <w:highlight w:val="none"/>
              </w:rPr>
              <w:t>职务</w:t>
            </w:r>
          </w:p>
        </w:tc>
        <w:tc>
          <w:tcPr>
            <w:tcW w:w="2036" w:type="dxa"/>
            <w:vAlign w:val="top"/>
          </w:tcPr>
          <w:p w14:paraId="325C21B4">
            <w:pPr>
              <w:pStyle w:val="10"/>
              <w:spacing w:before="133" w:line="231" w:lineRule="auto"/>
              <w:ind w:left="206"/>
              <w:rPr>
                <w:color w:val="auto"/>
                <w:highlight w:val="none"/>
              </w:rPr>
            </w:pPr>
            <w:r>
              <w:rPr>
                <w:color w:val="auto"/>
                <w:spacing w:val="4"/>
                <w:highlight w:val="none"/>
              </w:rPr>
              <w:t>职称</w:t>
            </w:r>
          </w:p>
        </w:tc>
        <w:tc>
          <w:tcPr>
            <w:tcW w:w="1092" w:type="dxa"/>
            <w:vAlign w:val="top"/>
          </w:tcPr>
          <w:p w14:paraId="2BC837F4">
            <w:pPr>
              <w:pStyle w:val="10"/>
              <w:spacing w:before="134" w:line="228" w:lineRule="auto"/>
              <w:rPr>
                <w:color w:val="auto"/>
                <w:highlight w:val="none"/>
              </w:rPr>
            </w:pPr>
            <w:r>
              <w:rPr>
                <w:color w:val="auto"/>
                <w:spacing w:val="8"/>
                <w:highlight w:val="none"/>
              </w:rPr>
              <w:t>执业资格证</w:t>
            </w:r>
          </w:p>
        </w:tc>
        <w:tc>
          <w:tcPr>
            <w:tcW w:w="1436" w:type="dxa"/>
            <w:vAlign w:val="top"/>
          </w:tcPr>
          <w:p w14:paraId="21561BD4">
            <w:pPr>
              <w:pStyle w:val="10"/>
              <w:spacing w:before="134" w:line="228" w:lineRule="auto"/>
              <w:rPr>
                <w:color w:val="auto"/>
                <w:highlight w:val="none"/>
              </w:rPr>
            </w:pPr>
            <w:r>
              <w:rPr>
                <w:color w:val="auto"/>
                <w:spacing w:val="7"/>
                <w:highlight w:val="none"/>
              </w:rPr>
              <w:t>年龄/从业年龄</w:t>
            </w:r>
          </w:p>
        </w:tc>
        <w:tc>
          <w:tcPr>
            <w:tcW w:w="2355" w:type="dxa"/>
            <w:vAlign w:val="top"/>
          </w:tcPr>
          <w:p w14:paraId="2F7EF7D6">
            <w:pPr>
              <w:pStyle w:val="10"/>
              <w:spacing w:before="134" w:line="230" w:lineRule="auto"/>
              <w:ind w:left="659"/>
              <w:rPr>
                <w:color w:val="auto"/>
                <w:highlight w:val="none"/>
              </w:rPr>
            </w:pPr>
            <w:r>
              <w:rPr>
                <w:color w:val="auto"/>
                <w:spacing w:val="3"/>
                <w:highlight w:val="none"/>
              </w:rPr>
              <w:t>备注</w:t>
            </w:r>
          </w:p>
        </w:tc>
      </w:tr>
      <w:tr w14:paraId="240BD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88" w:type="dxa"/>
            <w:vAlign w:val="center"/>
          </w:tcPr>
          <w:p w14:paraId="6BADA120">
            <w:pPr>
              <w:pStyle w:val="10"/>
              <w:spacing w:before="134" w:line="230" w:lineRule="auto"/>
              <w:ind w:left="228"/>
              <w:rPr>
                <w:rFonts w:hint="eastAsia"/>
                <w:color w:val="auto"/>
                <w:spacing w:val="5"/>
                <w:highlight w:val="none"/>
                <w:lang w:eastAsia="zh-CN"/>
              </w:rPr>
            </w:pPr>
          </w:p>
        </w:tc>
        <w:tc>
          <w:tcPr>
            <w:tcW w:w="1028" w:type="dxa"/>
            <w:vAlign w:val="top"/>
          </w:tcPr>
          <w:p w14:paraId="02D94F6F">
            <w:pPr>
              <w:pStyle w:val="10"/>
              <w:spacing w:before="134" w:line="230" w:lineRule="auto"/>
              <w:ind w:left="228"/>
              <w:rPr>
                <w:rFonts w:hint="eastAsia"/>
                <w:color w:val="auto"/>
                <w:spacing w:val="5"/>
                <w:highlight w:val="none"/>
                <w:lang w:eastAsia="zh-CN"/>
              </w:rPr>
            </w:pPr>
          </w:p>
        </w:tc>
        <w:tc>
          <w:tcPr>
            <w:tcW w:w="922" w:type="dxa"/>
            <w:vAlign w:val="top"/>
          </w:tcPr>
          <w:p w14:paraId="68EBE2E8">
            <w:pPr>
              <w:pStyle w:val="10"/>
              <w:spacing w:before="134" w:line="230" w:lineRule="auto"/>
              <w:rPr>
                <w:rFonts w:hint="eastAsia"/>
                <w:color w:val="auto"/>
                <w:spacing w:val="5"/>
                <w:highlight w:val="none"/>
                <w:lang w:eastAsia="zh-CN"/>
              </w:rPr>
            </w:pPr>
          </w:p>
        </w:tc>
        <w:tc>
          <w:tcPr>
            <w:tcW w:w="2036" w:type="dxa"/>
            <w:vAlign w:val="top"/>
          </w:tcPr>
          <w:p w14:paraId="246C18DA">
            <w:pPr>
              <w:pStyle w:val="10"/>
              <w:spacing w:before="134" w:line="230" w:lineRule="auto"/>
              <w:rPr>
                <w:rFonts w:hint="eastAsia"/>
                <w:color w:val="auto"/>
                <w:spacing w:val="5"/>
                <w:highlight w:val="none"/>
                <w:lang w:eastAsia="zh-CN"/>
              </w:rPr>
            </w:pPr>
          </w:p>
        </w:tc>
        <w:tc>
          <w:tcPr>
            <w:tcW w:w="1092" w:type="dxa"/>
            <w:vAlign w:val="top"/>
          </w:tcPr>
          <w:p w14:paraId="7447F03A">
            <w:pPr>
              <w:pStyle w:val="10"/>
              <w:spacing w:before="134" w:line="230" w:lineRule="auto"/>
              <w:ind w:left="228"/>
              <w:rPr>
                <w:rFonts w:hint="eastAsia"/>
                <w:color w:val="auto"/>
                <w:spacing w:val="5"/>
                <w:highlight w:val="none"/>
                <w:lang w:eastAsia="zh-CN"/>
              </w:rPr>
            </w:pPr>
          </w:p>
        </w:tc>
        <w:tc>
          <w:tcPr>
            <w:tcW w:w="1436" w:type="dxa"/>
            <w:vAlign w:val="top"/>
          </w:tcPr>
          <w:p w14:paraId="6DA1CF9F">
            <w:pPr>
              <w:pStyle w:val="10"/>
              <w:spacing w:before="134" w:line="230" w:lineRule="auto"/>
              <w:ind w:left="228"/>
              <w:rPr>
                <w:rFonts w:hint="eastAsia"/>
                <w:color w:val="auto"/>
                <w:spacing w:val="5"/>
                <w:highlight w:val="none"/>
                <w:lang w:val="en-US" w:eastAsia="zh-CN"/>
              </w:rPr>
            </w:pPr>
          </w:p>
        </w:tc>
        <w:tc>
          <w:tcPr>
            <w:tcW w:w="2355" w:type="dxa"/>
            <w:vAlign w:val="top"/>
          </w:tcPr>
          <w:p w14:paraId="281F6C23">
            <w:pPr>
              <w:pStyle w:val="10"/>
              <w:spacing w:before="134" w:line="230" w:lineRule="auto"/>
              <w:ind w:left="228"/>
              <w:rPr>
                <w:rFonts w:hint="eastAsia"/>
                <w:color w:val="auto"/>
                <w:spacing w:val="5"/>
                <w:highlight w:val="none"/>
                <w:lang w:eastAsia="zh-CN"/>
              </w:rPr>
            </w:pPr>
          </w:p>
        </w:tc>
      </w:tr>
      <w:tr w14:paraId="589FD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88" w:type="dxa"/>
            <w:vAlign w:val="top"/>
          </w:tcPr>
          <w:p w14:paraId="018A44CA">
            <w:pPr>
              <w:pStyle w:val="10"/>
              <w:spacing w:before="134" w:line="230" w:lineRule="auto"/>
              <w:ind w:left="228"/>
              <w:rPr>
                <w:rFonts w:hint="eastAsia"/>
                <w:color w:val="auto"/>
                <w:spacing w:val="5"/>
                <w:highlight w:val="none"/>
                <w:lang w:eastAsia="zh-CN"/>
              </w:rPr>
            </w:pPr>
          </w:p>
        </w:tc>
        <w:tc>
          <w:tcPr>
            <w:tcW w:w="1028" w:type="dxa"/>
            <w:vAlign w:val="center"/>
          </w:tcPr>
          <w:p w14:paraId="6D6445FA">
            <w:pPr>
              <w:pStyle w:val="10"/>
              <w:spacing w:before="134" w:line="230" w:lineRule="auto"/>
              <w:ind w:left="228"/>
              <w:rPr>
                <w:rFonts w:hint="eastAsia"/>
                <w:color w:val="auto"/>
                <w:spacing w:val="5"/>
                <w:highlight w:val="none"/>
                <w:lang w:eastAsia="zh-CN"/>
              </w:rPr>
            </w:pPr>
          </w:p>
        </w:tc>
        <w:tc>
          <w:tcPr>
            <w:tcW w:w="922" w:type="dxa"/>
            <w:vAlign w:val="top"/>
          </w:tcPr>
          <w:p w14:paraId="56218946">
            <w:pPr>
              <w:pStyle w:val="10"/>
              <w:spacing w:before="134" w:line="230" w:lineRule="auto"/>
              <w:ind w:left="228"/>
              <w:rPr>
                <w:rFonts w:hint="eastAsia"/>
                <w:color w:val="auto"/>
                <w:spacing w:val="5"/>
                <w:highlight w:val="none"/>
                <w:lang w:eastAsia="zh-CN"/>
              </w:rPr>
            </w:pPr>
          </w:p>
        </w:tc>
        <w:tc>
          <w:tcPr>
            <w:tcW w:w="2036" w:type="dxa"/>
            <w:vAlign w:val="top"/>
          </w:tcPr>
          <w:p w14:paraId="20217121">
            <w:pPr>
              <w:pStyle w:val="10"/>
              <w:spacing w:before="134" w:line="230" w:lineRule="auto"/>
              <w:rPr>
                <w:rFonts w:hint="eastAsia"/>
                <w:color w:val="auto"/>
                <w:spacing w:val="5"/>
                <w:highlight w:val="none"/>
                <w:lang w:eastAsia="zh-CN"/>
              </w:rPr>
            </w:pPr>
          </w:p>
        </w:tc>
        <w:tc>
          <w:tcPr>
            <w:tcW w:w="1092" w:type="dxa"/>
            <w:vAlign w:val="top"/>
          </w:tcPr>
          <w:p w14:paraId="191BA0C2">
            <w:pPr>
              <w:pStyle w:val="10"/>
              <w:spacing w:before="134" w:line="230" w:lineRule="auto"/>
              <w:ind w:left="228"/>
              <w:rPr>
                <w:rFonts w:hint="eastAsia"/>
                <w:color w:val="auto"/>
                <w:spacing w:val="5"/>
                <w:highlight w:val="none"/>
                <w:lang w:eastAsia="zh-CN"/>
              </w:rPr>
            </w:pPr>
          </w:p>
        </w:tc>
        <w:tc>
          <w:tcPr>
            <w:tcW w:w="1436" w:type="dxa"/>
            <w:vAlign w:val="top"/>
          </w:tcPr>
          <w:p w14:paraId="02E229C1">
            <w:pPr>
              <w:pStyle w:val="10"/>
              <w:spacing w:before="134" w:line="230" w:lineRule="auto"/>
              <w:ind w:left="228"/>
              <w:rPr>
                <w:rFonts w:hint="eastAsia"/>
                <w:color w:val="auto"/>
                <w:spacing w:val="5"/>
                <w:highlight w:val="none"/>
                <w:lang w:val="en-US" w:eastAsia="zh-CN"/>
              </w:rPr>
            </w:pPr>
          </w:p>
        </w:tc>
        <w:tc>
          <w:tcPr>
            <w:tcW w:w="2355" w:type="dxa"/>
            <w:vAlign w:val="top"/>
          </w:tcPr>
          <w:p w14:paraId="13793C04">
            <w:pPr>
              <w:pStyle w:val="10"/>
              <w:spacing w:before="134" w:line="230" w:lineRule="auto"/>
              <w:rPr>
                <w:rFonts w:hint="eastAsia"/>
                <w:color w:val="auto"/>
                <w:spacing w:val="5"/>
                <w:highlight w:val="none"/>
                <w:lang w:eastAsia="zh-CN"/>
              </w:rPr>
            </w:pPr>
          </w:p>
        </w:tc>
      </w:tr>
      <w:tr w14:paraId="51033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488" w:type="dxa"/>
            <w:vAlign w:val="center"/>
          </w:tcPr>
          <w:p w14:paraId="7D6BA3DD">
            <w:pPr>
              <w:pStyle w:val="10"/>
              <w:spacing w:before="134" w:line="230" w:lineRule="auto"/>
              <w:ind w:left="228"/>
              <w:rPr>
                <w:rFonts w:hint="eastAsia"/>
                <w:color w:val="auto"/>
                <w:spacing w:val="5"/>
                <w:highlight w:val="none"/>
                <w:lang w:eastAsia="zh-CN"/>
              </w:rPr>
            </w:pPr>
          </w:p>
        </w:tc>
        <w:tc>
          <w:tcPr>
            <w:tcW w:w="1028" w:type="dxa"/>
            <w:vAlign w:val="center"/>
          </w:tcPr>
          <w:p w14:paraId="1C522B9A">
            <w:pPr>
              <w:pStyle w:val="10"/>
              <w:spacing w:before="134" w:line="230" w:lineRule="auto"/>
              <w:ind w:left="228"/>
              <w:rPr>
                <w:rFonts w:hint="eastAsia"/>
                <w:color w:val="auto"/>
                <w:spacing w:val="5"/>
                <w:highlight w:val="none"/>
                <w:lang w:eastAsia="zh-CN"/>
              </w:rPr>
            </w:pPr>
          </w:p>
        </w:tc>
        <w:tc>
          <w:tcPr>
            <w:tcW w:w="922" w:type="dxa"/>
            <w:vAlign w:val="top"/>
          </w:tcPr>
          <w:p w14:paraId="4FC1FADA">
            <w:pPr>
              <w:pStyle w:val="10"/>
              <w:spacing w:before="134" w:line="230" w:lineRule="auto"/>
              <w:ind w:left="228"/>
              <w:rPr>
                <w:rFonts w:hint="eastAsia"/>
                <w:color w:val="auto"/>
                <w:spacing w:val="5"/>
                <w:highlight w:val="none"/>
                <w:lang w:eastAsia="zh-CN"/>
              </w:rPr>
            </w:pPr>
          </w:p>
        </w:tc>
        <w:tc>
          <w:tcPr>
            <w:tcW w:w="2036" w:type="dxa"/>
            <w:vAlign w:val="top"/>
          </w:tcPr>
          <w:p w14:paraId="4D90B11A">
            <w:pPr>
              <w:pStyle w:val="10"/>
              <w:spacing w:before="134" w:line="230" w:lineRule="auto"/>
              <w:rPr>
                <w:rFonts w:hint="eastAsia"/>
                <w:color w:val="auto"/>
                <w:spacing w:val="5"/>
                <w:highlight w:val="none"/>
                <w:lang w:eastAsia="zh-CN"/>
              </w:rPr>
            </w:pPr>
          </w:p>
        </w:tc>
        <w:tc>
          <w:tcPr>
            <w:tcW w:w="1092" w:type="dxa"/>
            <w:vAlign w:val="top"/>
          </w:tcPr>
          <w:p w14:paraId="41158C7E">
            <w:pPr>
              <w:pStyle w:val="10"/>
              <w:spacing w:before="134" w:line="230" w:lineRule="auto"/>
              <w:ind w:left="228"/>
              <w:rPr>
                <w:rFonts w:hint="eastAsia"/>
                <w:color w:val="auto"/>
                <w:spacing w:val="5"/>
                <w:highlight w:val="none"/>
                <w:lang w:eastAsia="zh-CN"/>
              </w:rPr>
            </w:pPr>
          </w:p>
        </w:tc>
        <w:tc>
          <w:tcPr>
            <w:tcW w:w="1436" w:type="dxa"/>
            <w:vAlign w:val="top"/>
          </w:tcPr>
          <w:p w14:paraId="61400157">
            <w:pPr>
              <w:pStyle w:val="10"/>
              <w:spacing w:before="134" w:line="230" w:lineRule="auto"/>
              <w:ind w:left="228"/>
              <w:rPr>
                <w:rFonts w:hint="eastAsia"/>
                <w:color w:val="auto"/>
                <w:spacing w:val="5"/>
                <w:highlight w:val="none"/>
                <w:lang w:val="en-US" w:eastAsia="zh-CN"/>
              </w:rPr>
            </w:pPr>
          </w:p>
        </w:tc>
        <w:tc>
          <w:tcPr>
            <w:tcW w:w="2355" w:type="dxa"/>
            <w:vAlign w:val="center"/>
          </w:tcPr>
          <w:p w14:paraId="65F4624C">
            <w:pPr>
              <w:pStyle w:val="10"/>
              <w:spacing w:before="134" w:line="230" w:lineRule="auto"/>
              <w:ind w:left="228"/>
              <w:rPr>
                <w:rFonts w:hint="eastAsia"/>
                <w:color w:val="auto"/>
                <w:spacing w:val="5"/>
                <w:highlight w:val="none"/>
                <w:lang w:eastAsia="zh-CN"/>
              </w:rPr>
            </w:pPr>
          </w:p>
        </w:tc>
      </w:tr>
      <w:tr w14:paraId="6A828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88" w:type="dxa"/>
            <w:vAlign w:val="center"/>
          </w:tcPr>
          <w:p w14:paraId="4C226C57">
            <w:pPr>
              <w:pStyle w:val="10"/>
              <w:spacing w:before="134" w:line="230" w:lineRule="auto"/>
              <w:ind w:left="228"/>
              <w:rPr>
                <w:rFonts w:hint="eastAsia"/>
                <w:color w:val="auto"/>
                <w:spacing w:val="5"/>
                <w:highlight w:val="none"/>
                <w:lang w:eastAsia="zh-CN"/>
              </w:rPr>
            </w:pPr>
          </w:p>
        </w:tc>
        <w:tc>
          <w:tcPr>
            <w:tcW w:w="1028" w:type="dxa"/>
            <w:vAlign w:val="center"/>
          </w:tcPr>
          <w:p w14:paraId="07EE2732">
            <w:pPr>
              <w:pStyle w:val="10"/>
              <w:spacing w:before="134" w:line="230" w:lineRule="auto"/>
              <w:ind w:left="228"/>
              <w:rPr>
                <w:rFonts w:hint="eastAsia"/>
                <w:color w:val="auto"/>
                <w:spacing w:val="5"/>
                <w:highlight w:val="none"/>
                <w:lang w:eastAsia="zh-CN"/>
              </w:rPr>
            </w:pPr>
          </w:p>
        </w:tc>
        <w:tc>
          <w:tcPr>
            <w:tcW w:w="922" w:type="dxa"/>
            <w:vAlign w:val="top"/>
          </w:tcPr>
          <w:p w14:paraId="3C6EE878">
            <w:pPr>
              <w:pStyle w:val="10"/>
              <w:spacing w:before="134" w:line="230" w:lineRule="auto"/>
              <w:ind w:left="228"/>
              <w:rPr>
                <w:rFonts w:hint="eastAsia"/>
                <w:color w:val="auto"/>
                <w:spacing w:val="5"/>
                <w:highlight w:val="none"/>
                <w:lang w:eastAsia="zh-CN"/>
              </w:rPr>
            </w:pPr>
          </w:p>
        </w:tc>
        <w:tc>
          <w:tcPr>
            <w:tcW w:w="2036" w:type="dxa"/>
            <w:vAlign w:val="top"/>
          </w:tcPr>
          <w:p w14:paraId="4CE32B90">
            <w:pPr>
              <w:pStyle w:val="10"/>
              <w:spacing w:before="134" w:line="230" w:lineRule="auto"/>
              <w:rPr>
                <w:rFonts w:hint="eastAsia"/>
                <w:color w:val="auto"/>
                <w:spacing w:val="5"/>
                <w:highlight w:val="none"/>
                <w:lang w:eastAsia="zh-CN"/>
              </w:rPr>
            </w:pPr>
          </w:p>
        </w:tc>
        <w:tc>
          <w:tcPr>
            <w:tcW w:w="1092" w:type="dxa"/>
            <w:vAlign w:val="top"/>
          </w:tcPr>
          <w:p w14:paraId="5E48564F">
            <w:pPr>
              <w:pStyle w:val="10"/>
              <w:spacing w:before="134" w:line="230" w:lineRule="auto"/>
              <w:ind w:left="228"/>
              <w:rPr>
                <w:rFonts w:hint="eastAsia"/>
                <w:color w:val="auto"/>
                <w:spacing w:val="5"/>
                <w:highlight w:val="none"/>
                <w:lang w:eastAsia="zh-CN"/>
              </w:rPr>
            </w:pPr>
          </w:p>
        </w:tc>
        <w:tc>
          <w:tcPr>
            <w:tcW w:w="1436" w:type="dxa"/>
            <w:vAlign w:val="top"/>
          </w:tcPr>
          <w:p w14:paraId="3F8135CF">
            <w:pPr>
              <w:pStyle w:val="10"/>
              <w:spacing w:before="134" w:line="230" w:lineRule="auto"/>
              <w:ind w:left="228"/>
              <w:rPr>
                <w:rFonts w:hint="eastAsia"/>
                <w:color w:val="auto"/>
                <w:spacing w:val="5"/>
                <w:highlight w:val="none"/>
                <w:lang w:val="en-US" w:eastAsia="zh-CN"/>
              </w:rPr>
            </w:pPr>
          </w:p>
        </w:tc>
        <w:tc>
          <w:tcPr>
            <w:tcW w:w="2355" w:type="dxa"/>
            <w:vAlign w:val="center"/>
          </w:tcPr>
          <w:p w14:paraId="15F9C427">
            <w:pPr>
              <w:pStyle w:val="10"/>
              <w:spacing w:before="134" w:line="230" w:lineRule="auto"/>
              <w:ind w:left="228"/>
              <w:rPr>
                <w:rFonts w:hint="eastAsia"/>
                <w:color w:val="auto"/>
                <w:spacing w:val="5"/>
                <w:highlight w:val="none"/>
                <w:lang w:eastAsia="zh-CN"/>
              </w:rPr>
            </w:pPr>
          </w:p>
        </w:tc>
      </w:tr>
      <w:tr w14:paraId="78F1A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88" w:type="dxa"/>
            <w:vAlign w:val="center"/>
          </w:tcPr>
          <w:p w14:paraId="4F1F0305">
            <w:pPr>
              <w:pStyle w:val="10"/>
              <w:spacing w:before="134" w:line="230" w:lineRule="auto"/>
              <w:ind w:left="228"/>
              <w:rPr>
                <w:rFonts w:hint="eastAsia"/>
                <w:color w:val="auto"/>
                <w:spacing w:val="5"/>
                <w:highlight w:val="none"/>
                <w:lang w:eastAsia="zh-CN"/>
              </w:rPr>
            </w:pPr>
          </w:p>
        </w:tc>
        <w:tc>
          <w:tcPr>
            <w:tcW w:w="1028" w:type="dxa"/>
            <w:vAlign w:val="center"/>
          </w:tcPr>
          <w:p w14:paraId="6B7DB822">
            <w:pPr>
              <w:pStyle w:val="10"/>
              <w:spacing w:before="134" w:line="230" w:lineRule="auto"/>
              <w:ind w:left="228"/>
              <w:rPr>
                <w:rFonts w:hint="eastAsia"/>
                <w:color w:val="auto"/>
                <w:spacing w:val="5"/>
                <w:highlight w:val="none"/>
                <w:lang w:eastAsia="zh-CN"/>
              </w:rPr>
            </w:pPr>
          </w:p>
        </w:tc>
        <w:tc>
          <w:tcPr>
            <w:tcW w:w="922" w:type="dxa"/>
            <w:vAlign w:val="top"/>
          </w:tcPr>
          <w:p w14:paraId="00D3B7F2">
            <w:pPr>
              <w:pStyle w:val="10"/>
              <w:spacing w:before="134" w:line="230" w:lineRule="auto"/>
              <w:ind w:left="228"/>
              <w:rPr>
                <w:rFonts w:hint="eastAsia"/>
                <w:color w:val="auto"/>
                <w:spacing w:val="5"/>
                <w:highlight w:val="none"/>
                <w:lang w:eastAsia="zh-CN"/>
              </w:rPr>
            </w:pPr>
          </w:p>
        </w:tc>
        <w:tc>
          <w:tcPr>
            <w:tcW w:w="2036" w:type="dxa"/>
            <w:vAlign w:val="top"/>
          </w:tcPr>
          <w:p w14:paraId="73C989F7">
            <w:pPr>
              <w:pStyle w:val="10"/>
              <w:spacing w:before="134" w:line="230" w:lineRule="auto"/>
              <w:rPr>
                <w:rFonts w:hint="eastAsia"/>
                <w:color w:val="auto"/>
                <w:spacing w:val="5"/>
                <w:highlight w:val="none"/>
                <w:lang w:eastAsia="zh-CN"/>
              </w:rPr>
            </w:pPr>
          </w:p>
        </w:tc>
        <w:tc>
          <w:tcPr>
            <w:tcW w:w="1092" w:type="dxa"/>
            <w:vAlign w:val="top"/>
          </w:tcPr>
          <w:p w14:paraId="668C2378">
            <w:pPr>
              <w:pStyle w:val="10"/>
              <w:spacing w:before="134" w:line="230" w:lineRule="auto"/>
              <w:ind w:left="228"/>
              <w:rPr>
                <w:rFonts w:hint="eastAsia"/>
                <w:color w:val="auto"/>
                <w:spacing w:val="5"/>
                <w:highlight w:val="none"/>
                <w:lang w:eastAsia="zh-CN"/>
              </w:rPr>
            </w:pPr>
          </w:p>
        </w:tc>
        <w:tc>
          <w:tcPr>
            <w:tcW w:w="1436" w:type="dxa"/>
            <w:vAlign w:val="top"/>
          </w:tcPr>
          <w:p w14:paraId="39BB88F7">
            <w:pPr>
              <w:pStyle w:val="10"/>
              <w:spacing w:before="134" w:line="230" w:lineRule="auto"/>
              <w:ind w:left="228"/>
              <w:rPr>
                <w:rFonts w:hint="eastAsia"/>
                <w:color w:val="auto"/>
                <w:spacing w:val="5"/>
                <w:highlight w:val="none"/>
                <w:lang w:val="en-US" w:eastAsia="zh-CN"/>
              </w:rPr>
            </w:pPr>
          </w:p>
        </w:tc>
        <w:tc>
          <w:tcPr>
            <w:tcW w:w="2355" w:type="dxa"/>
            <w:vAlign w:val="center"/>
          </w:tcPr>
          <w:p w14:paraId="763FC736">
            <w:pPr>
              <w:pStyle w:val="10"/>
              <w:spacing w:before="134" w:line="230" w:lineRule="auto"/>
              <w:ind w:left="228"/>
              <w:rPr>
                <w:rFonts w:hint="eastAsia"/>
                <w:color w:val="auto"/>
                <w:spacing w:val="5"/>
                <w:highlight w:val="none"/>
                <w:lang w:eastAsia="zh-CN"/>
              </w:rPr>
            </w:pPr>
          </w:p>
        </w:tc>
      </w:tr>
      <w:tr w14:paraId="77EBF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88" w:type="dxa"/>
            <w:vAlign w:val="top"/>
          </w:tcPr>
          <w:p w14:paraId="1B5C81B5">
            <w:pPr>
              <w:pStyle w:val="10"/>
              <w:spacing w:before="134" w:line="230" w:lineRule="auto"/>
              <w:ind w:left="228"/>
              <w:rPr>
                <w:rFonts w:hint="eastAsia"/>
                <w:color w:val="auto"/>
                <w:spacing w:val="5"/>
                <w:highlight w:val="none"/>
                <w:lang w:eastAsia="zh-CN"/>
              </w:rPr>
            </w:pPr>
          </w:p>
        </w:tc>
        <w:tc>
          <w:tcPr>
            <w:tcW w:w="1028" w:type="dxa"/>
            <w:vAlign w:val="center"/>
          </w:tcPr>
          <w:p w14:paraId="6F20F8C3">
            <w:pPr>
              <w:pStyle w:val="10"/>
              <w:spacing w:before="134" w:line="230" w:lineRule="auto"/>
              <w:ind w:left="228"/>
              <w:rPr>
                <w:rFonts w:hint="eastAsia"/>
                <w:color w:val="auto"/>
                <w:spacing w:val="5"/>
                <w:highlight w:val="none"/>
                <w:lang w:eastAsia="zh-CN"/>
              </w:rPr>
            </w:pPr>
          </w:p>
        </w:tc>
        <w:tc>
          <w:tcPr>
            <w:tcW w:w="922" w:type="dxa"/>
            <w:vAlign w:val="top"/>
          </w:tcPr>
          <w:p w14:paraId="18141C87">
            <w:pPr>
              <w:pStyle w:val="10"/>
              <w:spacing w:before="134" w:line="230" w:lineRule="auto"/>
              <w:ind w:left="228"/>
              <w:rPr>
                <w:rFonts w:hint="eastAsia"/>
                <w:color w:val="auto"/>
                <w:spacing w:val="5"/>
                <w:highlight w:val="none"/>
                <w:lang w:eastAsia="zh-CN"/>
              </w:rPr>
            </w:pPr>
          </w:p>
        </w:tc>
        <w:tc>
          <w:tcPr>
            <w:tcW w:w="2036" w:type="dxa"/>
            <w:vAlign w:val="top"/>
          </w:tcPr>
          <w:p w14:paraId="23BD405E">
            <w:pPr>
              <w:pStyle w:val="10"/>
              <w:spacing w:before="134" w:line="230" w:lineRule="auto"/>
              <w:rPr>
                <w:rFonts w:hint="eastAsia"/>
                <w:color w:val="auto"/>
                <w:spacing w:val="5"/>
                <w:highlight w:val="none"/>
                <w:lang w:eastAsia="zh-CN"/>
              </w:rPr>
            </w:pPr>
          </w:p>
        </w:tc>
        <w:tc>
          <w:tcPr>
            <w:tcW w:w="1092" w:type="dxa"/>
            <w:vAlign w:val="top"/>
          </w:tcPr>
          <w:p w14:paraId="048E5F31">
            <w:pPr>
              <w:pStyle w:val="10"/>
              <w:spacing w:before="134" w:line="230" w:lineRule="auto"/>
              <w:ind w:left="228"/>
              <w:rPr>
                <w:rFonts w:hint="eastAsia"/>
                <w:color w:val="auto"/>
                <w:spacing w:val="5"/>
                <w:highlight w:val="none"/>
                <w:lang w:eastAsia="zh-CN"/>
              </w:rPr>
            </w:pPr>
          </w:p>
        </w:tc>
        <w:tc>
          <w:tcPr>
            <w:tcW w:w="1436" w:type="dxa"/>
            <w:vAlign w:val="top"/>
          </w:tcPr>
          <w:p w14:paraId="4CBC517C">
            <w:pPr>
              <w:pStyle w:val="10"/>
              <w:spacing w:before="134" w:line="230" w:lineRule="auto"/>
              <w:ind w:left="228"/>
              <w:rPr>
                <w:rFonts w:hint="eastAsia"/>
                <w:color w:val="auto"/>
                <w:spacing w:val="5"/>
                <w:highlight w:val="none"/>
                <w:lang w:val="en-US" w:eastAsia="zh-CN"/>
              </w:rPr>
            </w:pPr>
          </w:p>
        </w:tc>
        <w:tc>
          <w:tcPr>
            <w:tcW w:w="2355" w:type="dxa"/>
            <w:vAlign w:val="center"/>
          </w:tcPr>
          <w:p w14:paraId="7E977572">
            <w:pPr>
              <w:pStyle w:val="10"/>
              <w:spacing w:before="134" w:line="230" w:lineRule="auto"/>
              <w:ind w:left="228"/>
              <w:rPr>
                <w:rFonts w:hint="eastAsia"/>
                <w:color w:val="auto"/>
                <w:spacing w:val="5"/>
                <w:highlight w:val="none"/>
                <w:lang w:eastAsia="zh-CN"/>
              </w:rPr>
            </w:pPr>
          </w:p>
        </w:tc>
      </w:tr>
      <w:tr w14:paraId="0D29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88" w:type="dxa"/>
            <w:vAlign w:val="center"/>
          </w:tcPr>
          <w:p w14:paraId="5C01C886">
            <w:pPr>
              <w:pStyle w:val="10"/>
              <w:spacing w:before="134" w:line="230" w:lineRule="auto"/>
              <w:ind w:left="228"/>
              <w:rPr>
                <w:rFonts w:hint="eastAsia"/>
                <w:color w:val="auto"/>
                <w:spacing w:val="5"/>
                <w:highlight w:val="none"/>
                <w:lang w:eastAsia="zh-CN"/>
              </w:rPr>
            </w:pPr>
          </w:p>
        </w:tc>
        <w:tc>
          <w:tcPr>
            <w:tcW w:w="1028" w:type="dxa"/>
            <w:vAlign w:val="center"/>
          </w:tcPr>
          <w:p w14:paraId="1F3EC934">
            <w:pPr>
              <w:pStyle w:val="10"/>
              <w:spacing w:before="134" w:line="230" w:lineRule="auto"/>
              <w:ind w:left="228"/>
              <w:rPr>
                <w:rFonts w:hint="eastAsia"/>
                <w:color w:val="auto"/>
                <w:spacing w:val="5"/>
                <w:highlight w:val="none"/>
                <w:lang w:eastAsia="zh-CN"/>
              </w:rPr>
            </w:pPr>
          </w:p>
        </w:tc>
        <w:tc>
          <w:tcPr>
            <w:tcW w:w="922" w:type="dxa"/>
            <w:vAlign w:val="top"/>
          </w:tcPr>
          <w:p w14:paraId="2EAC9FE3">
            <w:pPr>
              <w:pStyle w:val="10"/>
              <w:spacing w:before="134" w:line="230" w:lineRule="auto"/>
              <w:ind w:left="228"/>
              <w:rPr>
                <w:rFonts w:hint="eastAsia"/>
                <w:color w:val="auto"/>
                <w:spacing w:val="5"/>
                <w:highlight w:val="none"/>
                <w:lang w:eastAsia="zh-CN"/>
              </w:rPr>
            </w:pPr>
          </w:p>
        </w:tc>
        <w:tc>
          <w:tcPr>
            <w:tcW w:w="2036" w:type="dxa"/>
            <w:vAlign w:val="top"/>
          </w:tcPr>
          <w:p w14:paraId="1150C589">
            <w:pPr>
              <w:pStyle w:val="10"/>
              <w:spacing w:before="134" w:line="230" w:lineRule="auto"/>
              <w:rPr>
                <w:rFonts w:hint="eastAsia"/>
                <w:color w:val="auto"/>
                <w:spacing w:val="5"/>
                <w:highlight w:val="none"/>
                <w:lang w:eastAsia="zh-CN"/>
              </w:rPr>
            </w:pPr>
          </w:p>
        </w:tc>
        <w:tc>
          <w:tcPr>
            <w:tcW w:w="1092" w:type="dxa"/>
            <w:vAlign w:val="top"/>
          </w:tcPr>
          <w:p w14:paraId="1ABF8B1D">
            <w:pPr>
              <w:pStyle w:val="10"/>
              <w:spacing w:before="134" w:line="230" w:lineRule="auto"/>
              <w:ind w:left="228"/>
              <w:rPr>
                <w:rFonts w:hint="eastAsia"/>
                <w:color w:val="auto"/>
                <w:spacing w:val="5"/>
                <w:highlight w:val="none"/>
                <w:lang w:eastAsia="zh-CN"/>
              </w:rPr>
            </w:pPr>
          </w:p>
        </w:tc>
        <w:tc>
          <w:tcPr>
            <w:tcW w:w="1436" w:type="dxa"/>
            <w:vAlign w:val="top"/>
          </w:tcPr>
          <w:p w14:paraId="36EB2CAF">
            <w:pPr>
              <w:pStyle w:val="10"/>
              <w:spacing w:before="134" w:line="230" w:lineRule="auto"/>
              <w:ind w:left="228"/>
              <w:rPr>
                <w:rFonts w:hint="eastAsia"/>
                <w:color w:val="auto"/>
                <w:spacing w:val="5"/>
                <w:highlight w:val="none"/>
                <w:lang w:val="en-US" w:eastAsia="zh-CN"/>
              </w:rPr>
            </w:pPr>
          </w:p>
        </w:tc>
        <w:tc>
          <w:tcPr>
            <w:tcW w:w="2355" w:type="dxa"/>
            <w:vAlign w:val="center"/>
          </w:tcPr>
          <w:p w14:paraId="621E6BEE">
            <w:pPr>
              <w:pStyle w:val="10"/>
              <w:spacing w:before="134" w:line="230" w:lineRule="auto"/>
              <w:ind w:left="228"/>
              <w:rPr>
                <w:rFonts w:hint="eastAsia"/>
                <w:color w:val="auto"/>
                <w:spacing w:val="5"/>
                <w:highlight w:val="none"/>
                <w:lang w:eastAsia="zh-CN"/>
              </w:rPr>
            </w:pPr>
          </w:p>
        </w:tc>
      </w:tr>
      <w:tr w14:paraId="5B7C5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88" w:type="dxa"/>
            <w:vAlign w:val="center"/>
          </w:tcPr>
          <w:p w14:paraId="2EE46F29">
            <w:pPr>
              <w:pStyle w:val="10"/>
              <w:spacing w:before="134" w:line="230" w:lineRule="auto"/>
              <w:ind w:left="228"/>
              <w:rPr>
                <w:rFonts w:hint="eastAsia"/>
                <w:color w:val="auto"/>
                <w:spacing w:val="5"/>
                <w:highlight w:val="none"/>
                <w:lang w:eastAsia="zh-CN"/>
              </w:rPr>
            </w:pPr>
          </w:p>
        </w:tc>
        <w:tc>
          <w:tcPr>
            <w:tcW w:w="1028" w:type="dxa"/>
            <w:vAlign w:val="top"/>
          </w:tcPr>
          <w:p w14:paraId="2EEE16EE">
            <w:pPr>
              <w:pStyle w:val="10"/>
              <w:spacing w:before="134" w:line="230" w:lineRule="auto"/>
              <w:ind w:left="228"/>
              <w:rPr>
                <w:rFonts w:hint="eastAsia"/>
                <w:color w:val="auto"/>
                <w:spacing w:val="5"/>
                <w:highlight w:val="none"/>
                <w:lang w:eastAsia="zh-CN"/>
              </w:rPr>
            </w:pPr>
          </w:p>
        </w:tc>
        <w:tc>
          <w:tcPr>
            <w:tcW w:w="922" w:type="dxa"/>
          </w:tcPr>
          <w:p w14:paraId="2B00CE1A">
            <w:pPr>
              <w:pStyle w:val="10"/>
              <w:spacing w:before="134" w:line="230" w:lineRule="auto"/>
              <w:ind w:left="228"/>
              <w:rPr>
                <w:rFonts w:hint="eastAsia"/>
                <w:color w:val="auto"/>
                <w:spacing w:val="5"/>
                <w:highlight w:val="none"/>
                <w:lang w:eastAsia="zh-CN"/>
              </w:rPr>
            </w:pPr>
          </w:p>
        </w:tc>
        <w:tc>
          <w:tcPr>
            <w:tcW w:w="2036" w:type="dxa"/>
            <w:vAlign w:val="top"/>
          </w:tcPr>
          <w:p w14:paraId="02FEA4A3">
            <w:pPr>
              <w:pStyle w:val="10"/>
              <w:spacing w:before="134" w:line="230" w:lineRule="auto"/>
              <w:rPr>
                <w:rFonts w:hint="eastAsia"/>
                <w:color w:val="auto"/>
                <w:spacing w:val="5"/>
                <w:highlight w:val="none"/>
                <w:lang w:eastAsia="zh-CN"/>
              </w:rPr>
            </w:pPr>
          </w:p>
        </w:tc>
        <w:tc>
          <w:tcPr>
            <w:tcW w:w="1092" w:type="dxa"/>
          </w:tcPr>
          <w:p w14:paraId="1AEBF90D">
            <w:pPr>
              <w:pStyle w:val="10"/>
              <w:spacing w:before="134" w:line="230" w:lineRule="auto"/>
              <w:ind w:left="228"/>
              <w:rPr>
                <w:rFonts w:hint="eastAsia"/>
                <w:color w:val="auto"/>
                <w:spacing w:val="5"/>
                <w:highlight w:val="none"/>
                <w:lang w:eastAsia="zh-CN"/>
              </w:rPr>
            </w:pPr>
          </w:p>
        </w:tc>
        <w:tc>
          <w:tcPr>
            <w:tcW w:w="1436" w:type="dxa"/>
          </w:tcPr>
          <w:p w14:paraId="4DF46E18">
            <w:pPr>
              <w:pStyle w:val="10"/>
              <w:spacing w:before="134" w:line="230" w:lineRule="auto"/>
              <w:ind w:left="228"/>
              <w:rPr>
                <w:rFonts w:hint="eastAsia"/>
                <w:color w:val="auto"/>
                <w:spacing w:val="5"/>
                <w:highlight w:val="none"/>
                <w:lang w:val="en-US" w:eastAsia="zh-CN"/>
              </w:rPr>
            </w:pPr>
          </w:p>
        </w:tc>
        <w:tc>
          <w:tcPr>
            <w:tcW w:w="2355" w:type="dxa"/>
            <w:vAlign w:val="center"/>
          </w:tcPr>
          <w:p w14:paraId="2430D30A">
            <w:pPr>
              <w:pStyle w:val="10"/>
              <w:spacing w:before="134" w:line="230" w:lineRule="auto"/>
              <w:ind w:left="228"/>
              <w:rPr>
                <w:rFonts w:hint="eastAsia"/>
                <w:color w:val="auto"/>
                <w:spacing w:val="5"/>
                <w:highlight w:val="none"/>
                <w:lang w:eastAsia="zh-CN"/>
              </w:rPr>
            </w:pPr>
          </w:p>
        </w:tc>
      </w:tr>
      <w:tr w14:paraId="4F447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88" w:type="dxa"/>
            <w:vAlign w:val="center"/>
          </w:tcPr>
          <w:p w14:paraId="3BE9B883">
            <w:pPr>
              <w:pStyle w:val="10"/>
              <w:spacing w:before="134" w:line="230" w:lineRule="auto"/>
              <w:ind w:left="228"/>
              <w:rPr>
                <w:rFonts w:hint="eastAsia"/>
                <w:color w:val="auto"/>
                <w:spacing w:val="5"/>
                <w:highlight w:val="none"/>
                <w:lang w:eastAsia="zh-CN"/>
              </w:rPr>
            </w:pPr>
          </w:p>
        </w:tc>
        <w:tc>
          <w:tcPr>
            <w:tcW w:w="1028" w:type="dxa"/>
            <w:vAlign w:val="top"/>
          </w:tcPr>
          <w:p w14:paraId="1F758FD3">
            <w:pPr>
              <w:pStyle w:val="10"/>
              <w:spacing w:before="134" w:line="230" w:lineRule="auto"/>
              <w:ind w:left="228"/>
              <w:rPr>
                <w:rFonts w:hint="eastAsia"/>
                <w:color w:val="auto"/>
                <w:spacing w:val="5"/>
                <w:highlight w:val="none"/>
                <w:lang w:eastAsia="zh-CN"/>
              </w:rPr>
            </w:pPr>
          </w:p>
        </w:tc>
        <w:tc>
          <w:tcPr>
            <w:tcW w:w="922" w:type="dxa"/>
          </w:tcPr>
          <w:p w14:paraId="47B5A95C">
            <w:pPr>
              <w:pStyle w:val="10"/>
              <w:spacing w:before="134" w:line="230" w:lineRule="auto"/>
              <w:ind w:left="228"/>
              <w:rPr>
                <w:rFonts w:hint="eastAsia"/>
                <w:color w:val="auto"/>
                <w:spacing w:val="5"/>
                <w:highlight w:val="none"/>
                <w:lang w:eastAsia="zh-CN"/>
              </w:rPr>
            </w:pPr>
          </w:p>
        </w:tc>
        <w:tc>
          <w:tcPr>
            <w:tcW w:w="2036" w:type="dxa"/>
          </w:tcPr>
          <w:p w14:paraId="74A9B94E">
            <w:pPr>
              <w:pStyle w:val="10"/>
              <w:spacing w:before="134" w:line="230" w:lineRule="auto"/>
              <w:rPr>
                <w:rFonts w:hint="eastAsia"/>
                <w:color w:val="auto"/>
                <w:spacing w:val="5"/>
                <w:highlight w:val="none"/>
                <w:lang w:eastAsia="zh-CN"/>
              </w:rPr>
            </w:pPr>
          </w:p>
        </w:tc>
        <w:tc>
          <w:tcPr>
            <w:tcW w:w="1092" w:type="dxa"/>
          </w:tcPr>
          <w:p w14:paraId="02D65666">
            <w:pPr>
              <w:pStyle w:val="10"/>
              <w:spacing w:before="134" w:line="230" w:lineRule="auto"/>
              <w:ind w:left="228"/>
              <w:rPr>
                <w:rFonts w:hint="eastAsia"/>
                <w:color w:val="auto"/>
                <w:spacing w:val="5"/>
                <w:highlight w:val="none"/>
                <w:lang w:eastAsia="zh-CN"/>
              </w:rPr>
            </w:pPr>
          </w:p>
        </w:tc>
        <w:tc>
          <w:tcPr>
            <w:tcW w:w="1436" w:type="dxa"/>
          </w:tcPr>
          <w:p w14:paraId="282DB898">
            <w:pPr>
              <w:pStyle w:val="10"/>
              <w:spacing w:before="134" w:line="230" w:lineRule="auto"/>
              <w:ind w:left="228"/>
              <w:rPr>
                <w:rFonts w:hint="eastAsia"/>
                <w:color w:val="auto"/>
                <w:spacing w:val="5"/>
                <w:highlight w:val="none"/>
                <w:lang w:val="en-US" w:eastAsia="zh-CN"/>
              </w:rPr>
            </w:pPr>
          </w:p>
        </w:tc>
        <w:tc>
          <w:tcPr>
            <w:tcW w:w="2355" w:type="dxa"/>
          </w:tcPr>
          <w:p w14:paraId="29178A21">
            <w:pPr>
              <w:pStyle w:val="10"/>
              <w:spacing w:before="134" w:line="230" w:lineRule="auto"/>
              <w:ind w:left="228"/>
              <w:rPr>
                <w:rFonts w:hint="eastAsia"/>
                <w:color w:val="auto"/>
                <w:spacing w:val="5"/>
                <w:highlight w:val="none"/>
                <w:lang w:eastAsia="zh-CN"/>
              </w:rPr>
            </w:pPr>
          </w:p>
        </w:tc>
      </w:tr>
      <w:tr w14:paraId="16580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88" w:type="dxa"/>
            <w:vAlign w:val="center"/>
          </w:tcPr>
          <w:p w14:paraId="3F3ED1A5">
            <w:pPr>
              <w:pStyle w:val="10"/>
              <w:spacing w:before="134" w:line="230" w:lineRule="auto"/>
              <w:ind w:left="228"/>
              <w:rPr>
                <w:rFonts w:hint="eastAsia"/>
                <w:color w:val="auto"/>
                <w:spacing w:val="5"/>
                <w:highlight w:val="none"/>
                <w:lang w:eastAsia="zh-CN"/>
              </w:rPr>
            </w:pPr>
          </w:p>
        </w:tc>
        <w:tc>
          <w:tcPr>
            <w:tcW w:w="1028" w:type="dxa"/>
            <w:vAlign w:val="center"/>
          </w:tcPr>
          <w:p w14:paraId="50E2A74B">
            <w:pPr>
              <w:pStyle w:val="10"/>
              <w:spacing w:before="134" w:line="230" w:lineRule="auto"/>
              <w:ind w:left="228"/>
              <w:rPr>
                <w:rFonts w:hint="eastAsia"/>
                <w:color w:val="auto"/>
                <w:spacing w:val="5"/>
                <w:highlight w:val="none"/>
                <w:lang w:eastAsia="zh-CN"/>
              </w:rPr>
            </w:pPr>
          </w:p>
        </w:tc>
        <w:tc>
          <w:tcPr>
            <w:tcW w:w="922" w:type="dxa"/>
          </w:tcPr>
          <w:p w14:paraId="199B8566">
            <w:pPr>
              <w:pStyle w:val="10"/>
              <w:spacing w:before="134" w:line="230" w:lineRule="auto"/>
              <w:ind w:left="228"/>
              <w:rPr>
                <w:rFonts w:hint="eastAsia"/>
                <w:color w:val="auto"/>
                <w:spacing w:val="5"/>
                <w:highlight w:val="none"/>
                <w:lang w:eastAsia="zh-CN"/>
              </w:rPr>
            </w:pPr>
          </w:p>
        </w:tc>
        <w:tc>
          <w:tcPr>
            <w:tcW w:w="2036" w:type="dxa"/>
          </w:tcPr>
          <w:p w14:paraId="37C4E04E">
            <w:pPr>
              <w:pStyle w:val="10"/>
              <w:spacing w:before="134" w:line="230" w:lineRule="auto"/>
              <w:rPr>
                <w:rFonts w:hint="eastAsia"/>
                <w:color w:val="auto"/>
                <w:spacing w:val="5"/>
                <w:highlight w:val="none"/>
                <w:lang w:eastAsia="zh-CN"/>
              </w:rPr>
            </w:pPr>
          </w:p>
        </w:tc>
        <w:tc>
          <w:tcPr>
            <w:tcW w:w="1092" w:type="dxa"/>
          </w:tcPr>
          <w:p w14:paraId="0F641BAA">
            <w:pPr>
              <w:pStyle w:val="10"/>
              <w:spacing w:before="134" w:line="230" w:lineRule="auto"/>
              <w:ind w:left="228"/>
              <w:rPr>
                <w:rFonts w:hint="eastAsia"/>
                <w:color w:val="auto"/>
                <w:spacing w:val="5"/>
                <w:highlight w:val="none"/>
                <w:lang w:eastAsia="zh-CN"/>
              </w:rPr>
            </w:pPr>
          </w:p>
        </w:tc>
        <w:tc>
          <w:tcPr>
            <w:tcW w:w="1436" w:type="dxa"/>
          </w:tcPr>
          <w:p w14:paraId="2EF41AAE">
            <w:pPr>
              <w:pStyle w:val="10"/>
              <w:spacing w:before="134" w:line="230" w:lineRule="auto"/>
              <w:ind w:left="228"/>
              <w:rPr>
                <w:rFonts w:hint="eastAsia"/>
                <w:color w:val="auto"/>
                <w:spacing w:val="5"/>
                <w:highlight w:val="none"/>
                <w:lang w:val="en-US" w:eastAsia="zh-CN"/>
              </w:rPr>
            </w:pPr>
          </w:p>
        </w:tc>
        <w:tc>
          <w:tcPr>
            <w:tcW w:w="2355" w:type="dxa"/>
          </w:tcPr>
          <w:p w14:paraId="1DEE32E3">
            <w:pPr>
              <w:pStyle w:val="10"/>
              <w:spacing w:before="134" w:line="230" w:lineRule="auto"/>
              <w:ind w:left="228"/>
              <w:rPr>
                <w:rFonts w:hint="eastAsia"/>
                <w:color w:val="auto"/>
                <w:spacing w:val="5"/>
                <w:highlight w:val="none"/>
                <w:lang w:eastAsia="zh-CN"/>
              </w:rPr>
            </w:pPr>
          </w:p>
        </w:tc>
      </w:tr>
      <w:tr w14:paraId="351BC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88" w:type="dxa"/>
            <w:vAlign w:val="center"/>
          </w:tcPr>
          <w:p w14:paraId="759AEBA8">
            <w:pPr>
              <w:pStyle w:val="10"/>
              <w:spacing w:before="134" w:line="230" w:lineRule="auto"/>
              <w:ind w:left="228"/>
              <w:rPr>
                <w:rFonts w:hint="eastAsia"/>
                <w:color w:val="auto"/>
                <w:spacing w:val="5"/>
                <w:highlight w:val="none"/>
                <w:lang w:val="en-US" w:eastAsia="zh-CN"/>
              </w:rPr>
            </w:pPr>
          </w:p>
        </w:tc>
        <w:tc>
          <w:tcPr>
            <w:tcW w:w="1028" w:type="dxa"/>
            <w:vAlign w:val="center"/>
          </w:tcPr>
          <w:p w14:paraId="2D5337D6">
            <w:pPr>
              <w:pStyle w:val="10"/>
              <w:spacing w:before="134" w:line="230" w:lineRule="auto"/>
              <w:ind w:left="228"/>
              <w:rPr>
                <w:rFonts w:hint="eastAsia"/>
                <w:color w:val="auto"/>
                <w:spacing w:val="5"/>
                <w:highlight w:val="none"/>
                <w:lang w:eastAsia="zh-CN"/>
              </w:rPr>
            </w:pPr>
          </w:p>
        </w:tc>
        <w:tc>
          <w:tcPr>
            <w:tcW w:w="922" w:type="dxa"/>
            <w:vAlign w:val="top"/>
          </w:tcPr>
          <w:p w14:paraId="01D546A8">
            <w:pPr>
              <w:pStyle w:val="10"/>
              <w:spacing w:before="134" w:line="230" w:lineRule="auto"/>
              <w:ind w:left="228"/>
              <w:rPr>
                <w:rFonts w:hint="eastAsia"/>
                <w:color w:val="auto"/>
                <w:spacing w:val="5"/>
                <w:highlight w:val="none"/>
                <w:lang w:eastAsia="zh-CN"/>
              </w:rPr>
            </w:pPr>
          </w:p>
        </w:tc>
        <w:tc>
          <w:tcPr>
            <w:tcW w:w="2036" w:type="dxa"/>
            <w:vAlign w:val="top"/>
          </w:tcPr>
          <w:p w14:paraId="46685B49">
            <w:pPr>
              <w:pStyle w:val="10"/>
              <w:spacing w:before="134" w:line="230" w:lineRule="auto"/>
              <w:rPr>
                <w:rFonts w:hint="eastAsia"/>
                <w:color w:val="auto"/>
                <w:spacing w:val="5"/>
                <w:highlight w:val="none"/>
                <w:lang w:eastAsia="zh-CN"/>
              </w:rPr>
            </w:pPr>
          </w:p>
        </w:tc>
        <w:tc>
          <w:tcPr>
            <w:tcW w:w="1092" w:type="dxa"/>
            <w:vAlign w:val="top"/>
          </w:tcPr>
          <w:p w14:paraId="248CE99F">
            <w:pPr>
              <w:pStyle w:val="10"/>
              <w:spacing w:before="134" w:line="230" w:lineRule="auto"/>
              <w:ind w:left="228"/>
              <w:rPr>
                <w:rFonts w:hint="eastAsia"/>
                <w:color w:val="auto"/>
                <w:spacing w:val="5"/>
                <w:highlight w:val="none"/>
                <w:lang w:eastAsia="zh-CN"/>
              </w:rPr>
            </w:pPr>
          </w:p>
        </w:tc>
        <w:tc>
          <w:tcPr>
            <w:tcW w:w="1436" w:type="dxa"/>
            <w:vAlign w:val="top"/>
          </w:tcPr>
          <w:p w14:paraId="50C4098F">
            <w:pPr>
              <w:pStyle w:val="10"/>
              <w:spacing w:before="134" w:line="230" w:lineRule="auto"/>
              <w:ind w:left="228"/>
              <w:rPr>
                <w:rFonts w:hint="eastAsia"/>
                <w:color w:val="auto"/>
                <w:spacing w:val="5"/>
                <w:highlight w:val="none"/>
                <w:lang w:val="en-US" w:eastAsia="zh-CN"/>
              </w:rPr>
            </w:pPr>
          </w:p>
        </w:tc>
        <w:tc>
          <w:tcPr>
            <w:tcW w:w="2355" w:type="dxa"/>
            <w:vAlign w:val="top"/>
          </w:tcPr>
          <w:p w14:paraId="4F667D91">
            <w:pPr>
              <w:pStyle w:val="10"/>
              <w:spacing w:before="134" w:line="230" w:lineRule="auto"/>
              <w:rPr>
                <w:rFonts w:hint="eastAsia"/>
                <w:color w:val="auto"/>
                <w:spacing w:val="5"/>
                <w:highlight w:val="none"/>
                <w:lang w:eastAsia="zh-CN"/>
              </w:rPr>
            </w:pPr>
          </w:p>
        </w:tc>
      </w:tr>
    </w:tbl>
    <w:p w14:paraId="14E94A36">
      <w:pPr>
        <w:jc w:val="center"/>
        <w:rPr>
          <w:rFonts w:hint="eastAsia" w:ascii="Times New Roman" w:hAnsi="Times New Roman"/>
          <w:color w:val="auto"/>
          <w:highlight w:val="none"/>
          <w:lang w:eastAsia="zh-CN"/>
        </w:rPr>
      </w:pPr>
    </w:p>
    <w:p w14:paraId="29E8FF24">
      <w:pPr>
        <w:pStyle w:val="3"/>
        <w:spacing w:line="264" w:lineRule="auto"/>
        <w:rPr>
          <w:color w:val="auto"/>
          <w:highlight w:val="none"/>
        </w:rPr>
      </w:pPr>
    </w:p>
    <w:p w14:paraId="1268C7D2">
      <w:pPr>
        <w:spacing w:before="65" w:line="228" w:lineRule="auto"/>
        <w:ind w:left="97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1.本表格所列人员，截止递交申请申请文件之日止，为公司正式员工；</w:t>
      </w:r>
    </w:p>
    <w:p w14:paraId="096CD9F1">
      <w:pPr>
        <w:spacing w:before="78" w:line="219" w:lineRule="auto"/>
        <w:ind w:left="122"/>
        <w:jc w:val="both"/>
        <w:rPr>
          <w:rFonts w:ascii="宋体" w:hAnsi="宋体" w:eastAsia="宋体" w:cs="宋体"/>
          <w:color w:val="auto"/>
          <w:spacing w:val="7"/>
          <w:position w:val="20"/>
          <w:sz w:val="20"/>
          <w:szCs w:val="20"/>
          <w:highlight w:val="none"/>
        </w:rPr>
      </w:pPr>
      <w:r>
        <w:rPr>
          <w:rFonts w:hint="eastAsia" w:ascii="宋体" w:hAnsi="宋体" w:eastAsia="宋体" w:cs="宋体"/>
          <w:color w:val="auto"/>
          <w:spacing w:val="7"/>
          <w:position w:val="20"/>
          <w:sz w:val="20"/>
          <w:szCs w:val="20"/>
          <w:highlight w:val="none"/>
          <w:lang w:val="en-US" w:eastAsia="zh-CN"/>
        </w:rPr>
        <w:t xml:space="preserve">        </w:t>
      </w:r>
      <w:r>
        <w:rPr>
          <w:rFonts w:ascii="宋体" w:hAnsi="宋体" w:eastAsia="宋体" w:cs="宋体"/>
          <w:color w:val="auto"/>
          <w:spacing w:val="7"/>
          <w:position w:val="20"/>
          <w:sz w:val="20"/>
          <w:szCs w:val="20"/>
          <w:highlight w:val="none"/>
        </w:rPr>
        <w:t>2.申请人应随本表附所填人员劳动合同或社保证明等</w:t>
      </w:r>
      <w:r>
        <w:rPr>
          <w:rFonts w:hint="eastAsia" w:ascii="宋体" w:hAnsi="宋体" w:eastAsia="宋体" w:cs="宋体"/>
          <w:color w:val="auto"/>
          <w:spacing w:val="7"/>
          <w:position w:val="20"/>
          <w:sz w:val="20"/>
          <w:szCs w:val="20"/>
          <w:highlight w:val="none"/>
          <w:lang w:eastAsia="zh-CN"/>
        </w:rPr>
        <w:t>。</w:t>
      </w:r>
    </w:p>
    <w:p w14:paraId="7182AD81">
      <w:pPr>
        <w:spacing w:before="78" w:line="219" w:lineRule="auto"/>
        <w:ind w:left="122"/>
        <w:jc w:val="center"/>
        <w:rPr>
          <w:rFonts w:ascii="宋体" w:hAnsi="宋体" w:eastAsia="宋体" w:cs="宋体"/>
          <w:color w:val="auto"/>
          <w:spacing w:val="7"/>
          <w:position w:val="20"/>
          <w:sz w:val="20"/>
          <w:szCs w:val="20"/>
          <w:highlight w:val="none"/>
        </w:rPr>
      </w:pPr>
    </w:p>
    <w:p w14:paraId="624AF248">
      <w:pPr>
        <w:spacing w:before="78" w:line="219" w:lineRule="auto"/>
        <w:ind w:left="122"/>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法定代表人或者委托代理人签</w:t>
      </w:r>
      <w:r>
        <w:rPr>
          <w:rFonts w:ascii="宋体" w:hAnsi="宋体" w:eastAsia="宋体" w:cs="宋体"/>
          <w:color w:val="auto"/>
          <w:spacing w:val="-61"/>
          <w:sz w:val="24"/>
          <w:szCs w:val="24"/>
          <w:highlight w:val="none"/>
        </w:rPr>
        <w:t xml:space="preserve"> </w:t>
      </w:r>
      <w:r>
        <w:rPr>
          <w:rFonts w:ascii="宋体" w:hAnsi="宋体" w:eastAsia="宋体" w:cs="宋体"/>
          <w:color w:val="auto"/>
          <w:spacing w:val="-2"/>
          <w:sz w:val="24"/>
          <w:szCs w:val="24"/>
          <w:highlight w:val="none"/>
        </w:rPr>
        <w:t>字：</w:t>
      </w:r>
    </w:p>
    <w:p w14:paraId="5D37EABE">
      <w:pPr>
        <w:spacing w:before="76" w:line="219" w:lineRule="auto"/>
        <w:ind w:left="121"/>
        <w:jc w:val="center"/>
        <w:rPr>
          <w:rFonts w:ascii="宋体" w:hAnsi="宋体" w:eastAsia="宋体" w:cs="宋体"/>
          <w:color w:val="auto"/>
          <w:spacing w:val="-1"/>
          <w:sz w:val="24"/>
          <w:szCs w:val="24"/>
          <w:highlight w:val="none"/>
        </w:rPr>
      </w:pPr>
    </w:p>
    <w:p w14:paraId="56DB3318">
      <w:pPr>
        <w:spacing w:before="76" w:line="219" w:lineRule="auto"/>
        <w:ind w:left="121"/>
        <w:jc w:val="center"/>
        <w:rPr>
          <w:rFonts w:ascii="宋体" w:hAnsi="宋体" w:eastAsia="宋体" w:cs="宋体"/>
          <w:color w:val="auto"/>
          <w:spacing w:val="2"/>
          <w:sz w:val="24"/>
          <w:szCs w:val="24"/>
          <w:highlight w:val="none"/>
        </w:rPr>
      </w:pPr>
      <w:r>
        <w:rPr>
          <w:rFonts w:ascii="宋体" w:hAnsi="宋体" w:eastAsia="宋体" w:cs="宋体"/>
          <w:color w:val="auto"/>
          <w:spacing w:val="-1"/>
          <w:sz w:val="24"/>
          <w:szCs w:val="24"/>
          <w:highlight w:val="none"/>
        </w:rPr>
        <w:t>供</w:t>
      </w:r>
      <w:r>
        <w:rPr>
          <w:rFonts w:ascii="宋体" w:hAnsi="宋体" w:eastAsia="宋体" w:cs="宋体"/>
          <w:color w:val="auto"/>
          <w:spacing w:val="-70"/>
          <w:sz w:val="24"/>
          <w:szCs w:val="24"/>
          <w:highlight w:val="none"/>
        </w:rPr>
        <w:t xml:space="preserve"> </w:t>
      </w:r>
      <w:r>
        <w:rPr>
          <w:rFonts w:ascii="宋体" w:hAnsi="宋体" w:eastAsia="宋体" w:cs="宋体"/>
          <w:color w:val="auto"/>
          <w:spacing w:val="-1"/>
          <w:sz w:val="24"/>
          <w:szCs w:val="24"/>
          <w:highlight w:val="none"/>
        </w:rPr>
        <w:t>应</w:t>
      </w:r>
      <w:r>
        <w:rPr>
          <w:rFonts w:ascii="宋体" w:hAnsi="宋体" w:eastAsia="宋体" w:cs="宋体"/>
          <w:color w:val="auto"/>
          <w:spacing w:val="-67"/>
          <w:sz w:val="24"/>
          <w:szCs w:val="24"/>
          <w:highlight w:val="none"/>
        </w:rPr>
        <w:t xml:space="preserve"> </w:t>
      </w:r>
      <w:r>
        <w:rPr>
          <w:rFonts w:ascii="宋体" w:hAnsi="宋体" w:eastAsia="宋体" w:cs="宋体"/>
          <w:color w:val="auto"/>
          <w:spacing w:val="-1"/>
          <w:sz w:val="24"/>
          <w:szCs w:val="24"/>
          <w:highlight w:val="none"/>
        </w:rPr>
        <w:t>商（盖</w:t>
      </w:r>
      <w:r>
        <w:rPr>
          <w:rFonts w:ascii="宋体" w:hAnsi="宋体" w:eastAsia="宋体" w:cs="宋体"/>
          <w:color w:val="auto"/>
          <w:spacing w:val="-65"/>
          <w:sz w:val="24"/>
          <w:szCs w:val="24"/>
          <w:highlight w:val="none"/>
        </w:rPr>
        <w:t xml:space="preserve"> </w:t>
      </w:r>
      <w:r>
        <w:rPr>
          <w:rFonts w:ascii="宋体" w:hAnsi="宋体" w:eastAsia="宋体" w:cs="宋体"/>
          <w:color w:val="auto"/>
          <w:spacing w:val="-1"/>
          <w:sz w:val="24"/>
          <w:szCs w:val="24"/>
          <w:highlight w:val="none"/>
        </w:rPr>
        <w:t>公</w:t>
      </w:r>
      <w:r>
        <w:rPr>
          <w:rFonts w:ascii="宋体" w:hAnsi="宋体" w:eastAsia="宋体" w:cs="宋体"/>
          <w:color w:val="auto"/>
          <w:spacing w:val="-62"/>
          <w:sz w:val="24"/>
          <w:szCs w:val="24"/>
          <w:highlight w:val="none"/>
        </w:rPr>
        <w:t xml:space="preserve"> </w:t>
      </w:r>
      <w:r>
        <w:rPr>
          <w:rFonts w:ascii="宋体" w:hAnsi="宋体" w:eastAsia="宋体" w:cs="宋体"/>
          <w:color w:val="auto"/>
          <w:spacing w:val="-1"/>
          <w:sz w:val="24"/>
          <w:szCs w:val="24"/>
          <w:highlight w:val="none"/>
        </w:rPr>
        <w:t>章</w:t>
      </w:r>
      <w:r>
        <w:rPr>
          <w:rFonts w:ascii="宋体" w:hAnsi="宋体" w:eastAsia="宋体" w:cs="宋体"/>
          <w:color w:val="auto"/>
          <w:spacing w:val="-44"/>
          <w:sz w:val="24"/>
          <w:szCs w:val="24"/>
          <w:highlight w:val="none"/>
        </w:rPr>
        <w:t xml:space="preserve"> </w:t>
      </w:r>
      <w:r>
        <w:rPr>
          <w:rFonts w:ascii="宋体" w:hAnsi="宋体" w:eastAsia="宋体" w:cs="宋体"/>
          <w:color w:val="auto"/>
          <w:spacing w:val="-32"/>
          <w:sz w:val="24"/>
          <w:szCs w:val="24"/>
          <w:highlight w:val="none"/>
        </w:rPr>
        <w:t>）</w:t>
      </w:r>
      <w:r>
        <w:rPr>
          <w:rFonts w:ascii="宋体" w:hAnsi="宋体" w:eastAsia="宋体" w:cs="宋体"/>
          <w:color w:val="auto"/>
          <w:spacing w:val="-52"/>
          <w:sz w:val="24"/>
          <w:szCs w:val="24"/>
          <w:highlight w:val="none"/>
        </w:rPr>
        <w:t xml:space="preserve"> </w:t>
      </w:r>
      <w:r>
        <w:rPr>
          <w:rFonts w:ascii="宋体" w:hAnsi="宋体" w:eastAsia="宋体" w:cs="宋体"/>
          <w:color w:val="auto"/>
          <w:spacing w:val="-32"/>
          <w:sz w:val="24"/>
          <w:szCs w:val="24"/>
          <w:highlight w:val="none"/>
        </w:rPr>
        <w:t>：</w:t>
      </w:r>
      <w:r>
        <w:rPr>
          <w:rFonts w:ascii="宋体" w:hAnsi="宋体" w:eastAsia="宋体" w:cs="宋体"/>
          <w:color w:val="auto"/>
          <w:spacing w:val="2"/>
          <w:sz w:val="24"/>
          <w:szCs w:val="24"/>
          <w:highlight w:val="none"/>
        </w:rPr>
        <w:t xml:space="preserve">            </w:t>
      </w:r>
    </w:p>
    <w:p w14:paraId="2B938993">
      <w:pPr>
        <w:spacing w:before="76" w:line="219" w:lineRule="auto"/>
        <w:ind w:left="121"/>
        <w:jc w:val="right"/>
        <w:rPr>
          <w:rFonts w:ascii="宋体" w:hAnsi="宋体" w:eastAsia="宋体" w:cs="宋体"/>
          <w:color w:val="auto"/>
          <w:spacing w:val="2"/>
          <w:sz w:val="24"/>
          <w:szCs w:val="24"/>
          <w:highlight w:val="none"/>
        </w:rPr>
      </w:pPr>
    </w:p>
    <w:p w14:paraId="19D5DF05">
      <w:pPr>
        <w:spacing w:before="76" w:line="219" w:lineRule="auto"/>
        <w:ind w:left="121"/>
        <w:jc w:val="center"/>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日</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
          <w:sz w:val="24"/>
          <w:szCs w:val="24"/>
          <w:highlight w:val="none"/>
        </w:rPr>
        <w:t>期：</w:t>
      </w:r>
    </w:p>
    <w:p w14:paraId="64EC6E7A">
      <w:pPr>
        <w:spacing w:line="219" w:lineRule="auto"/>
        <w:rPr>
          <w:rFonts w:ascii="宋体" w:hAnsi="宋体" w:eastAsia="宋体" w:cs="宋体"/>
          <w:color w:val="auto"/>
          <w:sz w:val="24"/>
          <w:szCs w:val="24"/>
          <w:highlight w:val="none"/>
        </w:rPr>
        <w:sectPr>
          <w:footerReference r:id="rId37" w:type="default"/>
          <w:pgSz w:w="11906" w:h="16839"/>
          <w:pgMar w:top="1431" w:right="1479" w:bottom="1362" w:left="1474" w:header="0" w:footer="1200" w:gutter="0"/>
          <w:pgNumType w:fmt="decimal"/>
          <w:cols w:space="720" w:num="1"/>
        </w:sectPr>
      </w:pPr>
    </w:p>
    <w:p w14:paraId="23D41DB0">
      <w:pPr>
        <w:spacing w:before="162" w:line="224" w:lineRule="auto"/>
        <w:ind w:left="5"/>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其他文书、文件格式</w:t>
      </w:r>
    </w:p>
    <w:p w14:paraId="31FD9B22">
      <w:pPr>
        <w:spacing w:before="247" w:line="225" w:lineRule="auto"/>
        <w:ind w:left="2712"/>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中小企业声明函（服务）</w:t>
      </w:r>
    </w:p>
    <w:p w14:paraId="4DEF8615">
      <w:pPr>
        <w:pStyle w:val="3"/>
        <w:spacing w:line="353" w:lineRule="auto"/>
        <w:rPr>
          <w:color w:val="auto"/>
          <w:highlight w:val="none"/>
        </w:rPr>
      </w:pPr>
    </w:p>
    <w:p w14:paraId="19A92495">
      <w:pPr>
        <w:pStyle w:val="3"/>
        <w:spacing w:line="353" w:lineRule="auto"/>
        <w:rPr>
          <w:color w:val="auto"/>
          <w:highlight w:val="none"/>
        </w:rPr>
      </w:pPr>
    </w:p>
    <w:p w14:paraId="5D8ACF77">
      <w:pPr>
        <w:spacing w:before="78" w:line="386" w:lineRule="auto"/>
        <w:ind w:right="61"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本公司</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1"/>
          <w:sz w:val="24"/>
          <w:szCs w:val="24"/>
          <w:highlight w:val="none"/>
        </w:rPr>
        <w:t>郑重声明，根据《政府采购促进中小企业</w:t>
      </w:r>
      <w:r>
        <w:rPr>
          <w:rFonts w:ascii="宋体" w:hAnsi="宋体" w:eastAsia="宋体" w:cs="宋体"/>
          <w:color w:val="auto"/>
          <w:spacing w:val="-2"/>
          <w:sz w:val="24"/>
          <w:szCs w:val="24"/>
          <w:highlight w:val="none"/>
        </w:rPr>
        <w:t>发展管理办法》（财</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库﹝2020﹞46</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号）的规定，本公司</w:t>
      </w:r>
      <w:r>
        <w:rPr>
          <w:rFonts w:ascii="宋体" w:hAnsi="宋体" w:eastAsia="宋体" w:cs="宋体"/>
          <w:color w:val="auto"/>
          <w:spacing w:val="-17"/>
          <w:sz w:val="24"/>
          <w:szCs w:val="24"/>
          <w:highlight w:val="none"/>
          <w:u w:val="single" w:color="auto"/>
        </w:rPr>
        <w:t>（</w:t>
      </w:r>
      <w:r>
        <w:rPr>
          <w:rFonts w:ascii="宋体" w:hAnsi="宋体" w:eastAsia="宋体" w:cs="宋体"/>
          <w:color w:val="auto"/>
          <w:spacing w:val="11"/>
          <w:sz w:val="24"/>
          <w:szCs w:val="24"/>
          <w:highlight w:val="none"/>
          <w:u w:val="single" w:color="auto"/>
        </w:rPr>
        <w:t xml:space="preserve">   </w:t>
      </w:r>
      <w:r>
        <w:rPr>
          <w:rFonts w:ascii="宋体" w:hAnsi="宋体" w:eastAsia="宋体" w:cs="宋体"/>
          <w:color w:val="auto"/>
          <w:spacing w:val="-17"/>
          <w:sz w:val="24"/>
          <w:szCs w:val="24"/>
          <w:highlight w:val="none"/>
          <w:u w:val="single" w:color="auto"/>
        </w:rPr>
        <w:t>）</w:t>
      </w:r>
      <w:r>
        <w:rPr>
          <w:rFonts w:ascii="宋体" w:hAnsi="宋体" w:eastAsia="宋体" w:cs="宋体"/>
          <w:color w:val="auto"/>
          <w:spacing w:val="-3"/>
          <w:sz w:val="24"/>
          <w:szCs w:val="24"/>
          <w:highlight w:val="none"/>
        </w:rPr>
        <w:t>参加</w:t>
      </w:r>
      <w:r>
        <w:rPr>
          <w:rFonts w:ascii="宋体" w:hAnsi="宋体" w:eastAsia="宋体" w:cs="宋体"/>
          <w:color w:val="auto"/>
          <w:spacing w:val="-3"/>
          <w:sz w:val="24"/>
          <w:szCs w:val="24"/>
          <w:highlight w:val="none"/>
          <w:u w:val="single" w:color="auto"/>
        </w:rPr>
        <w:t>（单位名称）</w:t>
      </w:r>
      <w:r>
        <w:rPr>
          <w:rFonts w:ascii="宋体" w:hAnsi="宋体" w:eastAsia="宋体" w:cs="宋体"/>
          <w:color w:val="auto"/>
          <w:spacing w:val="-3"/>
          <w:sz w:val="24"/>
          <w:szCs w:val="24"/>
          <w:highlight w:val="none"/>
        </w:rPr>
        <w:t>的</w:t>
      </w:r>
      <w:r>
        <w:rPr>
          <w:rFonts w:ascii="宋体" w:hAnsi="宋体" w:eastAsia="宋体" w:cs="宋体"/>
          <w:color w:val="auto"/>
          <w:spacing w:val="-3"/>
          <w:sz w:val="24"/>
          <w:szCs w:val="24"/>
          <w:highlight w:val="none"/>
          <w:u w:val="single" w:color="auto"/>
        </w:rPr>
        <w:t>（项目名称）</w:t>
      </w:r>
      <w:r>
        <w:rPr>
          <w:rFonts w:ascii="宋体" w:hAnsi="宋体" w:eastAsia="宋体" w:cs="宋体"/>
          <w:color w:val="auto"/>
          <w:spacing w:val="-3"/>
          <w:sz w:val="24"/>
          <w:szCs w:val="24"/>
          <w:highlight w:val="none"/>
        </w:rPr>
        <w:t>采购活</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rPr>
        <w:t>动，服务全部由符合政策要求的中小企业承接。相关企业（含联合体中的中小企业、</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签订分包意向协议的中小企业）的具体情况如下：</w:t>
      </w:r>
    </w:p>
    <w:p w14:paraId="1CA4C4C6">
      <w:pPr>
        <w:spacing w:before="7" w:line="329" w:lineRule="auto"/>
        <w:ind w:right="141" w:firstLine="70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ascii="宋体" w:hAnsi="宋体" w:eastAsia="宋体" w:cs="宋体"/>
          <w:color w:val="auto"/>
          <w:spacing w:val="-3"/>
          <w:sz w:val="24"/>
          <w:szCs w:val="24"/>
          <w:highlight w:val="none"/>
          <w:u w:val="single" w:color="auto"/>
        </w:rPr>
        <w:t>（标的名称</w:t>
      </w:r>
      <w:r>
        <w:rPr>
          <w:rFonts w:ascii="宋体" w:hAnsi="宋体" w:eastAsia="宋体" w:cs="宋体"/>
          <w:color w:val="auto"/>
          <w:spacing w:val="-11"/>
          <w:sz w:val="24"/>
          <w:szCs w:val="24"/>
          <w:highlight w:val="none"/>
          <w:u w:val="single" w:color="auto"/>
        </w:rPr>
        <w:t>）</w:t>
      </w:r>
      <w:r>
        <w:rPr>
          <w:rFonts w:ascii="宋体" w:hAnsi="宋体" w:eastAsia="宋体" w:cs="宋体"/>
          <w:color w:val="auto"/>
          <w:spacing w:val="-11"/>
          <w:sz w:val="24"/>
          <w:szCs w:val="24"/>
          <w:highlight w:val="none"/>
        </w:rPr>
        <w:t>，</w:t>
      </w:r>
      <w:r>
        <w:rPr>
          <w:rFonts w:ascii="宋体" w:hAnsi="宋体" w:eastAsia="宋体" w:cs="宋体"/>
          <w:color w:val="auto"/>
          <w:spacing w:val="-3"/>
          <w:sz w:val="24"/>
          <w:szCs w:val="24"/>
          <w:highlight w:val="none"/>
        </w:rPr>
        <w:t>属于</w:t>
      </w:r>
      <w:r>
        <w:rPr>
          <w:rFonts w:ascii="宋体" w:hAnsi="宋体" w:eastAsia="宋体" w:cs="宋体"/>
          <w:color w:val="auto"/>
          <w:spacing w:val="-3"/>
          <w:sz w:val="24"/>
          <w:szCs w:val="24"/>
          <w:highlight w:val="none"/>
          <w:u w:val="single" w:color="auto"/>
        </w:rPr>
        <w:t>（采购文件中明确的所属行业</w:t>
      </w:r>
      <w:r>
        <w:rPr>
          <w:rFonts w:ascii="宋体" w:hAnsi="宋体" w:eastAsia="宋体" w:cs="宋体"/>
          <w:color w:val="auto"/>
          <w:spacing w:val="-11"/>
          <w:sz w:val="24"/>
          <w:szCs w:val="24"/>
          <w:highlight w:val="none"/>
          <w:u w:val="single" w:color="auto"/>
        </w:rPr>
        <w:t>）</w:t>
      </w:r>
      <w:r>
        <w:rPr>
          <w:rFonts w:ascii="宋体" w:hAnsi="宋体" w:eastAsia="宋体" w:cs="宋体"/>
          <w:color w:val="auto"/>
          <w:spacing w:val="-11"/>
          <w:sz w:val="24"/>
          <w:szCs w:val="24"/>
          <w:highlight w:val="none"/>
        </w:rPr>
        <w:t>；</w:t>
      </w:r>
      <w:r>
        <w:rPr>
          <w:rFonts w:ascii="宋体" w:hAnsi="宋体" w:eastAsia="宋体" w:cs="宋体"/>
          <w:color w:val="auto"/>
          <w:spacing w:val="-3"/>
          <w:sz w:val="24"/>
          <w:szCs w:val="24"/>
          <w:highlight w:val="none"/>
        </w:rPr>
        <w:t>承接企业为</w:t>
      </w:r>
      <w:r>
        <w:rPr>
          <w:rFonts w:ascii="宋体" w:hAnsi="宋体" w:eastAsia="宋体" w:cs="宋体"/>
          <w:color w:val="auto"/>
          <w:spacing w:val="-3"/>
          <w:sz w:val="24"/>
          <w:szCs w:val="24"/>
          <w:highlight w:val="none"/>
          <w:u w:val="single" w:color="auto"/>
        </w:rPr>
        <w:t>（企</w:t>
      </w:r>
      <w:r>
        <w:rPr>
          <w:rFonts w:ascii="宋体" w:hAnsi="宋体" w:eastAsia="宋体" w:cs="宋体"/>
          <w:color w:val="auto"/>
          <w:spacing w:val="-4"/>
          <w:sz w:val="24"/>
          <w:szCs w:val="24"/>
          <w:highlight w:val="none"/>
          <w:u w:val="single" w:color="auto"/>
        </w:rPr>
        <w:t>业名</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u w:val="single" w:color="auto"/>
        </w:rPr>
        <w:t>称</w:t>
      </w:r>
      <w:r>
        <w:rPr>
          <w:rFonts w:ascii="宋体" w:hAnsi="宋体" w:eastAsia="宋体" w:cs="宋体"/>
          <w:color w:val="auto"/>
          <w:spacing w:val="9"/>
          <w:sz w:val="24"/>
          <w:szCs w:val="24"/>
          <w:highlight w:val="none"/>
          <w:u w:val="single" w:color="auto"/>
        </w:rPr>
        <w:t>）</w:t>
      </w:r>
      <w:r>
        <w:rPr>
          <w:rFonts w:ascii="宋体" w:hAnsi="宋体" w:eastAsia="宋体" w:cs="宋体"/>
          <w:color w:val="auto"/>
          <w:spacing w:val="9"/>
          <w:sz w:val="24"/>
          <w:szCs w:val="24"/>
          <w:highlight w:val="none"/>
        </w:rPr>
        <w:t>，</w:t>
      </w:r>
      <w:r>
        <w:rPr>
          <w:rFonts w:ascii="宋体" w:hAnsi="宋体" w:eastAsia="宋体" w:cs="宋体"/>
          <w:color w:val="auto"/>
          <w:spacing w:val="2"/>
          <w:sz w:val="24"/>
          <w:szCs w:val="24"/>
          <w:highlight w:val="none"/>
        </w:rPr>
        <w:t>从业人员人，营业收入为</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rPr>
        <w:t>万元，资产总额为</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rPr>
        <w:t>万元，属于</w:t>
      </w:r>
      <w:r>
        <w:rPr>
          <w:rFonts w:ascii="宋体" w:hAnsi="宋体" w:eastAsia="宋体" w:cs="宋体"/>
          <w:color w:val="auto"/>
          <w:spacing w:val="2"/>
          <w:sz w:val="24"/>
          <w:szCs w:val="24"/>
          <w:highlight w:val="none"/>
          <w:u w:val="single" w:color="auto"/>
        </w:rPr>
        <w:t>（中型企业、小型企</w:t>
      </w:r>
      <w:r>
        <w:rPr>
          <w:rFonts w:ascii="宋体" w:hAnsi="宋体" w:eastAsia="宋体" w:cs="宋体"/>
          <w:color w:val="auto"/>
          <w:spacing w:val="-2"/>
          <w:sz w:val="24"/>
          <w:szCs w:val="24"/>
          <w:highlight w:val="none"/>
          <w:u w:val="single" w:color="auto"/>
        </w:rPr>
        <w:t>业、微型企业</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p>
    <w:p w14:paraId="0AE063DE">
      <w:pPr>
        <w:spacing w:before="235" w:line="330" w:lineRule="auto"/>
        <w:ind w:right="6" w:firstLine="6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w:t>
      </w:r>
      <w:r>
        <w:rPr>
          <w:rFonts w:ascii="宋体" w:hAnsi="宋体" w:eastAsia="宋体" w:cs="宋体"/>
          <w:color w:val="auto"/>
          <w:spacing w:val="-2"/>
          <w:sz w:val="24"/>
          <w:szCs w:val="24"/>
          <w:highlight w:val="none"/>
          <w:u w:val="single" w:color="auto"/>
        </w:rPr>
        <w:t>（标的名称</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承接企业为</w:t>
      </w:r>
      <w:r>
        <w:rPr>
          <w:rFonts w:ascii="宋体" w:hAnsi="宋体" w:eastAsia="宋体" w:cs="宋体"/>
          <w:color w:val="auto"/>
          <w:spacing w:val="-2"/>
          <w:sz w:val="24"/>
          <w:szCs w:val="24"/>
          <w:highlight w:val="none"/>
          <w:u w:val="single" w:color="auto"/>
        </w:rPr>
        <w:t>（企业名</w:t>
      </w:r>
      <w:r>
        <w:rPr>
          <w:rFonts w:ascii="宋体" w:hAnsi="宋体" w:eastAsia="宋体" w:cs="宋体"/>
          <w:color w:val="auto"/>
          <w:spacing w:val="2"/>
          <w:sz w:val="24"/>
          <w:szCs w:val="24"/>
          <w:highlight w:val="none"/>
        </w:rPr>
        <w:t xml:space="preserve"> </w:t>
      </w:r>
      <w:r>
        <w:rPr>
          <w:rFonts w:ascii="宋体" w:hAnsi="宋体" w:eastAsia="宋体" w:cs="宋体"/>
          <w:color w:val="auto"/>
          <w:spacing w:val="-6"/>
          <w:sz w:val="24"/>
          <w:szCs w:val="24"/>
          <w:highlight w:val="none"/>
          <w:u w:val="single" w:color="auto"/>
        </w:rPr>
        <w:t>称</w:t>
      </w:r>
      <w:r>
        <w:rPr>
          <w:rFonts w:ascii="宋体" w:hAnsi="宋体" w:eastAsia="宋体" w:cs="宋体"/>
          <w:color w:val="auto"/>
          <w:spacing w:val="-20"/>
          <w:sz w:val="24"/>
          <w:szCs w:val="24"/>
          <w:highlight w:val="none"/>
          <w:u w:val="single" w:color="auto"/>
        </w:rPr>
        <w:t>）</w:t>
      </w:r>
      <w:r>
        <w:rPr>
          <w:rFonts w:ascii="宋体" w:hAnsi="宋体" w:eastAsia="宋体" w:cs="宋体"/>
          <w:color w:val="auto"/>
          <w:spacing w:val="-20"/>
          <w:sz w:val="24"/>
          <w:szCs w:val="24"/>
          <w:highlight w:val="none"/>
        </w:rPr>
        <w:t>，</w:t>
      </w:r>
      <w:r>
        <w:rPr>
          <w:rFonts w:ascii="宋体" w:hAnsi="宋体" w:eastAsia="宋体" w:cs="宋体"/>
          <w:color w:val="auto"/>
          <w:spacing w:val="-6"/>
          <w:sz w:val="24"/>
          <w:szCs w:val="24"/>
          <w:highlight w:val="none"/>
        </w:rPr>
        <w:t>从业人员人，营业收入为万元，资产总额为万元，属于</w:t>
      </w:r>
      <w:r>
        <w:rPr>
          <w:rFonts w:ascii="宋体" w:hAnsi="宋体" w:eastAsia="宋体" w:cs="宋体"/>
          <w:color w:val="auto"/>
          <w:spacing w:val="-6"/>
          <w:sz w:val="24"/>
          <w:szCs w:val="24"/>
          <w:highlight w:val="none"/>
          <w:u w:val="single" w:color="auto"/>
        </w:rPr>
        <w:t>（中型企业、小型企业、</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u w:val="single" w:color="auto"/>
        </w:rPr>
        <w:t>微型企业</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p>
    <w:p w14:paraId="281A3E8F">
      <w:pPr>
        <w:spacing w:before="247" w:line="378" w:lineRule="exact"/>
        <w:ind w:left="776"/>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063D4AA2">
      <w:pPr>
        <w:spacing w:before="158" w:line="386" w:lineRule="auto"/>
        <w:ind w:right="144" w:firstLine="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以上企业，不属于大企业的分支机构，不存在控股股东</w:t>
      </w:r>
      <w:r>
        <w:rPr>
          <w:rFonts w:ascii="宋体" w:hAnsi="宋体" w:eastAsia="宋体" w:cs="宋体"/>
          <w:color w:val="auto"/>
          <w:spacing w:val="1"/>
          <w:sz w:val="24"/>
          <w:szCs w:val="24"/>
          <w:highlight w:val="none"/>
        </w:rPr>
        <w:t>为大企业的情形，也不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存在与大企业的负责人为同一人的情形。</w:t>
      </w:r>
    </w:p>
    <w:p w14:paraId="2528B58A">
      <w:pPr>
        <w:spacing w:before="27" w:line="219"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7DC84B49">
      <w:pPr>
        <w:spacing w:before="273" w:line="219" w:lineRule="auto"/>
        <w:ind w:left="396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企业名称（章</w:t>
      </w:r>
      <w:r>
        <w:rPr>
          <w:rFonts w:ascii="宋体" w:hAnsi="宋体" w:eastAsia="宋体" w:cs="宋体"/>
          <w:color w:val="auto"/>
          <w:spacing w:val="1"/>
          <w:sz w:val="24"/>
          <w:szCs w:val="24"/>
          <w:highlight w:val="none"/>
        </w:rPr>
        <w:t>）：</w:t>
      </w:r>
    </w:p>
    <w:p w14:paraId="781B846B">
      <w:pPr>
        <w:spacing w:before="272" w:line="220" w:lineRule="auto"/>
        <w:ind w:left="4002"/>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日</w:t>
      </w:r>
      <w:r>
        <w:rPr>
          <w:rFonts w:ascii="宋体" w:hAnsi="宋体" w:eastAsia="宋体" w:cs="宋体"/>
          <w:color w:val="auto"/>
          <w:spacing w:val="12"/>
          <w:sz w:val="24"/>
          <w:szCs w:val="24"/>
          <w:highlight w:val="none"/>
        </w:rPr>
        <w:t xml:space="preserve"> </w:t>
      </w:r>
      <w:r>
        <w:rPr>
          <w:rFonts w:ascii="宋体" w:hAnsi="宋体" w:eastAsia="宋体" w:cs="宋体"/>
          <w:color w:val="auto"/>
          <w:spacing w:val="-21"/>
          <w:sz w:val="24"/>
          <w:szCs w:val="24"/>
          <w:highlight w:val="none"/>
        </w:rPr>
        <w:t>期：</w:t>
      </w:r>
    </w:p>
    <w:p w14:paraId="109D8113">
      <w:pPr>
        <w:pStyle w:val="3"/>
        <w:spacing w:line="365" w:lineRule="auto"/>
        <w:rPr>
          <w:color w:val="auto"/>
          <w:highlight w:val="none"/>
        </w:rPr>
      </w:pPr>
    </w:p>
    <w:p w14:paraId="6F439DC6">
      <w:pPr>
        <w:spacing w:before="79" w:line="361" w:lineRule="auto"/>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注：享受《政府采购促进中小企业发展管理办法》（财库〔2020〕46</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号</w:t>
      </w:r>
      <w:r>
        <w:rPr>
          <w:rFonts w:ascii="宋体" w:hAnsi="宋体" w:eastAsia="宋体" w:cs="宋体"/>
          <w:color w:val="auto"/>
          <w:spacing w:val="-3"/>
          <w:sz w:val="24"/>
          <w:szCs w:val="24"/>
          <w:highlight w:val="none"/>
        </w:rPr>
        <w:t>）规定的中小</w:t>
      </w:r>
      <w:r>
        <w:rPr>
          <w:rFonts w:ascii="宋体" w:hAnsi="宋体" w:eastAsia="宋体" w:cs="宋体"/>
          <w:color w:val="auto"/>
          <w:sz w:val="24"/>
          <w:szCs w:val="24"/>
          <w:highlight w:val="none"/>
        </w:rPr>
        <w:t xml:space="preserve"> 企业扶持政策的，采购人、采购代理机构应当随中标结果公开</w:t>
      </w:r>
      <w:r>
        <w:rPr>
          <w:rFonts w:ascii="宋体" w:hAnsi="宋体" w:eastAsia="宋体" w:cs="宋体"/>
          <w:color w:val="auto"/>
          <w:spacing w:val="-1"/>
          <w:sz w:val="24"/>
          <w:szCs w:val="24"/>
          <w:highlight w:val="none"/>
        </w:rPr>
        <w:t>中标供应商的《中小企</w:t>
      </w:r>
      <w:r>
        <w:rPr>
          <w:rFonts w:ascii="宋体" w:hAnsi="宋体" w:eastAsia="宋体" w:cs="宋体"/>
          <w:color w:val="auto"/>
          <w:sz w:val="24"/>
          <w:szCs w:val="24"/>
          <w:highlight w:val="none"/>
        </w:rPr>
        <w:t xml:space="preserve"> 业声明函》。从业人员、营业收入、资产总额填报上一年</w:t>
      </w:r>
      <w:r>
        <w:rPr>
          <w:rFonts w:ascii="宋体" w:hAnsi="宋体" w:eastAsia="宋体" w:cs="宋体"/>
          <w:color w:val="auto"/>
          <w:spacing w:val="-1"/>
          <w:sz w:val="24"/>
          <w:szCs w:val="24"/>
          <w:highlight w:val="none"/>
        </w:rPr>
        <w:t>度数据，无上一年度数据的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新成立企业可不填报。</w:t>
      </w:r>
    </w:p>
    <w:p w14:paraId="7B1590A4">
      <w:pPr>
        <w:spacing w:line="361" w:lineRule="auto"/>
        <w:rPr>
          <w:rFonts w:ascii="宋体" w:hAnsi="宋体" w:eastAsia="宋体" w:cs="宋体"/>
          <w:color w:val="auto"/>
          <w:sz w:val="24"/>
          <w:szCs w:val="24"/>
          <w:highlight w:val="none"/>
        </w:rPr>
        <w:sectPr>
          <w:footerReference r:id="rId38" w:type="default"/>
          <w:pgSz w:w="11906" w:h="16839"/>
          <w:pgMar w:top="1431" w:right="1439" w:bottom="1362" w:left="1594" w:header="0" w:footer="1200" w:gutter="0"/>
          <w:pgNumType w:fmt="decimal"/>
          <w:cols w:space="720" w:num="1"/>
        </w:sectPr>
      </w:pPr>
    </w:p>
    <w:p w14:paraId="2C619E49">
      <w:pPr>
        <w:spacing w:before="150" w:line="225" w:lineRule="auto"/>
        <w:ind w:left="2682"/>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残疾人福利性单位声明函</w:t>
      </w:r>
    </w:p>
    <w:p w14:paraId="3E3A4169">
      <w:pPr>
        <w:pStyle w:val="3"/>
        <w:spacing w:line="277" w:lineRule="auto"/>
        <w:rPr>
          <w:color w:val="auto"/>
          <w:highlight w:val="none"/>
        </w:rPr>
      </w:pPr>
    </w:p>
    <w:p w14:paraId="765E13F4">
      <w:pPr>
        <w:pStyle w:val="3"/>
        <w:spacing w:line="277" w:lineRule="auto"/>
        <w:rPr>
          <w:color w:val="auto"/>
          <w:highlight w:val="none"/>
        </w:rPr>
      </w:pPr>
    </w:p>
    <w:p w14:paraId="369C0B2F">
      <w:pPr>
        <w:spacing w:before="78" w:line="360" w:lineRule="auto"/>
        <w:ind w:firstLine="481"/>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本单位郑重声明，根据《财政部</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民政部</w:t>
      </w:r>
      <w:r>
        <w:rPr>
          <w:rFonts w:ascii="宋体" w:hAnsi="宋体" w:eastAsia="宋体" w:cs="宋体"/>
          <w:color w:val="auto"/>
          <w:spacing w:val="32"/>
          <w:sz w:val="24"/>
          <w:szCs w:val="24"/>
          <w:highlight w:val="none"/>
        </w:rPr>
        <w:t xml:space="preserve"> </w:t>
      </w:r>
      <w:r>
        <w:rPr>
          <w:rFonts w:ascii="宋体" w:hAnsi="宋体" w:eastAsia="宋体" w:cs="宋体"/>
          <w:color w:val="auto"/>
          <w:spacing w:val="-2"/>
          <w:sz w:val="24"/>
          <w:szCs w:val="24"/>
          <w:highlight w:val="none"/>
        </w:rPr>
        <w:t>中国残疾人联合会</w:t>
      </w:r>
      <w:r>
        <w:rPr>
          <w:rFonts w:ascii="宋体" w:hAnsi="宋体" w:eastAsia="宋体" w:cs="宋体"/>
          <w:color w:val="auto"/>
          <w:spacing w:val="-3"/>
          <w:sz w:val="24"/>
          <w:szCs w:val="24"/>
          <w:highlight w:val="none"/>
        </w:rPr>
        <w:t>关于促进残疾人就业</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政府采购政策的通知》（财库〔2017〕141</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号）的规定，本单</w:t>
      </w:r>
      <w:r>
        <w:rPr>
          <w:rFonts w:ascii="宋体" w:hAnsi="宋体" w:eastAsia="宋体" w:cs="宋体"/>
          <w:color w:val="auto"/>
          <w:sz w:val="24"/>
          <w:szCs w:val="24"/>
          <w:highlight w:val="none"/>
        </w:rPr>
        <w:t>位为符合条件的残疾人 福利性单位，且本单位参加单位的项目采购活动提供本单位制</w:t>
      </w:r>
      <w:r>
        <w:rPr>
          <w:rFonts w:ascii="宋体" w:hAnsi="宋体" w:eastAsia="宋体" w:cs="宋体"/>
          <w:color w:val="auto"/>
          <w:spacing w:val="-1"/>
          <w:sz w:val="24"/>
          <w:szCs w:val="24"/>
          <w:highlight w:val="none"/>
        </w:rPr>
        <w:t>造的货物（由本单位承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担工程/提供服务</w:t>
      </w:r>
      <w:r>
        <w:rPr>
          <w:rFonts w:ascii="宋体" w:hAnsi="宋体" w:eastAsia="宋体" w:cs="宋体"/>
          <w:color w:val="auto"/>
          <w:spacing w:val="20"/>
          <w:sz w:val="24"/>
          <w:szCs w:val="24"/>
          <w:highlight w:val="none"/>
        </w:rPr>
        <w:t>），</w:t>
      </w:r>
      <w:r>
        <w:rPr>
          <w:rFonts w:ascii="宋体" w:hAnsi="宋体" w:eastAsia="宋体" w:cs="宋体"/>
          <w:color w:val="auto"/>
          <w:spacing w:val="2"/>
          <w:sz w:val="24"/>
          <w:szCs w:val="24"/>
          <w:highlight w:val="none"/>
        </w:rPr>
        <w:t>或者提供其他残疾人福利性单位制造的货物（不包括使用非残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疾人福利性单位注册商标的货物）。</w:t>
      </w:r>
    </w:p>
    <w:p w14:paraId="29AA57FE">
      <w:pPr>
        <w:spacing w:line="218"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本单位对上述声明的真实性负责。如有虚假，将依法承担相应责任。</w:t>
      </w:r>
    </w:p>
    <w:p w14:paraId="728A91CB">
      <w:pPr>
        <w:pStyle w:val="3"/>
        <w:spacing w:line="250" w:lineRule="auto"/>
        <w:rPr>
          <w:color w:val="auto"/>
          <w:highlight w:val="none"/>
        </w:rPr>
      </w:pPr>
    </w:p>
    <w:p w14:paraId="32E93F6E">
      <w:pPr>
        <w:pStyle w:val="3"/>
        <w:spacing w:line="250" w:lineRule="auto"/>
        <w:rPr>
          <w:color w:val="auto"/>
          <w:highlight w:val="none"/>
        </w:rPr>
      </w:pPr>
    </w:p>
    <w:p w14:paraId="2BB4E1D2">
      <w:pPr>
        <w:pStyle w:val="3"/>
        <w:spacing w:line="250" w:lineRule="auto"/>
        <w:rPr>
          <w:color w:val="auto"/>
          <w:highlight w:val="none"/>
        </w:rPr>
      </w:pPr>
    </w:p>
    <w:p w14:paraId="05DD8638">
      <w:pPr>
        <w:pStyle w:val="3"/>
        <w:spacing w:line="250" w:lineRule="auto"/>
        <w:rPr>
          <w:color w:val="auto"/>
          <w:highlight w:val="none"/>
        </w:rPr>
      </w:pPr>
    </w:p>
    <w:p w14:paraId="71D6A369">
      <w:pPr>
        <w:pStyle w:val="3"/>
        <w:spacing w:line="250" w:lineRule="auto"/>
        <w:rPr>
          <w:color w:val="auto"/>
          <w:highlight w:val="none"/>
        </w:rPr>
      </w:pPr>
    </w:p>
    <w:p w14:paraId="27D5BFF1">
      <w:pPr>
        <w:pStyle w:val="3"/>
        <w:spacing w:line="250" w:lineRule="auto"/>
        <w:rPr>
          <w:color w:val="auto"/>
          <w:highlight w:val="none"/>
        </w:rPr>
      </w:pPr>
    </w:p>
    <w:p w14:paraId="48BE676D">
      <w:pPr>
        <w:spacing w:before="78" w:line="219" w:lineRule="auto"/>
        <w:ind w:left="24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单位名称（盖章</w:t>
      </w:r>
      <w:r>
        <w:rPr>
          <w:rFonts w:ascii="宋体" w:hAnsi="宋体" w:eastAsia="宋体" w:cs="宋体"/>
          <w:color w:val="auto"/>
          <w:sz w:val="24"/>
          <w:szCs w:val="24"/>
          <w:highlight w:val="none"/>
        </w:rPr>
        <w:t>）：</w:t>
      </w:r>
    </w:p>
    <w:p w14:paraId="1F82A9B5">
      <w:pPr>
        <w:spacing w:before="183" w:line="220" w:lineRule="auto"/>
        <w:ind w:left="3642"/>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日</w:t>
      </w:r>
      <w:r>
        <w:rPr>
          <w:rFonts w:ascii="宋体" w:hAnsi="宋体" w:eastAsia="宋体" w:cs="宋体"/>
          <w:color w:val="auto"/>
          <w:spacing w:val="6"/>
          <w:sz w:val="24"/>
          <w:szCs w:val="24"/>
          <w:highlight w:val="none"/>
        </w:rPr>
        <w:t xml:space="preserve">  </w:t>
      </w:r>
      <w:r>
        <w:rPr>
          <w:rFonts w:ascii="宋体" w:hAnsi="宋体" w:eastAsia="宋体" w:cs="宋体"/>
          <w:color w:val="auto"/>
          <w:spacing w:val="-21"/>
          <w:sz w:val="24"/>
          <w:szCs w:val="24"/>
          <w:highlight w:val="none"/>
        </w:rPr>
        <w:t>期：</w:t>
      </w:r>
    </w:p>
    <w:p w14:paraId="751724C3">
      <w:pPr>
        <w:pStyle w:val="3"/>
        <w:spacing w:line="249" w:lineRule="auto"/>
        <w:rPr>
          <w:color w:val="auto"/>
          <w:highlight w:val="none"/>
        </w:rPr>
      </w:pPr>
    </w:p>
    <w:p w14:paraId="53B2B1A4">
      <w:pPr>
        <w:pStyle w:val="3"/>
        <w:spacing w:line="249" w:lineRule="auto"/>
        <w:rPr>
          <w:color w:val="auto"/>
          <w:highlight w:val="none"/>
        </w:rPr>
      </w:pPr>
    </w:p>
    <w:p w14:paraId="29F8C886">
      <w:pPr>
        <w:pStyle w:val="3"/>
        <w:spacing w:line="250" w:lineRule="auto"/>
        <w:rPr>
          <w:color w:val="auto"/>
          <w:highlight w:val="none"/>
        </w:rPr>
      </w:pPr>
    </w:p>
    <w:p w14:paraId="6D9761CF">
      <w:pPr>
        <w:pStyle w:val="3"/>
        <w:spacing w:line="250" w:lineRule="auto"/>
        <w:rPr>
          <w:color w:val="auto"/>
          <w:highlight w:val="none"/>
        </w:rPr>
      </w:pPr>
    </w:p>
    <w:p w14:paraId="718FFD5C">
      <w:pPr>
        <w:pStyle w:val="3"/>
        <w:spacing w:line="250" w:lineRule="auto"/>
        <w:rPr>
          <w:color w:val="auto"/>
          <w:highlight w:val="none"/>
        </w:rPr>
      </w:pPr>
    </w:p>
    <w:p w14:paraId="63D9CC27">
      <w:pPr>
        <w:pStyle w:val="3"/>
        <w:spacing w:line="250" w:lineRule="auto"/>
        <w:rPr>
          <w:color w:val="auto"/>
          <w:highlight w:val="none"/>
        </w:rPr>
      </w:pPr>
    </w:p>
    <w:p w14:paraId="61A0BFFD">
      <w:pPr>
        <w:spacing w:before="79" w:line="360" w:lineRule="auto"/>
        <w:ind w:left="10" w:hanging="10"/>
        <w:rPr>
          <w:rFonts w:ascii="宋体" w:hAnsi="宋体" w:eastAsia="宋体" w:cs="宋体"/>
          <w:color w:val="auto"/>
          <w:sz w:val="24"/>
          <w:szCs w:val="24"/>
          <w:highlight w:val="none"/>
        </w:rPr>
      </w:pPr>
      <w:r>
        <w:rPr>
          <w:rFonts w:ascii="宋体" w:hAnsi="宋体" w:eastAsia="宋体" w:cs="宋体"/>
          <w:color w:val="auto"/>
          <w:sz w:val="24"/>
          <w:szCs w:val="24"/>
          <w:highlight w:val="none"/>
        </w:rPr>
        <w:t>注：请根据自己的真实情况出具《残疾人福利性单位声明函</w:t>
      </w:r>
      <w:r>
        <w:rPr>
          <w:rFonts w:ascii="宋体" w:hAnsi="宋体" w:eastAsia="宋体" w:cs="宋体"/>
          <w:color w:val="auto"/>
          <w:spacing w:val="-1"/>
          <w:sz w:val="24"/>
          <w:szCs w:val="24"/>
          <w:highlight w:val="none"/>
        </w:rPr>
        <w:t>》。依法享受中小企业优</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惠政策的，采购人或者采购代理机构在公告中标结果时，同时公告其《残疾人福利性</w:t>
      </w:r>
    </w:p>
    <w:p w14:paraId="3AEDDD5E">
      <w:pPr>
        <w:spacing w:before="1" w:line="218" w:lineRule="auto"/>
        <w:ind w:left="2"/>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单位声明函》，接受社会监督。</w:t>
      </w:r>
    </w:p>
    <w:p w14:paraId="5D8DBF8E">
      <w:pPr>
        <w:spacing w:line="218" w:lineRule="auto"/>
        <w:rPr>
          <w:rFonts w:ascii="宋体" w:hAnsi="宋体" w:eastAsia="宋体" w:cs="宋体"/>
          <w:color w:val="auto"/>
          <w:sz w:val="24"/>
          <w:szCs w:val="24"/>
          <w:highlight w:val="none"/>
        </w:rPr>
        <w:sectPr>
          <w:footerReference r:id="rId39" w:type="default"/>
          <w:pgSz w:w="11906" w:h="16839"/>
          <w:pgMar w:top="1431" w:right="1439" w:bottom="1362" w:left="1594" w:header="0" w:footer="1200" w:gutter="0"/>
          <w:pgNumType w:fmt="decimal"/>
          <w:cols w:space="720" w:num="1"/>
        </w:sectPr>
      </w:pPr>
    </w:p>
    <w:p w14:paraId="161C97DC">
      <w:pPr>
        <w:spacing w:before="101" w:line="224" w:lineRule="auto"/>
        <w:jc w:val="center"/>
        <w:rPr>
          <w:rFonts w:hint="eastAsia" w:ascii="宋体" w:hAnsi="宋体" w:eastAsia="宋体" w:cs="宋体"/>
          <w:color w:val="auto"/>
          <w:sz w:val="36"/>
          <w:szCs w:val="36"/>
          <w:highlight w:val="none"/>
          <w:lang w:eastAsia="zh-CN"/>
        </w:rPr>
      </w:pPr>
      <w:r>
        <w:rPr>
          <w:rFonts w:ascii="宋体" w:hAnsi="宋体" w:eastAsia="宋体" w:cs="宋体"/>
          <w:b/>
          <w:bCs/>
          <w:color w:val="auto"/>
          <w:spacing w:val="5"/>
          <w:sz w:val="36"/>
          <w:szCs w:val="36"/>
          <w:highlight w:val="none"/>
        </w:rPr>
        <w:t>第六章</w:t>
      </w:r>
      <w:r>
        <w:rPr>
          <w:rFonts w:ascii="宋体" w:hAnsi="宋体" w:eastAsia="宋体" w:cs="宋体"/>
          <w:color w:val="auto"/>
          <w:spacing w:val="5"/>
          <w:sz w:val="36"/>
          <w:szCs w:val="36"/>
          <w:highlight w:val="none"/>
        </w:rPr>
        <w:t xml:space="preserve"> </w:t>
      </w:r>
      <w:r>
        <w:rPr>
          <w:rFonts w:ascii="宋体" w:hAnsi="宋体" w:eastAsia="宋体" w:cs="宋体"/>
          <w:b/>
          <w:bCs/>
          <w:color w:val="auto"/>
          <w:spacing w:val="5"/>
          <w:sz w:val="36"/>
          <w:szCs w:val="36"/>
          <w:highlight w:val="none"/>
        </w:rPr>
        <w:t>合同文本</w:t>
      </w:r>
      <w:bookmarkStart w:id="6" w:name="_bookmark178"/>
      <w:bookmarkEnd w:id="6"/>
      <w:bookmarkStart w:id="7" w:name="_Toc256000412"/>
      <w:bookmarkStart w:id="8" w:name="_Toc36373369"/>
    </w:p>
    <w:p w14:paraId="057526DA">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14:paraId="253724C5">
      <w:pPr>
        <w:pStyle w:val="18"/>
        <w:spacing w:line="500" w:lineRule="exact"/>
        <w:jc w:val="center"/>
        <w:rPr>
          <w:rFonts w:hint="eastAsia"/>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第一节  </w:t>
      </w:r>
      <w:r>
        <w:rPr>
          <w:rFonts w:hint="eastAsia" w:ascii="宋体" w:hAnsi="宋体" w:eastAsia="宋体" w:cs="宋体"/>
          <w:color w:val="auto"/>
          <w:sz w:val="28"/>
          <w:szCs w:val="28"/>
          <w:highlight w:val="none"/>
          <w:lang w:eastAsia="zh-CN"/>
        </w:rPr>
        <w:t>合同协议书</w:t>
      </w:r>
      <w:bookmarkEnd w:id="7"/>
      <w:bookmarkEnd w:id="8"/>
    </w:p>
    <w:p w14:paraId="15F76A35">
      <w:pPr>
        <w:pStyle w:val="19"/>
        <w:spacing w:line="500" w:lineRule="exact"/>
        <w:rPr>
          <w:rFonts w:hint="eastAsia"/>
          <w:color w:val="auto"/>
          <w:sz w:val="28"/>
          <w:highlight w:val="none"/>
          <w:lang w:eastAsia="zh-CN"/>
        </w:rPr>
      </w:pPr>
    </w:p>
    <w:p w14:paraId="57F3B213">
      <w:pPr>
        <w:pStyle w:val="19"/>
        <w:tabs>
          <w:tab w:val="left" w:pos="2457"/>
          <w:tab w:val="left" w:pos="3592"/>
          <w:tab w:val="left" w:pos="8115"/>
        </w:tabs>
        <w:spacing w:before="227" w:line="360" w:lineRule="auto"/>
        <w:ind w:left="94" w:leftChars="45" w:right="109" w:firstLine="420" w:firstLineChars="200"/>
        <w:jc w:val="both"/>
        <w:rPr>
          <w:rFonts w:ascii="Times New Roman" w:hAnsi="Times New Roman" w:cs="Times New Roman"/>
          <w:color w:val="auto"/>
          <w:highlight w:val="none"/>
          <w:lang w:eastAsia="zh-CN"/>
        </w:rPr>
      </w:pP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lang w:eastAsia="zh-CN"/>
        </w:rPr>
        <w:t>（发包人名称，以下简称“发包人”）为实施</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lang w:eastAsia="zh-CN"/>
        </w:rPr>
        <w:t>（项目 名称</w:t>
      </w:r>
      <w:r>
        <w:rPr>
          <w:rFonts w:ascii="Times New Roman" w:hAnsi="Times New Roman" w:cs="Times New Roman"/>
          <w:color w:val="auto"/>
          <w:spacing w:val="-104"/>
          <w:highlight w:val="none"/>
          <w:lang w:eastAsia="zh-CN"/>
        </w:rPr>
        <w:t>）</w:t>
      </w:r>
      <w:r>
        <w:rPr>
          <w:rFonts w:ascii="Times New Roman" w:hAnsi="Times New Roman" w:cs="Times New Roman"/>
          <w:color w:val="auto"/>
          <w:highlight w:val="none"/>
          <w:lang w:eastAsia="zh-CN"/>
        </w:rPr>
        <w:t>，已接受</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lang w:eastAsia="zh-CN"/>
        </w:rPr>
        <w:t>（勘察人或设计人或勘察设计人名称，以下简称</w:t>
      </w:r>
      <w:r>
        <w:rPr>
          <w:rFonts w:ascii="Times New Roman" w:hAnsi="Times New Roman" w:cs="Times New Roman"/>
          <w:color w:val="auto"/>
          <w:spacing w:val="-1"/>
          <w:highlight w:val="none"/>
          <w:lang w:eastAsia="zh-CN"/>
        </w:rPr>
        <w:t>“</w:t>
      </w:r>
      <w:r>
        <w:rPr>
          <w:rFonts w:ascii="Times New Roman" w:hAnsi="Times New Roman" w:cs="Times New Roman"/>
          <w:color w:val="auto"/>
          <w:highlight w:val="none"/>
          <w:lang w:eastAsia="zh-CN"/>
        </w:rPr>
        <w:t>承包人</w:t>
      </w:r>
      <w:r>
        <w:rPr>
          <w:rFonts w:ascii="Times New Roman" w:hAnsi="Times New Roman" w:cs="Times New Roman"/>
          <w:color w:val="auto"/>
          <w:spacing w:val="-1"/>
          <w:highlight w:val="none"/>
          <w:lang w:eastAsia="zh-CN"/>
        </w:rPr>
        <w:t>”</w:t>
      </w:r>
      <w:r>
        <w:rPr>
          <w:rFonts w:ascii="Times New Roman" w:hAnsi="Times New Roman" w:cs="Times New Roman"/>
          <w:color w:val="auto"/>
          <w:highlight w:val="none"/>
          <w:lang w:eastAsia="zh-CN"/>
        </w:rPr>
        <w:t>）对该项目</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lang w:eastAsia="zh-CN"/>
        </w:rPr>
        <w:t>（□勘察□设计□勘察设计）的投标。发包人和承包人共同达成如下协议。</w:t>
      </w:r>
    </w:p>
    <w:p w14:paraId="2E162FF9">
      <w:pPr>
        <w:pStyle w:val="17"/>
        <w:spacing w:line="360" w:lineRule="auto"/>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 xml:space="preserve">    1.本协议书与下列文件一起构成合同文件：</w:t>
      </w:r>
    </w:p>
    <w:p w14:paraId="760046E2">
      <w:pPr>
        <w:pStyle w:val="19"/>
        <w:spacing w:before="151" w:line="360" w:lineRule="auto"/>
        <w:ind w:left="520"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（1）中标通知书；</w:t>
      </w:r>
    </w:p>
    <w:p w14:paraId="09314AFB">
      <w:pPr>
        <w:pStyle w:val="19"/>
        <w:spacing w:before="148" w:line="360" w:lineRule="auto"/>
        <w:ind w:left="520"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（2）投标函及投标函附录；</w:t>
      </w:r>
    </w:p>
    <w:p w14:paraId="28AC472B">
      <w:pPr>
        <w:pStyle w:val="19"/>
        <w:spacing w:before="148" w:line="360" w:lineRule="auto"/>
        <w:ind w:left="520"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（3）专用合同条款；</w:t>
      </w:r>
    </w:p>
    <w:p w14:paraId="65917F04">
      <w:pPr>
        <w:pStyle w:val="19"/>
        <w:spacing w:before="151" w:line="360" w:lineRule="auto"/>
        <w:ind w:left="520"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（4）通用合同条款；</w:t>
      </w:r>
    </w:p>
    <w:p w14:paraId="3BB40B05">
      <w:pPr>
        <w:pStyle w:val="19"/>
        <w:spacing w:before="148" w:line="360" w:lineRule="auto"/>
        <w:ind w:left="520"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（5）发包人要求；</w:t>
      </w:r>
    </w:p>
    <w:p w14:paraId="2CF0FF52">
      <w:pPr>
        <w:pStyle w:val="19"/>
        <w:spacing w:before="149" w:line="360" w:lineRule="auto"/>
        <w:ind w:left="520"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（6）服务费用清单；</w:t>
      </w:r>
    </w:p>
    <w:p w14:paraId="684B4F07">
      <w:pPr>
        <w:pStyle w:val="19"/>
        <w:spacing w:before="151" w:line="360" w:lineRule="auto"/>
        <w:ind w:left="520"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（7）技术服务方案；</w:t>
      </w:r>
    </w:p>
    <w:p w14:paraId="58B7F0A2">
      <w:pPr>
        <w:pStyle w:val="19"/>
        <w:spacing w:before="148" w:line="360" w:lineRule="auto"/>
        <w:ind w:left="520"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（8）其他合同文件。</w:t>
      </w:r>
    </w:p>
    <w:p w14:paraId="0CF12AB6">
      <w:pPr>
        <w:pStyle w:val="17"/>
        <w:spacing w:line="360" w:lineRule="auto"/>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 xml:space="preserve">    2.上述合同文件互相补充和解释。如果合同文件之间存在矛盾或不一致之处，以上述文件 的排列顺序在先者为准。</w:t>
      </w:r>
    </w:p>
    <w:p w14:paraId="47D88C11">
      <w:pPr>
        <w:pStyle w:val="19"/>
        <w:tabs>
          <w:tab w:val="left" w:pos="4984"/>
          <w:tab w:val="left" w:pos="6768"/>
        </w:tabs>
        <w:spacing w:before="55" w:line="360" w:lineRule="auto"/>
        <w:ind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3.签约合同价：人民币（大写）</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spacing w:val="-3"/>
          <w:highlight w:val="none"/>
          <w:lang w:eastAsia="zh-CN"/>
        </w:rPr>
        <w:t>（¥</w:t>
      </w:r>
      <w:r>
        <w:rPr>
          <w:rFonts w:ascii="Times New Roman" w:hAnsi="Times New Roman" w:cs="Times New Roman"/>
          <w:color w:val="auto"/>
          <w:spacing w:val="-3"/>
          <w:highlight w:val="none"/>
          <w:u w:val="single"/>
          <w:lang w:eastAsia="zh-CN"/>
        </w:rPr>
        <w:t xml:space="preserve"> </w:t>
      </w:r>
      <w:r>
        <w:rPr>
          <w:rFonts w:ascii="Times New Roman" w:hAnsi="Times New Roman" w:cs="Times New Roman"/>
          <w:color w:val="auto"/>
          <w:spacing w:val="-3"/>
          <w:highlight w:val="none"/>
          <w:u w:val="single"/>
          <w:lang w:eastAsia="zh-CN"/>
        </w:rPr>
        <w:tab/>
      </w:r>
      <w:r>
        <w:rPr>
          <w:rFonts w:ascii="Times New Roman" w:hAnsi="Times New Roman" w:cs="Times New Roman"/>
          <w:color w:val="auto"/>
          <w:spacing w:val="-106"/>
          <w:highlight w:val="none"/>
          <w:lang w:eastAsia="zh-CN"/>
        </w:rPr>
        <w:t>）。</w:t>
      </w:r>
    </w:p>
    <w:p w14:paraId="3EF82829">
      <w:pPr>
        <w:pStyle w:val="19"/>
        <w:tabs>
          <w:tab w:val="left" w:pos="3093"/>
        </w:tabs>
        <w:spacing w:before="149" w:line="360" w:lineRule="auto"/>
        <w:ind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4.项目负责人：</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lang w:eastAsia="zh-CN"/>
        </w:rPr>
        <w:t>。</w:t>
      </w:r>
    </w:p>
    <w:p w14:paraId="79853ACD">
      <w:pPr>
        <w:pStyle w:val="19"/>
        <w:tabs>
          <w:tab w:val="left" w:pos="6348"/>
        </w:tabs>
        <w:spacing w:before="151" w:line="360" w:lineRule="auto"/>
        <w:ind w:right="10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5. 服务工作质量符合的标准和要求：</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lang w:eastAsia="zh-CN"/>
        </w:rPr>
        <w:t>。</w:t>
      </w:r>
    </w:p>
    <w:p w14:paraId="67F6F5B1">
      <w:pPr>
        <w:pStyle w:val="19"/>
        <w:spacing w:before="148" w:line="360" w:lineRule="auto"/>
        <w:ind w:right="108" w:firstLine="21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6. 承包人承诺按合同约定承担工程的设计工作。</w:t>
      </w:r>
    </w:p>
    <w:p w14:paraId="66B1055F">
      <w:pPr>
        <w:pStyle w:val="19"/>
        <w:spacing w:before="148" w:line="360" w:lineRule="auto"/>
        <w:ind w:right="108" w:firstLine="21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7.发包人承诺按合同约定的条件、时间和方式向承包人支付合同价款。</w:t>
      </w:r>
    </w:p>
    <w:p w14:paraId="0248B58D">
      <w:pPr>
        <w:pStyle w:val="19"/>
        <w:spacing w:before="148" w:line="360" w:lineRule="auto"/>
        <w:ind w:right="108" w:firstLine="210" w:firstLineChars="10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8. 承包人计划开始</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u w:val="single"/>
          <w:lang w:eastAsia="zh-CN"/>
        </w:rPr>
        <w:t>□勘察□设计</w:t>
      </w:r>
      <w:r>
        <w:rPr>
          <w:rFonts w:hint="eastAsia" w:ascii="Times New Roman" w:hAnsi="Times New Roman" w:cs="Times New Roman"/>
          <w:color w:val="auto"/>
          <w:highlight w:val="none"/>
          <w:u w:val="single"/>
          <w:lang w:eastAsia="zh-CN"/>
        </w:rPr>
        <w:t>☑</w:t>
      </w:r>
      <w:r>
        <w:rPr>
          <w:rFonts w:ascii="Times New Roman" w:hAnsi="Times New Roman" w:cs="Times New Roman"/>
          <w:color w:val="auto"/>
          <w:highlight w:val="none"/>
          <w:u w:val="single"/>
          <w:lang w:eastAsia="zh-CN"/>
        </w:rPr>
        <w:t>勘察设计</w:t>
      </w:r>
      <w:r>
        <w:rPr>
          <w:rFonts w:ascii="Times New Roman" w:hAnsi="Times New Roman" w:cs="Times New Roman"/>
          <w:color w:val="auto"/>
          <w:highlight w:val="none"/>
          <w:lang w:eastAsia="zh-CN"/>
        </w:rPr>
        <w:t>日期：</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lang w:eastAsia="zh-CN"/>
        </w:rPr>
        <w:t>，实际日期按照发包人在开始</w:t>
      </w:r>
      <w:r>
        <w:rPr>
          <w:rFonts w:ascii="Times New Roman" w:hAnsi="Times New Roman" w:cs="Times New Roman"/>
          <w:color w:val="auto"/>
          <w:highlight w:val="none"/>
          <w:u w:val="single"/>
          <w:lang w:eastAsia="zh-CN"/>
        </w:rPr>
        <w:t xml:space="preserve">        □勘察□设计</w:t>
      </w:r>
      <w:r>
        <w:rPr>
          <w:rFonts w:hint="eastAsia" w:ascii="Times New Roman" w:hAnsi="Times New Roman" w:cs="Times New Roman"/>
          <w:color w:val="auto"/>
          <w:highlight w:val="none"/>
          <w:u w:val="single"/>
          <w:lang w:eastAsia="zh-CN"/>
        </w:rPr>
        <w:t>☑</w:t>
      </w:r>
      <w:r>
        <w:rPr>
          <w:rFonts w:ascii="Times New Roman" w:hAnsi="Times New Roman" w:cs="Times New Roman"/>
          <w:color w:val="auto"/>
          <w:highlight w:val="none"/>
          <w:u w:val="single"/>
          <w:lang w:eastAsia="zh-CN"/>
        </w:rPr>
        <w:t>勘察设计</w:t>
      </w:r>
      <w:r>
        <w:rPr>
          <w:rFonts w:ascii="Times New Roman" w:hAnsi="Times New Roman" w:cs="Times New Roman"/>
          <w:color w:val="auto"/>
          <w:highlight w:val="none"/>
          <w:lang w:eastAsia="zh-CN"/>
        </w:rPr>
        <w:t>通知中载明的开始</w:t>
      </w:r>
      <w:r>
        <w:rPr>
          <w:rFonts w:ascii="Times New Roman" w:hAnsi="Times New Roman" w:cs="Times New Roman"/>
          <w:color w:val="auto"/>
          <w:highlight w:val="none"/>
          <w:u w:val="single"/>
          <w:lang w:eastAsia="zh-CN"/>
        </w:rPr>
        <w:t>□勘察□设计</w:t>
      </w:r>
      <w:r>
        <w:rPr>
          <w:rFonts w:hint="eastAsia" w:ascii="Times New Roman" w:hAnsi="Times New Roman" w:cs="Times New Roman"/>
          <w:color w:val="auto"/>
          <w:highlight w:val="none"/>
          <w:u w:val="single"/>
          <w:lang w:eastAsia="zh-CN"/>
        </w:rPr>
        <w:t>☑</w:t>
      </w:r>
      <w:r>
        <w:rPr>
          <w:rFonts w:ascii="Times New Roman" w:hAnsi="Times New Roman" w:cs="Times New Roman"/>
          <w:color w:val="auto"/>
          <w:highlight w:val="none"/>
          <w:u w:val="single"/>
          <w:lang w:eastAsia="zh-CN"/>
        </w:rPr>
        <w:t>勘察设计</w:t>
      </w:r>
      <w:r>
        <w:rPr>
          <w:rFonts w:ascii="Times New Roman" w:hAnsi="Times New Roman" w:cs="Times New Roman"/>
          <w:color w:val="auto"/>
          <w:highlight w:val="none"/>
          <w:lang w:eastAsia="zh-CN"/>
        </w:rPr>
        <w:t>日期为准。服务期限为</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lang w:eastAsia="zh-CN"/>
        </w:rPr>
        <w:t>天。</w:t>
      </w:r>
    </w:p>
    <w:p w14:paraId="5B1247F5">
      <w:pPr>
        <w:pStyle w:val="19"/>
        <w:spacing w:before="148" w:line="360" w:lineRule="auto"/>
        <w:ind w:right="108" w:firstLine="210" w:firstLineChars="10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9.本合同协议书一式</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highlight w:val="none"/>
          <w:lang w:eastAsia="zh-CN"/>
        </w:rPr>
        <w:t>份，合同双方各执</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u w:val="single"/>
          <w:lang w:eastAsia="zh-CN"/>
        </w:rPr>
        <w:tab/>
      </w:r>
      <w:r>
        <w:rPr>
          <w:rFonts w:ascii="Times New Roman" w:hAnsi="Times New Roman" w:cs="Times New Roman"/>
          <w:color w:val="auto"/>
          <w:spacing w:val="-3"/>
          <w:highlight w:val="none"/>
          <w:lang w:eastAsia="zh-CN"/>
        </w:rPr>
        <w:t>份。</w:t>
      </w:r>
    </w:p>
    <w:p w14:paraId="2F3C0389">
      <w:pPr>
        <w:pStyle w:val="19"/>
        <w:spacing w:before="151" w:line="360" w:lineRule="auto"/>
        <w:ind w:right="108" w:firstLine="210" w:firstLineChars="100"/>
        <w:jc w:val="both"/>
        <w:rPr>
          <w:rFonts w:hint="eastAsia"/>
          <w:color w:val="auto"/>
          <w:highlight w:val="none"/>
          <w:lang w:eastAsia="zh-CN"/>
        </w:rPr>
      </w:pPr>
      <w:r>
        <w:rPr>
          <w:rFonts w:ascii="Times New Roman" w:hAnsi="Times New Roman" w:cs="Times New Roman"/>
          <w:color w:val="auto"/>
          <w:highlight w:val="none"/>
          <w:lang w:eastAsia="zh-CN"/>
        </w:rPr>
        <w:t>10.合同未尽事宜，双方另行签订补充协议。补充协议是合同的组成部分。</w:t>
      </w:r>
    </w:p>
    <w:p w14:paraId="691BC09D">
      <w:pPr>
        <w:pStyle w:val="19"/>
        <w:tabs>
          <w:tab w:val="left" w:pos="2620"/>
          <w:tab w:val="left" w:pos="4512"/>
          <w:tab w:val="left" w:pos="7344"/>
        </w:tabs>
        <w:spacing w:before="37" w:line="360" w:lineRule="auto"/>
        <w:rPr>
          <w:rFonts w:hint="eastAsia"/>
          <w:color w:val="auto"/>
          <w:highlight w:val="none"/>
          <w:lang w:eastAsia="zh-CN"/>
        </w:rPr>
      </w:pPr>
      <w:r>
        <w:rPr>
          <w:rFonts w:hint="eastAsia"/>
          <w:color w:val="auto"/>
          <w:highlight w:val="none"/>
          <w:lang w:eastAsia="zh-CN"/>
        </w:rPr>
        <w:t>发包人：</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lang w:eastAsia="zh-CN"/>
        </w:rPr>
        <w:t>（盖单位公章）</w:t>
      </w:r>
      <w:r>
        <w:rPr>
          <w:rFonts w:hint="eastAsia"/>
          <w:color w:val="auto"/>
          <w:highlight w:val="none"/>
          <w:lang w:eastAsia="zh-CN"/>
        </w:rPr>
        <w:tab/>
      </w:r>
      <w:r>
        <w:rPr>
          <w:rFonts w:hint="eastAsia" w:ascii="Times New Roman" w:hAnsi="Times New Roman"/>
          <w:color w:val="auto"/>
          <w:highlight w:val="none"/>
          <w:lang w:eastAsia="zh-CN"/>
        </w:rPr>
        <w:t>承包</w:t>
      </w:r>
      <w:r>
        <w:rPr>
          <w:rFonts w:hint="eastAsia"/>
          <w:color w:val="auto"/>
          <w:highlight w:val="none"/>
          <w:lang w:eastAsia="zh-CN"/>
        </w:rPr>
        <w:t>人：</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lang w:eastAsia="zh-CN"/>
        </w:rPr>
        <w:t>（盖单位公章）</w:t>
      </w:r>
    </w:p>
    <w:p w14:paraId="42A7D93B">
      <w:pPr>
        <w:pStyle w:val="19"/>
        <w:spacing w:before="12" w:line="360" w:lineRule="auto"/>
        <w:rPr>
          <w:rFonts w:hint="eastAsia"/>
          <w:color w:val="auto"/>
          <w:sz w:val="9"/>
          <w:highlight w:val="none"/>
          <w:lang w:eastAsia="zh-CN"/>
        </w:rPr>
      </w:pPr>
    </w:p>
    <w:p w14:paraId="7519AC18">
      <w:pPr>
        <w:pStyle w:val="19"/>
        <w:tabs>
          <w:tab w:val="left" w:pos="3254"/>
          <w:tab w:val="left" w:pos="4515"/>
          <w:tab w:val="left" w:pos="7877"/>
        </w:tabs>
        <w:spacing w:before="37" w:line="360" w:lineRule="auto"/>
        <w:rPr>
          <w:rFonts w:hint="eastAsia"/>
          <w:color w:val="auto"/>
          <w:highlight w:val="none"/>
          <w:lang w:eastAsia="zh-CN"/>
        </w:rPr>
      </w:pPr>
      <w:r>
        <w:rPr>
          <w:rFonts w:hint="eastAsia"/>
          <w:color w:val="auto"/>
          <w:highlight w:val="none"/>
          <w:lang w:eastAsia="zh-CN"/>
        </w:rPr>
        <w:t>法定代表人或其委托代理人：</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lang w:eastAsia="zh-CN"/>
        </w:rPr>
        <w:t>（签字）</w:t>
      </w:r>
      <w:r>
        <w:rPr>
          <w:rFonts w:hint="eastAsia"/>
          <w:color w:val="auto"/>
          <w:highlight w:val="none"/>
          <w:lang w:eastAsia="zh-CN"/>
        </w:rPr>
        <w:tab/>
      </w:r>
      <w:r>
        <w:rPr>
          <w:rFonts w:hint="eastAsia"/>
          <w:color w:val="auto"/>
          <w:highlight w:val="none"/>
          <w:lang w:eastAsia="zh-CN"/>
        </w:rPr>
        <w:t>法定代表人或其委托代理人：</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（签字）</w:t>
      </w:r>
    </w:p>
    <w:p w14:paraId="738692E4">
      <w:pPr>
        <w:pStyle w:val="19"/>
        <w:spacing w:before="10" w:line="360" w:lineRule="auto"/>
        <w:rPr>
          <w:rFonts w:hint="eastAsia"/>
          <w:color w:val="auto"/>
          <w:sz w:val="9"/>
          <w:highlight w:val="none"/>
          <w:lang w:eastAsia="zh-CN"/>
        </w:rPr>
      </w:pPr>
    </w:p>
    <w:p w14:paraId="6726171C">
      <w:pPr>
        <w:pStyle w:val="19"/>
        <w:tabs>
          <w:tab w:val="left" w:pos="1045"/>
          <w:tab w:val="left" w:pos="2310"/>
          <w:tab w:val="left" w:pos="7710"/>
          <w:tab w:val="left" w:pos="7770"/>
        </w:tabs>
        <w:spacing w:before="36" w:line="360" w:lineRule="auto"/>
        <w:rPr>
          <w:rFonts w:hint="eastAsia"/>
          <w:color w:val="auto"/>
          <w:highlight w:val="none"/>
          <w:lang w:eastAsia="zh-CN"/>
        </w:rPr>
      </w:pPr>
      <w:r>
        <w:rPr>
          <w:rFonts w:hint="eastAsia"/>
          <w:color w:val="auto"/>
          <w:highlight w:val="none"/>
          <w:u w:val="single"/>
          <w:lang w:eastAsia="zh-CN"/>
        </w:rPr>
        <w:t xml:space="preserve"> </w:t>
      </w:r>
      <w:r>
        <w:rPr>
          <w:rFonts w:hint="eastAsia"/>
          <w:color w:val="auto"/>
          <w:highlight w:val="none"/>
          <w:u w:val="single"/>
          <w:lang w:eastAsia="zh-CN"/>
        </w:rPr>
        <w:tab/>
      </w:r>
      <w:r>
        <w:rPr>
          <w:rFonts w:hint="eastAsia"/>
          <w:color w:val="auto"/>
          <w:highlight w:val="none"/>
          <w:lang w:eastAsia="zh-CN"/>
        </w:rPr>
        <w:t>年</w:t>
      </w:r>
      <w:r>
        <w:rPr>
          <w:rFonts w:hint="eastAsia"/>
          <w:color w:val="auto"/>
          <w:highlight w:val="none"/>
          <w:u w:val="single"/>
          <w:lang w:eastAsia="zh-CN"/>
        </w:rPr>
        <w:t xml:space="preserve">    </w:t>
      </w:r>
      <w:r>
        <w:rPr>
          <w:rFonts w:hint="eastAsia"/>
          <w:color w:val="auto"/>
          <w:highlight w:val="none"/>
          <w:lang w:eastAsia="zh-CN"/>
        </w:rPr>
        <w:t>月</w:t>
      </w:r>
      <w:r>
        <w:rPr>
          <w:rFonts w:hint="eastAsia"/>
          <w:color w:val="auto"/>
          <w:highlight w:val="none"/>
          <w:u w:val="single"/>
          <w:lang w:eastAsia="zh-CN"/>
        </w:rPr>
        <w:t xml:space="preserve">    </w:t>
      </w:r>
      <w:r>
        <w:rPr>
          <w:rFonts w:hint="eastAsia"/>
          <w:color w:val="auto"/>
          <w:highlight w:val="none"/>
          <w:lang w:eastAsia="zh-CN"/>
        </w:rPr>
        <w:t xml:space="preserve">日                       </w:t>
      </w:r>
      <w:r>
        <w:rPr>
          <w:rFonts w:hint="eastAsia"/>
          <w:color w:val="auto"/>
          <w:highlight w:val="none"/>
          <w:u w:val="single"/>
          <w:lang w:eastAsia="zh-CN"/>
        </w:rPr>
        <w:t xml:space="preserve">          </w:t>
      </w:r>
      <w:r>
        <w:rPr>
          <w:rFonts w:hint="eastAsia"/>
          <w:color w:val="auto"/>
          <w:highlight w:val="none"/>
          <w:lang w:eastAsia="zh-CN"/>
        </w:rPr>
        <w:t>年</w:t>
      </w:r>
      <w:r>
        <w:rPr>
          <w:rFonts w:hint="eastAsia"/>
          <w:color w:val="auto"/>
          <w:highlight w:val="none"/>
          <w:u w:val="single"/>
          <w:lang w:eastAsia="zh-CN"/>
        </w:rPr>
        <w:t xml:space="preserve">    </w:t>
      </w:r>
      <w:r>
        <w:rPr>
          <w:rFonts w:hint="eastAsia"/>
          <w:color w:val="auto"/>
          <w:highlight w:val="none"/>
          <w:lang w:eastAsia="zh-CN"/>
        </w:rPr>
        <w:t>月</w:t>
      </w:r>
      <w:r>
        <w:rPr>
          <w:rFonts w:hint="eastAsia"/>
          <w:color w:val="auto"/>
          <w:highlight w:val="none"/>
          <w:u w:val="single"/>
          <w:lang w:eastAsia="zh-CN"/>
        </w:rPr>
        <w:t xml:space="preserve">    </w:t>
      </w:r>
      <w:r>
        <w:rPr>
          <w:rFonts w:hint="eastAsia"/>
          <w:color w:val="auto"/>
          <w:highlight w:val="none"/>
          <w:lang w:eastAsia="zh-CN"/>
        </w:rPr>
        <w:t>日</w:t>
      </w:r>
    </w:p>
    <w:p w14:paraId="1DAE0FE5">
      <w:pPr>
        <w:rPr>
          <w:rFonts w:ascii="Times New Roman" w:hAnsi="Times New Roman"/>
          <w:color w:val="auto"/>
          <w:highlight w:val="none"/>
          <w:lang w:eastAsia="zh-CN"/>
        </w:rPr>
      </w:pPr>
      <w:r>
        <w:rPr>
          <w:rFonts w:ascii="Times New Roman" w:hAnsi="Times New Roman"/>
          <w:color w:val="auto"/>
          <w:highlight w:val="none"/>
          <w:lang w:eastAsia="zh-CN"/>
        </w:rPr>
        <w:br w:type="page"/>
      </w:r>
    </w:p>
    <w:p w14:paraId="173A3AF1">
      <w:pPr>
        <w:pStyle w:val="13"/>
        <w:ind w:left="0"/>
        <w:jc w:val="center"/>
        <w:rPr>
          <w:rFonts w:ascii="Times New Roman" w:hAnsi="Times New Roman"/>
          <w:color w:val="auto"/>
          <w:highlight w:val="none"/>
          <w:lang w:eastAsia="zh-CN"/>
        </w:rPr>
      </w:pPr>
      <w:r>
        <w:rPr>
          <w:rFonts w:hint="eastAsia" w:ascii="Times New Roman" w:hAnsi="Times New Roman"/>
          <w:color w:val="auto"/>
          <w:highlight w:val="none"/>
          <w:lang w:val="en-US" w:eastAsia="zh-CN"/>
        </w:rPr>
        <w:t>第二节</w:t>
      </w:r>
      <w:bookmarkStart w:id="9" w:name="_Toc10331"/>
      <w:r>
        <w:rPr>
          <w:rFonts w:hint="eastAsia" w:ascii="Times New Roman" w:hAnsi="Times New Roman"/>
          <w:color w:val="auto"/>
          <w:highlight w:val="none"/>
          <w:lang w:val="en-US" w:eastAsia="zh-CN"/>
        </w:rPr>
        <w:t xml:space="preserve">   </w:t>
      </w:r>
      <w:r>
        <w:rPr>
          <w:rFonts w:ascii="Times New Roman" w:hAnsi="Times New Roman"/>
          <w:color w:val="auto"/>
          <w:highlight w:val="none"/>
          <w:lang w:eastAsia="zh-CN"/>
        </w:rPr>
        <w:t>通用合同条款</w:t>
      </w:r>
      <w:bookmarkEnd w:id="9"/>
    </w:p>
    <w:p w14:paraId="56CA7106">
      <w:pPr>
        <w:pStyle w:val="14"/>
        <w:rPr>
          <w:rFonts w:ascii="Times New Roman" w:hAnsi="Times New Roman" w:cs="Times New Roman"/>
          <w:color w:val="auto"/>
          <w:highlight w:val="none"/>
          <w:lang w:eastAsia="zh-CN"/>
        </w:rPr>
      </w:pPr>
    </w:p>
    <w:p w14:paraId="29DFB5B2">
      <w:pPr>
        <w:pStyle w:val="13"/>
        <w:ind w:left="0"/>
        <w:rPr>
          <w:rFonts w:ascii="Times New Roman" w:hAnsi="Times New Roman"/>
          <w:color w:val="auto"/>
          <w:highlight w:val="none"/>
          <w:lang w:eastAsia="zh-CN"/>
        </w:rPr>
      </w:pPr>
      <w:bookmarkStart w:id="10" w:name="_bookmark98"/>
      <w:bookmarkEnd w:id="10"/>
      <w:bookmarkStart w:id="11" w:name="_Toc256000247"/>
      <w:bookmarkStart w:id="12" w:name="_Toc27238"/>
      <w:bookmarkStart w:id="13" w:name="_Toc256000081"/>
      <w:r>
        <w:rPr>
          <w:rFonts w:ascii="Times New Roman" w:hAnsi="Times New Roman"/>
          <w:color w:val="auto"/>
          <w:highlight w:val="none"/>
          <w:lang w:eastAsia="zh-CN"/>
        </w:rPr>
        <w:t>1.一般约定</w:t>
      </w:r>
      <w:bookmarkEnd w:id="11"/>
      <w:bookmarkEnd w:id="12"/>
      <w:bookmarkEnd w:id="13"/>
    </w:p>
    <w:p w14:paraId="704E3290">
      <w:pPr>
        <w:pStyle w:val="15"/>
        <w:rPr>
          <w:rFonts w:hint="eastAsia" w:ascii="宋体" w:hAnsi="宋体" w:eastAsia="宋体" w:cs="宋体"/>
          <w:color w:val="auto"/>
          <w:sz w:val="20"/>
          <w:szCs w:val="20"/>
          <w:highlight w:val="none"/>
          <w:lang w:eastAsia="zh-CN"/>
        </w:rPr>
      </w:pPr>
      <w:bookmarkStart w:id="14" w:name="_bookmark99"/>
      <w:bookmarkEnd w:id="14"/>
      <w:bookmarkStart w:id="15" w:name="_Toc256000082"/>
      <w:bookmarkStart w:id="16" w:name="_Toc256000248"/>
      <w:bookmarkStart w:id="17" w:name="_Toc5388"/>
      <w:r>
        <w:rPr>
          <w:rFonts w:hint="eastAsia" w:ascii="宋体" w:hAnsi="宋体" w:eastAsia="宋体" w:cs="宋体"/>
          <w:color w:val="auto"/>
          <w:sz w:val="20"/>
          <w:szCs w:val="20"/>
          <w:highlight w:val="none"/>
          <w:lang w:eastAsia="zh-CN"/>
        </w:rPr>
        <w:t>1.1 词语定义</w:t>
      </w:r>
      <w:bookmarkEnd w:id="15"/>
      <w:bookmarkEnd w:id="16"/>
      <w:bookmarkEnd w:id="17"/>
    </w:p>
    <w:p w14:paraId="4AA9B6ED">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通用合同条款、专用合同条款中的下列词语应具有本款所赋予的含义。</w:t>
      </w:r>
    </w:p>
    <w:p w14:paraId="026BBC01">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  合同</w:t>
      </w:r>
    </w:p>
    <w:p w14:paraId="04BA0B5A">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1.1.1.1  合同文件（或称合同）：指合同协议书、中标通知书、投标函和投标函附录、专用合同条款、通用合同条款、发包人要求、服务费用清单、技术服务方案，以及其他构成合同组成部 分的文件。</w:t>
      </w:r>
    </w:p>
    <w:p w14:paraId="6B9A565B">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1.1.1.2 合同协议书：指发包人和勘察设计人共同签署的合同协议书。</w:t>
      </w:r>
    </w:p>
    <w:p w14:paraId="76A920A0">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1.1.1.3 中标通知书：指发包人通知勘察设计人中标的函件。</w:t>
      </w:r>
    </w:p>
    <w:p w14:paraId="11767048">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1.1.1.4 投标函：指由勘察设计人填写并签署的，名为“投标函”的函件。</w:t>
      </w:r>
    </w:p>
    <w:p w14:paraId="28ED7FE2">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1.1.1.5 投标函附录：指由勘察设计人填写并签署的、附在投标函后，名为“投标函附录”的函件。</w:t>
      </w:r>
    </w:p>
    <w:p w14:paraId="021BD28D">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1.1.1.6 发包人要求：指合同文件中名为“发包人要求”的文件。</w:t>
      </w:r>
    </w:p>
    <w:p w14:paraId="095554F1">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1.1.1.7 技术服务方案：指勘察设计人在投标文件中的技术服务方案。</w:t>
      </w:r>
    </w:p>
    <w:p w14:paraId="58B4471C">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1.1.1.8 服务费用清单：指勘察设计人投标文件中的服务费用清单。</w:t>
      </w:r>
    </w:p>
    <w:p w14:paraId="0E8FB044">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1.1.1.9 其他合同文件：指经合同双方当事人确认构成合同文件的其他文件。</w:t>
      </w:r>
    </w:p>
    <w:p w14:paraId="0303AE60">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1.1.2  合同当事人和人员</w:t>
      </w:r>
    </w:p>
    <w:p w14:paraId="0D29986A">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1.1.2.1 合同当事人：指发包人和（或）勘察设计人。</w:t>
      </w:r>
    </w:p>
    <w:p w14:paraId="595A2327">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1.1.2.2 发包人：指与勘察设计人签订合同协议书的当事人，及其合法继承人。</w:t>
      </w:r>
    </w:p>
    <w:p w14:paraId="58C3B8E0">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1.1.2.3 勘察设计人：指与发包人签订合同协议书的当事人，及其合法继承人。</w:t>
      </w:r>
    </w:p>
    <w:p w14:paraId="44639327">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1.1.2.4 发包人代表：指由发包人任命，并在授权范围和期限内代表发包人行使权利和履行 义务的全权负责人。</w:t>
      </w:r>
    </w:p>
    <w:p w14:paraId="0BEBE5A4">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1.1.2.5 项目负责人：指由勘察设计人任命，代表勘察设计人行使权利和履行义务的全权负责人。</w:t>
      </w:r>
    </w:p>
    <w:p w14:paraId="3C88781B">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1.1.2.6 分包人：指从勘察设计人处分包合同中某一部分工作，并与其签订分包合同的分包人。</w:t>
      </w:r>
    </w:p>
    <w:p w14:paraId="114BED22">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1.1.3  工程和勘察设计</w:t>
      </w:r>
    </w:p>
    <w:p w14:paraId="379FF702">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1.1.3.1 工程：指专用合同条款中指明进行勘察设计招标的工程。</w:t>
      </w:r>
    </w:p>
    <w:p w14:paraId="30F7D40D">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1.1.3.2勘察设计服务：指勘察设计人按照合同约定履行的服务，包括制订勘察设计工作大纲，进行测绘、勘探、取样和试验等，查明、分析和评估地质特征和工程条件，编制勘察报告；编制设计文件和设计概算、预 算，提供技术交底、招标与施工配合、参加竣工验收或发包人委托的其他服务。</w:t>
      </w:r>
    </w:p>
    <w:p w14:paraId="1F2BB554">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1.1.3.3 勘察设备：指为完成合同约定的各项工作所需的设备、器具和其他物品，不包括临时工程和材料。</w:t>
      </w:r>
    </w:p>
    <w:p w14:paraId="7B01EA48">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1.1.3.4 勘探场地：指用于工程勘探的场所，以及在合同中指定作为勘探场地组成的其他场所。</w:t>
      </w:r>
    </w:p>
    <w:p w14:paraId="0AA1611D">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1.1.3.5 勘察设计资料：是发包人按合同约定向勘察设计人提供的、用于完成勘察设计服务范围与内容所 需要的资料。</w:t>
      </w:r>
    </w:p>
    <w:p w14:paraId="17AE14D4">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1.1.3.6 勘察文件和设计文件：指勘察设计人按合同约定向发包人提交的工程勘察报告、服务大纲、勘察方案、外业指导书、进度计划、图纸、计算书、软件和其他文件等，包括阶段性文件和最终文件，且应当采用合同中双方约定的格式和载体。     </w:t>
      </w:r>
    </w:p>
    <w:p w14:paraId="07B8D625">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1.1.4  日期</w:t>
      </w:r>
    </w:p>
    <w:p w14:paraId="7207EE50">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1.1.4.1 开始勘察设计通知：指发包人按第 6.1 款通知勘察设计人开始勘察设计的函件。</w:t>
      </w:r>
    </w:p>
    <w:p w14:paraId="471E90E2">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1.1.4.2 开始勘察设计日期：指发包人按第 6.1 款发出的开始勘察设计通知中写明的开始勘察设计日期。</w:t>
      </w:r>
    </w:p>
    <w:p w14:paraId="0A3D2358">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1.1.4.3勘察设计服务期限：指勘察设计人在投标函中承诺的完成合同勘察设计服务所需的期限，包括按第 6.2 款、第 6.4 款和第 6.6 款约定所作的调整。</w:t>
      </w:r>
    </w:p>
    <w:p w14:paraId="275D1563">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1.1.4.4 完成勘察设计日期：指第 1.1.4.3 目约定勘察设计服务期限届满时的日期。</w:t>
      </w:r>
    </w:p>
    <w:p w14:paraId="02D4563A">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1.1.4.5 基准日：指投标截止时间前 28 天的日期。</w:t>
      </w:r>
    </w:p>
    <w:p w14:paraId="7A612902">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1.1.4.6 天：除特别指明外，指日历天。合同中按天计算时间的，开始当天不计入，从次日 开始计算。期限最后一天的截止时间为当天 24:00。</w:t>
      </w:r>
    </w:p>
    <w:p w14:paraId="41ED9113">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1.1.5  合同价格和费用</w:t>
      </w:r>
    </w:p>
    <w:p w14:paraId="279B93B7">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1.1.5.1 签约合同价：指签订合同时合同协议书中写明的服务费用总金额。</w:t>
      </w:r>
    </w:p>
    <w:p w14:paraId="2122E9DF">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1.1.5.2 合同价格：指勘察设计人按合同约定完成了全部勘察设计工作后，发包人应付给勘察设计人的金额，包括在履行合同过程中按合同约定进行的变更和调整。</w:t>
      </w:r>
    </w:p>
    <w:p w14:paraId="4CF17691">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1.1.5.3 费用：指为履行合同所发生的或将要发生的所有合理开支，包括管理费和应分摊的 其他费用，但不包括利润。</w:t>
      </w:r>
    </w:p>
    <w:p w14:paraId="29DC75D1">
      <w:pPr>
        <w:pStyle w:val="23"/>
        <w:spacing w:line="360" w:lineRule="auto"/>
        <w:ind w:right="111"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1.1.6  其他</w:t>
      </w:r>
    </w:p>
    <w:p w14:paraId="0883235F">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1.1.6.1 书面形式：指合同文件、信件和数据电文（包括电报、电传、传真、电子数据交换 和电子邮件）等可以有形地表现所载内容的形式。</w:t>
      </w:r>
    </w:p>
    <w:p w14:paraId="7DFD1985">
      <w:pPr>
        <w:pStyle w:val="15"/>
        <w:spacing w:line="360" w:lineRule="auto"/>
        <w:rPr>
          <w:rFonts w:hint="eastAsia" w:ascii="宋体" w:hAnsi="宋体" w:eastAsia="宋体" w:cs="宋体"/>
          <w:color w:val="auto"/>
          <w:sz w:val="20"/>
          <w:szCs w:val="20"/>
          <w:highlight w:val="none"/>
          <w:lang w:eastAsia="zh-CN"/>
        </w:rPr>
      </w:pPr>
      <w:bookmarkStart w:id="18" w:name="_bookmark100"/>
      <w:bookmarkEnd w:id="18"/>
      <w:bookmarkStart w:id="19" w:name="_Toc256000249"/>
      <w:bookmarkStart w:id="20" w:name="_Toc256000083"/>
      <w:bookmarkStart w:id="21" w:name="_Toc11895"/>
      <w:r>
        <w:rPr>
          <w:rFonts w:hint="eastAsia" w:ascii="宋体" w:hAnsi="宋体" w:eastAsia="宋体" w:cs="宋体"/>
          <w:color w:val="auto"/>
          <w:sz w:val="20"/>
          <w:szCs w:val="20"/>
          <w:highlight w:val="none"/>
          <w:lang w:eastAsia="zh-CN"/>
        </w:rPr>
        <w:t>1.2 语言文字</w:t>
      </w:r>
      <w:bookmarkEnd w:id="19"/>
      <w:bookmarkEnd w:id="20"/>
      <w:bookmarkEnd w:id="21"/>
    </w:p>
    <w:p w14:paraId="7AD9A7CC">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合同使用的语言文字为中文。专用术语使用外文的，应附有中文注释。</w:t>
      </w:r>
    </w:p>
    <w:p w14:paraId="6E36DE72">
      <w:pPr>
        <w:pStyle w:val="15"/>
        <w:rPr>
          <w:rFonts w:hint="eastAsia" w:ascii="宋体" w:hAnsi="宋体" w:eastAsia="宋体" w:cs="宋体"/>
          <w:color w:val="auto"/>
          <w:sz w:val="20"/>
          <w:szCs w:val="20"/>
          <w:highlight w:val="none"/>
          <w:lang w:eastAsia="zh-CN"/>
        </w:rPr>
      </w:pPr>
      <w:bookmarkStart w:id="22" w:name="_bookmark101"/>
      <w:bookmarkEnd w:id="22"/>
      <w:bookmarkStart w:id="23" w:name="_Toc4887"/>
      <w:bookmarkStart w:id="24" w:name="_Toc256000084"/>
      <w:bookmarkStart w:id="25" w:name="_Toc256000250"/>
      <w:r>
        <w:rPr>
          <w:rFonts w:hint="eastAsia" w:ascii="宋体" w:hAnsi="宋体" w:eastAsia="宋体" w:cs="宋体"/>
          <w:color w:val="auto"/>
          <w:sz w:val="20"/>
          <w:szCs w:val="20"/>
          <w:highlight w:val="none"/>
          <w:lang w:eastAsia="zh-CN"/>
        </w:rPr>
        <w:t>1.3 适用法律</w:t>
      </w:r>
      <w:bookmarkEnd w:id="23"/>
      <w:bookmarkEnd w:id="24"/>
      <w:bookmarkEnd w:id="25"/>
    </w:p>
    <w:p w14:paraId="1BF5A22D">
      <w:pPr>
        <w:pStyle w:val="23"/>
        <w:spacing w:line="360" w:lineRule="auto"/>
        <w:ind w:left="100" w:right="108"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适用于合同的法律包括中华人民共和国法律、行政法规、部门规章，以及工程所在地的地 方性法规、自治条例、单行条例和地方政府规章。</w:t>
      </w:r>
    </w:p>
    <w:p w14:paraId="13AA8A0A">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本合同适用的其他规范性文件，可在专用合同条款中约定。</w:t>
      </w:r>
      <w:bookmarkStart w:id="26" w:name="_bookmark102"/>
      <w:bookmarkEnd w:id="26"/>
    </w:p>
    <w:p w14:paraId="595AE078">
      <w:pPr>
        <w:pStyle w:val="15"/>
        <w:rPr>
          <w:rFonts w:hint="eastAsia" w:ascii="宋体" w:hAnsi="宋体" w:eastAsia="宋体" w:cs="宋体"/>
          <w:color w:val="auto"/>
          <w:sz w:val="20"/>
          <w:szCs w:val="20"/>
          <w:highlight w:val="none"/>
          <w:lang w:eastAsia="zh-CN"/>
        </w:rPr>
      </w:pPr>
      <w:bookmarkStart w:id="27" w:name="_Toc7108"/>
      <w:bookmarkStart w:id="28" w:name="_Toc256000251"/>
      <w:bookmarkStart w:id="29" w:name="_Toc256000085"/>
      <w:r>
        <w:rPr>
          <w:rFonts w:hint="eastAsia" w:ascii="宋体" w:hAnsi="宋体" w:eastAsia="宋体" w:cs="宋体"/>
          <w:color w:val="auto"/>
          <w:sz w:val="20"/>
          <w:szCs w:val="20"/>
          <w:highlight w:val="none"/>
          <w:lang w:eastAsia="zh-CN"/>
        </w:rPr>
        <w:t>1.4 合同文件的优先顺序</w:t>
      </w:r>
      <w:bookmarkEnd w:id="27"/>
      <w:bookmarkEnd w:id="28"/>
      <w:bookmarkEnd w:id="29"/>
    </w:p>
    <w:p w14:paraId="3F96DAFF">
      <w:pPr>
        <w:pStyle w:val="23"/>
        <w:spacing w:line="360" w:lineRule="auto"/>
        <w:ind w:left="100" w:right="16"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组成合同的各项文件应互相解释，互为说明。除专用合同条款另有约定外，解释合同文件的优先顺序如下：</w:t>
      </w:r>
    </w:p>
    <w:p w14:paraId="5D831E8E">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（1）合同协议书；</w:t>
      </w:r>
    </w:p>
    <w:p w14:paraId="59A99B45">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（2）中标通知书；</w:t>
      </w:r>
    </w:p>
    <w:p w14:paraId="39BE1574">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（3）投标函及投标函附录；</w:t>
      </w:r>
    </w:p>
    <w:p w14:paraId="09FADBA5">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（4）专用合同条款；</w:t>
      </w:r>
    </w:p>
    <w:p w14:paraId="2A6EE739">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（5）通用合同条款；</w:t>
      </w:r>
    </w:p>
    <w:p w14:paraId="057CCC42">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（6）发包人要求；</w:t>
      </w:r>
    </w:p>
    <w:p w14:paraId="42B6025B">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（7）</w:t>
      </w:r>
      <w:r>
        <w:rPr>
          <w:rFonts w:hint="eastAsia" w:ascii="宋体" w:hAnsi="宋体" w:eastAsia="宋体" w:cs="宋体"/>
          <w:color w:val="auto"/>
          <w:spacing w:val="-1"/>
          <w:sz w:val="20"/>
          <w:szCs w:val="20"/>
          <w:highlight w:val="none"/>
          <w:lang w:eastAsia="zh-CN"/>
        </w:rPr>
        <w:t>服务</w:t>
      </w:r>
      <w:r>
        <w:rPr>
          <w:rFonts w:hint="eastAsia" w:ascii="宋体" w:hAnsi="宋体" w:eastAsia="宋体" w:cs="宋体"/>
          <w:color w:val="auto"/>
          <w:sz w:val="20"/>
          <w:szCs w:val="20"/>
          <w:highlight w:val="none"/>
          <w:lang w:eastAsia="zh-CN"/>
        </w:rPr>
        <w:t>费用清单；</w:t>
      </w:r>
    </w:p>
    <w:p w14:paraId="76A724D4">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（8）</w:t>
      </w:r>
      <w:r>
        <w:rPr>
          <w:rFonts w:hint="eastAsia" w:ascii="宋体" w:hAnsi="宋体" w:eastAsia="宋体" w:cs="宋体"/>
          <w:color w:val="auto"/>
          <w:spacing w:val="-1"/>
          <w:sz w:val="20"/>
          <w:szCs w:val="20"/>
          <w:highlight w:val="none"/>
          <w:lang w:eastAsia="zh-CN"/>
        </w:rPr>
        <w:t>技术服务方案</w:t>
      </w:r>
      <w:r>
        <w:rPr>
          <w:rFonts w:hint="eastAsia" w:ascii="宋体" w:hAnsi="宋体" w:eastAsia="宋体" w:cs="宋体"/>
          <w:color w:val="auto"/>
          <w:sz w:val="20"/>
          <w:szCs w:val="20"/>
          <w:highlight w:val="none"/>
          <w:lang w:eastAsia="zh-CN"/>
        </w:rPr>
        <w:t>；</w:t>
      </w:r>
    </w:p>
    <w:p w14:paraId="34B746E6">
      <w:pPr>
        <w:pStyle w:val="23"/>
        <w:spacing w:line="360" w:lineRule="auto"/>
        <w:ind w:left="520" w:right="108"/>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（9）其他合同文件。</w:t>
      </w:r>
    </w:p>
    <w:p w14:paraId="26E24890">
      <w:pPr>
        <w:pStyle w:val="15"/>
        <w:rPr>
          <w:rFonts w:hint="eastAsia" w:ascii="宋体" w:hAnsi="宋体" w:eastAsia="宋体" w:cs="宋体"/>
          <w:color w:val="auto"/>
          <w:sz w:val="20"/>
          <w:szCs w:val="20"/>
          <w:highlight w:val="none"/>
          <w:lang w:eastAsia="zh-CN"/>
        </w:rPr>
      </w:pPr>
      <w:bookmarkStart w:id="30" w:name="_bookmark103"/>
      <w:bookmarkEnd w:id="30"/>
      <w:bookmarkStart w:id="31" w:name="_Toc256000252"/>
      <w:bookmarkStart w:id="32" w:name="_Toc256000086"/>
      <w:bookmarkStart w:id="33" w:name="_Toc17024"/>
      <w:r>
        <w:rPr>
          <w:rFonts w:hint="eastAsia" w:ascii="宋体" w:hAnsi="宋体" w:eastAsia="宋体" w:cs="宋体"/>
          <w:color w:val="auto"/>
          <w:sz w:val="20"/>
          <w:szCs w:val="20"/>
          <w:highlight w:val="none"/>
          <w:lang w:eastAsia="zh-CN"/>
        </w:rPr>
        <w:t>1.5 合同协议书</w:t>
      </w:r>
      <w:bookmarkEnd w:id="31"/>
      <w:bookmarkEnd w:id="32"/>
      <w:bookmarkEnd w:id="33"/>
    </w:p>
    <w:p w14:paraId="27BC1D79">
      <w:pPr>
        <w:pStyle w:val="23"/>
        <w:spacing w:line="360" w:lineRule="auto"/>
        <w:ind w:left="100" w:right="2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人按中标通知书规定的时间与发包人签订合同协议书。除法律另有规定或合同另有约 定外，发包人和</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人的法定代表人或其委托代理人在合同协议书上签字并盖单位公章后，合同 生效。</w:t>
      </w:r>
    </w:p>
    <w:p w14:paraId="74C10B3B">
      <w:pPr>
        <w:pStyle w:val="15"/>
        <w:rPr>
          <w:rFonts w:hint="eastAsia" w:ascii="宋体" w:hAnsi="宋体" w:eastAsia="宋体" w:cs="宋体"/>
          <w:color w:val="auto"/>
          <w:sz w:val="20"/>
          <w:szCs w:val="20"/>
          <w:highlight w:val="none"/>
          <w:lang w:eastAsia="zh-CN"/>
        </w:rPr>
      </w:pPr>
      <w:bookmarkStart w:id="34" w:name="_bookmark104"/>
      <w:bookmarkEnd w:id="34"/>
      <w:bookmarkStart w:id="35" w:name="_Toc256000253"/>
      <w:bookmarkStart w:id="36" w:name="_Toc7854"/>
      <w:bookmarkStart w:id="37" w:name="_Toc256000087"/>
      <w:r>
        <w:rPr>
          <w:rFonts w:hint="eastAsia" w:ascii="宋体" w:hAnsi="宋体" w:eastAsia="宋体" w:cs="宋体"/>
          <w:color w:val="auto"/>
          <w:sz w:val="20"/>
          <w:szCs w:val="20"/>
          <w:highlight w:val="none"/>
          <w:lang w:eastAsia="zh-CN"/>
        </w:rPr>
        <w:t>1.6 文件的提供和照管</w:t>
      </w:r>
      <w:bookmarkEnd w:id="35"/>
      <w:bookmarkEnd w:id="36"/>
      <w:bookmarkEnd w:id="37"/>
    </w:p>
    <w:p w14:paraId="098D2B5A">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1.6.1 设计文件的提供 </w:t>
      </w:r>
    </w:p>
    <w:p w14:paraId="07085EB3">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除专用合同条款另有约定外，勘察设计人应在合理的期限内按照合同约定的数量向发包人提供勘察设计文件。合同约定勘察设计文件应经发包人批复的，发包人应当在合同约定的期限内批复或提出修改意见。</w:t>
      </w:r>
    </w:p>
    <w:p w14:paraId="7A3CA758">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1.6.2  发包人提供的文件</w:t>
      </w:r>
    </w:p>
    <w:p w14:paraId="6467626D">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按专用合同条款约定由发包人提供的文件，包括基础资料、勘察设计任务书等，发 包人应按约定的数量和期限交给勘察设计人。由于发包人未按时提供文件造成勘察设计服务期限延误的，按第 6.2 款约定执行。</w:t>
      </w:r>
    </w:p>
    <w:p w14:paraId="553F9FA5">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1.6.3  文件错误的通知</w:t>
      </w:r>
    </w:p>
    <w:p w14:paraId="5593346B">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任何一方当事人发现文件中存在的明显错误或疏忽，均应及时通知对方当事人，并应立即 采取适当的措施防止损失扩大。</w:t>
      </w:r>
    </w:p>
    <w:p w14:paraId="15B0E100">
      <w:pPr>
        <w:pStyle w:val="15"/>
        <w:rPr>
          <w:rFonts w:hint="eastAsia" w:ascii="宋体" w:hAnsi="宋体" w:eastAsia="宋体" w:cs="宋体"/>
          <w:color w:val="auto"/>
          <w:sz w:val="20"/>
          <w:szCs w:val="20"/>
          <w:highlight w:val="none"/>
          <w:lang w:eastAsia="zh-CN"/>
        </w:rPr>
      </w:pPr>
      <w:bookmarkStart w:id="38" w:name="_bookmark105"/>
      <w:bookmarkEnd w:id="38"/>
      <w:bookmarkStart w:id="39" w:name="_Toc256000254"/>
      <w:bookmarkStart w:id="40" w:name="_Toc8433"/>
      <w:bookmarkStart w:id="41" w:name="_Toc256000088"/>
      <w:r>
        <w:rPr>
          <w:rFonts w:hint="eastAsia" w:ascii="宋体" w:hAnsi="宋体" w:eastAsia="宋体" w:cs="宋体"/>
          <w:color w:val="auto"/>
          <w:sz w:val="20"/>
          <w:szCs w:val="20"/>
          <w:highlight w:val="none"/>
          <w:lang w:eastAsia="zh-CN"/>
        </w:rPr>
        <w:t>1.7 联络</w:t>
      </w:r>
      <w:bookmarkEnd w:id="39"/>
      <w:bookmarkEnd w:id="40"/>
      <w:bookmarkEnd w:id="41"/>
    </w:p>
    <w:p w14:paraId="441E604E">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1.7.1 </w:t>
      </w:r>
      <w:r>
        <w:rPr>
          <w:rFonts w:hint="eastAsia" w:ascii="宋体" w:hAnsi="宋体" w:eastAsia="宋体" w:cs="宋体"/>
          <w:color w:val="auto"/>
          <w:spacing w:val="-4"/>
          <w:sz w:val="20"/>
          <w:szCs w:val="20"/>
          <w:highlight w:val="none"/>
          <w:lang w:eastAsia="zh-CN"/>
        </w:rPr>
        <w:t xml:space="preserve">与合同有关的通知、批准、证明、证书、指示、要求、请求、同意、意见、确定和决 </w:t>
      </w:r>
      <w:r>
        <w:rPr>
          <w:rFonts w:hint="eastAsia" w:ascii="宋体" w:hAnsi="宋体" w:eastAsia="宋体" w:cs="宋体"/>
          <w:color w:val="auto"/>
          <w:sz w:val="20"/>
          <w:szCs w:val="20"/>
          <w:highlight w:val="none"/>
          <w:lang w:eastAsia="zh-CN"/>
        </w:rPr>
        <w:t>定等，均应采用书面形式。</w:t>
      </w:r>
    </w:p>
    <w:p w14:paraId="1ACE7D01">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1.7.2 </w:t>
      </w:r>
      <w:r>
        <w:rPr>
          <w:rFonts w:hint="eastAsia" w:ascii="宋体" w:hAnsi="宋体" w:eastAsia="宋体" w:cs="宋体"/>
          <w:color w:val="auto"/>
          <w:spacing w:val="-4"/>
          <w:sz w:val="20"/>
          <w:szCs w:val="20"/>
          <w:highlight w:val="none"/>
          <w:lang w:eastAsia="zh-CN"/>
        </w:rPr>
        <w:t xml:space="preserve">上述通知、批准、证明、证书、指示、要求、请求、同意、意见、确定和决定等来往 </w:t>
      </w:r>
      <w:r>
        <w:rPr>
          <w:rFonts w:hint="eastAsia" w:ascii="宋体" w:hAnsi="宋体" w:eastAsia="宋体" w:cs="宋体"/>
          <w:color w:val="auto"/>
          <w:sz w:val="20"/>
          <w:szCs w:val="20"/>
          <w:highlight w:val="none"/>
          <w:lang w:eastAsia="zh-CN"/>
        </w:rPr>
        <w:t>函件，均应在合同约定的期限内送达指定的地点和指定的接收人，并办理签收手续。</w:t>
      </w:r>
    </w:p>
    <w:p w14:paraId="6C543B9E">
      <w:pPr>
        <w:pStyle w:val="15"/>
        <w:rPr>
          <w:rFonts w:hint="eastAsia" w:ascii="宋体" w:hAnsi="宋体" w:eastAsia="宋体" w:cs="宋体"/>
          <w:color w:val="auto"/>
          <w:sz w:val="20"/>
          <w:szCs w:val="20"/>
          <w:highlight w:val="none"/>
          <w:lang w:eastAsia="zh-CN"/>
        </w:rPr>
      </w:pPr>
      <w:bookmarkStart w:id="42" w:name="_bookmark106"/>
      <w:bookmarkEnd w:id="42"/>
      <w:bookmarkStart w:id="43" w:name="_Toc256000255"/>
      <w:bookmarkStart w:id="44" w:name="_Toc256000089"/>
      <w:bookmarkStart w:id="45" w:name="_Toc32243"/>
      <w:r>
        <w:rPr>
          <w:rFonts w:hint="eastAsia" w:ascii="宋体" w:hAnsi="宋体" w:eastAsia="宋体" w:cs="宋体"/>
          <w:color w:val="auto"/>
          <w:sz w:val="20"/>
          <w:szCs w:val="20"/>
          <w:highlight w:val="none"/>
          <w:lang w:eastAsia="zh-CN"/>
        </w:rPr>
        <w:t>1.8 转让</w:t>
      </w:r>
      <w:bookmarkEnd w:id="43"/>
      <w:bookmarkEnd w:id="44"/>
      <w:bookmarkEnd w:id="45"/>
    </w:p>
    <w:p w14:paraId="2C4C1E92">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除专用合同条款另有约定外，未经对方当事人同意，一方当事人不得将合同权利全部或部 分转让给第三人，也不得全部或部分转移合同义务。</w:t>
      </w:r>
    </w:p>
    <w:p w14:paraId="349619BF">
      <w:pPr>
        <w:pStyle w:val="15"/>
        <w:rPr>
          <w:rFonts w:hint="eastAsia" w:ascii="宋体" w:hAnsi="宋体" w:eastAsia="宋体" w:cs="宋体"/>
          <w:color w:val="auto"/>
          <w:sz w:val="20"/>
          <w:szCs w:val="20"/>
          <w:highlight w:val="none"/>
          <w:lang w:eastAsia="zh-CN"/>
        </w:rPr>
      </w:pPr>
      <w:bookmarkStart w:id="46" w:name="_bookmark107"/>
      <w:bookmarkEnd w:id="46"/>
      <w:bookmarkStart w:id="47" w:name="_Toc256000256"/>
      <w:bookmarkStart w:id="48" w:name="_Toc763"/>
      <w:bookmarkStart w:id="49" w:name="_Toc256000090"/>
      <w:r>
        <w:rPr>
          <w:rFonts w:hint="eastAsia" w:ascii="宋体" w:hAnsi="宋体" w:eastAsia="宋体" w:cs="宋体"/>
          <w:color w:val="auto"/>
          <w:sz w:val="20"/>
          <w:szCs w:val="20"/>
          <w:highlight w:val="none"/>
          <w:lang w:eastAsia="zh-CN"/>
        </w:rPr>
        <w:t>1.9 严禁贿赂</w:t>
      </w:r>
      <w:bookmarkEnd w:id="47"/>
      <w:bookmarkEnd w:id="48"/>
      <w:bookmarkEnd w:id="49"/>
    </w:p>
    <w:p w14:paraId="600F0AD0">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合同双方当事人不得以贿赂或变相贿赂的方式，谋取不当利益或损害对方权益。因贿赂造 成对方当事人损失的，行为人应当赔偿损失，并承担相应的法律责任。</w:t>
      </w:r>
    </w:p>
    <w:p w14:paraId="59F03B0E">
      <w:pPr>
        <w:pStyle w:val="15"/>
        <w:rPr>
          <w:rFonts w:hint="eastAsia" w:ascii="宋体" w:hAnsi="宋体" w:eastAsia="宋体" w:cs="宋体"/>
          <w:color w:val="auto"/>
          <w:sz w:val="20"/>
          <w:szCs w:val="20"/>
          <w:highlight w:val="none"/>
          <w:lang w:eastAsia="zh-CN"/>
        </w:rPr>
      </w:pPr>
      <w:bookmarkStart w:id="50" w:name="_bookmark108"/>
      <w:bookmarkEnd w:id="50"/>
      <w:bookmarkStart w:id="51" w:name="_Toc256000091"/>
      <w:bookmarkStart w:id="52" w:name="_Toc2409"/>
      <w:bookmarkStart w:id="53" w:name="_Toc256000257"/>
      <w:r>
        <w:rPr>
          <w:rFonts w:hint="eastAsia" w:ascii="宋体" w:hAnsi="宋体" w:eastAsia="宋体" w:cs="宋体"/>
          <w:color w:val="auto"/>
          <w:sz w:val="20"/>
          <w:szCs w:val="20"/>
          <w:highlight w:val="none"/>
          <w:lang w:eastAsia="zh-CN"/>
        </w:rPr>
        <w:t>1.10 知识产权</w:t>
      </w:r>
      <w:bookmarkEnd w:id="51"/>
      <w:bookmarkEnd w:id="52"/>
      <w:bookmarkEnd w:id="53"/>
    </w:p>
    <w:p w14:paraId="07443010">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1.10.1 除专用合同条款另有约定外，</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人完成的</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工作成果，除署名权以外的著作权和其他知识产权均归发包人享有。</w:t>
      </w:r>
    </w:p>
    <w:p w14:paraId="2417BCD9">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1.10.2 </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人在从事</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活动时，不得侵犯他人的知识产权。因侵犯专利权或其他知识产 权所引起的责任，由</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人自行承担。因发包人提供的</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资料导致侵权的，由发包人承担责 任。</w:t>
      </w:r>
    </w:p>
    <w:p w14:paraId="45F295AE">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1.10.3 </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人在投标文件中采用专利技术、专有技术的，相应的使用费视为已包含在投标 报价之中。</w:t>
      </w:r>
    </w:p>
    <w:p w14:paraId="3C2B16C8">
      <w:pPr>
        <w:pStyle w:val="15"/>
        <w:rPr>
          <w:rFonts w:hint="eastAsia" w:ascii="宋体" w:hAnsi="宋体" w:eastAsia="宋体" w:cs="宋体"/>
          <w:color w:val="auto"/>
          <w:sz w:val="20"/>
          <w:szCs w:val="20"/>
          <w:highlight w:val="none"/>
          <w:lang w:eastAsia="zh-CN"/>
        </w:rPr>
      </w:pPr>
      <w:bookmarkStart w:id="54" w:name="_bookmark109"/>
      <w:bookmarkEnd w:id="54"/>
      <w:bookmarkStart w:id="55" w:name="_Toc14466"/>
      <w:bookmarkStart w:id="56" w:name="_Toc256000092"/>
      <w:bookmarkStart w:id="57" w:name="_Toc256000258"/>
      <w:r>
        <w:rPr>
          <w:rFonts w:hint="eastAsia" w:ascii="宋体" w:hAnsi="宋体" w:eastAsia="宋体" w:cs="宋体"/>
          <w:color w:val="auto"/>
          <w:sz w:val="20"/>
          <w:szCs w:val="20"/>
          <w:highlight w:val="none"/>
          <w:lang w:eastAsia="zh-CN"/>
        </w:rPr>
        <w:t>1.11 文件及信息的保密</w:t>
      </w:r>
      <w:bookmarkEnd w:id="55"/>
      <w:bookmarkEnd w:id="56"/>
      <w:bookmarkEnd w:id="57"/>
    </w:p>
    <w:p w14:paraId="51FBBD35">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未经对方同意，任何一方当事人不得将有关文件、技术秘密、需要保密的资料和信息泄露 给他人或公开发表与引用。</w:t>
      </w:r>
    </w:p>
    <w:p w14:paraId="3EAA9891">
      <w:pPr>
        <w:pStyle w:val="15"/>
        <w:rPr>
          <w:rFonts w:hint="eastAsia" w:ascii="宋体" w:hAnsi="宋体" w:eastAsia="宋体" w:cs="宋体"/>
          <w:color w:val="auto"/>
          <w:sz w:val="20"/>
          <w:szCs w:val="20"/>
          <w:highlight w:val="none"/>
          <w:lang w:eastAsia="zh-CN"/>
        </w:rPr>
      </w:pPr>
      <w:bookmarkStart w:id="58" w:name="_bookmark110"/>
      <w:bookmarkEnd w:id="58"/>
      <w:bookmarkStart w:id="59" w:name="_Toc6971"/>
      <w:bookmarkStart w:id="60" w:name="_Toc256000093"/>
      <w:bookmarkStart w:id="61" w:name="_Toc256000259"/>
      <w:r>
        <w:rPr>
          <w:rFonts w:hint="eastAsia" w:ascii="宋体" w:hAnsi="宋体" w:eastAsia="宋体" w:cs="宋体"/>
          <w:color w:val="auto"/>
          <w:sz w:val="20"/>
          <w:szCs w:val="20"/>
          <w:highlight w:val="none"/>
          <w:lang w:eastAsia="zh-CN"/>
        </w:rPr>
        <w:t>1.12 发包人要求</w:t>
      </w:r>
      <w:bookmarkEnd w:id="59"/>
      <w:bookmarkEnd w:id="60"/>
      <w:bookmarkEnd w:id="61"/>
    </w:p>
    <w:p w14:paraId="4A2A897B">
      <w:pPr>
        <w:pStyle w:val="23"/>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1.12.1</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人应认真阅读、复核发包人要求，发现错误的，应及时书面通知发包人。无论是否存在错误，发包人均有权修改发包人要求，并在修改后 3 日内通知</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人。除专用合同条款另有约定外，由此导</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人费用增加和（或）周期延误的，发包人应当相应地增加费用和（或）延长周期。</w:t>
      </w:r>
    </w:p>
    <w:p w14:paraId="2CC58107">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1.12.2 如果发包人要求违反法律规定，</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人应在发现后及时书面通知发包人，要求其改 正。发包人收到通知书后不予改正或不予答复的，</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人有权拒绝履行合同义务，直至解除合 同；由此引起的</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人的全部损失由发包人承担。</w:t>
      </w:r>
    </w:p>
    <w:p w14:paraId="53080463">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1.12.3 发包人要求采用国外规范和标准进行设计时，应由发包人负责提供该规范和标准的 外国文本和中文译本，提供的时间、份数和其他要求在专用合同条款中约定。</w:t>
      </w:r>
    </w:p>
    <w:p w14:paraId="28786885">
      <w:pPr>
        <w:pStyle w:val="23"/>
        <w:spacing w:line="360" w:lineRule="auto"/>
        <w:ind w:left="100" w:right="114" w:firstLine="419"/>
        <w:jc w:val="both"/>
        <w:rPr>
          <w:rFonts w:hint="eastAsia" w:ascii="宋体" w:hAnsi="宋体" w:eastAsia="宋体" w:cs="宋体"/>
          <w:color w:val="auto"/>
          <w:sz w:val="20"/>
          <w:szCs w:val="20"/>
          <w:highlight w:val="none"/>
          <w:lang w:eastAsia="zh-CN"/>
        </w:rPr>
      </w:pPr>
    </w:p>
    <w:p w14:paraId="67D40B8F">
      <w:pPr>
        <w:pStyle w:val="13"/>
        <w:ind w:left="0"/>
        <w:rPr>
          <w:rFonts w:hint="eastAsia" w:ascii="宋体" w:hAnsi="宋体" w:eastAsia="宋体" w:cs="宋体"/>
          <w:color w:val="auto"/>
          <w:sz w:val="20"/>
          <w:szCs w:val="20"/>
          <w:highlight w:val="none"/>
          <w:lang w:eastAsia="zh-CN"/>
        </w:rPr>
      </w:pPr>
      <w:bookmarkStart w:id="62" w:name="_bookmark111"/>
      <w:bookmarkEnd w:id="62"/>
      <w:bookmarkStart w:id="63" w:name="_Toc15733"/>
      <w:bookmarkStart w:id="64" w:name="_Toc256000094"/>
      <w:bookmarkStart w:id="65" w:name="_Toc256000260"/>
      <w:r>
        <w:rPr>
          <w:rFonts w:hint="eastAsia" w:ascii="宋体" w:hAnsi="宋体" w:eastAsia="宋体" w:cs="宋体"/>
          <w:color w:val="auto"/>
          <w:sz w:val="20"/>
          <w:szCs w:val="20"/>
          <w:highlight w:val="none"/>
          <w:lang w:eastAsia="zh-CN"/>
        </w:rPr>
        <w:t>2.发包人义务</w:t>
      </w:r>
      <w:bookmarkEnd w:id="63"/>
      <w:bookmarkEnd w:id="64"/>
      <w:bookmarkEnd w:id="65"/>
    </w:p>
    <w:p w14:paraId="08513F64">
      <w:pPr>
        <w:pStyle w:val="15"/>
        <w:rPr>
          <w:rFonts w:hint="eastAsia" w:ascii="宋体" w:hAnsi="宋体" w:eastAsia="宋体" w:cs="宋体"/>
          <w:color w:val="auto"/>
          <w:sz w:val="20"/>
          <w:szCs w:val="20"/>
          <w:highlight w:val="none"/>
          <w:lang w:eastAsia="zh-CN"/>
        </w:rPr>
      </w:pPr>
      <w:bookmarkStart w:id="66" w:name="_bookmark112"/>
      <w:bookmarkEnd w:id="66"/>
      <w:bookmarkStart w:id="67" w:name="_Toc26696"/>
      <w:bookmarkStart w:id="68" w:name="_Toc256000095"/>
      <w:bookmarkStart w:id="69" w:name="_Toc256000261"/>
      <w:r>
        <w:rPr>
          <w:rFonts w:hint="eastAsia" w:ascii="宋体" w:hAnsi="宋体" w:eastAsia="宋体" w:cs="宋体"/>
          <w:color w:val="auto"/>
          <w:sz w:val="20"/>
          <w:szCs w:val="20"/>
          <w:highlight w:val="none"/>
          <w:lang w:eastAsia="zh-CN"/>
        </w:rPr>
        <w:t>2.1 遵守法律</w:t>
      </w:r>
      <w:bookmarkEnd w:id="67"/>
      <w:bookmarkEnd w:id="68"/>
      <w:bookmarkEnd w:id="69"/>
    </w:p>
    <w:p w14:paraId="0C8D1CE6">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发包人在履行合同过程中应遵守法律，并保证</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人免于承担因发包人违反法律而引起的任何责任。</w:t>
      </w:r>
    </w:p>
    <w:p w14:paraId="546D3360">
      <w:pPr>
        <w:pStyle w:val="15"/>
        <w:rPr>
          <w:rFonts w:hint="eastAsia" w:ascii="宋体" w:hAnsi="宋体" w:eastAsia="宋体" w:cs="宋体"/>
          <w:color w:val="auto"/>
          <w:sz w:val="20"/>
          <w:szCs w:val="20"/>
          <w:highlight w:val="none"/>
          <w:lang w:eastAsia="zh-CN"/>
        </w:rPr>
      </w:pPr>
      <w:bookmarkStart w:id="70" w:name="_bookmark113"/>
      <w:bookmarkEnd w:id="70"/>
      <w:bookmarkStart w:id="71" w:name="_Toc8504"/>
      <w:bookmarkStart w:id="72" w:name="_Toc256000262"/>
      <w:bookmarkStart w:id="73" w:name="_Toc256000096"/>
      <w:r>
        <w:rPr>
          <w:rFonts w:hint="eastAsia" w:ascii="宋体" w:hAnsi="宋体" w:eastAsia="宋体" w:cs="宋体"/>
          <w:color w:val="auto"/>
          <w:sz w:val="20"/>
          <w:szCs w:val="20"/>
          <w:highlight w:val="none"/>
          <w:lang w:eastAsia="zh-CN"/>
        </w:rPr>
        <w:t>2.2 发出开始设计通知</w:t>
      </w:r>
      <w:bookmarkEnd w:id="71"/>
      <w:bookmarkEnd w:id="72"/>
      <w:bookmarkEnd w:id="73"/>
    </w:p>
    <w:p w14:paraId="715206E4">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发包人应按第</w:t>
      </w:r>
      <w:r>
        <w:rPr>
          <w:rFonts w:hint="eastAsia" w:ascii="宋体" w:hAnsi="宋体" w:eastAsia="宋体" w:cs="宋体"/>
          <w:color w:val="auto"/>
          <w:spacing w:val="-54"/>
          <w:sz w:val="20"/>
          <w:szCs w:val="20"/>
          <w:highlight w:val="none"/>
          <w:lang w:eastAsia="zh-CN"/>
        </w:rPr>
        <w:t xml:space="preserve"> </w:t>
      </w:r>
      <w:r>
        <w:rPr>
          <w:rFonts w:hint="eastAsia" w:ascii="宋体" w:hAnsi="宋体" w:eastAsia="宋体" w:cs="宋体"/>
          <w:color w:val="auto"/>
          <w:sz w:val="20"/>
          <w:szCs w:val="20"/>
          <w:highlight w:val="none"/>
          <w:lang w:eastAsia="zh-CN"/>
        </w:rPr>
        <w:t>6.1 款的约定向</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人发出开始</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通知。</w:t>
      </w:r>
    </w:p>
    <w:p w14:paraId="194412D5">
      <w:pPr>
        <w:pStyle w:val="15"/>
        <w:rPr>
          <w:rFonts w:hint="eastAsia" w:ascii="宋体" w:hAnsi="宋体" w:eastAsia="宋体" w:cs="宋体"/>
          <w:color w:val="auto"/>
          <w:sz w:val="20"/>
          <w:szCs w:val="20"/>
          <w:highlight w:val="none"/>
          <w:lang w:eastAsia="zh-CN"/>
        </w:rPr>
      </w:pPr>
      <w:bookmarkStart w:id="74" w:name="_bookmark114"/>
      <w:bookmarkEnd w:id="74"/>
      <w:bookmarkStart w:id="75" w:name="_Toc256000263"/>
      <w:bookmarkStart w:id="76" w:name="_Toc16482"/>
      <w:bookmarkStart w:id="77" w:name="_Toc256000097"/>
      <w:r>
        <w:rPr>
          <w:rFonts w:hint="eastAsia" w:ascii="宋体" w:hAnsi="宋体" w:eastAsia="宋体" w:cs="宋体"/>
          <w:color w:val="auto"/>
          <w:sz w:val="20"/>
          <w:szCs w:val="20"/>
          <w:highlight w:val="none"/>
          <w:lang w:eastAsia="zh-CN"/>
        </w:rPr>
        <w:t>2.3 办理证件和批件</w:t>
      </w:r>
      <w:bookmarkEnd w:id="75"/>
      <w:bookmarkEnd w:id="76"/>
      <w:bookmarkEnd w:id="77"/>
    </w:p>
    <w:p w14:paraId="0B02E3DD">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法律规定和（或）合同约定由发包人负责办理的工程建设项目必须履行的各类审批、核准 或备案手续，发包人应当按时办理，</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人应给予必要的协助。</w:t>
      </w:r>
    </w:p>
    <w:p w14:paraId="38D02A99">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法律规定和（或）合同约定由</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人负责办理的</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所需的证件和批件，发包人应给予必 要的协助。</w:t>
      </w:r>
    </w:p>
    <w:p w14:paraId="1EEC894B">
      <w:pPr>
        <w:pStyle w:val="15"/>
        <w:rPr>
          <w:rFonts w:hint="eastAsia" w:ascii="宋体" w:hAnsi="宋体" w:eastAsia="宋体" w:cs="宋体"/>
          <w:color w:val="auto"/>
          <w:sz w:val="20"/>
          <w:szCs w:val="20"/>
          <w:highlight w:val="none"/>
          <w:lang w:eastAsia="zh-CN"/>
        </w:rPr>
      </w:pPr>
      <w:bookmarkStart w:id="78" w:name="_bookmark115"/>
      <w:bookmarkEnd w:id="78"/>
      <w:bookmarkStart w:id="79" w:name="_Toc256000098"/>
      <w:bookmarkStart w:id="80" w:name="_Toc256000264"/>
      <w:bookmarkStart w:id="81" w:name="_Toc25194"/>
      <w:r>
        <w:rPr>
          <w:rFonts w:hint="eastAsia" w:ascii="宋体" w:hAnsi="宋体" w:eastAsia="宋体" w:cs="宋体"/>
          <w:color w:val="auto"/>
          <w:sz w:val="20"/>
          <w:szCs w:val="20"/>
          <w:highlight w:val="none"/>
          <w:lang w:eastAsia="zh-CN"/>
        </w:rPr>
        <w:t>2.4 支付合同价款</w:t>
      </w:r>
      <w:bookmarkEnd w:id="79"/>
      <w:bookmarkEnd w:id="80"/>
      <w:bookmarkEnd w:id="81"/>
    </w:p>
    <w:p w14:paraId="7E12C1E2">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发包人应按合同约定向</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人及时支付合同价款。</w:t>
      </w:r>
    </w:p>
    <w:p w14:paraId="79CDFED4">
      <w:pPr>
        <w:pStyle w:val="15"/>
        <w:rPr>
          <w:rFonts w:hint="eastAsia" w:ascii="宋体" w:hAnsi="宋体" w:eastAsia="宋体" w:cs="宋体"/>
          <w:color w:val="auto"/>
          <w:sz w:val="20"/>
          <w:szCs w:val="20"/>
          <w:highlight w:val="none"/>
          <w:lang w:eastAsia="zh-CN"/>
        </w:rPr>
      </w:pPr>
      <w:bookmarkStart w:id="82" w:name="_bookmark116"/>
      <w:bookmarkEnd w:id="82"/>
      <w:bookmarkStart w:id="83" w:name="_Toc256000265"/>
      <w:bookmarkStart w:id="84" w:name="_Toc256000099"/>
      <w:bookmarkStart w:id="85" w:name="_Toc9582"/>
      <w:r>
        <w:rPr>
          <w:rFonts w:hint="eastAsia" w:ascii="宋体" w:hAnsi="宋体" w:eastAsia="宋体" w:cs="宋体"/>
          <w:color w:val="auto"/>
          <w:sz w:val="20"/>
          <w:szCs w:val="20"/>
          <w:highlight w:val="none"/>
          <w:lang w:eastAsia="zh-CN"/>
        </w:rPr>
        <w:t>2.5 提供设计资料</w:t>
      </w:r>
      <w:bookmarkEnd w:id="83"/>
      <w:bookmarkEnd w:id="84"/>
      <w:bookmarkEnd w:id="85"/>
    </w:p>
    <w:p w14:paraId="5C1A11A3">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发包人应按第</w:t>
      </w:r>
      <w:r>
        <w:rPr>
          <w:rFonts w:hint="eastAsia" w:ascii="宋体" w:hAnsi="宋体" w:eastAsia="宋体" w:cs="宋体"/>
          <w:color w:val="auto"/>
          <w:spacing w:val="-59"/>
          <w:sz w:val="20"/>
          <w:szCs w:val="20"/>
          <w:highlight w:val="none"/>
          <w:lang w:eastAsia="zh-CN"/>
        </w:rPr>
        <w:t xml:space="preserve"> </w:t>
      </w:r>
      <w:r>
        <w:rPr>
          <w:rFonts w:hint="eastAsia" w:ascii="宋体" w:hAnsi="宋体" w:eastAsia="宋体" w:cs="宋体"/>
          <w:color w:val="auto"/>
          <w:sz w:val="20"/>
          <w:szCs w:val="20"/>
          <w:highlight w:val="none"/>
          <w:lang w:eastAsia="zh-CN"/>
        </w:rPr>
        <w:t>1.6.2 项的约定向</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人提供</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资料。</w:t>
      </w:r>
    </w:p>
    <w:p w14:paraId="41EC849F">
      <w:pPr>
        <w:pStyle w:val="15"/>
        <w:rPr>
          <w:rFonts w:hint="eastAsia" w:ascii="宋体" w:hAnsi="宋体" w:eastAsia="宋体" w:cs="宋体"/>
          <w:color w:val="auto"/>
          <w:sz w:val="20"/>
          <w:szCs w:val="20"/>
          <w:highlight w:val="none"/>
          <w:lang w:eastAsia="zh-CN"/>
        </w:rPr>
      </w:pPr>
      <w:bookmarkStart w:id="86" w:name="_bookmark117"/>
      <w:bookmarkEnd w:id="86"/>
      <w:bookmarkStart w:id="87" w:name="_Toc256000100"/>
      <w:bookmarkStart w:id="88" w:name="_Toc256000266"/>
      <w:bookmarkStart w:id="89" w:name="_Toc10744"/>
      <w:r>
        <w:rPr>
          <w:rFonts w:hint="eastAsia" w:ascii="宋体" w:hAnsi="宋体" w:eastAsia="宋体" w:cs="宋体"/>
          <w:color w:val="auto"/>
          <w:sz w:val="20"/>
          <w:szCs w:val="20"/>
          <w:highlight w:val="none"/>
          <w:lang w:eastAsia="zh-CN"/>
        </w:rPr>
        <w:t>2.6  其他义务</w:t>
      </w:r>
      <w:bookmarkEnd w:id="87"/>
      <w:bookmarkEnd w:id="88"/>
      <w:bookmarkEnd w:id="89"/>
    </w:p>
    <w:p w14:paraId="5D1041AB">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发包人应履行合同约定的其他义务。</w:t>
      </w:r>
    </w:p>
    <w:p w14:paraId="74940C4B">
      <w:pPr>
        <w:pStyle w:val="23"/>
        <w:spacing w:line="360" w:lineRule="auto"/>
        <w:ind w:left="520" w:right="108"/>
        <w:jc w:val="both"/>
        <w:rPr>
          <w:rFonts w:hint="eastAsia" w:ascii="宋体" w:hAnsi="宋体" w:eastAsia="宋体" w:cs="宋体"/>
          <w:color w:val="auto"/>
          <w:sz w:val="20"/>
          <w:szCs w:val="20"/>
          <w:highlight w:val="none"/>
          <w:lang w:eastAsia="zh-CN"/>
        </w:rPr>
      </w:pPr>
    </w:p>
    <w:p w14:paraId="3000B3E0">
      <w:pPr>
        <w:pStyle w:val="13"/>
        <w:ind w:left="0"/>
        <w:rPr>
          <w:rFonts w:hint="eastAsia" w:ascii="宋体" w:hAnsi="宋体" w:eastAsia="宋体" w:cs="宋体"/>
          <w:color w:val="auto"/>
          <w:sz w:val="20"/>
          <w:szCs w:val="20"/>
          <w:highlight w:val="none"/>
          <w:lang w:eastAsia="zh-CN"/>
        </w:rPr>
      </w:pPr>
      <w:bookmarkStart w:id="90" w:name="_bookmark118"/>
      <w:bookmarkEnd w:id="90"/>
      <w:bookmarkStart w:id="91" w:name="_Toc6340"/>
      <w:bookmarkStart w:id="92" w:name="_Toc256000101"/>
      <w:bookmarkStart w:id="93" w:name="_Toc256000267"/>
      <w:r>
        <w:rPr>
          <w:rFonts w:hint="eastAsia" w:ascii="宋体" w:hAnsi="宋体" w:eastAsia="宋体" w:cs="宋体"/>
          <w:color w:val="auto"/>
          <w:sz w:val="20"/>
          <w:szCs w:val="20"/>
          <w:highlight w:val="none"/>
          <w:lang w:eastAsia="zh-CN"/>
        </w:rPr>
        <w:t>3.发包人管理</w:t>
      </w:r>
      <w:bookmarkEnd w:id="91"/>
      <w:bookmarkEnd w:id="92"/>
      <w:bookmarkEnd w:id="93"/>
    </w:p>
    <w:p w14:paraId="03EF822D">
      <w:pPr>
        <w:pStyle w:val="15"/>
        <w:rPr>
          <w:rFonts w:hint="eastAsia" w:ascii="宋体" w:hAnsi="宋体" w:eastAsia="宋体" w:cs="宋体"/>
          <w:color w:val="auto"/>
          <w:sz w:val="20"/>
          <w:szCs w:val="20"/>
          <w:highlight w:val="none"/>
          <w:lang w:eastAsia="zh-CN"/>
        </w:rPr>
      </w:pPr>
      <w:bookmarkStart w:id="94" w:name="_bookmark119"/>
      <w:bookmarkEnd w:id="94"/>
      <w:bookmarkStart w:id="95" w:name="_Toc26517"/>
      <w:bookmarkStart w:id="96" w:name="_Toc256000102"/>
      <w:bookmarkStart w:id="97" w:name="_Toc256000268"/>
      <w:r>
        <w:rPr>
          <w:rFonts w:hint="eastAsia" w:ascii="宋体" w:hAnsi="宋体" w:eastAsia="宋体" w:cs="宋体"/>
          <w:color w:val="auto"/>
          <w:sz w:val="20"/>
          <w:szCs w:val="20"/>
          <w:highlight w:val="none"/>
          <w:lang w:eastAsia="zh-CN"/>
        </w:rPr>
        <w:t>3.1 发包人代表</w:t>
      </w:r>
      <w:bookmarkEnd w:id="95"/>
      <w:bookmarkEnd w:id="96"/>
      <w:bookmarkEnd w:id="97"/>
    </w:p>
    <w:p w14:paraId="0D4A807C">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3.1.1 </w:t>
      </w:r>
      <w:r>
        <w:rPr>
          <w:rFonts w:hint="eastAsia" w:ascii="宋体" w:hAnsi="宋体" w:eastAsia="宋体" w:cs="宋体"/>
          <w:color w:val="auto"/>
          <w:spacing w:val="-5"/>
          <w:sz w:val="20"/>
          <w:szCs w:val="20"/>
          <w:highlight w:val="none"/>
          <w:lang w:eastAsia="zh-CN"/>
        </w:rPr>
        <w:t xml:space="preserve">除专用合同条款另有约定外，发包人应在合同签订后 </w:t>
      </w:r>
      <w:r>
        <w:rPr>
          <w:rFonts w:hint="eastAsia" w:ascii="宋体" w:hAnsi="宋体" w:eastAsia="宋体" w:cs="宋体"/>
          <w:color w:val="auto"/>
          <w:sz w:val="20"/>
          <w:szCs w:val="20"/>
          <w:highlight w:val="none"/>
          <w:lang w:eastAsia="zh-CN"/>
        </w:rPr>
        <w:t xml:space="preserve">14 </w:t>
      </w:r>
      <w:r>
        <w:rPr>
          <w:rFonts w:hint="eastAsia" w:ascii="宋体" w:hAnsi="宋体" w:eastAsia="宋体" w:cs="宋体"/>
          <w:color w:val="auto"/>
          <w:spacing w:val="-7"/>
          <w:sz w:val="20"/>
          <w:szCs w:val="20"/>
          <w:highlight w:val="none"/>
          <w:lang w:eastAsia="zh-CN"/>
        </w:rPr>
        <w:t xml:space="preserve">天内，将发包人代表的姓名、 </w:t>
      </w:r>
      <w:r>
        <w:rPr>
          <w:rFonts w:hint="eastAsia" w:ascii="宋体" w:hAnsi="宋体" w:eastAsia="宋体" w:cs="宋体"/>
          <w:color w:val="auto"/>
          <w:spacing w:val="-1"/>
          <w:sz w:val="20"/>
          <w:szCs w:val="20"/>
          <w:highlight w:val="none"/>
          <w:lang w:eastAsia="zh-CN"/>
        </w:rPr>
        <w:t xml:space="preserve">职务、联系方式、授权范围和授权期限书面通知勘察设计人，由发包人代表在其授权范围和授权期 限内，代表发包人行使权利、履行义务和处理合同履行中的具体事宜。发包人代表在授权范围 </w:t>
      </w:r>
      <w:r>
        <w:rPr>
          <w:rFonts w:hint="eastAsia" w:ascii="宋体" w:hAnsi="宋体" w:eastAsia="宋体" w:cs="宋体"/>
          <w:color w:val="auto"/>
          <w:sz w:val="20"/>
          <w:szCs w:val="20"/>
          <w:highlight w:val="none"/>
          <w:lang w:eastAsia="zh-CN"/>
        </w:rPr>
        <w:t>内的行为由发包人承担法律责任。</w:t>
      </w:r>
    </w:p>
    <w:p w14:paraId="13DEE2F7">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3.1.2  发包人代表违反法律法规、违背职业道德守则或者不按合同约定履行职责及义务，导致合同无法继续正常履行的，勘察设计人有权通知发包人更换发包人代表。发包人收到通知后 7 天 内，应当核实完毕并将处理结果通知勘察设计人。</w:t>
      </w:r>
    </w:p>
    <w:p w14:paraId="07333116">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3.1.3 发包人更换发包人代表的，应提前 14 天将更换人员的姓名、职务、联系方式、授权 范围和授权期限书面通知</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w:t>
      </w:r>
    </w:p>
    <w:p w14:paraId="4CA2E9E5">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3.1.4 </w:t>
      </w:r>
      <w:r>
        <w:rPr>
          <w:rFonts w:hint="eastAsia" w:ascii="宋体" w:hAnsi="宋体" w:eastAsia="宋体" w:cs="宋体"/>
          <w:color w:val="auto"/>
          <w:spacing w:val="-4"/>
          <w:sz w:val="20"/>
          <w:szCs w:val="20"/>
          <w:highlight w:val="none"/>
          <w:lang w:eastAsia="zh-CN"/>
        </w:rPr>
        <w:t xml:space="preserve">发包人代表可以授权发包人的其他人员负责执行其指派的一项或多项工作。发包人代 </w:t>
      </w:r>
      <w:r>
        <w:rPr>
          <w:rFonts w:hint="eastAsia" w:ascii="宋体" w:hAnsi="宋体" w:eastAsia="宋体" w:cs="宋体"/>
          <w:color w:val="auto"/>
          <w:spacing w:val="-1"/>
          <w:sz w:val="20"/>
          <w:szCs w:val="20"/>
          <w:highlight w:val="none"/>
          <w:lang w:eastAsia="zh-CN"/>
        </w:rPr>
        <w:t>表应将被授权人员的姓名及其授权范围通知勘察设计人。被授权人员在授权范围内发出的指示视为</w:t>
      </w:r>
      <w:r>
        <w:rPr>
          <w:rFonts w:hint="eastAsia" w:ascii="宋体" w:hAnsi="宋体" w:eastAsia="宋体" w:cs="宋体"/>
          <w:color w:val="auto"/>
          <w:sz w:val="20"/>
          <w:szCs w:val="20"/>
          <w:highlight w:val="none"/>
          <w:lang w:eastAsia="zh-CN"/>
        </w:rPr>
        <w:t>已得到发包人代表的同意，与发包人代表发出的指示具有同等效力。</w:t>
      </w:r>
    </w:p>
    <w:p w14:paraId="0F868671">
      <w:pPr>
        <w:pStyle w:val="15"/>
        <w:rPr>
          <w:rFonts w:hint="eastAsia" w:ascii="宋体" w:hAnsi="宋体" w:eastAsia="宋体" w:cs="宋体"/>
          <w:color w:val="auto"/>
          <w:sz w:val="20"/>
          <w:szCs w:val="20"/>
          <w:highlight w:val="none"/>
          <w:lang w:eastAsia="zh-CN"/>
        </w:rPr>
      </w:pPr>
      <w:bookmarkStart w:id="98" w:name="_bookmark120"/>
      <w:bookmarkEnd w:id="98"/>
      <w:bookmarkStart w:id="99" w:name="_Toc14389"/>
      <w:bookmarkStart w:id="100" w:name="_Toc256000103"/>
      <w:bookmarkStart w:id="101" w:name="_Toc256000269"/>
      <w:r>
        <w:rPr>
          <w:rFonts w:hint="eastAsia" w:ascii="宋体" w:hAnsi="宋体" w:eastAsia="宋体" w:cs="宋体"/>
          <w:color w:val="auto"/>
          <w:sz w:val="20"/>
          <w:szCs w:val="20"/>
          <w:highlight w:val="none"/>
          <w:lang w:eastAsia="zh-CN"/>
        </w:rPr>
        <w:t>3.2 监理人</w:t>
      </w:r>
      <w:bookmarkEnd w:id="99"/>
      <w:bookmarkEnd w:id="100"/>
      <w:bookmarkEnd w:id="101"/>
    </w:p>
    <w:p w14:paraId="344463A4">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3.2.1 </w:t>
      </w:r>
      <w:r>
        <w:rPr>
          <w:rFonts w:hint="eastAsia" w:ascii="宋体" w:hAnsi="宋体" w:eastAsia="宋体" w:cs="宋体"/>
          <w:color w:val="auto"/>
          <w:spacing w:val="-4"/>
          <w:sz w:val="20"/>
          <w:szCs w:val="20"/>
          <w:highlight w:val="none"/>
          <w:lang w:eastAsia="zh-CN"/>
        </w:rPr>
        <w:t>发包人可以根据工程建设需要确定是否委托监理人进行</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监理。如果委托监理，则 </w:t>
      </w:r>
      <w:r>
        <w:rPr>
          <w:rFonts w:hint="eastAsia" w:ascii="宋体" w:hAnsi="宋体" w:eastAsia="宋体" w:cs="宋体"/>
          <w:color w:val="auto"/>
          <w:spacing w:val="-1"/>
          <w:sz w:val="20"/>
          <w:szCs w:val="20"/>
          <w:highlight w:val="none"/>
          <w:lang w:eastAsia="zh-CN"/>
        </w:rPr>
        <w:t xml:space="preserve">监理人享有合同约定的权力，其所发出的任何指示应视为已得到发包人的批准。监理人的监理 范围、职责权限和总监理工程师信息，应在专用合同条款中指明。未经发包人批准，监理人无 </w:t>
      </w:r>
      <w:r>
        <w:rPr>
          <w:rFonts w:hint="eastAsia" w:ascii="宋体" w:hAnsi="宋体" w:eastAsia="宋体" w:cs="宋体"/>
          <w:color w:val="auto"/>
          <w:sz w:val="20"/>
          <w:szCs w:val="20"/>
          <w:highlight w:val="none"/>
          <w:lang w:eastAsia="zh-CN"/>
        </w:rPr>
        <w:t>权修改合同。</w:t>
      </w:r>
    </w:p>
    <w:p w14:paraId="587A4F5A">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3.2.2 </w:t>
      </w:r>
      <w:r>
        <w:rPr>
          <w:rFonts w:hint="eastAsia" w:ascii="宋体" w:hAnsi="宋体" w:eastAsia="宋体" w:cs="宋体"/>
          <w:color w:val="auto"/>
          <w:spacing w:val="-4"/>
          <w:sz w:val="20"/>
          <w:szCs w:val="20"/>
          <w:highlight w:val="none"/>
          <w:lang w:eastAsia="zh-CN"/>
        </w:rPr>
        <w:t>合同约定应由</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pacing w:val="-4"/>
          <w:sz w:val="20"/>
          <w:szCs w:val="20"/>
          <w:highlight w:val="none"/>
          <w:lang w:eastAsia="zh-CN"/>
        </w:rPr>
        <w:t>人承担的义务和责任，不因监理人对</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文件的审查或批准，以及 </w:t>
      </w:r>
      <w:r>
        <w:rPr>
          <w:rFonts w:hint="eastAsia" w:ascii="宋体" w:hAnsi="宋体" w:eastAsia="宋体" w:cs="宋体"/>
          <w:color w:val="auto"/>
          <w:sz w:val="20"/>
          <w:szCs w:val="20"/>
          <w:highlight w:val="none"/>
          <w:lang w:eastAsia="zh-CN"/>
        </w:rPr>
        <w:t>为实施监理作出的指示等职务行为而减轻或解除。</w:t>
      </w:r>
    </w:p>
    <w:p w14:paraId="0ACDC07F">
      <w:pPr>
        <w:pStyle w:val="15"/>
        <w:rPr>
          <w:rFonts w:hint="eastAsia" w:ascii="宋体" w:hAnsi="宋体" w:eastAsia="宋体" w:cs="宋体"/>
          <w:color w:val="auto"/>
          <w:sz w:val="20"/>
          <w:szCs w:val="20"/>
          <w:highlight w:val="none"/>
          <w:lang w:eastAsia="zh-CN"/>
        </w:rPr>
      </w:pPr>
      <w:bookmarkStart w:id="102" w:name="_bookmark121"/>
      <w:bookmarkEnd w:id="102"/>
      <w:bookmarkStart w:id="103" w:name="_Toc256000270"/>
      <w:bookmarkStart w:id="104" w:name="_Toc8968"/>
      <w:bookmarkStart w:id="105" w:name="_Toc256000104"/>
      <w:r>
        <w:rPr>
          <w:rFonts w:hint="eastAsia" w:ascii="宋体" w:hAnsi="宋体" w:eastAsia="宋体" w:cs="宋体"/>
          <w:color w:val="auto"/>
          <w:sz w:val="20"/>
          <w:szCs w:val="20"/>
          <w:highlight w:val="none"/>
          <w:lang w:eastAsia="zh-CN"/>
        </w:rPr>
        <w:t>3.3 发包人的指示</w:t>
      </w:r>
      <w:bookmarkEnd w:id="103"/>
      <w:bookmarkEnd w:id="104"/>
      <w:bookmarkEnd w:id="105"/>
    </w:p>
    <w:p w14:paraId="2CF9097C">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3.3.1 发包人应按合同约定向</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人发出指示，发包人的指示应盖有发包人单位公章，并由发包人代表签字确认。</w:t>
      </w:r>
    </w:p>
    <w:p w14:paraId="28464D78">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3.3.2 </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人收到发包人作出的指示后应遵照执行。指示构成变更的，应按第 11 条执行。</w:t>
      </w:r>
    </w:p>
    <w:p w14:paraId="6DA8108F">
      <w:pPr>
        <w:pStyle w:val="23"/>
        <w:spacing w:line="360" w:lineRule="auto"/>
        <w:ind w:right="113" w:firstLine="404" w:firstLineChars="202"/>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3.3.3 在紧急情况下，发包人代表或其授权人员可以当场签发临时书面指示，</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人应遵照执行。发包人代表应在临时书面指示发出后 24 小时内发出书面确认函，逾期未发出书面确认函的，该临时书面指示应被视为发包人的正式指示。</w:t>
      </w:r>
    </w:p>
    <w:p w14:paraId="05BEC45A">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3.3.4 除专用合同条款另有约定外，</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人只从发包人代表或按第 3.1.4 项约定的被授权人员处取得指示。</w:t>
      </w:r>
    </w:p>
    <w:p w14:paraId="415432FA">
      <w:pPr>
        <w:pStyle w:val="23"/>
        <w:spacing w:line="360" w:lineRule="auto"/>
        <w:ind w:left="100" w:right="115"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3.3.5 由于发包人未能按合同约定发出指示、指示延误或指示错误而导致</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人费用增加和（或）周期延误的，发包人应承担由此增加的费用和（或）周期延误。</w:t>
      </w:r>
    </w:p>
    <w:p w14:paraId="3C87FA73">
      <w:pPr>
        <w:pStyle w:val="15"/>
        <w:rPr>
          <w:rFonts w:hint="eastAsia" w:ascii="宋体" w:hAnsi="宋体" w:eastAsia="宋体" w:cs="宋体"/>
          <w:color w:val="auto"/>
          <w:sz w:val="20"/>
          <w:szCs w:val="20"/>
          <w:highlight w:val="none"/>
          <w:lang w:eastAsia="zh-CN"/>
        </w:rPr>
      </w:pPr>
      <w:bookmarkStart w:id="106" w:name="_bookmark122"/>
      <w:bookmarkEnd w:id="106"/>
      <w:bookmarkStart w:id="107" w:name="_Toc256000105"/>
      <w:bookmarkStart w:id="108" w:name="_Toc256000271"/>
      <w:bookmarkStart w:id="109" w:name="_Toc20646"/>
      <w:r>
        <w:rPr>
          <w:rFonts w:hint="eastAsia" w:ascii="宋体" w:hAnsi="宋体" w:eastAsia="宋体" w:cs="宋体"/>
          <w:color w:val="auto"/>
          <w:sz w:val="20"/>
          <w:szCs w:val="20"/>
          <w:highlight w:val="none"/>
          <w:lang w:eastAsia="zh-CN"/>
        </w:rPr>
        <w:t>3.4 决定或答复</w:t>
      </w:r>
      <w:bookmarkEnd w:id="107"/>
      <w:bookmarkEnd w:id="108"/>
      <w:bookmarkEnd w:id="109"/>
    </w:p>
    <w:p w14:paraId="3F32A0FC">
      <w:pPr>
        <w:pStyle w:val="23"/>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3.4.1 发包人在法律允许的范围内有权对</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人的</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工作和/或</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文件作出处理决定，</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人应按照发包人的决定执行，涉及</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服务期限或服务费用等问题按第 11 条的约定处理。</w:t>
      </w:r>
    </w:p>
    <w:p w14:paraId="2EEBCD97">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3.4.2 发包人应在专用合同条款约定的时间之内，对</w:t>
      </w:r>
      <w:r>
        <w:rPr>
          <w:rFonts w:hint="eastAsia" w:ascii="宋体" w:hAnsi="宋体" w:eastAsia="宋体" w:cs="宋体"/>
          <w:color w:val="auto"/>
          <w:spacing w:val="-1"/>
          <w:sz w:val="20"/>
          <w:szCs w:val="20"/>
          <w:highlight w:val="none"/>
          <w:lang w:eastAsia="zh-CN"/>
        </w:rPr>
        <w:t>勘察设计</w:t>
      </w:r>
      <w:r>
        <w:rPr>
          <w:rFonts w:hint="eastAsia" w:ascii="宋体" w:hAnsi="宋体" w:eastAsia="宋体" w:cs="宋体"/>
          <w:color w:val="auto"/>
          <w:sz w:val="20"/>
          <w:szCs w:val="20"/>
          <w:highlight w:val="none"/>
          <w:lang w:eastAsia="zh-CN"/>
        </w:rPr>
        <w:t>人书面提出的事项作出书面答复； 逾期没有做出答复的，视为已获得发包人的批准。</w:t>
      </w:r>
    </w:p>
    <w:p w14:paraId="506ADAD6">
      <w:pPr>
        <w:pStyle w:val="23"/>
        <w:spacing w:line="360" w:lineRule="auto"/>
        <w:ind w:left="100" w:right="108" w:firstLine="419"/>
        <w:jc w:val="both"/>
        <w:rPr>
          <w:rFonts w:hint="eastAsia" w:ascii="宋体" w:hAnsi="宋体" w:eastAsia="宋体" w:cs="宋体"/>
          <w:color w:val="auto"/>
          <w:sz w:val="20"/>
          <w:szCs w:val="20"/>
          <w:highlight w:val="none"/>
          <w:lang w:eastAsia="zh-CN"/>
        </w:rPr>
      </w:pPr>
    </w:p>
    <w:p w14:paraId="200387E7">
      <w:pPr>
        <w:pStyle w:val="13"/>
        <w:ind w:left="0"/>
        <w:rPr>
          <w:rFonts w:hint="eastAsia" w:ascii="宋体" w:hAnsi="宋体" w:eastAsia="宋体" w:cs="宋体"/>
          <w:color w:val="auto"/>
          <w:sz w:val="20"/>
          <w:szCs w:val="20"/>
          <w:highlight w:val="none"/>
          <w:lang w:eastAsia="zh-CN"/>
        </w:rPr>
      </w:pPr>
      <w:bookmarkStart w:id="110" w:name="_bookmark123"/>
      <w:bookmarkEnd w:id="110"/>
      <w:bookmarkStart w:id="111" w:name="_Toc256000272"/>
      <w:bookmarkStart w:id="112" w:name="_Toc12540"/>
      <w:bookmarkStart w:id="113" w:name="_Toc256000106"/>
      <w:r>
        <w:rPr>
          <w:rFonts w:hint="eastAsia" w:ascii="宋体" w:hAnsi="宋体" w:eastAsia="宋体" w:cs="宋体"/>
          <w:color w:val="auto"/>
          <w:sz w:val="20"/>
          <w:szCs w:val="20"/>
          <w:highlight w:val="none"/>
          <w:lang w:eastAsia="zh-CN"/>
        </w:rPr>
        <w:t>4.勘察设计人义务</w:t>
      </w:r>
      <w:bookmarkEnd w:id="111"/>
      <w:bookmarkEnd w:id="112"/>
      <w:bookmarkEnd w:id="113"/>
    </w:p>
    <w:p w14:paraId="227E5629">
      <w:pPr>
        <w:pStyle w:val="15"/>
        <w:rPr>
          <w:rFonts w:hint="eastAsia" w:ascii="宋体" w:hAnsi="宋体" w:eastAsia="宋体" w:cs="宋体"/>
          <w:color w:val="auto"/>
          <w:sz w:val="20"/>
          <w:szCs w:val="20"/>
          <w:highlight w:val="none"/>
          <w:lang w:eastAsia="zh-CN"/>
        </w:rPr>
      </w:pPr>
      <w:bookmarkStart w:id="114" w:name="_bookmark124"/>
      <w:bookmarkEnd w:id="114"/>
      <w:bookmarkStart w:id="115" w:name="_Toc256000107"/>
      <w:bookmarkStart w:id="116" w:name="_Toc31264"/>
      <w:bookmarkStart w:id="117" w:name="_Toc256000273"/>
      <w:r>
        <w:rPr>
          <w:rFonts w:hint="eastAsia" w:ascii="宋体" w:hAnsi="宋体" w:eastAsia="宋体" w:cs="宋体"/>
          <w:color w:val="auto"/>
          <w:sz w:val="20"/>
          <w:szCs w:val="20"/>
          <w:highlight w:val="none"/>
          <w:lang w:eastAsia="zh-CN"/>
        </w:rPr>
        <w:t>4.1 勘察设计人的一般义务</w:t>
      </w:r>
      <w:bookmarkEnd w:id="115"/>
      <w:bookmarkEnd w:id="116"/>
      <w:bookmarkEnd w:id="117"/>
    </w:p>
    <w:p w14:paraId="21DCF5C0">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b/>
          <w:color w:val="auto"/>
          <w:sz w:val="20"/>
          <w:szCs w:val="20"/>
          <w:highlight w:val="none"/>
          <w:lang w:eastAsia="zh-CN"/>
        </w:rPr>
        <w:t xml:space="preserve">   </w:t>
      </w:r>
      <w:r>
        <w:rPr>
          <w:rFonts w:hint="eastAsia" w:ascii="宋体" w:hAnsi="宋体" w:eastAsia="宋体" w:cs="宋体"/>
          <w:color w:val="auto"/>
          <w:sz w:val="20"/>
          <w:szCs w:val="20"/>
          <w:highlight w:val="none"/>
          <w:lang w:eastAsia="zh-CN"/>
        </w:rPr>
        <w:t xml:space="preserve"> 4.1.1 遵守法律 </w:t>
      </w:r>
    </w:p>
    <w:p w14:paraId="4BC567FB">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勘察设计人在履行合同过程中应遵守法律，并保证发包人免于承担因勘察设计人违反法律而引起的任何责任。</w:t>
      </w:r>
    </w:p>
    <w:p w14:paraId="1716D2AA">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4.1.2 依法纳税 </w:t>
      </w:r>
    </w:p>
    <w:p w14:paraId="6A827D8C">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勘察设计人应按有关法律规定纳税，应缴纳的税金（含增值税）包括在合同价格之中。</w:t>
      </w:r>
    </w:p>
    <w:p w14:paraId="521A4112">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4.1.3  完成全部勘察设计工作</w:t>
      </w:r>
    </w:p>
    <w:p w14:paraId="425607C1">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勘察设计人应按合同约定以及发包人要求，完成合同约定的全部工作，并对工作中的任何缺陷 进行整改、完善和修补，使其满足合同约定的目的。勘察设计人应按合同约定提供勘察设计文件和相关服务，以及为完成勘察设计服务所需的劳务、材料、勘察设备、实验设施等，并应自行承担勘探场地临时设施 的搭设、维护、管理和拆除。</w:t>
      </w:r>
    </w:p>
    <w:p w14:paraId="158DEC5D">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4.1.4  保证勘察作业规范、安全和环保</w:t>
      </w:r>
    </w:p>
    <w:p w14:paraId="4F1D9A01">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勘察设计人应按法律、规范标准和发包人要求，采取各项有效措施，确保勘察作业操作规范、安全、文明和环保，在风险性较大的环境中作业时应当编制安全防护方案并制定应急预案，防止因勘察作业造成的人身伤害和财产损失。对勘察设计人在勘察设计过程中发生的人员或财产损失，或造成第三方的人员伤亡、财产损失，或由此而引起的其他一切损害和损失，发包人均不承担责任。</w:t>
      </w:r>
    </w:p>
    <w:p w14:paraId="78AF9457">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4.1.5 避免勘探对公众与他人的利益造成损害</w:t>
      </w:r>
    </w:p>
    <w:p w14:paraId="7715A594">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勘察设计人在进行合同约定的各项工作时，不得侵害发包人与他人使用公用道路、水源、市政管网等公共设施的权利，避免对邻近的公共设施产生干扰，保证勘探场地的周边设施、建构筑物、地下管线、架空线和其他物体的安全运行。勘察设计人占用或使用他人的施工场地，影响他人作业或生活的，应承担相应责任。</w:t>
      </w:r>
    </w:p>
    <w:p w14:paraId="31CCEDAB">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4.1.6  其他义务</w:t>
      </w:r>
    </w:p>
    <w:p w14:paraId="31C9FF9E">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勘察设计人应履行合同约定的其他义务。</w:t>
      </w:r>
    </w:p>
    <w:p w14:paraId="280FE5C2">
      <w:pPr>
        <w:pStyle w:val="15"/>
        <w:rPr>
          <w:rFonts w:hint="eastAsia" w:ascii="宋体" w:hAnsi="宋体" w:eastAsia="宋体" w:cs="宋体"/>
          <w:color w:val="auto"/>
          <w:sz w:val="20"/>
          <w:szCs w:val="20"/>
          <w:highlight w:val="none"/>
          <w:lang w:eastAsia="zh-CN"/>
        </w:rPr>
      </w:pPr>
      <w:bookmarkStart w:id="118" w:name="_bookmark125"/>
      <w:bookmarkEnd w:id="118"/>
      <w:bookmarkStart w:id="119" w:name="_Toc256000108"/>
      <w:bookmarkStart w:id="120" w:name="_Toc256000274"/>
      <w:bookmarkStart w:id="121" w:name="_Toc12077"/>
      <w:r>
        <w:rPr>
          <w:rFonts w:hint="eastAsia" w:ascii="宋体" w:hAnsi="宋体" w:eastAsia="宋体" w:cs="宋体"/>
          <w:color w:val="auto"/>
          <w:sz w:val="20"/>
          <w:szCs w:val="20"/>
          <w:highlight w:val="none"/>
          <w:lang w:eastAsia="zh-CN"/>
        </w:rPr>
        <w:t>4.2 履约保证金</w:t>
      </w:r>
      <w:bookmarkEnd w:id="119"/>
      <w:bookmarkEnd w:id="120"/>
      <w:bookmarkEnd w:id="121"/>
    </w:p>
    <w:p w14:paraId="40DC7CC6">
      <w:pPr>
        <w:pStyle w:val="23"/>
        <w:spacing w:line="360" w:lineRule="auto"/>
        <w:ind w:left="100" w:right="2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 w:val="20"/>
          <w:szCs w:val="20"/>
          <w:highlight w:val="none"/>
          <w:lang w:eastAsia="zh-CN"/>
        </w:rPr>
        <w:t>除专用合同条款另有约定外，履约保证金自合同生效之日起生效，在发包人签收最后一批</w:t>
      </w:r>
      <w:r>
        <w:rPr>
          <w:rFonts w:hint="eastAsia" w:ascii="宋体" w:hAnsi="宋体" w:eastAsia="宋体" w:cs="宋体"/>
          <w:color w:val="auto"/>
          <w:sz w:val="20"/>
          <w:szCs w:val="20"/>
          <w:highlight w:val="none"/>
          <w:lang w:eastAsia="zh-CN"/>
        </w:rPr>
        <w:t xml:space="preserve">勘察设计成果文件之日起 28 </w:t>
      </w:r>
      <w:r>
        <w:rPr>
          <w:rFonts w:hint="eastAsia" w:ascii="宋体" w:hAnsi="宋体" w:eastAsia="宋体" w:cs="宋体"/>
          <w:color w:val="auto"/>
          <w:spacing w:val="-4"/>
          <w:sz w:val="20"/>
          <w:szCs w:val="20"/>
          <w:highlight w:val="none"/>
          <w:lang w:eastAsia="zh-CN"/>
        </w:rPr>
        <w:t>日后失效。如果</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人不履行合同约定的义务或其履行不符合合同的约</w:t>
      </w:r>
      <w:r>
        <w:rPr>
          <w:rFonts w:hint="eastAsia" w:ascii="宋体" w:hAnsi="宋体" w:eastAsia="宋体" w:cs="宋体"/>
          <w:color w:val="auto"/>
          <w:sz w:val="20"/>
          <w:szCs w:val="20"/>
          <w:highlight w:val="none"/>
          <w:lang w:eastAsia="zh-CN"/>
        </w:rPr>
        <w:t>定，发包人有权扣划相应金额的履约保证金。</w:t>
      </w:r>
    </w:p>
    <w:p w14:paraId="434A2812">
      <w:pPr>
        <w:pStyle w:val="15"/>
        <w:rPr>
          <w:rFonts w:hint="eastAsia" w:ascii="宋体" w:hAnsi="宋体" w:eastAsia="宋体" w:cs="宋体"/>
          <w:color w:val="auto"/>
          <w:sz w:val="20"/>
          <w:szCs w:val="20"/>
          <w:highlight w:val="none"/>
          <w:lang w:eastAsia="zh-CN"/>
        </w:rPr>
      </w:pPr>
      <w:bookmarkStart w:id="122" w:name="_bookmark126"/>
      <w:bookmarkEnd w:id="122"/>
      <w:bookmarkStart w:id="123" w:name="_Toc256000275"/>
      <w:bookmarkStart w:id="124" w:name="_Toc12743"/>
      <w:bookmarkStart w:id="125" w:name="_Toc256000109"/>
      <w:r>
        <w:rPr>
          <w:rFonts w:hint="eastAsia" w:ascii="宋体" w:hAnsi="宋体" w:eastAsia="宋体" w:cs="宋体"/>
          <w:color w:val="auto"/>
          <w:sz w:val="20"/>
          <w:szCs w:val="20"/>
          <w:highlight w:val="none"/>
          <w:lang w:eastAsia="zh-CN"/>
        </w:rPr>
        <w:t>4.3 分包和不得转包</w:t>
      </w:r>
      <w:bookmarkEnd w:id="123"/>
      <w:bookmarkEnd w:id="124"/>
      <w:bookmarkEnd w:id="125"/>
    </w:p>
    <w:p w14:paraId="35A80D5D">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4.3.1 勘察设计人不得将其勘察设计的全部工作转包给第三人。</w:t>
      </w:r>
    </w:p>
    <w:p w14:paraId="3E3FA5A7">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4.3.2 勘察设计人不得将勘察设计的主体、关键性工作分包给第三人。除专用合同条款另有约定外， 未经发包人同意，勘察设计人也不得将非主体、非关键性工作分包给第三人。</w:t>
      </w:r>
    </w:p>
    <w:p w14:paraId="1A421AA8">
      <w:pPr>
        <w:pStyle w:val="23"/>
        <w:spacing w:line="360" w:lineRule="auto"/>
        <w:ind w:left="100" w:right="2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4.3.3 </w:t>
      </w:r>
      <w:r>
        <w:rPr>
          <w:rFonts w:hint="eastAsia" w:ascii="宋体" w:hAnsi="宋体" w:eastAsia="宋体" w:cs="宋体"/>
          <w:color w:val="auto"/>
          <w:spacing w:val="-4"/>
          <w:sz w:val="20"/>
          <w:szCs w:val="20"/>
          <w:highlight w:val="none"/>
          <w:lang w:eastAsia="zh-CN"/>
        </w:rPr>
        <w:t>发包人同意</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人分包工作的，</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人应向发包人提交 </w:t>
      </w:r>
      <w:r>
        <w:rPr>
          <w:rFonts w:hint="eastAsia" w:ascii="宋体" w:hAnsi="宋体" w:eastAsia="宋体" w:cs="宋体"/>
          <w:color w:val="auto"/>
          <w:sz w:val="20"/>
          <w:szCs w:val="20"/>
          <w:highlight w:val="none"/>
          <w:lang w:eastAsia="zh-CN"/>
        </w:rPr>
        <w:t xml:space="preserve">1 </w:t>
      </w:r>
      <w:r>
        <w:rPr>
          <w:rFonts w:hint="eastAsia" w:ascii="宋体" w:hAnsi="宋体" w:eastAsia="宋体" w:cs="宋体"/>
          <w:color w:val="auto"/>
          <w:spacing w:val="-5"/>
          <w:sz w:val="20"/>
          <w:szCs w:val="20"/>
          <w:highlight w:val="none"/>
          <w:lang w:eastAsia="zh-CN"/>
        </w:rPr>
        <w:t>份分包合同副本，并对分包</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工作质量承担连带责任。除专用合同条款另有约定外，分包人的</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费用由</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人与分包</w:t>
      </w:r>
      <w:r>
        <w:rPr>
          <w:rFonts w:hint="eastAsia" w:ascii="宋体" w:hAnsi="宋体" w:eastAsia="宋体" w:cs="宋体"/>
          <w:color w:val="auto"/>
          <w:sz w:val="20"/>
          <w:szCs w:val="20"/>
          <w:highlight w:val="none"/>
          <w:lang w:eastAsia="zh-CN"/>
        </w:rPr>
        <w:t>人自行支付。</w:t>
      </w:r>
    </w:p>
    <w:p w14:paraId="06FF5B87">
      <w:pPr>
        <w:pStyle w:val="23"/>
        <w:spacing w:line="360" w:lineRule="auto"/>
        <w:ind w:left="100" w:right="99"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4.3.4  分</w:t>
      </w:r>
      <w:r>
        <w:rPr>
          <w:rFonts w:hint="eastAsia" w:ascii="宋体" w:hAnsi="宋体" w:eastAsia="宋体" w:cs="宋体"/>
          <w:color w:val="auto"/>
          <w:spacing w:val="-3"/>
          <w:sz w:val="20"/>
          <w:szCs w:val="20"/>
          <w:highlight w:val="none"/>
          <w:lang w:eastAsia="zh-CN"/>
        </w:rPr>
        <w:t>包</w:t>
      </w:r>
      <w:r>
        <w:rPr>
          <w:rFonts w:hint="eastAsia" w:ascii="宋体" w:hAnsi="宋体" w:eastAsia="宋体" w:cs="宋体"/>
          <w:color w:val="auto"/>
          <w:sz w:val="20"/>
          <w:szCs w:val="20"/>
          <w:highlight w:val="none"/>
          <w:lang w:eastAsia="zh-CN"/>
        </w:rPr>
        <w:t>人</w:t>
      </w:r>
      <w:r>
        <w:rPr>
          <w:rFonts w:hint="eastAsia" w:ascii="宋体" w:hAnsi="宋体" w:eastAsia="宋体" w:cs="宋体"/>
          <w:color w:val="auto"/>
          <w:spacing w:val="-3"/>
          <w:sz w:val="20"/>
          <w:szCs w:val="20"/>
          <w:highlight w:val="none"/>
          <w:lang w:eastAsia="zh-CN"/>
        </w:rPr>
        <w:t>的</w:t>
      </w:r>
      <w:r>
        <w:rPr>
          <w:rFonts w:hint="eastAsia" w:ascii="宋体" w:hAnsi="宋体" w:eastAsia="宋体" w:cs="宋体"/>
          <w:color w:val="auto"/>
          <w:sz w:val="20"/>
          <w:szCs w:val="20"/>
          <w:highlight w:val="none"/>
          <w:lang w:eastAsia="zh-CN"/>
        </w:rPr>
        <w:t>资</w:t>
      </w:r>
      <w:r>
        <w:rPr>
          <w:rFonts w:hint="eastAsia" w:ascii="宋体" w:hAnsi="宋体" w:eastAsia="宋体" w:cs="宋体"/>
          <w:color w:val="auto"/>
          <w:spacing w:val="-3"/>
          <w:sz w:val="20"/>
          <w:szCs w:val="20"/>
          <w:highlight w:val="none"/>
          <w:lang w:eastAsia="zh-CN"/>
        </w:rPr>
        <w:t>格</w:t>
      </w:r>
      <w:r>
        <w:rPr>
          <w:rFonts w:hint="eastAsia" w:ascii="宋体" w:hAnsi="宋体" w:eastAsia="宋体" w:cs="宋体"/>
          <w:color w:val="auto"/>
          <w:sz w:val="20"/>
          <w:szCs w:val="20"/>
          <w:highlight w:val="none"/>
          <w:lang w:eastAsia="zh-CN"/>
        </w:rPr>
        <w:t>能</w:t>
      </w:r>
      <w:r>
        <w:rPr>
          <w:rFonts w:hint="eastAsia" w:ascii="宋体" w:hAnsi="宋体" w:eastAsia="宋体" w:cs="宋体"/>
          <w:color w:val="auto"/>
          <w:spacing w:val="-3"/>
          <w:sz w:val="20"/>
          <w:szCs w:val="20"/>
          <w:highlight w:val="none"/>
          <w:lang w:eastAsia="zh-CN"/>
        </w:rPr>
        <w:t>力应</w:t>
      </w:r>
      <w:r>
        <w:rPr>
          <w:rFonts w:hint="eastAsia" w:ascii="宋体" w:hAnsi="宋体" w:eastAsia="宋体" w:cs="宋体"/>
          <w:color w:val="auto"/>
          <w:sz w:val="20"/>
          <w:szCs w:val="20"/>
          <w:highlight w:val="none"/>
          <w:lang w:eastAsia="zh-CN"/>
        </w:rPr>
        <w:t>与其</w:t>
      </w:r>
      <w:r>
        <w:rPr>
          <w:rFonts w:hint="eastAsia" w:ascii="宋体" w:hAnsi="宋体" w:eastAsia="宋体" w:cs="宋体"/>
          <w:color w:val="auto"/>
          <w:spacing w:val="-3"/>
          <w:sz w:val="20"/>
          <w:szCs w:val="20"/>
          <w:highlight w:val="none"/>
          <w:lang w:eastAsia="zh-CN"/>
        </w:rPr>
        <w:t>分</w:t>
      </w:r>
      <w:r>
        <w:rPr>
          <w:rFonts w:hint="eastAsia" w:ascii="宋体" w:hAnsi="宋体" w:eastAsia="宋体" w:cs="宋体"/>
          <w:color w:val="auto"/>
          <w:sz w:val="20"/>
          <w:szCs w:val="20"/>
          <w:highlight w:val="none"/>
          <w:lang w:eastAsia="zh-CN"/>
        </w:rPr>
        <w:t>包</w:t>
      </w:r>
      <w:r>
        <w:rPr>
          <w:rFonts w:hint="eastAsia" w:ascii="宋体" w:hAnsi="宋体" w:eastAsia="宋体" w:cs="宋体"/>
          <w:color w:val="auto"/>
          <w:spacing w:val="-3"/>
          <w:sz w:val="20"/>
          <w:szCs w:val="20"/>
          <w:highlight w:val="none"/>
          <w:lang w:eastAsia="zh-CN"/>
        </w:rPr>
        <w:t>工</w:t>
      </w:r>
      <w:r>
        <w:rPr>
          <w:rFonts w:hint="eastAsia" w:ascii="宋体" w:hAnsi="宋体" w:eastAsia="宋体" w:cs="宋体"/>
          <w:color w:val="auto"/>
          <w:sz w:val="20"/>
          <w:szCs w:val="20"/>
          <w:highlight w:val="none"/>
          <w:lang w:eastAsia="zh-CN"/>
        </w:rPr>
        <w:t>作</w:t>
      </w:r>
      <w:r>
        <w:rPr>
          <w:rFonts w:hint="eastAsia" w:ascii="宋体" w:hAnsi="宋体" w:eastAsia="宋体" w:cs="宋体"/>
          <w:color w:val="auto"/>
          <w:spacing w:val="-3"/>
          <w:sz w:val="20"/>
          <w:szCs w:val="20"/>
          <w:highlight w:val="none"/>
          <w:lang w:eastAsia="zh-CN"/>
        </w:rPr>
        <w:t>的</w:t>
      </w:r>
      <w:r>
        <w:rPr>
          <w:rFonts w:hint="eastAsia" w:ascii="宋体" w:hAnsi="宋体" w:eastAsia="宋体" w:cs="宋体"/>
          <w:color w:val="auto"/>
          <w:sz w:val="20"/>
          <w:szCs w:val="20"/>
          <w:highlight w:val="none"/>
          <w:lang w:eastAsia="zh-CN"/>
        </w:rPr>
        <w:t>标</w:t>
      </w:r>
      <w:r>
        <w:rPr>
          <w:rFonts w:hint="eastAsia" w:ascii="宋体" w:hAnsi="宋体" w:eastAsia="宋体" w:cs="宋体"/>
          <w:color w:val="auto"/>
          <w:spacing w:val="-3"/>
          <w:sz w:val="20"/>
          <w:szCs w:val="20"/>
          <w:highlight w:val="none"/>
          <w:lang w:eastAsia="zh-CN"/>
        </w:rPr>
        <w:t>准</w:t>
      </w:r>
      <w:r>
        <w:rPr>
          <w:rFonts w:hint="eastAsia" w:ascii="宋体" w:hAnsi="宋体" w:eastAsia="宋体" w:cs="宋体"/>
          <w:color w:val="auto"/>
          <w:sz w:val="20"/>
          <w:szCs w:val="20"/>
          <w:highlight w:val="none"/>
          <w:lang w:eastAsia="zh-CN"/>
        </w:rPr>
        <w:t>和</w:t>
      </w:r>
      <w:r>
        <w:rPr>
          <w:rFonts w:hint="eastAsia" w:ascii="宋体" w:hAnsi="宋体" w:eastAsia="宋体" w:cs="宋体"/>
          <w:color w:val="auto"/>
          <w:spacing w:val="-3"/>
          <w:sz w:val="20"/>
          <w:szCs w:val="20"/>
          <w:highlight w:val="none"/>
          <w:lang w:eastAsia="zh-CN"/>
        </w:rPr>
        <w:t>规</w:t>
      </w:r>
      <w:r>
        <w:rPr>
          <w:rFonts w:hint="eastAsia" w:ascii="宋体" w:hAnsi="宋体" w:eastAsia="宋体" w:cs="宋体"/>
          <w:color w:val="auto"/>
          <w:sz w:val="20"/>
          <w:szCs w:val="20"/>
          <w:highlight w:val="none"/>
          <w:lang w:eastAsia="zh-CN"/>
        </w:rPr>
        <w:t>模相</w:t>
      </w:r>
      <w:r>
        <w:rPr>
          <w:rFonts w:hint="eastAsia" w:ascii="宋体" w:hAnsi="宋体" w:eastAsia="宋体" w:cs="宋体"/>
          <w:color w:val="auto"/>
          <w:spacing w:val="-3"/>
          <w:sz w:val="20"/>
          <w:szCs w:val="20"/>
          <w:highlight w:val="none"/>
          <w:lang w:eastAsia="zh-CN"/>
        </w:rPr>
        <w:t>适</w:t>
      </w:r>
      <w:r>
        <w:rPr>
          <w:rFonts w:hint="eastAsia" w:ascii="宋体" w:hAnsi="宋体" w:eastAsia="宋体" w:cs="宋体"/>
          <w:color w:val="auto"/>
          <w:sz w:val="20"/>
          <w:szCs w:val="20"/>
          <w:highlight w:val="none"/>
          <w:lang w:eastAsia="zh-CN"/>
        </w:rPr>
        <w:t>应</w:t>
      </w:r>
      <w:r>
        <w:rPr>
          <w:rFonts w:hint="eastAsia" w:ascii="宋体" w:hAnsi="宋体" w:eastAsia="宋体" w:cs="宋体"/>
          <w:color w:val="auto"/>
          <w:spacing w:val="-92"/>
          <w:sz w:val="20"/>
          <w:szCs w:val="20"/>
          <w:highlight w:val="none"/>
          <w:lang w:eastAsia="zh-CN"/>
        </w:rPr>
        <w:t>，</w:t>
      </w:r>
      <w:r>
        <w:rPr>
          <w:rFonts w:hint="eastAsia" w:ascii="宋体" w:hAnsi="宋体" w:eastAsia="宋体" w:cs="宋体"/>
          <w:color w:val="auto"/>
          <w:spacing w:val="-3"/>
          <w:sz w:val="20"/>
          <w:szCs w:val="20"/>
          <w:highlight w:val="none"/>
          <w:lang w:eastAsia="zh-CN"/>
        </w:rPr>
        <w:t>包</w:t>
      </w:r>
      <w:r>
        <w:rPr>
          <w:rFonts w:hint="eastAsia" w:ascii="宋体" w:hAnsi="宋体" w:eastAsia="宋体" w:cs="宋体"/>
          <w:color w:val="auto"/>
          <w:sz w:val="20"/>
          <w:szCs w:val="20"/>
          <w:highlight w:val="none"/>
          <w:lang w:eastAsia="zh-CN"/>
        </w:rPr>
        <w:t>括</w:t>
      </w:r>
      <w:r>
        <w:rPr>
          <w:rFonts w:hint="eastAsia" w:ascii="宋体" w:hAnsi="宋体" w:eastAsia="宋体" w:cs="宋体"/>
          <w:color w:val="auto"/>
          <w:spacing w:val="-3"/>
          <w:sz w:val="20"/>
          <w:szCs w:val="20"/>
          <w:highlight w:val="none"/>
          <w:lang w:eastAsia="zh-CN"/>
        </w:rPr>
        <w:t>必</w:t>
      </w:r>
      <w:r>
        <w:rPr>
          <w:rFonts w:hint="eastAsia" w:ascii="宋体" w:hAnsi="宋体" w:eastAsia="宋体" w:cs="宋体"/>
          <w:color w:val="auto"/>
          <w:sz w:val="20"/>
          <w:szCs w:val="20"/>
          <w:highlight w:val="none"/>
          <w:lang w:eastAsia="zh-CN"/>
        </w:rPr>
        <w:t>要</w:t>
      </w:r>
      <w:r>
        <w:rPr>
          <w:rFonts w:hint="eastAsia" w:ascii="宋体" w:hAnsi="宋体" w:eastAsia="宋体" w:cs="宋体"/>
          <w:color w:val="auto"/>
          <w:spacing w:val="-3"/>
          <w:sz w:val="20"/>
          <w:szCs w:val="20"/>
          <w:highlight w:val="none"/>
          <w:lang w:eastAsia="zh-CN"/>
        </w:rPr>
        <w:t>的</w:t>
      </w:r>
      <w:r>
        <w:rPr>
          <w:rFonts w:hint="eastAsia" w:ascii="宋体" w:hAnsi="宋体" w:eastAsia="宋体" w:cs="宋体"/>
          <w:color w:val="auto"/>
          <w:sz w:val="20"/>
          <w:szCs w:val="20"/>
          <w:highlight w:val="none"/>
          <w:lang w:eastAsia="zh-CN"/>
        </w:rPr>
        <w:t>企</w:t>
      </w:r>
      <w:r>
        <w:rPr>
          <w:rFonts w:hint="eastAsia" w:ascii="宋体" w:hAnsi="宋体" w:eastAsia="宋体" w:cs="宋体"/>
          <w:color w:val="auto"/>
          <w:spacing w:val="-3"/>
          <w:sz w:val="20"/>
          <w:szCs w:val="20"/>
          <w:highlight w:val="none"/>
          <w:lang w:eastAsia="zh-CN"/>
        </w:rPr>
        <w:t>业</w:t>
      </w:r>
      <w:r>
        <w:rPr>
          <w:rFonts w:hint="eastAsia" w:ascii="宋体" w:hAnsi="宋体" w:eastAsia="宋体" w:cs="宋体"/>
          <w:color w:val="auto"/>
          <w:sz w:val="20"/>
          <w:szCs w:val="20"/>
          <w:highlight w:val="none"/>
          <w:lang w:eastAsia="zh-CN"/>
        </w:rPr>
        <w:t>资质</w:t>
      </w:r>
      <w:r>
        <w:rPr>
          <w:rFonts w:hint="eastAsia" w:ascii="宋体" w:hAnsi="宋体" w:eastAsia="宋体" w:cs="宋体"/>
          <w:color w:val="auto"/>
          <w:spacing w:val="-92"/>
          <w:sz w:val="20"/>
          <w:szCs w:val="20"/>
          <w:highlight w:val="none"/>
          <w:lang w:eastAsia="zh-CN"/>
        </w:rPr>
        <w:t>、</w:t>
      </w:r>
      <w:r>
        <w:rPr>
          <w:rFonts w:hint="eastAsia" w:ascii="宋体" w:hAnsi="宋体" w:eastAsia="宋体" w:cs="宋体"/>
          <w:color w:val="auto"/>
          <w:spacing w:val="-3"/>
          <w:sz w:val="20"/>
          <w:szCs w:val="20"/>
          <w:highlight w:val="none"/>
          <w:lang w:eastAsia="zh-CN"/>
        </w:rPr>
        <w:t>人</w:t>
      </w:r>
      <w:r>
        <w:rPr>
          <w:rFonts w:hint="eastAsia" w:ascii="宋体" w:hAnsi="宋体" w:eastAsia="宋体" w:cs="宋体"/>
          <w:color w:val="auto"/>
          <w:sz w:val="20"/>
          <w:szCs w:val="20"/>
          <w:highlight w:val="none"/>
          <w:lang w:eastAsia="zh-CN"/>
        </w:rPr>
        <w:t>员、设备和类似业绩等。</w:t>
      </w:r>
    </w:p>
    <w:p w14:paraId="75D53AD0">
      <w:pPr>
        <w:pStyle w:val="23"/>
        <w:spacing w:line="360" w:lineRule="auto"/>
        <w:ind w:left="100" w:right="99"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4.3.5  分</w:t>
      </w:r>
      <w:r>
        <w:rPr>
          <w:rFonts w:hint="eastAsia" w:ascii="宋体" w:hAnsi="宋体" w:eastAsia="宋体" w:cs="宋体"/>
          <w:color w:val="auto"/>
          <w:spacing w:val="-3"/>
          <w:sz w:val="20"/>
          <w:szCs w:val="20"/>
          <w:highlight w:val="none"/>
          <w:lang w:eastAsia="zh-CN"/>
        </w:rPr>
        <w:t>包</w:t>
      </w:r>
      <w:r>
        <w:rPr>
          <w:rFonts w:hint="eastAsia" w:ascii="宋体" w:hAnsi="宋体" w:eastAsia="宋体" w:cs="宋体"/>
          <w:color w:val="auto"/>
          <w:sz w:val="20"/>
          <w:szCs w:val="20"/>
          <w:highlight w:val="none"/>
          <w:lang w:eastAsia="zh-CN"/>
        </w:rPr>
        <w:t>人</w:t>
      </w:r>
      <w:r>
        <w:rPr>
          <w:rFonts w:hint="eastAsia" w:ascii="宋体" w:hAnsi="宋体" w:eastAsia="宋体" w:cs="宋体"/>
          <w:color w:val="auto"/>
          <w:spacing w:val="-3"/>
          <w:sz w:val="20"/>
          <w:szCs w:val="20"/>
          <w:highlight w:val="none"/>
          <w:lang w:eastAsia="zh-CN"/>
        </w:rPr>
        <w:t>对勘察设计人与各分包人之间的法律和经济纠纷不承担任何责任和义务</w:t>
      </w:r>
      <w:r>
        <w:rPr>
          <w:rFonts w:hint="eastAsia" w:ascii="宋体" w:hAnsi="宋体" w:eastAsia="宋体" w:cs="宋体"/>
          <w:color w:val="auto"/>
          <w:sz w:val="20"/>
          <w:szCs w:val="20"/>
          <w:highlight w:val="none"/>
          <w:lang w:eastAsia="zh-CN"/>
        </w:rPr>
        <w:t>。</w:t>
      </w:r>
    </w:p>
    <w:p w14:paraId="5E188F44">
      <w:pPr>
        <w:pStyle w:val="15"/>
        <w:rPr>
          <w:rFonts w:hint="eastAsia" w:ascii="宋体" w:hAnsi="宋体" w:eastAsia="宋体" w:cs="宋体"/>
          <w:color w:val="auto"/>
          <w:sz w:val="20"/>
          <w:szCs w:val="20"/>
          <w:highlight w:val="none"/>
          <w:lang w:eastAsia="zh-CN"/>
        </w:rPr>
      </w:pPr>
      <w:bookmarkStart w:id="126" w:name="_bookmark127"/>
      <w:bookmarkEnd w:id="126"/>
      <w:bookmarkStart w:id="127" w:name="_Toc256000110"/>
      <w:bookmarkStart w:id="128" w:name="_Toc256000276"/>
      <w:bookmarkStart w:id="129" w:name="_Toc2860"/>
      <w:r>
        <w:rPr>
          <w:rFonts w:hint="eastAsia" w:ascii="宋体" w:hAnsi="宋体" w:eastAsia="宋体" w:cs="宋体"/>
          <w:color w:val="auto"/>
          <w:sz w:val="20"/>
          <w:szCs w:val="20"/>
          <w:highlight w:val="none"/>
          <w:lang w:eastAsia="zh-CN"/>
        </w:rPr>
        <w:t>4.4 联合体</w:t>
      </w:r>
      <w:bookmarkEnd w:id="127"/>
      <w:bookmarkEnd w:id="128"/>
      <w:bookmarkEnd w:id="129"/>
    </w:p>
    <w:p w14:paraId="6AA7930E">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4.4.1 联合体各方应共同与发包人签订合同。联合体各方应为履行合同承担连带责任。</w:t>
      </w:r>
    </w:p>
    <w:p w14:paraId="4F348677">
      <w:pPr>
        <w:pStyle w:val="23"/>
        <w:spacing w:line="360" w:lineRule="auto"/>
        <w:ind w:left="100" w:right="2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4.4.2 </w:t>
      </w:r>
      <w:r>
        <w:rPr>
          <w:rFonts w:hint="eastAsia" w:ascii="宋体" w:hAnsi="宋体" w:eastAsia="宋体" w:cs="宋体"/>
          <w:color w:val="auto"/>
          <w:spacing w:val="-4"/>
          <w:sz w:val="20"/>
          <w:szCs w:val="20"/>
          <w:highlight w:val="none"/>
          <w:lang w:eastAsia="zh-CN"/>
        </w:rPr>
        <w:t xml:space="preserve">联合体协议经发包人确认后作为合同附件。在履行合同过程中，未经发包人同意，不 </w:t>
      </w:r>
      <w:r>
        <w:rPr>
          <w:rFonts w:hint="eastAsia" w:ascii="宋体" w:hAnsi="宋体" w:eastAsia="宋体" w:cs="宋体"/>
          <w:color w:val="auto"/>
          <w:sz w:val="20"/>
          <w:szCs w:val="20"/>
          <w:highlight w:val="none"/>
          <w:lang w:eastAsia="zh-CN"/>
        </w:rPr>
        <w:t>得修改联合体协议。</w:t>
      </w:r>
    </w:p>
    <w:p w14:paraId="36E0A8C8">
      <w:pPr>
        <w:pStyle w:val="23"/>
        <w:spacing w:line="360" w:lineRule="auto"/>
        <w:ind w:left="100" w:right="2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4.4.3 </w:t>
      </w:r>
      <w:r>
        <w:rPr>
          <w:rFonts w:hint="eastAsia" w:ascii="宋体" w:hAnsi="宋体" w:eastAsia="宋体" w:cs="宋体"/>
          <w:color w:val="auto"/>
          <w:spacing w:val="-4"/>
          <w:sz w:val="20"/>
          <w:szCs w:val="20"/>
          <w:highlight w:val="none"/>
          <w:lang w:eastAsia="zh-CN"/>
        </w:rPr>
        <w:t xml:space="preserve">联合体牵头人或联合体授权的代表负责与发包人联系，并接受指示，负责组织联合体 </w:t>
      </w:r>
      <w:r>
        <w:rPr>
          <w:rFonts w:hint="eastAsia" w:ascii="宋体" w:hAnsi="宋体" w:eastAsia="宋体" w:cs="宋体"/>
          <w:color w:val="auto"/>
          <w:sz w:val="20"/>
          <w:szCs w:val="20"/>
          <w:highlight w:val="none"/>
          <w:lang w:eastAsia="zh-CN"/>
        </w:rPr>
        <w:t>各成员全面履行合同。</w:t>
      </w:r>
    </w:p>
    <w:p w14:paraId="55071F22">
      <w:pPr>
        <w:pStyle w:val="15"/>
        <w:rPr>
          <w:rFonts w:hint="eastAsia" w:ascii="宋体" w:hAnsi="宋体" w:eastAsia="宋体" w:cs="宋体"/>
          <w:color w:val="auto"/>
          <w:sz w:val="20"/>
          <w:szCs w:val="20"/>
          <w:highlight w:val="none"/>
          <w:lang w:eastAsia="zh-CN"/>
        </w:rPr>
      </w:pPr>
      <w:bookmarkStart w:id="130" w:name="_bookmark128"/>
      <w:bookmarkEnd w:id="130"/>
      <w:bookmarkStart w:id="131" w:name="_Toc256000111"/>
      <w:bookmarkStart w:id="132" w:name="_Toc256000277"/>
      <w:bookmarkStart w:id="133" w:name="_Toc18450"/>
      <w:r>
        <w:rPr>
          <w:rFonts w:hint="eastAsia" w:ascii="宋体" w:hAnsi="宋体" w:eastAsia="宋体" w:cs="宋体"/>
          <w:color w:val="auto"/>
          <w:sz w:val="20"/>
          <w:szCs w:val="20"/>
          <w:highlight w:val="none"/>
          <w:lang w:eastAsia="zh-CN"/>
        </w:rPr>
        <w:t>4.5 项目负责人</w:t>
      </w:r>
      <w:bookmarkEnd w:id="131"/>
      <w:bookmarkEnd w:id="132"/>
      <w:bookmarkEnd w:id="133"/>
    </w:p>
    <w:p w14:paraId="467A5FFA">
      <w:pPr>
        <w:pStyle w:val="23"/>
        <w:spacing w:line="360" w:lineRule="auto"/>
        <w:ind w:left="100" w:right="2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4.5.1 勘察设计人应按合同协议书的约定指派项目负责人，并在约定的期限内到职。勘察设计人更换项目负责人应事先征得发包人同意，并应在更换 14 天前将拟更换的项目负责人的姓名和详细资料提交发包人。项目负责人 2 天内不能履行职责的，应事先征得发包人同意，并委派代表代行其职责。</w:t>
      </w:r>
    </w:p>
    <w:p w14:paraId="21F38502">
      <w:pPr>
        <w:pStyle w:val="23"/>
        <w:spacing w:line="360" w:lineRule="auto"/>
        <w:ind w:left="100" w:right="2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4.5.2 </w:t>
      </w:r>
      <w:r>
        <w:rPr>
          <w:rFonts w:hint="eastAsia" w:ascii="宋体" w:hAnsi="宋体" w:eastAsia="宋体" w:cs="宋体"/>
          <w:color w:val="auto"/>
          <w:spacing w:val="-3"/>
          <w:sz w:val="20"/>
          <w:szCs w:val="20"/>
          <w:highlight w:val="none"/>
          <w:lang w:eastAsia="zh-CN"/>
        </w:rPr>
        <w:t xml:space="preserve">项目负责人应按合同约定以及发包人要求，负责组织合同工作的实施。在情况紧急且 </w:t>
      </w:r>
      <w:r>
        <w:rPr>
          <w:rFonts w:hint="eastAsia" w:ascii="宋体" w:hAnsi="宋体" w:eastAsia="宋体" w:cs="宋体"/>
          <w:color w:val="auto"/>
          <w:spacing w:val="-1"/>
          <w:sz w:val="20"/>
          <w:szCs w:val="20"/>
          <w:highlight w:val="none"/>
          <w:lang w:eastAsia="zh-CN"/>
        </w:rPr>
        <w:t xml:space="preserve">无法与发包人取得联系时，可采取保证工程和人员生命财产安全的紧急措施，并在采取措施后 </w:t>
      </w:r>
      <w:r>
        <w:rPr>
          <w:rFonts w:hint="eastAsia" w:ascii="宋体" w:hAnsi="宋体" w:eastAsia="宋体" w:cs="宋体"/>
          <w:color w:val="auto"/>
          <w:sz w:val="20"/>
          <w:szCs w:val="20"/>
          <w:highlight w:val="none"/>
          <w:lang w:eastAsia="zh-CN"/>
        </w:rPr>
        <w:t>24 小时内向发包人提交书面报告。</w:t>
      </w:r>
    </w:p>
    <w:p w14:paraId="025976CB">
      <w:pPr>
        <w:pStyle w:val="23"/>
        <w:spacing w:line="360" w:lineRule="auto"/>
        <w:ind w:left="100" w:right="2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4.5.3 勘察设计人为履行合同发出的一切函件均应盖有勘察设计人单位公章，并由勘察设计人的项目负责人签字确认。</w:t>
      </w:r>
    </w:p>
    <w:p w14:paraId="67419F10">
      <w:pPr>
        <w:pStyle w:val="23"/>
        <w:spacing w:line="360" w:lineRule="auto"/>
        <w:ind w:left="100" w:right="2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4.5.4 </w:t>
      </w:r>
      <w:r>
        <w:rPr>
          <w:rFonts w:hint="eastAsia" w:ascii="宋体" w:hAnsi="宋体" w:eastAsia="宋体" w:cs="宋体"/>
          <w:color w:val="auto"/>
          <w:spacing w:val="-4"/>
          <w:sz w:val="20"/>
          <w:szCs w:val="20"/>
          <w:highlight w:val="none"/>
          <w:lang w:eastAsia="zh-CN"/>
        </w:rPr>
        <w:t xml:space="preserve">按照专用合同条款约定，项目负责人可以授权其下属人员履行其某项职责，但事先应 </w:t>
      </w:r>
      <w:r>
        <w:rPr>
          <w:rFonts w:hint="eastAsia" w:ascii="宋体" w:hAnsi="宋体" w:eastAsia="宋体" w:cs="宋体"/>
          <w:color w:val="auto"/>
          <w:sz w:val="20"/>
          <w:szCs w:val="20"/>
          <w:highlight w:val="none"/>
          <w:lang w:eastAsia="zh-CN"/>
        </w:rPr>
        <w:t>将这些人员的姓名和授权范围书面通知发包人。</w:t>
      </w:r>
    </w:p>
    <w:p w14:paraId="0B1F2334">
      <w:pPr>
        <w:pStyle w:val="15"/>
        <w:rPr>
          <w:rFonts w:hint="eastAsia" w:ascii="宋体" w:hAnsi="宋体" w:eastAsia="宋体" w:cs="宋体"/>
          <w:color w:val="auto"/>
          <w:sz w:val="20"/>
          <w:szCs w:val="20"/>
          <w:highlight w:val="none"/>
          <w:lang w:eastAsia="zh-CN"/>
        </w:rPr>
      </w:pPr>
      <w:bookmarkStart w:id="134" w:name="_bookmark129"/>
      <w:bookmarkEnd w:id="134"/>
      <w:bookmarkStart w:id="135" w:name="_Toc12304"/>
      <w:bookmarkStart w:id="136" w:name="_Toc256000112"/>
      <w:bookmarkStart w:id="137" w:name="_Toc256000278"/>
      <w:r>
        <w:rPr>
          <w:rFonts w:hint="eastAsia" w:ascii="宋体" w:hAnsi="宋体" w:eastAsia="宋体" w:cs="宋体"/>
          <w:color w:val="auto"/>
          <w:sz w:val="20"/>
          <w:szCs w:val="20"/>
          <w:highlight w:val="none"/>
          <w:lang w:eastAsia="zh-CN"/>
        </w:rPr>
        <w:t>4.6 勘察设计人员的管理</w:t>
      </w:r>
      <w:bookmarkEnd w:id="135"/>
      <w:bookmarkEnd w:id="136"/>
      <w:bookmarkEnd w:id="137"/>
    </w:p>
    <w:p w14:paraId="4C0C55A1">
      <w:pPr>
        <w:pStyle w:val="23"/>
        <w:spacing w:line="360" w:lineRule="auto"/>
        <w:ind w:left="100" w:right="2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4.6.1 勘察设计人应在接到开始勘察设计通知之日起 7 </w:t>
      </w:r>
      <w:r>
        <w:rPr>
          <w:rFonts w:hint="eastAsia" w:ascii="宋体" w:hAnsi="宋体" w:eastAsia="宋体" w:cs="宋体"/>
          <w:color w:val="auto"/>
          <w:spacing w:val="-6"/>
          <w:sz w:val="20"/>
          <w:szCs w:val="20"/>
          <w:highlight w:val="none"/>
          <w:lang w:eastAsia="zh-CN"/>
        </w:rPr>
        <w:t>天内，向发包人提交</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6"/>
          <w:sz w:val="20"/>
          <w:szCs w:val="20"/>
          <w:highlight w:val="none"/>
          <w:lang w:eastAsia="zh-CN"/>
        </w:rPr>
        <w:t>项目机构以及人员安</w:t>
      </w:r>
      <w:r>
        <w:rPr>
          <w:rFonts w:hint="eastAsia" w:ascii="宋体" w:hAnsi="宋体" w:eastAsia="宋体" w:cs="宋体"/>
          <w:color w:val="auto"/>
          <w:spacing w:val="-1"/>
          <w:sz w:val="20"/>
          <w:szCs w:val="20"/>
          <w:highlight w:val="none"/>
          <w:lang w:eastAsia="zh-CN"/>
        </w:rPr>
        <w:t>排的报告，其内容应包括项目机构设置、主要</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人员和作业人员的名单及资格条件。主要</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2"/>
          <w:sz w:val="20"/>
          <w:szCs w:val="20"/>
          <w:highlight w:val="none"/>
          <w:lang w:eastAsia="zh-CN"/>
        </w:rPr>
        <w:t>人员应相对稳定，更换主要</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2"/>
          <w:sz w:val="20"/>
          <w:szCs w:val="20"/>
          <w:highlight w:val="none"/>
          <w:lang w:eastAsia="zh-CN"/>
        </w:rPr>
        <w:t>人员的，应取得发包人的同意，并向发包人提交继任人员的资</w:t>
      </w:r>
      <w:r>
        <w:rPr>
          <w:rFonts w:hint="eastAsia" w:ascii="宋体" w:hAnsi="宋体" w:eastAsia="宋体" w:cs="宋体"/>
          <w:color w:val="auto"/>
          <w:sz w:val="20"/>
          <w:szCs w:val="20"/>
          <w:highlight w:val="none"/>
          <w:lang w:eastAsia="zh-CN"/>
        </w:rPr>
        <w:t>格、管理经验等资料。项目负责人的更换，应按照本章第</w:t>
      </w:r>
      <w:r>
        <w:rPr>
          <w:rFonts w:hint="eastAsia" w:ascii="宋体" w:hAnsi="宋体" w:eastAsia="宋体" w:cs="宋体"/>
          <w:color w:val="auto"/>
          <w:spacing w:val="-59"/>
          <w:sz w:val="20"/>
          <w:szCs w:val="20"/>
          <w:highlight w:val="none"/>
          <w:lang w:eastAsia="zh-CN"/>
        </w:rPr>
        <w:t xml:space="preserve"> </w:t>
      </w:r>
      <w:r>
        <w:rPr>
          <w:rFonts w:hint="eastAsia" w:ascii="宋体" w:hAnsi="宋体" w:eastAsia="宋体" w:cs="宋体"/>
          <w:color w:val="auto"/>
          <w:sz w:val="20"/>
          <w:szCs w:val="20"/>
          <w:highlight w:val="none"/>
          <w:lang w:eastAsia="zh-CN"/>
        </w:rPr>
        <w:t>4.5.1 项规定执行。</w:t>
      </w:r>
    </w:p>
    <w:p w14:paraId="3091B332">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4.6.2 除专用合同条款另有约定外，主要勘察设计人员包括项目负责人、专业负责人、审核人、审定人等；其他人员包括勘察作业人员、各专业的设计人员、管理人员等。</w:t>
      </w:r>
    </w:p>
    <w:p w14:paraId="0F185A8E">
      <w:pPr>
        <w:pStyle w:val="23"/>
        <w:spacing w:line="360" w:lineRule="auto"/>
        <w:ind w:left="100" w:right="215"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4.6.3 勘察设计</w:t>
      </w:r>
      <w:r>
        <w:rPr>
          <w:rFonts w:hint="eastAsia" w:ascii="宋体" w:hAnsi="宋体" w:eastAsia="宋体" w:cs="宋体"/>
          <w:color w:val="auto"/>
          <w:spacing w:val="-3"/>
          <w:sz w:val="20"/>
          <w:szCs w:val="20"/>
          <w:highlight w:val="none"/>
          <w:lang w:eastAsia="zh-CN"/>
        </w:rPr>
        <w:t>人应保证其主要</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3"/>
          <w:sz w:val="20"/>
          <w:szCs w:val="20"/>
          <w:highlight w:val="none"/>
          <w:lang w:eastAsia="zh-CN"/>
        </w:rPr>
        <w:t xml:space="preserve">人员（含分包人）在合同期限内的任何时候，都能按时参加 </w:t>
      </w:r>
      <w:r>
        <w:rPr>
          <w:rFonts w:hint="eastAsia" w:ascii="宋体" w:hAnsi="宋体" w:eastAsia="宋体" w:cs="宋体"/>
          <w:color w:val="auto"/>
          <w:sz w:val="20"/>
          <w:szCs w:val="20"/>
          <w:highlight w:val="none"/>
          <w:lang w:eastAsia="zh-CN"/>
        </w:rPr>
        <w:t>发包人组织的工作会议。</w:t>
      </w:r>
    </w:p>
    <w:p w14:paraId="560CA6F1">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4.6.4 国家规定应当持证上岗的工作人员均应持有相应的资格证明，发包人有权随时检查。 发包人认为有必要时，可以进行现场考核。</w:t>
      </w:r>
    </w:p>
    <w:p w14:paraId="56A84911">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4.6.5 勘察设计人的工作进度未达到勘察设计人投标文件中承诺的进度计划时，发包人有权要求勘察设计人增加勘察设计人员，勘察设计人应立即安排，其费用视为已包含在合同价格中。</w:t>
      </w:r>
    </w:p>
    <w:p w14:paraId="168A7A1D">
      <w:pPr>
        <w:pStyle w:val="15"/>
        <w:rPr>
          <w:rFonts w:hint="eastAsia" w:ascii="宋体" w:hAnsi="宋体" w:eastAsia="宋体" w:cs="宋体"/>
          <w:color w:val="auto"/>
          <w:sz w:val="20"/>
          <w:szCs w:val="20"/>
          <w:highlight w:val="none"/>
          <w:lang w:eastAsia="zh-CN"/>
        </w:rPr>
      </w:pPr>
      <w:bookmarkStart w:id="138" w:name="_bookmark130"/>
      <w:bookmarkEnd w:id="138"/>
      <w:bookmarkStart w:id="139" w:name="_Toc256000113"/>
      <w:bookmarkStart w:id="140" w:name="_Toc256000279"/>
      <w:bookmarkStart w:id="141" w:name="_Toc6854"/>
      <w:r>
        <w:rPr>
          <w:rFonts w:hint="eastAsia" w:ascii="宋体" w:hAnsi="宋体" w:eastAsia="宋体" w:cs="宋体"/>
          <w:color w:val="auto"/>
          <w:sz w:val="20"/>
          <w:szCs w:val="20"/>
          <w:highlight w:val="none"/>
          <w:lang w:eastAsia="zh-CN"/>
        </w:rPr>
        <w:t>4.7 撤换项目负责人和其他人员</w:t>
      </w:r>
      <w:bookmarkEnd w:id="139"/>
      <w:bookmarkEnd w:id="140"/>
      <w:bookmarkEnd w:id="141"/>
    </w:p>
    <w:p w14:paraId="43BCA2D6">
      <w:pPr>
        <w:pStyle w:val="23"/>
        <w:spacing w:line="360" w:lineRule="auto"/>
        <w:ind w:left="100" w:right="2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勘察设计人应对其项目负责人和其他人员进行有效管理。发包人要求撤换不能胜任本职工作、 行为不端或玩忽职守的项目负责人和其他人员的，勘察设计人应予以撤换。</w:t>
      </w:r>
    </w:p>
    <w:p w14:paraId="0B3E0BD8">
      <w:pPr>
        <w:pStyle w:val="15"/>
        <w:rPr>
          <w:rFonts w:hint="eastAsia" w:ascii="宋体" w:hAnsi="宋体" w:eastAsia="宋体" w:cs="宋体"/>
          <w:color w:val="auto"/>
          <w:sz w:val="20"/>
          <w:szCs w:val="20"/>
          <w:highlight w:val="none"/>
          <w:lang w:eastAsia="zh-CN"/>
        </w:rPr>
      </w:pPr>
      <w:bookmarkStart w:id="142" w:name="_bookmark131"/>
      <w:bookmarkEnd w:id="142"/>
      <w:bookmarkStart w:id="143" w:name="_Toc256000280"/>
      <w:bookmarkStart w:id="144" w:name="_Toc17341"/>
      <w:bookmarkStart w:id="145" w:name="_Toc256000114"/>
      <w:r>
        <w:rPr>
          <w:rFonts w:hint="eastAsia" w:ascii="宋体" w:hAnsi="宋体" w:eastAsia="宋体" w:cs="宋体"/>
          <w:color w:val="auto"/>
          <w:sz w:val="20"/>
          <w:szCs w:val="20"/>
          <w:highlight w:val="none"/>
          <w:lang w:eastAsia="zh-CN"/>
        </w:rPr>
        <w:t>4.8 保障人员的合法权益</w:t>
      </w:r>
      <w:bookmarkEnd w:id="143"/>
      <w:bookmarkEnd w:id="144"/>
      <w:bookmarkEnd w:id="145"/>
    </w:p>
    <w:p w14:paraId="325C84BB">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4.8.1 勘察设计人应与其雇佣的人员签订劳动合同，并按时发放工资。</w:t>
      </w:r>
    </w:p>
    <w:p w14:paraId="0F933304">
      <w:pPr>
        <w:pStyle w:val="23"/>
        <w:spacing w:line="360" w:lineRule="auto"/>
        <w:ind w:left="100" w:right="2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4.8.2 勘察设计</w:t>
      </w:r>
      <w:r>
        <w:rPr>
          <w:rFonts w:hint="eastAsia" w:ascii="宋体" w:hAnsi="宋体" w:eastAsia="宋体" w:cs="宋体"/>
          <w:color w:val="auto"/>
          <w:spacing w:val="-4"/>
          <w:sz w:val="20"/>
          <w:szCs w:val="20"/>
          <w:highlight w:val="none"/>
          <w:lang w:eastAsia="zh-CN"/>
        </w:rPr>
        <w:t>人应按劳动法的规定安排工作时间，保证其雇佣人员享有休息和休假的权利。因</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 xml:space="preserve">需要占用休假日或延长工作时间的，应不超过法律规定的限度，并按法律规定给予补休或 </w:t>
      </w:r>
      <w:r>
        <w:rPr>
          <w:rFonts w:hint="eastAsia" w:ascii="宋体" w:hAnsi="宋体" w:eastAsia="宋体" w:cs="宋体"/>
          <w:color w:val="auto"/>
          <w:sz w:val="20"/>
          <w:szCs w:val="20"/>
          <w:highlight w:val="none"/>
          <w:lang w:eastAsia="zh-CN"/>
        </w:rPr>
        <w:t>付酬。</w:t>
      </w:r>
    </w:p>
    <w:p w14:paraId="3E64D5A8">
      <w:pPr>
        <w:pStyle w:val="14"/>
        <w:spacing w:line="360" w:lineRule="auto"/>
        <w:ind w:firstLine="42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4.8.3 勘察设计人应为其现场人员提供必要的食宿条件，以及符合环境保护和卫生要求的生活环境，在远离城镇的勘探场地，还应配备必要的伤病防治和急救设施。</w:t>
      </w:r>
    </w:p>
    <w:p w14:paraId="5A4AC01C">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4.8.4 勘察设计人应按国家有关劳动保护的规定，采取有效的防止粉尘、降低噪声、控制有害气 体和保障高温、高寒、高空作业安全等劳动保护措施。其雇佣人员在勘探作业中受到伤害的，勘察设计人应立即采取有效措施进行抢救和治疗。</w:t>
      </w:r>
    </w:p>
    <w:p w14:paraId="551312E4">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4.8.5 勘察设计人应按有关法律规定和合同约定，为其雇佣人员办理保险。</w:t>
      </w:r>
    </w:p>
    <w:p w14:paraId="2A4649B4">
      <w:pPr>
        <w:pStyle w:val="15"/>
        <w:rPr>
          <w:rFonts w:hint="eastAsia" w:ascii="宋体" w:hAnsi="宋体" w:eastAsia="宋体" w:cs="宋体"/>
          <w:color w:val="auto"/>
          <w:sz w:val="20"/>
          <w:szCs w:val="20"/>
          <w:highlight w:val="none"/>
          <w:lang w:eastAsia="zh-CN"/>
        </w:rPr>
      </w:pPr>
      <w:bookmarkStart w:id="146" w:name="_bookmark132"/>
      <w:bookmarkEnd w:id="146"/>
      <w:bookmarkStart w:id="147" w:name="_Toc256000281"/>
      <w:bookmarkStart w:id="148" w:name="_Toc256000115"/>
      <w:bookmarkStart w:id="149" w:name="_Toc20966"/>
      <w:r>
        <w:rPr>
          <w:rFonts w:hint="eastAsia" w:ascii="宋体" w:hAnsi="宋体" w:eastAsia="宋体" w:cs="宋体"/>
          <w:color w:val="auto"/>
          <w:sz w:val="20"/>
          <w:szCs w:val="20"/>
          <w:highlight w:val="none"/>
          <w:lang w:eastAsia="zh-CN"/>
        </w:rPr>
        <w:t>4.9 合同价款应专款专用</w:t>
      </w:r>
      <w:bookmarkEnd w:id="147"/>
      <w:bookmarkEnd w:id="148"/>
      <w:bookmarkEnd w:id="149"/>
    </w:p>
    <w:p w14:paraId="19120714">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发包人按合同约定支付给勘察设计人的各项价款，应专用于合同勘察设计工作。</w:t>
      </w:r>
    </w:p>
    <w:p w14:paraId="39B5A3BD">
      <w:pPr>
        <w:pStyle w:val="23"/>
        <w:spacing w:line="360" w:lineRule="auto"/>
        <w:ind w:left="520" w:right="108"/>
        <w:jc w:val="both"/>
        <w:rPr>
          <w:rFonts w:hint="eastAsia" w:ascii="宋体" w:hAnsi="宋体" w:eastAsia="宋体" w:cs="宋体"/>
          <w:color w:val="auto"/>
          <w:sz w:val="20"/>
          <w:szCs w:val="20"/>
          <w:highlight w:val="none"/>
          <w:lang w:eastAsia="zh-CN"/>
        </w:rPr>
      </w:pPr>
    </w:p>
    <w:p w14:paraId="7EFF77B1">
      <w:pPr>
        <w:pStyle w:val="13"/>
        <w:ind w:left="0"/>
        <w:rPr>
          <w:rFonts w:hint="eastAsia" w:ascii="宋体" w:hAnsi="宋体" w:eastAsia="宋体" w:cs="宋体"/>
          <w:color w:val="auto"/>
          <w:sz w:val="20"/>
          <w:szCs w:val="20"/>
          <w:highlight w:val="none"/>
          <w:lang w:eastAsia="zh-CN"/>
        </w:rPr>
      </w:pPr>
      <w:bookmarkStart w:id="150" w:name="_bookmark133"/>
      <w:bookmarkEnd w:id="150"/>
      <w:bookmarkStart w:id="151" w:name="_Toc256000282"/>
      <w:bookmarkStart w:id="152" w:name="_Toc256000116"/>
      <w:bookmarkStart w:id="153" w:name="_Toc3438"/>
      <w:r>
        <w:rPr>
          <w:rFonts w:hint="eastAsia" w:ascii="宋体" w:hAnsi="宋体" w:eastAsia="宋体" w:cs="宋体"/>
          <w:color w:val="auto"/>
          <w:sz w:val="20"/>
          <w:szCs w:val="20"/>
          <w:highlight w:val="none"/>
          <w:lang w:eastAsia="zh-CN"/>
        </w:rPr>
        <w:t>5.勘察设计要求</w:t>
      </w:r>
      <w:bookmarkEnd w:id="151"/>
      <w:bookmarkEnd w:id="152"/>
      <w:bookmarkEnd w:id="153"/>
    </w:p>
    <w:p w14:paraId="0C340568">
      <w:pPr>
        <w:pStyle w:val="15"/>
        <w:rPr>
          <w:rFonts w:hint="eastAsia" w:ascii="宋体" w:hAnsi="宋体" w:eastAsia="宋体" w:cs="宋体"/>
          <w:color w:val="auto"/>
          <w:sz w:val="20"/>
          <w:szCs w:val="20"/>
          <w:highlight w:val="none"/>
          <w:lang w:eastAsia="zh-CN"/>
        </w:rPr>
      </w:pPr>
      <w:bookmarkStart w:id="154" w:name="_bookmark134"/>
      <w:bookmarkEnd w:id="154"/>
      <w:bookmarkStart w:id="155" w:name="_Toc25914"/>
      <w:bookmarkStart w:id="156" w:name="_Toc256000117"/>
      <w:bookmarkStart w:id="157" w:name="_Toc256000283"/>
      <w:r>
        <w:rPr>
          <w:rFonts w:hint="eastAsia" w:ascii="宋体" w:hAnsi="宋体" w:eastAsia="宋体" w:cs="宋体"/>
          <w:color w:val="auto"/>
          <w:sz w:val="20"/>
          <w:szCs w:val="20"/>
          <w:highlight w:val="none"/>
          <w:lang w:eastAsia="zh-CN"/>
        </w:rPr>
        <w:t>5.1 一般要求</w:t>
      </w:r>
      <w:bookmarkEnd w:id="155"/>
      <w:bookmarkEnd w:id="156"/>
      <w:bookmarkEnd w:id="157"/>
    </w:p>
    <w:p w14:paraId="0D10FC5D">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5.1.1 发包人应当遵守法律和规范标准，不得以任何理由要求勘察设计人违反法律和工程质量、 安全标准进行勘察设计服务，降低工程质量。</w:t>
      </w:r>
    </w:p>
    <w:p w14:paraId="3A3F416E">
      <w:pPr>
        <w:pStyle w:val="23"/>
        <w:spacing w:line="360" w:lineRule="auto"/>
        <w:ind w:left="100" w:right="2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5.1.2 勘察设计</w:t>
      </w:r>
      <w:r>
        <w:rPr>
          <w:rFonts w:hint="eastAsia" w:ascii="宋体" w:hAnsi="宋体" w:eastAsia="宋体" w:cs="宋体"/>
          <w:color w:val="auto"/>
          <w:spacing w:val="-4"/>
          <w:sz w:val="20"/>
          <w:szCs w:val="20"/>
          <w:highlight w:val="none"/>
          <w:lang w:eastAsia="zh-CN"/>
        </w:rPr>
        <w:t>人应按照法律规定，以及国家、行业和地方的规范和标准完成</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工作，并应符 </w:t>
      </w:r>
      <w:r>
        <w:rPr>
          <w:rFonts w:hint="eastAsia" w:ascii="宋体" w:hAnsi="宋体" w:eastAsia="宋体" w:cs="宋体"/>
          <w:color w:val="auto"/>
          <w:spacing w:val="-1"/>
          <w:sz w:val="20"/>
          <w:szCs w:val="20"/>
          <w:highlight w:val="none"/>
          <w:lang w:eastAsia="zh-CN"/>
        </w:rPr>
        <w:t xml:space="preserve">合发包人要求。各项规范、标准和发包人要求之间如对同一内容的描述不一致时，应以描述更 </w:t>
      </w:r>
      <w:r>
        <w:rPr>
          <w:rFonts w:hint="eastAsia" w:ascii="宋体" w:hAnsi="宋体" w:eastAsia="宋体" w:cs="宋体"/>
          <w:color w:val="auto"/>
          <w:sz w:val="20"/>
          <w:szCs w:val="20"/>
          <w:highlight w:val="none"/>
          <w:lang w:eastAsia="zh-CN"/>
        </w:rPr>
        <w:t>为严格的内容为准。</w:t>
      </w:r>
    </w:p>
    <w:p w14:paraId="061FBCEC">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5.1.3 除专用合同条款另有约定外，勘察设计人完成勘察设计工作所应遵守的法律规定，以及国家、 行业和地方的规范和标准，均应视为在基准日适用的版本。基准日之后，前述版本发生重大变 化，或者有新的法律，以及国家、行业和地方的规范和标准实施的，勘察设计人应向发包人提出遵 守新规定的建议。发包人应在收到建议后7天内发出是否遵守新规定的指示。发包人指示遵守新规定的，按照第</w:t>
      </w:r>
      <w:r>
        <w:rPr>
          <w:rFonts w:hint="eastAsia" w:ascii="宋体" w:hAnsi="宋体" w:eastAsia="宋体" w:cs="宋体"/>
          <w:color w:val="auto"/>
          <w:spacing w:val="-51"/>
          <w:sz w:val="20"/>
          <w:szCs w:val="20"/>
          <w:highlight w:val="none"/>
          <w:lang w:eastAsia="zh-CN"/>
        </w:rPr>
        <w:t xml:space="preserve"> </w:t>
      </w:r>
      <w:r>
        <w:rPr>
          <w:rFonts w:hint="eastAsia" w:ascii="宋体" w:hAnsi="宋体" w:eastAsia="宋体" w:cs="宋体"/>
          <w:color w:val="auto"/>
          <w:spacing w:val="-4"/>
          <w:sz w:val="20"/>
          <w:szCs w:val="20"/>
          <w:highlight w:val="none"/>
          <w:lang w:eastAsia="zh-CN"/>
        </w:rPr>
        <w:t xml:space="preserve">11 </w:t>
      </w:r>
      <w:r>
        <w:rPr>
          <w:rFonts w:hint="eastAsia" w:ascii="宋体" w:hAnsi="宋体" w:eastAsia="宋体" w:cs="宋体"/>
          <w:color w:val="auto"/>
          <w:sz w:val="20"/>
          <w:szCs w:val="20"/>
          <w:highlight w:val="none"/>
          <w:lang w:eastAsia="zh-CN"/>
        </w:rPr>
        <w:t>条约定执行。</w:t>
      </w:r>
    </w:p>
    <w:p w14:paraId="022A130E">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5.1.4 勘察设计人在设计服务中选用的材料、设备，应当注明其规格、型号、性能等技术指标及 适应性，满足质量、安全、节能、环保等要求，但不得指定生产厂、供应商和产品品牌。</w:t>
      </w:r>
    </w:p>
    <w:p w14:paraId="4C206F36">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5.1.5 勘察设计人必须贯彻“技术先进、安全可靠、使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梳理全寿命周期成本的理念，充分发挥工程建设项目经济、社会和环境的综合效益。</w:t>
      </w:r>
    </w:p>
    <w:p w14:paraId="468DCB86">
      <w:pPr>
        <w:pStyle w:val="15"/>
        <w:rPr>
          <w:rFonts w:hint="eastAsia" w:ascii="宋体" w:hAnsi="宋体" w:eastAsia="宋体" w:cs="宋体"/>
          <w:color w:val="auto"/>
          <w:sz w:val="20"/>
          <w:szCs w:val="20"/>
          <w:highlight w:val="none"/>
          <w:lang w:eastAsia="zh-CN"/>
        </w:rPr>
      </w:pPr>
      <w:bookmarkStart w:id="158" w:name="_bookmark135"/>
      <w:bookmarkEnd w:id="158"/>
      <w:bookmarkStart w:id="159" w:name="_Toc18780"/>
      <w:bookmarkStart w:id="160" w:name="_Toc256000118"/>
      <w:bookmarkStart w:id="161" w:name="_Toc256000284"/>
      <w:r>
        <w:rPr>
          <w:rFonts w:hint="eastAsia" w:ascii="宋体" w:hAnsi="宋体" w:eastAsia="宋体" w:cs="宋体"/>
          <w:color w:val="auto"/>
          <w:sz w:val="20"/>
          <w:szCs w:val="20"/>
          <w:highlight w:val="none"/>
          <w:lang w:eastAsia="zh-CN"/>
        </w:rPr>
        <w:t>5.2 勘察设计依据</w:t>
      </w:r>
      <w:bookmarkEnd w:id="159"/>
      <w:bookmarkEnd w:id="160"/>
      <w:bookmarkEnd w:id="161"/>
    </w:p>
    <w:p w14:paraId="7F109159">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除专用合同条款另有约定外，本工程的勘察设计依据如下：</w:t>
      </w:r>
    </w:p>
    <w:p w14:paraId="12ACB70F">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（1）适用的法律、行政法规及部门规章；</w:t>
      </w:r>
    </w:p>
    <w:p w14:paraId="45A01E88">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（2）与工程有关的规范、标准、规程；</w:t>
      </w:r>
    </w:p>
    <w:p w14:paraId="566A76C7">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（3）工程基础资料及其他文件；</w:t>
      </w:r>
    </w:p>
    <w:p w14:paraId="341A3499">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（4）本勘察设计服务合同及补充合同；</w:t>
      </w:r>
    </w:p>
    <w:p w14:paraId="0E30A8DF">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（5）本工程施工需求；</w:t>
      </w:r>
    </w:p>
    <w:p w14:paraId="52CED6F7">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（6）合同履行中与设计服务有关的来往函件；</w:t>
      </w:r>
    </w:p>
    <w:p w14:paraId="782C4681">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（7）其他勘察设计依据。</w:t>
      </w:r>
    </w:p>
    <w:p w14:paraId="746BE36F">
      <w:pPr>
        <w:pStyle w:val="15"/>
        <w:rPr>
          <w:rFonts w:hint="eastAsia" w:ascii="宋体" w:hAnsi="宋体" w:eastAsia="宋体" w:cs="宋体"/>
          <w:color w:val="auto"/>
          <w:sz w:val="20"/>
          <w:szCs w:val="20"/>
          <w:highlight w:val="none"/>
          <w:lang w:eastAsia="zh-CN"/>
        </w:rPr>
      </w:pPr>
      <w:bookmarkStart w:id="162" w:name="_bookmark136"/>
      <w:bookmarkEnd w:id="162"/>
      <w:bookmarkStart w:id="163" w:name="_Toc256000119"/>
      <w:bookmarkStart w:id="164" w:name="_Toc31312"/>
      <w:bookmarkStart w:id="165" w:name="_Toc256000285"/>
      <w:r>
        <w:rPr>
          <w:rFonts w:hint="eastAsia" w:ascii="宋体" w:hAnsi="宋体" w:eastAsia="宋体" w:cs="宋体"/>
          <w:color w:val="auto"/>
          <w:sz w:val="20"/>
          <w:szCs w:val="20"/>
          <w:highlight w:val="none"/>
          <w:lang w:eastAsia="zh-CN"/>
        </w:rPr>
        <w:t>5.3 勘察设计范围</w:t>
      </w:r>
      <w:bookmarkEnd w:id="163"/>
      <w:bookmarkEnd w:id="164"/>
      <w:bookmarkEnd w:id="165"/>
    </w:p>
    <w:p w14:paraId="06F164C4">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5.3.1 本合同的勘察设计范围包括工程范围、阶段范围和工作范围，具体勘察设计范围应当根据三者 之间的关联内容进行确定。</w:t>
      </w:r>
    </w:p>
    <w:p w14:paraId="7950A4B9">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5.3.2 工程范围指所勘察设计工程的建设内容，具体范围在专用合同条款中约定。</w:t>
      </w:r>
    </w:p>
    <w:p w14:paraId="2CB942B0">
      <w:pPr>
        <w:pStyle w:val="23"/>
        <w:spacing w:line="360" w:lineRule="auto"/>
        <w:ind w:left="100" w:right="3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5.3.3 </w:t>
      </w:r>
      <w:r>
        <w:rPr>
          <w:rFonts w:hint="eastAsia" w:ascii="宋体" w:hAnsi="宋体" w:eastAsia="宋体" w:cs="宋体"/>
          <w:color w:val="auto"/>
          <w:spacing w:val="-3"/>
          <w:sz w:val="20"/>
          <w:szCs w:val="20"/>
          <w:highlight w:val="none"/>
          <w:lang w:eastAsia="zh-CN"/>
        </w:rPr>
        <w:t>阶段范围指工程建设程序中的</w:t>
      </w:r>
      <w:r>
        <w:rPr>
          <w:rFonts w:hint="eastAsia" w:ascii="宋体" w:hAnsi="宋体" w:eastAsia="宋体" w:cs="宋体"/>
          <w:color w:val="auto"/>
          <w:sz w:val="20"/>
          <w:szCs w:val="20"/>
          <w:highlight w:val="none"/>
          <w:lang w:eastAsia="zh-CN"/>
        </w:rPr>
        <w:t>可行性研究勘察、初步勘察、详细勘察、施工勘察、</w:t>
      </w:r>
      <w:r>
        <w:rPr>
          <w:rFonts w:hint="eastAsia" w:ascii="宋体" w:hAnsi="宋体" w:eastAsia="宋体" w:cs="宋体"/>
          <w:color w:val="auto"/>
          <w:spacing w:val="-3"/>
          <w:sz w:val="20"/>
          <w:szCs w:val="20"/>
          <w:highlight w:val="none"/>
          <w:lang w:eastAsia="zh-CN"/>
        </w:rPr>
        <w:t>方案设计、初步设计、扩大初步（招标）设计、施工图</w:t>
      </w:r>
      <w:r>
        <w:rPr>
          <w:rFonts w:hint="eastAsia" w:ascii="宋体" w:hAnsi="宋体" w:eastAsia="宋体" w:cs="宋体"/>
          <w:color w:val="auto"/>
          <w:sz w:val="20"/>
          <w:szCs w:val="20"/>
          <w:highlight w:val="none"/>
          <w:lang w:eastAsia="zh-CN"/>
        </w:rPr>
        <w:t>设计等阶段中的一个或者多个阶段，具体范围在专用合同条款中约定。</w:t>
      </w:r>
    </w:p>
    <w:p w14:paraId="27844F88">
      <w:pPr>
        <w:pStyle w:val="23"/>
        <w:spacing w:line="360" w:lineRule="auto"/>
        <w:ind w:left="100" w:right="3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5.3.4 </w:t>
      </w:r>
      <w:r>
        <w:rPr>
          <w:rFonts w:hint="eastAsia" w:ascii="宋体" w:hAnsi="宋体" w:eastAsia="宋体" w:cs="宋体"/>
          <w:color w:val="auto"/>
          <w:spacing w:val="-4"/>
          <w:sz w:val="20"/>
          <w:szCs w:val="20"/>
          <w:highlight w:val="none"/>
          <w:lang w:eastAsia="zh-CN"/>
        </w:rPr>
        <w:t>工作范围指</w:t>
      </w:r>
      <w:r>
        <w:rPr>
          <w:rFonts w:hint="eastAsia" w:ascii="宋体" w:hAnsi="宋体" w:eastAsia="宋体" w:cs="宋体"/>
          <w:color w:val="auto"/>
          <w:sz w:val="20"/>
          <w:szCs w:val="20"/>
          <w:highlight w:val="none"/>
          <w:lang w:eastAsia="zh-CN"/>
        </w:rPr>
        <w:t>工程测量、岩土工程勘察、岩土工程设计（如有）、</w:t>
      </w:r>
      <w:r>
        <w:rPr>
          <w:rFonts w:hint="eastAsia" w:ascii="宋体" w:hAnsi="宋体" w:eastAsia="宋体" w:cs="宋体"/>
          <w:color w:val="auto"/>
          <w:spacing w:val="-4"/>
          <w:sz w:val="20"/>
          <w:szCs w:val="20"/>
          <w:highlight w:val="none"/>
          <w:lang w:eastAsia="zh-CN"/>
        </w:rPr>
        <w:t>编制设计文件、编制设计概算、预算、</w:t>
      </w:r>
      <w:r>
        <w:rPr>
          <w:rFonts w:hint="eastAsia" w:ascii="宋体" w:hAnsi="宋体" w:eastAsia="宋体" w:cs="宋体"/>
          <w:color w:val="auto"/>
          <w:spacing w:val="-3"/>
          <w:sz w:val="20"/>
          <w:szCs w:val="20"/>
          <w:highlight w:val="none"/>
          <w:lang w:eastAsia="zh-CN"/>
        </w:rPr>
        <w:t>编</w:t>
      </w:r>
      <w:r>
        <w:rPr>
          <w:rFonts w:hint="eastAsia" w:ascii="宋体" w:hAnsi="宋体" w:eastAsia="宋体" w:cs="宋体"/>
          <w:color w:val="auto"/>
          <w:sz w:val="20"/>
          <w:szCs w:val="20"/>
          <w:highlight w:val="none"/>
          <w:lang w:eastAsia="zh-CN"/>
        </w:rPr>
        <w:t>制</w:t>
      </w:r>
      <w:r>
        <w:rPr>
          <w:rFonts w:hint="eastAsia" w:ascii="宋体" w:hAnsi="宋体" w:eastAsia="宋体" w:cs="宋体"/>
          <w:color w:val="auto"/>
          <w:spacing w:val="-3"/>
          <w:sz w:val="20"/>
          <w:szCs w:val="20"/>
          <w:highlight w:val="none"/>
          <w:lang w:eastAsia="zh-CN"/>
        </w:rPr>
        <w:t>竣</w:t>
      </w:r>
      <w:r>
        <w:rPr>
          <w:rFonts w:hint="eastAsia" w:ascii="宋体" w:hAnsi="宋体" w:eastAsia="宋体" w:cs="宋体"/>
          <w:color w:val="auto"/>
          <w:sz w:val="20"/>
          <w:szCs w:val="20"/>
          <w:highlight w:val="none"/>
          <w:lang w:eastAsia="zh-CN"/>
        </w:rPr>
        <w:t>工</w:t>
      </w:r>
      <w:r>
        <w:rPr>
          <w:rFonts w:hint="eastAsia" w:ascii="宋体" w:hAnsi="宋体" w:eastAsia="宋体" w:cs="宋体"/>
          <w:color w:val="auto"/>
          <w:spacing w:val="-3"/>
          <w:sz w:val="20"/>
          <w:szCs w:val="20"/>
          <w:highlight w:val="none"/>
          <w:lang w:eastAsia="zh-CN"/>
        </w:rPr>
        <w:t>图</w:t>
      </w:r>
      <w:r>
        <w:rPr>
          <w:rFonts w:hint="eastAsia" w:ascii="宋体" w:hAnsi="宋体" w:eastAsia="宋体" w:cs="宋体"/>
          <w:color w:val="auto"/>
          <w:spacing w:val="-20"/>
          <w:sz w:val="20"/>
          <w:szCs w:val="20"/>
          <w:highlight w:val="none"/>
          <w:lang w:eastAsia="zh-CN"/>
        </w:rPr>
        <w:t>、</w:t>
      </w:r>
      <w:r>
        <w:rPr>
          <w:rFonts w:hint="eastAsia" w:ascii="宋体" w:hAnsi="宋体" w:eastAsia="宋体" w:cs="宋体"/>
          <w:color w:val="auto"/>
          <w:spacing w:val="-4"/>
          <w:sz w:val="20"/>
          <w:szCs w:val="20"/>
          <w:highlight w:val="none"/>
          <w:lang w:eastAsia="zh-CN"/>
        </w:rPr>
        <w:t>提供技术交底</w:t>
      </w:r>
      <w:r>
        <w:rPr>
          <w:rFonts w:hint="eastAsia" w:ascii="宋体" w:hAnsi="宋体" w:eastAsia="宋体" w:cs="宋体"/>
          <w:color w:val="auto"/>
          <w:spacing w:val="-20"/>
          <w:sz w:val="20"/>
          <w:szCs w:val="20"/>
          <w:highlight w:val="none"/>
          <w:lang w:eastAsia="zh-CN"/>
        </w:rPr>
        <w:t>、</w:t>
      </w:r>
      <w:r>
        <w:rPr>
          <w:rFonts w:hint="eastAsia" w:ascii="宋体" w:hAnsi="宋体" w:eastAsia="宋体" w:cs="宋体"/>
          <w:color w:val="auto"/>
          <w:sz w:val="20"/>
          <w:szCs w:val="20"/>
          <w:highlight w:val="none"/>
          <w:lang w:eastAsia="zh-CN"/>
        </w:rPr>
        <w:t>施工配合、参加试车（试运行）、竣</w:t>
      </w:r>
      <w:r>
        <w:rPr>
          <w:rFonts w:hint="eastAsia" w:ascii="宋体" w:hAnsi="宋体" w:eastAsia="宋体" w:cs="宋体"/>
          <w:color w:val="auto"/>
          <w:spacing w:val="-3"/>
          <w:sz w:val="20"/>
          <w:szCs w:val="20"/>
          <w:highlight w:val="none"/>
          <w:lang w:eastAsia="zh-CN"/>
        </w:rPr>
        <w:t>工</w:t>
      </w:r>
      <w:r>
        <w:rPr>
          <w:rFonts w:hint="eastAsia" w:ascii="宋体" w:hAnsi="宋体" w:eastAsia="宋体" w:cs="宋体"/>
          <w:color w:val="auto"/>
          <w:sz w:val="20"/>
          <w:szCs w:val="20"/>
          <w:highlight w:val="none"/>
          <w:lang w:eastAsia="zh-CN"/>
        </w:rPr>
        <w:t>验</w:t>
      </w:r>
      <w:r>
        <w:rPr>
          <w:rFonts w:hint="eastAsia" w:ascii="宋体" w:hAnsi="宋体" w:eastAsia="宋体" w:cs="宋体"/>
          <w:color w:val="auto"/>
          <w:spacing w:val="-3"/>
          <w:sz w:val="20"/>
          <w:szCs w:val="20"/>
          <w:highlight w:val="none"/>
          <w:lang w:eastAsia="zh-CN"/>
        </w:rPr>
        <w:t>收</w:t>
      </w:r>
      <w:r>
        <w:rPr>
          <w:rFonts w:hint="eastAsia" w:ascii="宋体" w:hAnsi="宋体" w:eastAsia="宋体" w:cs="宋体"/>
          <w:color w:val="auto"/>
          <w:sz w:val="20"/>
          <w:szCs w:val="20"/>
          <w:highlight w:val="none"/>
          <w:lang w:eastAsia="zh-CN"/>
        </w:rPr>
        <w:t>和</w:t>
      </w:r>
      <w:r>
        <w:rPr>
          <w:rFonts w:hint="eastAsia" w:ascii="宋体" w:hAnsi="宋体" w:eastAsia="宋体" w:cs="宋体"/>
          <w:color w:val="auto"/>
          <w:spacing w:val="-3"/>
          <w:sz w:val="20"/>
          <w:szCs w:val="20"/>
          <w:highlight w:val="none"/>
          <w:lang w:eastAsia="zh-CN"/>
        </w:rPr>
        <w:t>发</w:t>
      </w:r>
      <w:r>
        <w:rPr>
          <w:rFonts w:hint="eastAsia" w:ascii="宋体" w:hAnsi="宋体" w:eastAsia="宋体" w:cs="宋体"/>
          <w:color w:val="auto"/>
          <w:sz w:val="20"/>
          <w:szCs w:val="20"/>
          <w:highlight w:val="none"/>
          <w:lang w:eastAsia="zh-CN"/>
        </w:rPr>
        <w:t>包</w:t>
      </w:r>
      <w:r>
        <w:rPr>
          <w:rFonts w:hint="eastAsia" w:ascii="宋体" w:hAnsi="宋体" w:eastAsia="宋体" w:cs="宋体"/>
          <w:color w:val="auto"/>
          <w:spacing w:val="-3"/>
          <w:sz w:val="20"/>
          <w:szCs w:val="20"/>
          <w:highlight w:val="none"/>
          <w:lang w:eastAsia="zh-CN"/>
        </w:rPr>
        <w:t>人</w:t>
      </w:r>
      <w:r>
        <w:rPr>
          <w:rFonts w:hint="eastAsia" w:ascii="宋体" w:hAnsi="宋体" w:eastAsia="宋体" w:cs="宋体"/>
          <w:color w:val="auto"/>
          <w:sz w:val="20"/>
          <w:szCs w:val="20"/>
          <w:highlight w:val="none"/>
          <w:lang w:eastAsia="zh-CN"/>
        </w:rPr>
        <w:t>委</w:t>
      </w:r>
      <w:r>
        <w:rPr>
          <w:rFonts w:hint="eastAsia" w:ascii="宋体" w:hAnsi="宋体" w:eastAsia="宋体" w:cs="宋体"/>
          <w:color w:val="auto"/>
          <w:spacing w:val="-3"/>
          <w:sz w:val="20"/>
          <w:szCs w:val="20"/>
          <w:highlight w:val="none"/>
          <w:lang w:eastAsia="zh-CN"/>
        </w:rPr>
        <w:t>托</w:t>
      </w:r>
      <w:r>
        <w:rPr>
          <w:rFonts w:hint="eastAsia" w:ascii="宋体" w:hAnsi="宋体" w:eastAsia="宋体" w:cs="宋体"/>
          <w:color w:val="auto"/>
          <w:sz w:val="20"/>
          <w:szCs w:val="20"/>
          <w:highlight w:val="none"/>
          <w:lang w:eastAsia="zh-CN"/>
        </w:rPr>
        <w:t>的其</w:t>
      </w:r>
      <w:r>
        <w:rPr>
          <w:rFonts w:hint="eastAsia" w:ascii="宋体" w:hAnsi="宋体" w:eastAsia="宋体" w:cs="宋体"/>
          <w:color w:val="auto"/>
          <w:spacing w:val="-3"/>
          <w:sz w:val="20"/>
          <w:szCs w:val="20"/>
          <w:highlight w:val="none"/>
          <w:lang w:eastAsia="zh-CN"/>
        </w:rPr>
        <w:t>他</w:t>
      </w:r>
      <w:r>
        <w:rPr>
          <w:rFonts w:hint="eastAsia" w:ascii="宋体" w:hAnsi="宋体" w:eastAsia="宋体" w:cs="宋体"/>
          <w:color w:val="auto"/>
          <w:sz w:val="20"/>
          <w:szCs w:val="20"/>
          <w:highlight w:val="none"/>
          <w:lang w:eastAsia="zh-CN"/>
        </w:rPr>
        <w:t>服</w:t>
      </w:r>
      <w:r>
        <w:rPr>
          <w:rFonts w:hint="eastAsia" w:ascii="宋体" w:hAnsi="宋体" w:eastAsia="宋体" w:cs="宋体"/>
          <w:color w:val="auto"/>
          <w:spacing w:val="-3"/>
          <w:sz w:val="20"/>
          <w:szCs w:val="20"/>
          <w:highlight w:val="none"/>
          <w:lang w:eastAsia="zh-CN"/>
        </w:rPr>
        <w:t>务</w:t>
      </w:r>
      <w:r>
        <w:rPr>
          <w:rFonts w:hint="eastAsia" w:ascii="宋体" w:hAnsi="宋体" w:eastAsia="宋体" w:cs="宋体"/>
          <w:color w:val="auto"/>
          <w:sz w:val="20"/>
          <w:szCs w:val="20"/>
          <w:highlight w:val="none"/>
          <w:lang w:eastAsia="zh-CN"/>
        </w:rPr>
        <w:t>中</w:t>
      </w:r>
      <w:r>
        <w:rPr>
          <w:rFonts w:hint="eastAsia" w:ascii="宋体" w:hAnsi="宋体" w:eastAsia="宋体" w:cs="宋体"/>
          <w:color w:val="auto"/>
          <w:spacing w:val="-3"/>
          <w:sz w:val="20"/>
          <w:szCs w:val="20"/>
          <w:highlight w:val="none"/>
          <w:lang w:eastAsia="zh-CN"/>
        </w:rPr>
        <w:t>的</w:t>
      </w:r>
      <w:r>
        <w:rPr>
          <w:rFonts w:hint="eastAsia" w:ascii="宋体" w:hAnsi="宋体" w:eastAsia="宋体" w:cs="宋体"/>
          <w:color w:val="auto"/>
          <w:sz w:val="20"/>
          <w:szCs w:val="20"/>
          <w:highlight w:val="none"/>
          <w:lang w:eastAsia="zh-CN"/>
        </w:rPr>
        <w:t>一</w:t>
      </w:r>
      <w:r>
        <w:rPr>
          <w:rFonts w:hint="eastAsia" w:ascii="宋体" w:hAnsi="宋体" w:eastAsia="宋体" w:cs="宋体"/>
          <w:color w:val="auto"/>
          <w:spacing w:val="-3"/>
          <w:sz w:val="20"/>
          <w:szCs w:val="20"/>
          <w:highlight w:val="none"/>
          <w:lang w:eastAsia="zh-CN"/>
        </w:rPr>
        <w:t>项</w:t>
      </w:r>
      <w:r>
        <w:rPr>
          <w:rFonts w:hint="eastAsia" w:ascii="宋体" w:hAnsi="宋体" w:eastAsia="宋体" w:cs="宋体"/>
          <w:color w:val="auto"/>
          <w:sz w:val="20"/>
          <w:szCs w:val="20"/>
          <w:highlight w:val="none"/>
          <w:lang w:eastAsia="zh-CN"/>
        </w:rPr>
        <w:t>或</w:t>
      </w:r>
      <w:r>
        <w:rPr>
          <w:rFonts w:hint="eastAsia" w:ascii="宋体" w:hAnsi="宋体" w:eastAsia="宋体" w:cs="宋体"/>
          <w:color w:val="auto"/>
          <w:spacing w:val="-3"/>
          <w:sz w:val="20"/>
          <w:szCs w:val="20"/>
          <w:highlight w:val="none"/>
          <w:lang w:eastAsia="zh-CN"/>
        </w:rPr>
        <w:t>者</w:t>
      </w:r>
      <w:r>
        <w:rPr>
          <w:rFonts w:hint="eastAsia" w:ascii="宋体" w:hAnsi="宋体" w:eastAsia="宋体" w:cs="宋体"/>
          <w:color w:val="auto"/>
          <w:sz w:val="20"/>
          <w:szCs w:val="20"/>
          <w:highlight w:val="none"/>
          <w:lang w:eastAsia="zh-CN"/>
        </w:rPr>
        <w:t>多项</w:t>
      </w:r>
      <w:r>
        <w:rPr>
          <w:rFonts w:hint="eastAsia" w:ascii="宋体" w:hAnsi="宋体" w:eastAsia="宋体" w:cs="宋体"/>
          <w:color w:val="auto"/>
          <w:spacing w:val="-3"/>
          <w:sz w:val="20"/>
          <w:szCs w:val="20"/>
          <w:highlight w:val="none"/>
          <w:lang w:eastAsia="zh-CN"/>
        </w:rPr>
        <w:t>工</w:t>
      </w:r>
      <w:r>
        <w:rPr>
          <w:rFonts w:hint="eastAsia" w:ascii="宋体" w:hAnsi="宋体" w:eastAsia="宋体" w:cs="宋体"/>
          <w:color w:val="auto"/>
          <w:sz w:val="20"/>
          <w:szCs w:val="20"/>
          <w:highlight w:val="none"/>
          <w:lang w:eastAsia="zh-CN"/>
        </w:rPr>
        <w:t>作</w:t>
      </w:r>
      <w:r>
        <w:rPr>
          <w:rFonts w:hint="eastAsia" w:ascii="宋体" w:hAnsi="宋体" w:eastAsia="宋体" w:cs="宋体"/>
          <w:color w:val="auto"/>
          <w:spacing w:val="-22"/>
          <w:sz w:val="20"/>
          <w:szCs w:val="20"/>
          <w:highlight w:val="none"/>
          <w:lang w:eastAsia="zh-CN"/>
        </w:rPr>
        <w:t>，</w:t>
      </w:r>
      <w:r>
        <w:rPr>
          <w:rFonts w:hint="eastAsia" w:ascii="宋体" w:hAnsi="宋体" w:eastAsia="宋体" w:cs="宋体"/>
          <w:color w:val="auto"/>
          <w:sz w:val="20"/>
          <w:szCs w:val="20"/>
          <w:highlight w:val="none"/>
          <w:lang w:eastAsia="zh-CN"/>
        </w:rPr>
        <w:t>具</w:t>
      </w:r>
      <w:r>
        <w:rPr>
          <w:rFonts w:hint="eastAsia" w:ascii="宋体" w:hAnsi="宋体" w:eastAsia="宋体" w:cs="宋体"/>
          <w:color w:val="auto"/>
          <w:spacing w:val="-3"/>
          <w:sz w:val="20"/>
          <w:szCs w:val="20"/>
          <w:highlight w:val="none"/>
          <w:lang w:eastAsia="zh-CN"/>
        </w:rPr>
        <w:t>体</w:t>
      </w:r>
      <w:r>
        <w:rPr>
          <w:rFonts w:hint="eastAsia" w:ascii="宋体" w:hAnsi="宋体" w:eastAsia="宋体" w:cs="宋体"/>
          <w:color w:val="auto"/>
          <w:sz w:val="20"/>
          <w:szCs w:val="20"/>
          <w:highlight w:val="none"/>
          <w:lang w:eastAsia="zh-CN"/>
        </w:rPr>
        <w:t>范 围在专用合同条款中约定。</w:t>
      </w:r>
    </w:p>
    <w:p w14:paraId="666F788C">
      <w:pPr>
        <w:pStyle w:val="15"/>
        <w:rPr>
          <w:rFonts w:hint="eastAsia" w:ascii="宋体" w:hAnsi="宋体" w:eastAsia="宋体" w:cs="宋体"/>
          <w:color w:val="auto"/>
          <w:sz w:val="20"/>
          <w:szCs w:val="20"/>
          <w:highlight w:val="none"/>
          <w:lang w:eastAsia="zh-CN"/>
        </w:rPr>
      </w:pPr>
      <w:bookmarkStart w:id="166" w:name="_Toc12182"/>
      <w:bookmarkStart w:id="167" w:name="_Toc256000286"/>
      <w:bookmarkStart w:id="168" w:name="_Toc256000120"/>
      <w:r>
        <w:rPr>
          <w:rFonts w:hint="eastAsia" w:ascii="宋体" w:hAnsi="宋体" w:eastAsia="宋体" w:cs="宋体"/>
          <w:color w:val="auto"/>
          <w:sz w:val="20"/>
          <w:szCs w:val="20"/>
          <w:highlight w:val="none"/>
          <w:lang w:eastAsia="zh-CN"/>
        </w:rPr>
        <w:t>5.4 勘察作业要求</w:t>
      </w:r>
      <w:bookmarkEnd w:id="166"/>
      <w:bookmarkEnd w:id="167"/>
      <w:bookmarkEnd w:id="168"/>
    </w:p>
    <w:p w14:paraId="094E8A59">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5.4.1  测绘</w:t>
      </w:r>
    </w:p>
    <w:p w14:paraId="1583638C">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（1）除专用合同条款另有约定外，发包人应在开始勘察前 7 日内，向勘察设计人提供测量基准点、水准点和书面资料等；勘察设计人应根据国家测绘基准、测绘系统和工程测量技术规范，按发包人要求的基准点以及合同工程精度要求，进行测绘。</w:t>
      </w:r>
    </w:p>
    <w:p w14:paraId="4C6AE7FC">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（2）勘察设计人测绘之前，应当认真核对测绘数据，保证引用数据和原始数据准确无误。测绘工作应由测量人员如实记录，不得补记、涂改或者损坏。</w:t>
      </w:r>
    </w:p>
    <w:p w14:paraId="5DA92D6E">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（3）工程勘探之前，勘察设计人应当严格按照勘察方案的孔位坐标，进行测量放线并在实地位置定位，埋设带有编号且不易移动的标志桩进行定位控制。</w:t>
      </w:r>
    </w:p>
    <w:p w14:paraId="43D220DD">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5.4.2 勘探</w:t>
      </w:r>
    </w:p>
    <w:p w14:paraId="17EF70F2">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（1）勘察设计人应当根据勘察目的和岩土特性，合理选择钻探、井探、槽探、洞探和地球物理勘探等勘探方法，为完成合同约定的勘察任务创造条件。勘察设计人对于勘察方法的正确性、适用 性和可靠性完全负责。</w:t>
      </w:r>
    </w:p>
    <w:p w14:paraId="3CF83D3C">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勘察设计人布置勘探工作时，应当充分考虑勘探方法对于自然环境、周边设施、建构筑物、地下管线、架空线和其他物体的影响，采用切实有效的措施进行防范控制，不得造成损坏或中断运行，否则由此导致的费用增加和（或）周期延误由勘察设计人自行承担。</w:t>
      </w:r>
    </w:p>
    <w:p w14:paraId="234F5460">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（3）勘察设计人应在标定的孔位处进行勘探，不得随意改动位置。勘探方法、勘探机具、勘探 记录、取样编录与描述，孔位标记、孔位封闭等事项，应当严格执行规范标准，按实填写勘探 报表和勘探日志。</w:t>
      </w:r>
    </w:p>
    <w:p w14:paraId="7EFC5373">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勘探工作完成后，勘察设计人应当按照规范要求及时封孔，并将封孔记录整理存档，勘探场地应当地面平整、清洁卫生，并通知发包人、行政主管部门及使用维护单位进行现场验收。验收通过之后如果发生沉陷，勘察设计人应当及时进行二次封孔和现场验收。</w:t>
      </w:r>
    </w:p>
    <w:p w14:paraId="044E0F1F">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5.4.3  取样</w:t>
      </w:r>
    </w:p>
    <w:p w14:paraId="5C0802BE">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勘察设计人应当针对不同的岩土地质，按照勘探取样规范规程中的相关规定，根据地层特征、取样深度、设备条件和试验项目的不同，合理选用取样方法和取样工具进行取样，包括并不限于土样、水样、岩芯等。</w:t>
      </w:r>
    </w:p>
    <w:p w14:paraId="228BD15B">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14:paraId="27A9A302">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（3）取样后的样品应当填写和粘贴标签，标签内容包括并不限于工程名称、孔号、样品编号、取样深度、样品名称、取样日期、取样人姓名、施工机组等。</w:t>
      </w:r>
    </w:p>
    <w:p w14:paraId="19CAAA27">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5.4.4  试验</w:t>
      </w:r>
    </w:p>
    <w:p w14:paraId="6EB21F91">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（1）勘察设计人应当根据岩土条件、设计要求、勘察经验和测试方法特点，选用合适的原位测试方法和勘察设备进行原位测试。原位测试成果应与室内试验数据进行对比分析，检验其可靠 性。</w:t>
      </w:r>
    </w:p>
    <w:p w14:paraId="33964381">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（2）勘察设计人的试验室应当通过行业管理部门认可的 CMA 计量认证，具有相应的资格证书、试验人员和试验条件，否则应当委托第三方试验室进行室内试验。</w:t>
      </w:r>
    </w:p>
    <w:p w14:paraId="0F11FDE4">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（3）勘察设计人应在试验之前按照要求清点样品数目，认定取样质量及数量是否满足试验需要；勘察设备应当检定合格，性能参数满足试验要求，严格按照规范标准的相应规定进行试验操作； 试验之后应在有效期内保留备样，以备复核试验成果之用，并按规范标准规定处理余土和废液，符合环境保护、健康卫生等要求。</w:t>
      </w:r>
    </w:p>
    <w:p w14:paraId="70F2661B">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（4）试验报告的格式应当符合 CMA 计量认证体系要求，加盖 CMA 章并由试验负责人签字确认；试验负责人应当通过计量认证考核，并由项目负责人授权许可。</w:t>
      </w:r>
    </w:p>
    <w:p w14:paraId="09F31339">
      <w:pPr>
        <w:pStyle w:val="15"/>
        <w:rPr>
          <w:rFonts w:hint="eastAsia" w:ascii="宋体" w:hAnsi="宋体" w:eastAsia="宋体" w:cs="宋体"/>
          <w:color w:val="auto"/>
          <w:sz w:val="20"/>
          <w:szCs w:val="20"/>
          <w:highlight w:val="none"/>
          <w:lang w:eastAsia="zh-CN"/>
        </w:rPr>
      </w:pPr>
      <w:bookmarkStart w:id="169" w:name="_Toc256000287"/>
      <w:bookmarkStart w:id="170" w:name="_Toc256000121"/>
      <w:bookmarkStart w:id="171" w:name="_Toc22227"/>
      <w:r>
        <w:rPr>
          <w:rFonts w:hint="eastAsia" w:ascii="宋体" w:hAnsi="宋体" w:eastAsia="宋体" w:cs="宋体"/>
          <w:color w:val="auto"/>
          <w:sz w:val="20"/>
          <w:szCs w:val="20"/>
          <w:highlight w:val="none"/>
          <w:lang w:eastAsia="zh-CN"/>
        </w:rPr>
        <w:t>5.5 勘察设备要求</w:t>
      </w:r>
      <w:bookmarkEnd w:id="169"/>
      <w:bookmarkEnd w:id="170"/>
      <w:bookmarkEnd w:id="171"/>
    </w:p>
    <w:p w14:paraId="5625E0AC">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5.5.1  勘察设计人应按合同进度计划的要求，及时配置勘察设备进行作业。勘察设计人更换合同约定的勘察设备的，应报发包人批准。</w:t>
      </w:r>
    </w:p>
    <w:p w14:paraId="4976E813">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5.5.2 勘察设计人应当按照规范要求，及时维修、保养或更换勘察设备，包括并不限于钻机、触探仪、全站仪、水准仪、探测仪、测井平台、天平、固结仪、振筛机、干燥箱、直剪仪、收缩仪、膨胀仪、渗透仪等，保证勘察设备能够随时进场使用。</w:t>
      </w:r>
    </w:p>
    <w:p w14:paraId="5E240AFD">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5.5.3 勘察设计人使用的勘察设备不能满足合同进度计划和（或）质量要求时，发包人有权要求勘察设计人增加或更换勘察设备，勘察设计人应及时增加或更换，由此增加的费用和（或）周期延误由勘察设计人自行承担。</w:t>
      </w:r>
    </w:p>
    <w:p w14:paraId="32562EDA">
      <w:pPr>
        <w:pStyle w:val="15"/>
        <w:rPr>
          <w:rFonts w:hint="eastAsia" w:ascii="宋体" w:hAnsi="宋体" w:eastAsia="宋体" w:cs="宋体"/>
          <w:color w:val="auto"/>
          <w:sz w:val="20"/>
          <w:szCs w:val="20"/>
          <w:highlight w:val="none"/>
          <w:lang w:eastAsia="zh-CN"/>
        </w:rPr>
      </w:pPr>
      <w:bookmarkStart w:id="172" w:name="_Toc256000288"/>
      <w:bookmarkStart w:id="173" w:name="_Toc256000122"/>
      <w:bookmarkStart w:id="174" w:name="_Toc28069"/>
      <w:r>
        <w:rPr>
          <w:rFonts w:hint="eastAsia" w:ascii="宋体" w:hAnsi="宋体" w:eastAsia="宋体" w:cs="宋体"/>
          <w:color w:val="auto"/>
          <w:sz w:val="20"/>
          <w:szCs w:val="20"/>
          <w:highlight w:val="none"/>
          <w:lang w:eastAsia="zh-CN"/>
        </w:rPr>
        <w:t>5.6 临时占地和设施要求</w:t>
      </w:r>
      <w:bookmarkEnd w:id="172"/>
      <w:bookmarkEnd w:id="173"/>
      <w:bookmarkEnd w:id="174"/>
    </w:p>
    <w:p w14:paraId="0F2578E0">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5.6.1勘察设计人应当根据勘察服务方案制订临时占地计划，报请发包人批准。</w:t>
      </w:r>
    </w:p>
    <w:p w14:paraId="30161EB0">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5.6.2 位于本工程区域内的临时占地，由发包人协调提供。位于道路、绿化或者其他市政设施内的临时占地，由勘察设计人向行政管理部门报建申请，按照要求制定占地施工方案，并据此实施。</w:t>
      </w:r>
    </w:p>
    <w:p w14:paraId="185742C4">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5.6.3 临时占地使用完毕后，勘察设计人应当按照发包人要求或行政管理部门规定恢复临时占地。如果恢复或清理标准不能满足要求的，发包人有权委托他人代为恢复或清理，由此发生的费用从拟支付给勘察设计人的勘察费用中扣除。</w:t>
      </w:r>
    </w:p>
    <w:p w14:paraId="463DE672">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5.6.4 勘察设计人应当配备或搭设足够的临时设施，保证勘探工作能够正常开展。临时设施包括并不限于施工围挡、交通疏导设施、安全防范设施、钻机防护设施、安全文明施工设施、办公生活用房、取样存放场所等。</w:t>
      </w:r>
    </w:p>
    <w:p w14:paraId="4C6F9F58">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5.6.5 临时设施应当满足规范标准、发包人要求和行政管理部门的规定等。除专用合同条款另有约定外，临时设施的修建、拆除和恢复费用由勘察设计自行承担。</w:t>
      </w:r>
    </w:p>
    <w:p w14:paraId="2E1C35BA">
      <w:pPr>
        <w:pStyle w:val="15"/>
        <w:rPr>
          <w:rFonts w:hint="eastAsia" w:ascii="宋体" w:hAnsi="宋体" w:eastAsia="宋体" w:cs="宋体"/>
          <w:color w:val="auto"/>
          <w:sz w:val="20"/>
          <w:szCs w:val="20"/>
          <w:highlight w:val="none"/>
          <w:lang w:eastAsia="zh-CN"/>
        </w:rPr>
      </w:pPr>
      <w:bookmarkStart w:id="175" w:name="_Toc256000123"/>
      <w:bookmarkStart w:id="176" w:name="_Toc256000289"/>
      <w:bookmarkStart w:id="177" w:name="_Toc7808"/>
      <w:r>
        <w:rPr>
          <w:rFonts w:hint="eastAsia" w:ascii="宋体" w:hAnsi="宋体" w:eastAsia="宋体" w:cs="宋体"/>
          <w:color w:val="auto"/>
          <w:sz w:val="20"/>
          <w:szCs w:val="20"/>
          <w:highlight w:val="none"/>
          <w:lang w:eastAsia="zh-CN"/>
        </w:rPr>
        <w:t>5.7 安全作业要求</w:t>
      </w:r>
      <w:bookmarkEnd w:id="175"/>
      <w:bookmarkEnd w:id="176"/>
      <w:bookmarkEnd w:id="177"/>
    </w:p>
    <w:p w14:paraId="5B632584">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5.7.1 勘察设计人应按合同约定履行安全职责，执行发包人有关安全工作的指示，并在专用合同 条款约定的期限内，按合同约定的安全工作内容，编制安全措施计划报送发包人批准。</w:t>
      </w:r>
    </w:p>
    <w:p w14:paraId="506358EF">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5.7.2 勘察设计人应当严格执行操作规程，采取有效措施保证道路、桥梁、交通安全设施、建构筑物、地下管线、架空线和其他周边设施等安全正常地运行。</w:t>
      </w:r>
    </w:p>
    <w:p w14:paraId="4A22AA2E">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5.7.3  勘察设计人应当按照法律、法规和工程建设强制性标准进行勘察，加强勘察作业安全管理，特别加强易燃、易爆材料、火工器材、有毒与腐蚀性材料和其他危险品的管理。</w:t>
      </w:r>
    </w:p>
    <w:p w14:paraId="07FD0C6C">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5.7.4 勘察设计人应严格按照国家安全标准制定施工安全操作规程，配备必要的安全生产和劳动保护设施，加强对勘察设计人人员的安全教育，并且发放安全工作手册和劳动保护用具。</w:t>
      </w:r>
    </w:p>
    <w:p w14:paraId="35B2DCEC">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5.7.5 勘察设计人应按发包人的指示制定应对灾害的紧急预案，报送发包人批准。勘察设计人还应按预案做好安全检查，配置必要的救助物资和器材，切实保护好有关人员的人身和财产安全。</w:t>
      </w:r>
    </w:p>
    <w:p w14:paraId="678FF1B0">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5.7.6 勘察设计人应对其履行合同所雇佣的全部人员，包括分包人人员的工伤事故承担责任，但由于发包人原因造成勘察设计人人员工伤事故的，应由发包人承担责任。</w:t>
      </w:r>
    </w:p>
    <w:p w14:paraId="19606D67">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5.7.7 由于勘察设计人原因在施工场地内及其毗邻地带造成的第三者人员伤亡和财产损失，由勘察设计人负责赔偿。</w:t>
      </w:r>
    </w:p>
    <w:p w14:paraId="304E18CE">
      <w:pPr>
        <w:pStyle w:val="15"/>
        <w:rPr>
          <w:rFonts w:hint="eastAsia" w:ascii="宋体" w:hAnsi="宋体" w:eastAsia="宋体" w:cs="宋体"/>
          <w:color w:val="auto"/>
          <w:sz w:val="20"/>
          <w:szCs w:val="20"/>
          <w:highlight w:val="none"/>
          <w:lang w:eastAsia="zh-CN"/>
        </w:rPr>
      </w:pPr>
      <w:bookmarkStart w:id="178" w:name="_Toc256000124"/>
      <w:bookmarkStart w:id="179" w:name="_Toc256000290"/>
      <w:bookmarkStart w:id="180" w:name="_Toc6952"/>
      <w:r>
        <w:rPr>
          <w:rFonts w:hint="eastAsia" w:ascii="宋体" w:hAnsi="宋体" w:eastAsia="宋体" w:cs="宋体"/>
          <w:color w:val="auto"/>
          <w:sz w:val="20"/>
          <w:szCs w:val="20"/>
          <w:highlight w:val="none"/>
          <w:lang w:eastAsia="zh-CN"/>
        </w:rPr>
        <w:t>5.8 环境保护要求</w:t>
      </w:r>
      <w:bookmarkEnd w:id="178"/>
      <w:bookmarkEnd w:id="179"/>
      <w:bookmarkEnd w:id="180"/>
    </w:p>
    <w:p w14:paraId="2E5C8889">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5.8.1 勘察设计人在履行合同过程中，应遵守有关环境保护的法律，履行合同约定的环境保护义务，并对违反法律和合同约定义务所造成的环境破坏、人身伤害和财产损失负责。</w:t>
      </w:r>
    </w:p>
    <w:p w14:paraId="08A6BDE5">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5.8.2 勘察设计人应按合同约定的环保工作内容，编制环保措施计划，报送发包人批准。</w:t>
      </w:r>
    </w:p>
    <w:p w14:paraId="69C7DD6B">
      <w:pPr>
        <w:pStyle w:val="14"/>
        <w:spacing w:line="360" w:lineRule="auto"/>
        <w:ind w:firstLine="400" w:firstLineChars="200"/>
        <w:jc w:val="both"/>
        <w:rPr>
          <w:rFonts w:hint="eastAsia" w:ascii="宋体" w:hAnsi="宋体" w:eastAsia="宋体" w:cs="宋体"/>
          <w:b/>
          <w:bCs/>
          <w:color w:val="auto"/>
          <w:sz w:val="20"/>
          <w:szCs w:val="20"/>
          <w:highlight w:val="none"/>
          <w:lang w:eastAsia="zh-CN"/>
        </w:rPr>
      </w:pPr>
      <w:r>
        <w:rPr>
          <w:rFonts w:hint="eastAsia" w:ascii="宋体" w:hAnsi="宋体" w:eastAsia="宋体" w:cs="宋体"/>
          <w:color w:val="auto"/>
          <w:sz w:val="20"/>
          <w:szCs w:val="20"/>
          <w:highlight w:val="none"/>
          <w:lang w:eastAsia="zh-CN"/>
        </w:rPr>
        <w:t>5.8.3 勘察设计人应确保勘探过程中产生的气体排放物、粉尘、噪声、地面排水及排污等，符合</w:t>
      </w:r>
      <w:r>
        <w:rPr>
          <w:rFonts w:hint="eastAsia" w:ascii="宋体" w:hAnsi="宋体" w:eastAsia="宋体" w:cs="宋体"/>
          <w:b/>
          <w:bCs/>
          <w:color w:val="auto"/>
          <w:sz w:val="20"/>
          <w:szCs w:val="20"/>
          <w:highlight w:val="none"/>
          <w:lang w:eastAsia="zh-CN"/>
        </w:rPr>
        <w:t>法律规定和发包人要求。</w:t>
      </w:r>
    </w:p>
    <w:p w14:paraId="536EE97E">
      <w:pPr>
        <w:pStyle w:val="15"/>
        <w:rPr>
          <w:rFonts w:hint="eastAsia" w:ascii="宋体" w:hAnsi="宋体" w:eastAsia="宋体" w:cs="宋体"/>
          <w:color w:val="auto"/>
          <w:sz w:val="20"/>
          <w:szCs w:val="20"/>
          <w:highlight w:val="none"/>
          <w:lang w:eastAsia="zh-CN"/>
        </w:rPr>
      </w:pPr>
      <w:bookmarkStart w:id="181" w:name="_Toc27124"/>
      <w:bookmarkStart w:id="182" w:name="_Toc256000125"/>
      <w:bookmarkStart w:id="183" w:name="_Toc256000291"/>
      <w:r>
        <w:rPr>
          <w:rFonts w:hint="eastAsia" w:ascii="宋体" w:hAnsi="宋体" w:eastAsia="宋体" w:cs="宋体"/>
          <w:color w:val="auto"/>
          <w:sz w:val="20"/>
          <w:szCs w:val="20"/>
          <w:highlight w:val="none"/>
          <w:lang w:eastAsia="zh-CN"/>
        </w:rPr>
        <w:t>5.9 事故处理要求</w:t>
      </w:r>
      <w:bookmarkEnd w:id="181"/>
      <w:bookmarkEnd w:id="182"/>
      <w:bookmarkEnd w:id="183"/>
    </w:p>
    <w:p w14:paraId="04C0031E">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5.9.1 合同履行过程中发生事故的，勘察设计人应立即通知发包人。</w:t>
      </w:r>
    </w:p>
    <w:p w14:paraId="3AF845B1">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5.9.2 发包人和勘察设计人应立即组织人员和设备进行紧急抢救和抢修，减少人员伤亡和财产损失，防止事故扩大，并保护事故现场。需要移动现场物品时，应作出标记和书面记录，妥善保管有关证据。发包人和勘察设计人应按国家有关规定，及时如实地向有关部门报告事故发生的情况，以及正在采取的紧急措施等。</w:t>
      </w:r>
    </w:p>
    <w:p w14:paraId="73C293F5">
      <w:pPr>
        <w:pStyle w:val="15"/>
        <w:rPr>
          <w:rFonts w:hint="eastAsia" w:ascii="宋体" w:hAnsi="宋体" w:eastAsia="宋体" w:cs="宋体"/>
          <w:color w:val="auto"/>
          <w:sz w:val="20"/>
          <w:szCs w:val="20"/>
          <w:highlight w:val="none"/>
          <w:lang w:eastAsia="zh-CN"/>
        </w:rPr>
      </w:pPr>
      <w:bookmarkStart w:id="184" w:name="_Toc256000292"/>
      <w:bookmarkStart w:id="185" w:name="_Toc6137"/>
      <w:bookmarkStart w:id="186" w:name="_Toc256000126"/>
      <w:r>
        <w:rPr>
          <w:rFonts w:hint="eastAsia" w:ascii="宋体" w:hAnsi="宋体" w:eastAsia="宋体" w:cs="宋体"/>
          <w:color w:val="auto"/>
          <w:sz w:val="20"/>
          <w:szCs w:val="20"/>
          <w:highlight w:val="none"/>
          <w:lang w:eastAsia="zh-CN"/>
        </w:rPr>
        <w:t>5.10 勘察文件要求</w:t>
      </w:r>
      <w:bookmarkEnd w:id="184"/>
      <w:bookmarkEnd w:id="185"/>
      <w:bookmarkEnd w:id="186"/>
    </w:p>
    <w:p w14:paraId="6A6DD0CA">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5.10.1 勘察设计文件的编制应符合法律法规、规范标准的强制性规定和发包人要求，相关勘察设计依据应完整、准确、可靠，技术服务方案论证充分，计算成果规范可靠，并能够实施。</w:t>
      </w:r>
    </w:p>
    <w:p w14:paraId="14061DDF">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5.10.2 勘察设计服务应根据法律、规范标准和发包人要求，保证工程的合理使用寿命年限，并在勘察设计文件中予以注明。</w:t>
      </w:r>
    </w:p>
    <w:p w14:paraId="7416BEF7">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5.10.3 勘察设计文件的深度应满足本合同相应勘察设计阶段的规定要求，满足发包人的下步工作需要，并应符合国家和行业现行规定。</w:t>
      </w:r>
    </w:p>
    <w:p w14:paraId="2125E6F1">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5.10.4 勘察设计文件必须保证工程质量和施工安全等方面的要求，按照有关法律法规规定在勘察设计文件中提出保障施工作业人员安全和预防生产事故的措施建议。</w:t>
      </w:r>
    </w:p>
    <w:p w14:paraId="1F3A7AC1">
      <w:pPr>
        <w:pStyle w:val="23"/>
        <w:spacing w:line="360" w:lineRule="auto"/>
        <w:ind w:left="100" w:right="311" w:firstLine="419"/>
        <w:jc w:val="both"/>
        <w:rPr>
          <w:rFonts w:hint="eastAsia" w:ascii="宋体" w:hAnsi="宋体" w:eastAsia="宋体" w:cs="宋体"/>
          <w:color w:val="auto"/>
          <w:sz w:val="20"/>
          <w:szCs w:val="20"/>
          <w:highlight w:val="none"/>
          <w:lang w:eastAsia="zh-CN"/>
        </w:rPr>
      </w:pPr>
      <w:bookmarkStart w:id="187" w:name="_bookmark137"/>
      <w:bookmarkEnd w:id="187"/>
    </w:p>
    <w:p w14:paraId="697F4C87">
      <w:pPr>
        <w:pStyle w:val="13"/>
        <w:ind w:left="0"/>
        <w:rPr>
          <w:rFonts w:hint="eastAsia" w:ascii="宋体" w:hAnsi="宋体" w:eastAsia="宋体" w:cs="宋体"/>
          <w:color w:val="auto"/>
          <w:sz w:val="20"/>
          <w:szCs w:val="20"/>
          <w:highlight w:val="none"/>
          <w:lang w:eastAsia="zh-CN"/>
        </w:rPr>
      </w:pPr>
      <w:bookmarkStart w:id="188" w:name="_bookmark138"/>
      <w:bookmarkEnd w:id="188"/>
      <w:bookmarkStart w:id="189" w:name="_Toc256000293"/>
      <w:bookmarkStart w:id="190" w:name="_Toc256000127"/>
      <w:bookmarkStart w:id="191" w:name="_Toc17566"/>
      <w:r>
        <w:rPr>
          <w:rFonts w:hint="eastAsia" w:ascii="宋体" w:hAnsi="宋体" w:eastAsia="宋体" w:cs="宋体"/>
          <w:color w:val="auto"/>
          <w:sz w:val="20"/>
          <w:szCs w:val="20"/>
          <w:highlight w:val="none"/>
          <w:lang w:eastAsia="zh-CN"/>
        </w:rPr>
        <w:t>6.开始勘察设计和完成勘察设计</w:t>
      </w:r>
      <w:bookmarkEnd w:id="189"/>
      <w:bookmarkEnd w:id="190"/>
      <w:bookmarkEnd w:id="191"/>
    </w:p>
    <w:p w14:paraId="6CBB5061">
      <w:pPr>
        <w:pStyle w:val="15"/>
        <w:rPr>
          <w:rFonts w:hint="eastAsia" w:ascii="宋体" w:hAnsi="宋体" w:eastAsia="宋体" w:cs="宋体"/>
          <w:color w:val="auto"/>
          <w:sz w:val="20"/>
          <w:szCs w:val="20"/>
          <w:highlight w:val="none"/>
          <w:lang w:eastAsia="zh-CN"/>
        </w:rPr>
      </w:pPr>
      <w:bookmarkStart w:id="192" w:name="_bookmark139"/>
      <w:bookmarkEnd w:id="192"/>
      <w:bookmarkStart w:id="193" w:name="_Toc18623"/>
      <w:bookmarkStart w:id="194" w:name="_Toc256000294"/>
      <w:bookmarkStart w:id="195" w:name="_Toc256000128"/>
      <w:r>
        <w:rPr>
          <w:rFonts w:hint="eastAsia" w:ascii="宋体" w:hAnsi="宋体" w:eastAsia="宋体" w:cs="宋体"/>
          <w:color w:val="auto"/>
          <w:sz w:val="20"/>
          <w:szCs w:val="20"/>
          <w:highlight w:val="none"/>
          <w:lang w:eastAsia="zh-CN"/>
        </w:rPr>
        <w:t>6.1 开始勘察设计</w:t>
      </w:r>
      <w:bookmarkEnd w:id="193"/>
      <w:bookmarkEnd w:id="194"/>
      <w:bookmarkEnd w:id="195"/>
    </w:p>
    <w:p w14:paraId="30809ACF">
      <w:pPr>
        <w:pStyle w:val="23"/>
        <w:spacing w:line="360" w:lineRule="auto"/>
        <w:ind w:left="100" w:right="317"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6.1.1 </w:t>
      </w:r>
      <w:r>
        <w:rPr>
          <w:rFonts w:hint="eastAsia" w:ascii="宋体" w:hAnsi="宋体" w:eastAsia="宋体" w:cs="宋体"/>
          <w:color w:val="auto"/>
          <w:spacing w:val="-3"/>
          <w:sz w:val="20"/>
          <w:szCs w:val="20"/>
          <w:highlight w:val="none"/>
          <w:lang w:eastAsia="zh-CN"/>
        </w:rPr>
        <w:t>符合专用合同条款约定的开始</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3"/>
          <w:sz w:val="20"/>
          <w:szCs w:val="20"/>
          <w:highlight w:val="none"/>
          <w:lang w:eastAsia="zh-CN"/>
        </w:rPr>
        <w:t>条件的，发包人应提前</w:t>
      </w:r>
      <w:r>
        <w:rPr>
          <w:rFonts w:hint="eastAsia" w:ascii="宋体" w:hAnsi="宋体" w:eastAsia="宋体" w:cs="宋体"/>
          <w:color w:val="auto"/>
          <w:sz w:val="20"/>
          <w:szCs w:val="20"/>
          <w:highlight w:val="none"/>
          <w:lang w:eastAsia="zh-CN"/>
        </w:rPr>
        <w:t>7天向勘察设计人发出开始勘察设计</w:t>
      </w:r>
      <w:r>
        <w:rPr>
          <w:rFonts w:hint="eastAsia" w:ascii="宋体" w:hAnsi="宋体" w:eastAsia="宋体" w:cs="宋体"/>
          <w:color w:val="auto"/>
          <w:spacing w:val="-3"/>
          <w:sz w:val="20"/>
          <w:szCs w:val="20"/>
          <w:highlight w:val="none"/>
          <w:lang w:eastAsia="zh-CN"/>
        </w:rPr>
        <w:t>计</w:t>
      </w:r>
      <w:r>
        <w:rPr>
          <w:rFonts w:hint="eastAsia" w:ascii="宋体" w:hAnsi="宋体" w:eastAsia="宋体" w:cs="宋体"/>
          <w:color w:val="auto"/>
          <w:sz w:val="20"/>
          <w:szCs w:val="20"/>
          <w:highlight w:val="none"/>
          <w:lang w:eastAsia="zh-CN"/>
        </w:rPr>
        <w:t>通知。勘察设计服务期限自开始勘察设计通知中载明的开始勘察设计日期起计算。勘察设计服务周期安排在专用合同条款中约定。</w:t>
      </w:r>
    </w:p>
    <w:p w14:paraId="3070E77F">
      <w:pPr>
        <w:pStyle w:val="23"/>
        <w:spacing w:line="360" w:lineRule="auto"/>
        <w:ind w:left="100" w:right="3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6.1.2 除专用合同条款另有约定外，因发包人原因造成合同签订之日起 90天内未能发出开始勘察设计通知的，勘察设计人有权提出价格调整要求，或者解除合同。发包人应当承担由此增加的费用和（或）周期延误。</w:t>
      </w:r>
    </w:p>
    <w:p w14:paraId="5D695C95">
      <w:pPr>
        <w:pStyle w:val="15"/>
        <w:rPr>
          <w:rFonts w:hint="eastAsia" w:ascii="宋体" w:hAnsi="宋体" w:eastAsia="宋体" w:cs="宋体"/>
          <w:color w:val="auto"/>
          <w:sz w:val="20"/>
          <w:szCs w:val="20"/>
          <w:highlight w:val="none"/>
          <w:lang w:eastAsia="zh-CN"/>
        </w:rPr>
      </w:pPr>
      <w:bookmarkStart w:id="196" w:name="_bookmark140"/>
      <w:bookmarkEnd w:id="196"/>
      <w:bookmarkStart w:id="197" w:name="_Toc256000129"/>
      <w:bookmarkStart w:id="198" w:name="_Toc256000295"/>
      <w:bookmarkStart w:id="199" w:name="_Toc21409"/>
      <w:r>
        <w:rPr>
          <w:rFonts w:hint="eastAsia" w:ascii="宋体" w:hAnsi="宋体" w:eastAsia="宋体" w:cs="宋体"/>
          <w:color w:val="auto"/>
          <w:sz w:val="20"/>
          <w:szCs w:val="20"/>
          <w:highlight w:val="none"/>
          <w:lang w:eastAsia="zh-CN"/>
        </w:rPr>
        <w:t>6.2 发包人引起的周期延误</w:t>
      </w:r>
      <w:bookmarkEnd w:id="197"/>
      <w:bookmarkEnd w:id="198"/>
      <w:bookmarkEnd w:id="199"/>
    </w:p>
    <w:p w14:paraId="2882117D">
      <w:pPr>
        <w:pStyle w:val="23"/>
        <w:spacing w:line="360" w:lineRule="auto"/>
        <w:ind w:left="100" w:right="3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在履行合同过程中，由于发包人的下列原因造成勘察设计服务期限延误的，发包人应当延长勘察设计服务期限并增加勘察设计费用，具体方法在专用合同条款中约定。</w:t>
      </w:r>
    </w:p>
    <w:p w14:paraId="1FFAB02E">
      <w:pPr>
        <w:pStyle w:val="23"/>
        <w:spacing w:line="360" w:lineRule="auto"/>
        <w:ind w:left="52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（1）合同变更；</w:t>
      </w:r>
    </w:p>
    <w:p w14:paraId="4CA5EFE7">
      <w:pPr>
        <w:pStyle w:val="23"/>
        <w:spacing w:line="360" w:lineRule="auto"/>
        <w:ind w:left="52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（2）未按合同约定期限及时答复勘察设计事项；</w:t>
      </w:r>
    </w:p>
    <w:p w14:paraId="077833AE">
      <w:pPr>
        <w:pStyle w:val="23"/>
        <w:spacing w:line="360" w:lineRule="auto"/>
        <w:ind w:left="52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（3）因发包人原因导致的暂停勘察设计；</w:t>
      </w:r>
    </w:p>
    <w:p w14:paraId="522FC855">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（4）未按合同约定及时支付</w:t>
      </w:r>
      <w:r>
        <w:rPr>
          <w:rFonts w:hint="eastAsia" w:ascii="宋体" w:hAnsi="宋体" w:eastAsia="宋体" w:cs="宋体"/>
          <w:color w:val="auto"/>
          <w:spacing w:val="-3"/>
          <w:sz w:val="20"/>
          <w:szCs w:val="20"/>
          <w:highlight w:val="none"/>
          <w:lang w:eastAsia="zh-CN"/>
        </w:rPr>
        <w:t>服务</w:t>
      </w:r>
      <w:r>
        <w:rPr>
          <w:rFonts w:hint="eastAsia" w:ascii="宋体" w:hAnsi="宋体" w:eastAsia="宋体" w:cs="宋体"/>
          <w:color w:val="auto"/>
          <w:sz w:val="20"/>
          <w:szCs w:val="20"/>
          <w:highlight w:val="none"/>
          <w:lang w:eastAsia="zh-CN"/>
        </w:rPr>
        <w:t>费用；</w:t>
      </w:r>
    </w:p>
    <w:p w14:paraId="34BBC273">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（5）发包人提供的基准资料错误；</w:t>
      </w:r>
    </w:p>
    <w:p w14:paraId="65F62123">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（6）未及时按照履行合同约定的相关义务；</w:t>
      </w:r>
    </w:p>
    <w:p w14:paraId="022FEA70">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（7）未能按照合同约定期限对勘察设计文件进行审查；</w:t>
      </w:r>
    </w:p>
    <w:p w14:paraId="001C90FA">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（8）发包人造成周期延误的其他原因。</w:t>
      </w:r>
    </w:p>
    <w:p w14:paraId="0B2B5C67">
      <w:pPr>
        <w:pStyle w:val="15"/>
        <w:rPr>
          <w:rFonts w:hint="eastAsia" w:ascii="宋体" w:hAnsi="宋体" w:eastAsia="宋体" w:cs="宋体"/>
          <w:color w:val="auto"/>
          <w:sz w:val="20"/>
          <w:szCs w:val="20"/>
          <w:highlight w:val="none"/>
          <w:lang w:eastAsia="zh-CN"/>
        </w:rPr>
      </w:pPr>
      <w:bookmarkStart w:id="200" w:name="_bookmark141"/>
      <w:bookmarkEnd w:id="200"/>
      <w:bookmarkStart w:id="201" w:name="_Toc256000296"/>
      <w:bookmarkStart w:id="202" w:name="_Toc256000130"/>
      <w:bookmarkStart w:id="203" w:name="_Toc3295"/>
      <w:r>
        <w:rPr>
          <w:rFonts w:hint="eastAsia" w:ascii="宋体" w:hAnsi="宋体" w:eastAsia="宋体" w:cs="宋体"/>
          <w:color w:val="auto"/>
          <w:sz w:val="20"/>
          <w:szCs w:val="20"/>
          <w:highlight w:val="none"/>
          <w:lang w:eastAsia="zh-CN"/>
        </w:rPr>
        <w:t>6.3 勘察设计人引起的周期延误</w:t>
      </w:r>
      <w:bookmarkEnd w:id="201"/>
      <w:bookmarkEnd w:id="202"/>
      <w:bookmarkEnd w:id="203"/>
    </w:p>
    <w:p w14:paraId="7548810E">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由于勘察设计人原因造成周期延误，勘察设计人应支付逾期违约金。逾期违约金的计算方法和最高限额在专用合同条款中约定。</w:t>
      </w:r>
    </w:p>
    <w:p w14:paraId="427E78D4">
      <w:pPr>
        <w:pStyle w:val="15"/>
        <w:rPr>
          <w:rFonts w:hint="eastAsia" w:ascii="宋体" w:hAnsi="宋体" w:eastAsia="宋体" w:cs="宋体"/>
          <w:color w:val="auto"/>
          <w:sz w:val="20"/>
          <w:szCs w:val="20"/>
          <w:highlight w:val="none"/>
          <w:lang w:eastAsia="zh-CN"/>
        </w:rPr>
      </w:pPr>
      <w:bookmarkStart w:id="204" w:name="_bookmark142"/>
      <w:bookmarkEnd w:id="204"/>
      <w:bookmarkStart w:id="205" w:name="_Toc13418"/>
      <w:bookmarkStart w:id="206" w:name="_Toc256000131"/>
      <w:bookmarkStart w:id="207" w:name="_Toc256000297"/>
      <w:r>
        <w:rPr>
          <w:rFonts w:hint="eastAsia" w:ascii="宋体" w:hAnsi="宋体" w:eastAsia="宋体" w:cs="宋体"/>
          <w:color w:val="auto"/>
          <w:sz w:val="20"/>
          <w:szCs w:val="20"/>
          <w:highlight w:val="none"/>
          <w:lang w:eastAsia="zh-CN"/>
        </w:rPr>
        <w:t>6.4 第三人引起的周期延误</w:t>
      </w:r>
      <w:bookmarkEnd w:id="205"/>
      <w:bookmarkEnd w:id="206"/>
      <w:bookmarkEnd w:id="207"/>
    </w:p>
    <w:p w14:paraId="504F1C6E">
      <w:pPr>
        <w:pStyle w:val="14"/>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由于行政管理部门审查或其他第三人原因造成费用增加和（或）周期延误的，由发包人承担。</w:t>
      </w:r>
    </w:p>
    <w:p w14:paraId="64C9F1B4">
      <w:pPr>
        <w:pStyle w:val="15"/>
        <w:rPr>
          <w:rFonts w:hint="eastAsia" w:ascii="宋体" w:hAnsi="宋体" w:eastAsia="宋体" w:cs="宋体"/>
          <w:color w:val="auto"/>
          <w:sz w:val="20"/>
          <w:szCs w:val="20"/>
          <w:highlight w:val="none"/>
          <w:lang w:eastAsia="zh-CN"/>
        </w:rPr>
      </w:pPr>
      <w:bookmarkStart w:id="208" w:name="_Toc24872"/>
      <w:bookmarkStart w:id="209" w:name="_Toc256000132"/>
      <w:bookmarkStart w:id="210" w:name="_Toc256000298"/>
      <w:r>
        <w:rPr>
          <w:rFonts w:hint="eastAsia" w:ascii="宋体" w:hAnsi="宋体" w:eastAsia="宋体" w:cs="宋体"/>
          <w:color w:val="auto"/>
          <w:sz w:val="20"/>
          <w:szCs w:val="20"/>
          <w:highlight w:val="none"/>
          <w:lang w:eastAsia="zh-CN"/>
        </w:rPr>
        <w:t>6.5非人为因素引起的周期延误</w:t>
      </w:r>
      <w:bookmarkEnd w:id="208"/>
      <w:bookmarkEnd w:id="209"/>
      <w:bookmarkEnd w:id="210"/>
    </w:p>
    <w:p w14:paraId="4AFFA633">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6.3.1 由于出现专用合同条款规定的异常恶劣气候条件、不利物质条件等因素导致周期延误的，勘察设计人有权要求发包人延长周期和（或）增加费用。</w:t>
      </w:r>
    </w:p>
    <w:p w14:paraId="2F6309B0">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6.3.2 勘察设计人发现地下文物或化石时，应按规定及时报告发包人和文物部门，并采取有效措施进行保护；勘察设计人有权要求发包人延长周期和（或）增加费用。</w:t>
      </w:r>
    </w:p>
    <w:p w14:paraId="78C4D7B4">
      <w:pPr>
        <w:pStyle w:val="15"/>
        <w:rPr>
          <w:rFonts w:hint="eastAsia" w:ascii="宋体" w:hAnsi="宋体" w:eastAsia="宋体" w:cs="宋体"/>
          <w:color w:val="auto"/>
          <w:sz w:val="20"/>
          <w:szCs w:val="20"/>
          <w:highlight w:val="none"/>
          <w:lang w:eastAsia="zh-CN"/>
        </w:rPr>
      </w:pPr>
      <w:bookmarkStart w:id="211" w:name="_bookmark143"/>
      <w:bookmarkEnd w:id="211"/>
      <w:bookmarkStart w:id="212" w:name="_Toc22848"/>
      <w:bookmarkStart w:id="213" w:name="_Toc256000133"/>
      <w:bookmarkStart w:id="214" w:name="_Toc256000299"/>
      <w:r>
        <w:rPr>
          <w:rFonts w:hint="eastAsia" w:ascii="宋体" w:hAnsi="宋体" w:eastAsia="宋体" w:cs="宋体"/>
          <w:color w:val="auto"/>
          <w:sz w:val="20"/>
          <w:szCs w:val="20"/>
          <w:highlight w:val="none"/>
          <w:lang w:eastAsia="zh-CN"/>
        </w:rPr>
        <w:t>6.6完成勘察设计</w:t>
      </w:r>
      <w:bookmarkEnd w:id="212"/>
      <w:bookmarkEnd w:id="213"/>
      <w:bookmarkEnd w:id="214"/>
    </w:p>
    <w:p w14:paraId="1E150868">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6.6.1 勘察设计</w:t>
      </w:r>
      <w:r>
        <w:rPr>
          <w:rFonts w:hint="eastAsia" w:ascii="宋体" w:hAnsi="宋体" w:eastAsia="宋体" w:cs="宋体"/>
          <w:color w:val="auto"/>
          <w:spacing w:val="-4"/>
          <w:sz w:val="20"/>
          <w:szCs w:val="20"/>
          <w:highlight w:val="none"/>
          <w:lang w:eastAsia="zh-CN"/>
        </w:rPr>
        <w:t>人完成</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服务之后，应当根据法律、规范标准、合同约定和发包人要求编制</w:t>
      </w:r>
      <w:r>
        <w:rPr>
          <w:rFonts w:hint="eastAsia" w:ascii="宋体" w:hAnsi="宋体" w:eastAsia="宋体" w:cs="宋体"/>
          <w:color w:val="auto"/>
          <w:sz w:val="20"/>
          <w:szCs w:val="20"/>
          <w:highlight w:val="none"/>
          <w:lang w:eastAsia="zh-CN"/>
        </w:rPr>
        <w:t>勘察设计文件。</w:t>
      </w:r>
    </w:p>
    <w:p w14:paraId="31665719">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6.6.2 勘察设计</w:t>
      </w:r>
      <w:r>
        <w:rPr>
          <w:rFonts w:hint="eastAsia" w:ascii="宋体" w:hAnsi="宋体" w:eastAsia="宋体" w:cs="宋体"/>
          <w:color w:val="auto"/>
          <w:spacing w:val="-4"/>
          <w:sz w:val="20"/>
          <w:szCs w:val="20"/>
          <w:highlight w:val="none"/>
          <w:lang w:eastAsia="zh-CN"/>
        </w:rPr>
        <w:t>文件是工程</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的最终成果和施工的重要依据，应当根据本工程的</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内容和不 </w:t>
      </w:r>
      <w:r>
        <w:rPr>
          <w:rFonts w:hint="eastAsia" w:ascii="宋体" w:hAnsi="宋体" w:eastAsia="宋体" w:cs="宋体"/>
          <w:color w:val="auto"/>
          <w:spacing w:val="-1"/>
          <w:sz w:val="20"/>
          <w:szCs w:val="20"/>
          <w:highlight w:val="none"/>
          <w:lang w:eastAsia="zh-CN"/>
        </w:rPr>
        <w:t>同阶段的</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任务、目的和要求等进行编制。</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 xml:space="preserve">文件的内容和深度应当满足对应阶段的规范 </w:t>
      </w:r>
      <w:r>
        <w:rPr>
          <w:rFonts w:hint="eastAsia" w:ascii="宋体" w:hAnsi="宋体" w:eastAsia="宋体" w:cs="宋体"/>
          <w:color w:val="auto"/>
          <w:sz w:val="20"/>
          <w:szCs w:val="20"/>
          <w:highlight w:val="none"/>
          <w:lang w:eastAsia="zh-CN"/>
        </w:rPr>
        <w:t>要求。</w:t>
      </w:r>
    </w:p>
    <w:p w14:paraId="3AAC93E2">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6.6.3 </w:t>
      </w:r>
      <w:r>
        <w:rPr>
          <w:rFonts w:hint="eastAsia" w:ascii="宋体" w:hAnsi="宋体" w:eastAsia="宋体" w:cs="宋体"/>
          <w:color w:val="auto"/>
          <w:spacing w:val="-4"/>
          <w:sz w:val="20"/>
          <w:szCs w:val="20"/>
          <w:highlight w:val="none"/>
          <w:lang w:eastAsia="zh-CN"/>
        </w:rPr>
        <w:t>除专用合同条款另有约定外，</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文件包括纸质文件和电子文件两种形式，两者若有 </w:t>
      </w:r>
      <w:r>
        <w:rPr>
          <w:rFonts w:hint="eastAsia" w:ascii="宋体" w:hAnsi="宋体" w:eastAsia="宋体" w:cs="宋体"/>
          <w:color w:val="auto"/>
          <w:spacing w:val="-1"/>
          <w:sz w:val="20"/>
          <w:szCs w:val="20"/>
          <w:highlight w:val="none"/>
          <w:lang w:eastAsia="zh-CN"/>
        </w:rPr>
        <w:t xml:space="preserve">不一致时，应以纸质文件为准。纸质文件一式八份，应当加盖单位公章和项目负责人注册执业印 </w:t>
      </w:r>
      <w:r>
        <w:rPr>
          <w:rFonts w:hint="eastAsia" w:ascii="宋体" w:hAnsi="宋体" w:eastAsia="宋体" w:cs="宋体"/>
          <w:color w:val="auto"/>
          <w:sz w:val="20"/>
          <w:szCs w:val="20"/>
          <w:highlight w:val="none"/>
          <w:lang w:eastAsia="zh-CN"/>
        </w:rPr>
        <w:t>章；电子文件中的文字为</w:t>
      </w:r>
      <w:r>
        <w:rPr>
          <w:rFonts w:hint="eastAsia" w:ascii="宋体" w:hAnsi="宋体" w:eastAsia="宋体" w:cs="宋体"/>
          <w:color w:val="auto"/>
          <w:spacing w:val="-57"/>
          <w:sz w:val="20"/>
          <w:szCs w:val="20"/>
          <w:highlight w:val="none"/>
          <w:lang w:eastAsia="zh-CN"/>
        </w:rPr>
        <w:t xml:space="preserve"> </w:t>
      </w:r>
      <w:r>
        <w:rPr>
          <w:rFonts w:hint="eastAsia" w:ascii="宋体" w:hAnsi="宋体" w:eastAsia="宋体" w:cs="宋体"/>
          <w:color w:val="auto"/>
          <w:sz w:val="20"/>
          <w:szCs w:val="20"/>
          <w:highlight w:val="none"/>
          <w:lang w:eastAsia="zh-CN"/>
        </w:rPr>
        <w:t>WORD 格式、图形为</w:t>
      </w:r>
      <w:r>
        <w:rPr>
          <w:rFonts w:hint="eastAsia" w:ascii="宋体" w:hAnsi="宋体" w:eastAsia="宋体" w:cs="宋体"/>
          <w:color w:val="auto"/>
          <w:spacing w:val="-55"/>
          <w:sz w:val="20"/>
          <w:szCs w:val="20"/>
          <w:highlight w:val="none"/>
          <w:lang w:eastAsia="zh-CN"/>
        </w:rPr>
        <w:t xml:space="preserve"> </w:t>
      </w:r>
      <w:r>
        <w:rPr>
          <w:rFonts w:hint="eastAsia" w:ascii="宋体" w:hAnsi="宋体" w:eastAsia="宋体" w:cs="宋体"/>
          <w:color w:val="auto"/>
          <w:sz w:val="20"/>
          <w:szCs w:val="20"/>
          <w:highlight w:val="none"/>
          <w:lang w:eastAsia="zh-CN"/>
        </w:rPr>
        <w:t>CAD 格式，并应使用光盘和</w:t>
      </w:r>
      <w:r>
        <w:rPr>
          <w:rFonts w:hint="eastAsia" w:ascii="宋体" w:hAnsi="宋体" w:eastAsia="宋体" w:cs="宋体"/>
          <w:color w:val="auto"/>
          <w:spacing w:val="-57"/>
          <w:sz w:val="20"/>
          <w:szCs w:val="20"/>
          <w:highlight w:val="none"/>
          <w:lang w:eastAsia="zh-CN"/>
        </w:rPr>
        <w:t xml:space="preserve"> </w:t>
      </w:r>
      <w:r>
        <w:rPr>
          <w:rFonts w:hint="eastAsia" w:ascii="宋体" w:hAnsi="宋体" w:eastAsia="宋体" w:cs="宋体"/>
          <w:color w:val="auto"/>
          <w:sz w:val="20"/>
          <w:szCs w:val="20"/>
          <w:highlight w:val="none"/>
          <w:lang w:eastAsia="zh-CN"/>
        </w:rPr>
        <w:t>U 盘分别贮存。</w:t>
      </w:r>
    </w:p>
    <w:p w14:paraId="07C96FC9">
      <w:pPr>
        <w:pStyle w:val="15"/>
        <w:rPr>
          <w:rFonts w:hint="eastAsia" w:ascii="宋体" w:hAnsi="宋体" w:eastAsia="宋体" w:cs="宋体"/>
          <w:color w:val="auto"/>
          <w:sz w:val="20"/>
          <w:szCs w:val="20"/>
          <w:highlight w:val="none"/>
          <w:lang w:eastAsia="zh-CN"/>
        </w:rPr>
      </w:pPr>
      <w:bookmarkStart w:id="215" w:name="_bookmark144"/>
      <w:bookmarkEnd w:id="215"/>
      <w:bookmarkStart w:id="216" w:name="_Toc31920"/>
      <w:bookmarkStart w:id="217" w:name="_Toc256000134"/>
      <w:bookmarkStart w:id="218" w:name="_Toc256000300"/>
      <w:r>
        <w:rPr>
          <w:rFonts w:hint="eastAsia" w:ascii="宋体" w:hAnsi="宋体" w:eastAsia="宋体" w:cs="宋体"/>
          <w:color w:val="auto"/>
          <w:sz w:val="20"/>
          <w:szCs w:val="20"/>
          <w:highlight w:val="none"/>
          <w:lang w:eastAsia="zh-CN"/>
        </w:rPr>
        <w:t>6.7 提前完成勘察设计</w:t>
      </w:r>
      <w:bookmarkEnd w:id="216"/>
      <w:bookmarkEnd w:id="217"/>
      <w:bookmarkEnd w:id="218"/>
    </w:p>
    <w:p w14:paraId="0F26B470">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6.7.1 </w:t>
      </w:r>
      <w:r>
        <w:rPr>
          <w:rFonts w:hint="eastAsia" w:ascii="宋体" w:hAnsi="宋体" w:eastAsia="宋体" w:cs="宋体"/>
          <w:color w:val="auto"/>
          <w:spacing w:val="-4"/>
          <w:sz w:val="20"/>
          <w:szCs w:val="20"/>
          <w:highlight w:val="none"/>
          <w:lang w:eastAsia="zh-CN"/>
        </w:rPr>
        <w:t>根据发包人要求或者基于专业能力判断，</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人认为能够提前完成</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的，可向发包 </w:t>
      </w:r>
      <w:r>
        <w:rPr>
          <w:rFonts w:hint="eastAsia" w:ascii="宋体" w:hAnsi="宋体" w:eastAsia="宋体" w:cs="宋体"/>
          <w:color w:val="auto"/>
          <w:spacing w:val="-1"/>
          <w:sz w:val="20"/>
          <w:szCs w:val="20"/>
          <w:highlight w:val="none"/>
          <w:lang w:eastAsia="zh-CN"/>
        </w:rPr>
        <w:t>人递交一份提前完成</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建议书，包括实施方案、提前时间、</w:t>
      </w:r>
      <w:r>
        <w:rPr>
          <w:rFonts w:hint="eastAsia" w:ascii="宋体" w:hAnsi="宋体" w:eastAsia="宋体" w:cs="宋体"/>
          <w:color w:val="auto"/>
          <w:sz w:val="20"/>
          <w:szCs w:val="20"/>
          <w:highlight w:val="none"/>
          <w:lang w:eastAsia="zh-CN"/>
        </w:rPr>
        <w:t>服务</w:t>
      </w:r>
      <w:r>
        <w:rPr>
          <w:rFonts w:hint="eastAsia" w:ascii="宋体" w:hAnsi="宋体" w:eastAsia="宋体" w:cs="宋体"/>
          <w:color w:val="auto"/>
          <w:spacing w:val="-1"/>
          <w:sz w:val="20"/>
          <w:szCs w:val="20"/>
          <w:highlight w:val="none"/>
          <w:lang w:eastAsia="zh-CN"/>
        </w:rPr>
        <w:t>费用变动等内容。除专用合 同条款另有约定之外，发包人接受建议书的，不因提前完成</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而减少</w:t>
      </w:r>
      <w:r>
        <w:rPr>
          <w:rFonts w:hint="eastAsia" w:ascii="宋体" w:hAnsi="宋体" w:eastAsia="宋体" w:cs="宋体"/>
          <w:color w:val="auto"/>
          <w:sz w:val="20"/>
          <w:szCs w:val="20"/>
          <w:highlight w:val="none"/>
          <w:lang w:eastAsia="zh-CN"/>
        </w:rPr>
        <w:t>服务</w:t>
      </w:r>
      <w:r>
        <w:rPr>
          <w:rFonts w:hint="eastAsia" w:ascii="宋体" w:hAnsi="宋体" w:eastAsia="宋体" w:cs="宋体"/>
          <w:color w:val="auto"/>
          <w:spacing w:val="-1"/>
          <w:sz w:val="20"/>
          <w:szCs w:val="20"/>
          <w:highlight w:val="none"/>
          <w:lang w:eastAsia="zh-CN"/>
        </w:rPr>
        <w:t>费用；增加</w:t>
      </w:r>
      <w:r>
        <w:rPr>
          <w:rFonts w:hint="eastAsia" w:ascii="宋体" w:hAnsi="宋体" w:eastAsia="宋体" w:cs="宋体"/>
          <w:color w:val="auto"/>
          <w:sz w:val="20"/>
          <w:szCs w:val="20"/>
          <w:highlight w:val="none"/>
          <w:lang w:eastAsia="zh-CN"/>
        </w:rPr>
        <w:t>服务</w:t>
      </w:r>
      <w:r>
        <w:rPr>
          <w:rFonts w:hint="eastAsia" w:ascii="宋体" w:hAnsi="宋体" w:eastAsia="宋体" w:cs="宋体"/>
          <w:color w:val="auto"/>
          <w:spacing w:val="-1"/>
          <w:sz w:val="20"/>
          <w:szCs w:val="20"/>
          <w:highlight w:val="none"/>
          <w:lang w:eastAsia="zh-CN"/>
        </w:rPr>
        <w:t>费</w:t>
      </w:r>
      <w:r>
        <w:rPr>
          <w:rFonts w:hint="eastAsia" w:ascii="宋体" w:hAnsi="宋体" w:eastAsia="宋体" w:cs="宋体"/>
          <w:color w:val="auto"/>
          <w:sz w:val="20"/>
          <w:szCs w:val="20"/>
          <w:highlight w:val="none"/>
          <w:lang w:eastAsia="zh-CN"/>
        </w:rPr>
        <w:t>用的，所增费用由发包人承担。</w:t>
      </w:r>
    </w:p>
    <w:p w14:paraId="75FB1A57">
      <w:pPr>
        <w:pStyle w:val="23"/>
        <w:spacing w:line="360" w:lineRule="auto"/>
        <w:ind w:left="100" w:right="113" w:firstLine="419"/>
        <w:jc w:val="both"/>
        <w:rPr>
          <w:rFonts w:hint="eastAsia" w:ascii="宋体" w:hAnsi="宋体" w:eastAsia="宋体" w:cs="宋体"/>
          <w:color w:val="auto"/>
          <w:spacing w:val="-1"/>
          <w:sz w:val="20"/>
          <w:szCs w:val="20"/>
          <w:highlight w:val="none"/>
          <w:lang w:eastAsia="zh-CN"/>
        </w:rPr>
      </w:pPr>
      <w:r>
        <w:rPr>
          <w:rFonts w:hint="eastAsia" w:ascii="宋体" w:hAnsi="宋体" w:eastAsia="宋体" w:cs="宋体"/>
          <w:color w:val="auto"/>
          <w:spacing w:val="-1"/>
          <w:sz w:val="20"/>
          <w:szCs w:val="20"/>
          <w:highlight w:val="none"/>
          <w:lang w:eastAsia="zh-CN"/>
        </w:rPr>
        <w:t>6.7.2  发包人要求提前完成勘察设计但勘察设计人认为无法实施的，应在收到发包人书面指示后 7天内提出异议，说明不能提前完成的理由。发包人应在收到异议后 7 天内予以答复。任何情况下，发包人不得压缩合理的勘察设计服务期限。</w:t>
      </w:r>
    </w:p>
    <w:p w14:paraId="2815627F">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6.7.3 由于勘察设计人提前完成勘察设计而给发包人带来经济效益的，发包人可以在专用合同条款中 约定勘察设计人因此获得的奖励内容。</w:t>
      </w:r>
    </w:p>
    <w:p w14:paraId="4FC9FDFE">
      <w:pPr>
        <w:pStyle w:val="23"/>
        <w:spacing w:line="360" w:lineRule="auto"/>
        <w:ind w:left="100" w:right="108" w:firstLine="419"/>
        <w:jc w:val="both"/>
        <w:rPr>
          <w:rFonts w:hint="eastAsia" w:ascii="宋体" w:hAnsi="宋体" w:eastAsia="宋体" w:cs="宋体"/>
          <w:color w:val="auto"/>
          <w:sz w:val="20"/>
          <w:szCs w:val="20"/>
          <w:highlight w:val="none"/>
          <w:lang w:eastAsia="zh-CN"/>
        </w:rPr>
      </w:pPr>
    </w:p>
    <w:p w14:paraId="358AF137">
      <w:pPr>
        <w:pStyle w:val="13"/>
        <w:ind w:left="0"/>
        <w:rPr>
          <w:rFonts w:hint="eastAsia" w:ascii="宋体" w:hAnsi="宋体" w:eastAsia="宋体" w:cs="宋体"/>
          <w:color w:val="auto"/>
          <w:sz w:val="20"/>
          <w:szCs w:val="20"/>
          <w:highlight w:val="none"/>
          <w:lang w:eastAsia="zh-CN"/>
        </w:rPr>
      </w:pPr>
      <w:bookmarkStart w:id="219" w:name="_bookmark145"/>
      <w:bookmarkEnd w:id="219"/>
      <w:bookmarkStart w:id="220" w:name="_Toc6946"/>
      <w:bookmarkStart w:id="221" w:name="_Toc256000301"/>
      <w:bookmarkStart w:id="222" w:name="_Toc256000135"/>
      <w:r>
        <w:rPr>
          <w:rFonts w:hint="eastAsia" w:ascii="宋体" w:hAnsi="宋体" w:eastAsia="宋体" w:cs="宋体"/>
          <w:color w:val="auto"/>
          <w:sz w:val="20"/>
          <w:szCs w:val="20"/>
          <w:highlight w:val="none"/>
          <w:lang w:eastAsia="zh-CN"/>
        </w:rPr>
        <w:t>7.暂停勘察设计</w:t>
      </w:r>
      <w:bookmarkEnd w:id="220"/>
      <w:bookmarkEnd w:id="221"/>
      <w:bookmarkEnd w:id="222"/>
    </w:p>
    <w:p w14:paraId="2CDAB88A">
      <w:pPr>
        <w:pStyle w:val="15"/>
        <w:rPr>
          <w:rFonts w:hint="eastAsia" w:ascii="宋体" w:hAnsi="宋体" w:eastAsia="宋体" w:cs="宋体"/>
          <w:color w:val="auto"/>
          <w:sz w:val="20"/>
          <w:szCs w:val="20"/>
          <w:highlight w:val="none"/>
          <w:lang w:eastAsia="zh-CN"/>
        </w:rPr>
      </w:pPr>
      <w:bookmarkStart w:id="223" w:name="_bookmark146"/>
      <w:bookmarkEnd w:id="223"/>
      <w:bookmarkStart w:id="224" w:name="_Toc256000136"/>
      <w:bookmarkStart w:id="225" w:name="_Toc256000302"/>
      <w:bookmarkStart w:id="226" w:name="_Toc25016"/>
      <w:r>
        <w:rPr>
          <w:rFonts w:hint="eastAsia" w:ascii="宋体" w:hAnsi="宋体" w:eastAsia="宋体" w:cs="宋体"/>
          <w:color w:val="auto"/>
          <w:sz w:val="20"/>
          <w:szCs w:val="20"/>
          <w:highlight w:val="none"/>
          <w:lang w:eastAsia="zh-CN"/>
        </w:rPr>
        <w:t>7.1 发包人原因暂停勘察设计</w:t>
      </w:r>
      <w:bookmarkEnd w:id="224"/>
      <w:bookmarkEnd w:id="225"/>
      <w:bookmarkEnd w:id="226"/>
    </w:p>
    <w:p w14:paraId="6DA434D8">
      <w:pPr>
        <w:pStyle w:val="23"/>
        <w:spacing w:line="360" w:lineRule="auto"/>
        <w:ind w:left="100" w:right="2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 w:val="20"/>
          <w:szCs w:val="20"/>
          <w:highlight w:val="none"/>
          <w:lang w:eastAsia="zh-CN"/>
        </w:rPr>
        <w:t>合同履行中发生下列情形之一的，</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 xml:space="preserve">人可向发包人发出通知，要求发包人采取有效措施 </w:t>
      </w:r>
      <w:r>
        <w:rPr>
          <w:rFonts w:hint="eastAsia" w:ascii="宋体" w:hAnsi="宋体" w:eastAsia="宋体" w:cs="宋体"/>
          <w:color w:val="auto"/>
          <w:spacing w:val="-4"/>
          <w:sz w:val="20"/>
          <w:szCs w:val="20"/>
          <w:highlight w:val="none"/>
          <w:lang w:eastAsia="zh-CN"/>
        </w:rPr>
        <w:t>予以纠正。发包人收到</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人通知后的 </w:t>
      </w:r>
      <w:r>
        <w:rPr>
          <w:rFonts w:hint="eastAsia" w:ascii="宋体" w:hAnsi="宋体" w:eastAsia="宋体" w:cs="宋体"/>
          <w:color w:val="auto"/>
          <w:sz w:val="20"/>
          <w:szCs w:val="20"/>
          <w:highlight w:val="none"/>
          <w:lang w:eastAsia="zh-CN"/>
        </w:rPr>
        <w:t xml:space="preserve">28 </w:t>
      </w:r>
      <w:r>
        <w:rPr>
          <w:rFonts w:hint="eastAsia" w:ascii="宋体" w:hAnsi="宋体" w:eastAsia="宋体" w:cs="宋体"/>
          <w:color w:val="auto"/>
          <w:spacing w:val="-4"/>
          <w:sz w:val="20"/>
          <w:szCs w:val="20"/>
          <w:highlight w:val="none"/>
          <w:lang w:eastAsia="zh-CN"/>
        </w:rPr>
        <w:t>天内仍不履行合同义务时，</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人有权暂停</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并通</w:t>
      </w:r>
      <w:r>
        <w:rPr>
          <w:rFonts w:hint="eastAsia" w:ascii="宋体" w:hAnsi="宋体" w:eastAsia="宋体" w:cs="宋体"/>
          <w:color w:val="auto"/>
          <w:sz w:val="20"/>
          <w:szCs w:val="20"/>
          <w:highlight w:val="none"/>
          <w:lang w:eastAsia="zh-CN"/>
        </w:rPr>
        <w:t>知发包人；发包人应承担由此导致的费用增加和（或）周期延误。</w:t>
      </w:r>
    </w:p>
    <w:p w14:paraId="3F779927">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（1）发包人违约；</w:t>
      </w:r>
    </w:p>
    <w:p w14:paraId="7D882FD2">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（2）发包人确定暂停勘察设计；</w:t>
      </w:r>
    </w:p>
    <w:p w14:paraId="4649E487">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（3）合同约定由发包人承担责任的其他情形。</w:t>
      </w:r>
    </w:p>
    <w:p w14:paraId="1C0666C8">
      <w:pPr>
        <w:pStyle w:val="15"/>
        <w:rPr>
          <w:rFonts w:hint="eastAsia" w:ascii="宋体" w:hAnsi="宋体" w:eastAsia="宋体" w:cs="宋体"/>
          <w:color w:val="auto"/>
          <w:sz w:val="20"/>
          <w:szCs w:val="20"/>
          <w:highlight w:val="none"/>
          <w:lang w:eastAsia="zh-CN"/>
        </w:rPr>
      </w:pPr>
      <w:bookmarkStart w:id="227" w:name="_bookmark147"/>
      <w:bookmarkEnd w:id="227"/>
      <w:bookmarkStart w:id="228" w:name="_Toc13217"/>
      <w:bookmarkStart w:id="229" w:name="_Toc256000137"/>
      <w:bookmarkStart w:id="230" w:name="_Toc256000303"/>
      <w:r>
        <w:rPr>
          <w:rFonts w:hint="eastAsia" w:ascii="宋体" w:hAnsi="宋体" w:eastAsia="宋体" w:cs="宋体"/>
          <w:color w:val="auto"/>
          <w:sz w:val="20"/>
          <w:szCs w:val="20"/>
          <w:highlight w:val="none"/>
          <w:lang w:eastAsia="zh-CN"/>
        </w:rPr>
        <w:t>7.2 勘察设计人原因暂停勘察设计</w:t>
      </w:r>
      <w:bookmarkEnd w:id="228"/>
      <w:bookmarkEnd w:id="229"/>
      <w:bookmarkEnd w:id="230"/>
    </w:p>
    <w:p w14:paraId="1B13BC1C">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合同履行中发生下列情形之一的，发包人可向勘察设计人发出通知暂停勘察设计，由此造成费用的 增加和（或）周期延误由勘察设计人承担：</w:t>
      </w:r>
    </w:p>
    <w:p w14:paraId="03258F5F">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（1）勘察设计人违约；</w:t>
      </w:r>
    </w:p>
    <w:p w14:paraId="05512E00">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（2）勘察设计人擅自暂停勘察设计；</w:t>
      </w:r>
    </w:p>
    <w:p w14:paraId="5881BC8B">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 合同约定由勘察设计人承担责任的其他情形。</w:t>
      </w:r>
    </w:p>
    <w:p w14:paraId="37401570">
      <w:pPr>
        <w:pStyle w:val="15"/>
        <w:rPr>
          <w:rFonts w:hint="eastAsia" w:ascii="宋体" w:hAnsi="宋体" w:eastAsia="宋体" w:cs="宋体"/>
          <w:color w:val="auto"/>
          <w:sz w:val="20"/>
          <w:szCs w:val="20"/>
          <w:highlight w:val="none"/>
          <w:lang w:eastAsia="zh-CN"/>
        </w:rPr>
      </w:pPr>
      <w:bookmarkStart w:id="231" w:name="_bookmark148"/>
      <w:bookmarkEnd w:id="231"/>
      <w:bookmarkStart w:id="232" w:name="_Toc256000138"/>
      <w:bookmarkStart w:id="233" w:name="_Toc27284"/>
      <w:bookmarkStart w:id="234" w:name="_Toc256000304"/>
      <w:r>
        <w:rPr>
          <w:rFonts w:hint="eastAsia" w:ascii="宋体" w:hAnsi="宋体" w:eastAsia="宋体" w:cs="宋体"/>
          <w:color w:val="auto"/>
          <w:sz w:val="20"/>
          <w:szCs w:val="20"/>
          <w:highlight w:val="none"/>
          <w:lang w:eastAsia="zh-CN"/>
        </w:rPr>
        <w:t>7.3 暂停期间的文件照管</w:t>
      </w:r>
      <w:bookmarkEnd w:id="232"/>
      <w:bookmarkEnd w:id="233"/>
      <w:bookmarkEnd w:id="234"/>
    </w:p>
    <w:p w14:paraId="4E64656B">
      <w:pPr>
        <w:pStyle w:val="23"/>
        <w:spacing w:line="360" w:lineRule="auto"/>
        <w:ind w:left="100" w:right="2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不论由于何种原因引起暂停勘察设计的，暂停期间勘察设计人应负责妥善保护已完部分的勘察设计文件， 由此增加的费用由责任方承担。</w:t>
      </w:r>
    </w:p>
    <w:p w14:paraId="0570FDDE">
      <w:pPr>
        <w:pStyle w:val="13"/>
        <w:ind w:left="0"/>
        <w:rPr>
          <w:rFonts w:hint="eastAsia" w:ascii="宋体" w:hAnsi="宋体" w:eastAsia="宋体" w:cs="宋体"/>
          <w:color w:val="auto"/>
          <w:sz w:val="20"/>
          <w:szCs w:val="20"/>
          <w:highlight w:val="none"/>
          <w:lang w:eastAsia="zh-CN"/>
        </w:rPr>
      </w:pPr>
      <w:bookmarkStart w:id="235" w:name="_bookmark149"/>
      <w:bookmarkEnd w:id="235"/>
      <w:bookmarkStart w:id="236" w:name="_Toc256000305"/>
      <w:bookmarkStart w:id="237" w:name="_Toc256000139"/>
      <w:bookmarkStart w:id="238" w:name="_Toc9894"/>
      <w:r>
        <w:rPr>
          <w:rFonts w:hint="eastAsia" w:ascii="宋体" w:hAnsi="宋体" w:eastAsia="宋体" w:cs="宋体"/>
          <w:color w:val="auto"/>
          <w:sz w:val="20"/>
          <w:szCs w:val="20"/>
          <w:highlight w:val="none"/>
          <w:lang w:eastAsia="zh-CN"/>
        </w:rPr>
        <w:t>8. 勘察设计文件</w:t>
      </w:r>
      <w:bookmarkEnd w:id="236"/>
      <w:bookmarkEnd w:id="237"/>
      <w:bookmarkEnd w:id="238"/>
    </w:p>
    <w:p w14:paraId="67714FD6">
      <w:pPr>
        <w:pStyle w:val="15"/>
        <w:rPr>
          <w:rFonts w:hint="eastAsia" w:ascii="宋体" w:hAnsi="宋体" w:eastAsia="宋体" w:cs="宋体"/>
          <w:color w:val="auto"/>
          <w:sz w:val="20"/>
          <w:szCs w:val="20"/>
          <w:highlight w:val="none"/>
          <w:lang w:eastAsia="zh-CN"/>
        </w:rPr>
      </w:pPr>
      <w:bookmarkStart w:id="239" w:name="_bookmark150"/>
      <w:bookmarkEnd w:id="239"/>
      <w:bookmarkStart w:id="240" w:name="_Toc23267"/>
      <w:bookmarkStart w:id="241" w:name="_Toc256000140"/>
      <w:bookmarkStart w:id="242" w:name="_Toc256000306"/>
      <w:r>
        <w:rPr>
          <w:rFonts w:hint="eastAsia" w:ascii="宋体" w:hAnsi="宋体" w:eastAsia="宋体" w:cs="宋体"/>
          <w:color w:val="auto"/>
          <w:sz w:val="20"/>
          <w:szCs w:val="20"/>
          <w:highlight w:val="none"/>
          <w:lang w:eastAsia="zh-CN"/>
        </w:rPr>
        <w:t>8.1 勘察设计文件接收</w:t>
      </w:r>
      <w:bookmarkEnd w:id="240"/>
      <w:bookmarkEnd w:id="241"/>
      <w:bookmarkEnd w:id="242"/>
    </w:p>
    <w:p w14:paraId="0D839B98">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8.1.1 发包人应当及时接收勘察设计人提交的勘察设计文件。如无正当理由拒收的，视为发包人已经接收勘察设计文件。</w:t>
      </w:r>
    </w:p>
    <w:p w14:paraId="105ED227">
      <w:pPr>
        <w:pStyle w:val="23"/>
        <w:spacing w:line="360" w:lineRule="auto"/>
        <w:ind w:left="100" w:right="2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8.1.2 </w:t>
      </w:r>
      <w:r>
        <w:rPr>
          <w:rFonts w:hint="eastAsia" w:ascii="宋体" w:hAnsi="宋体" w:eastAsia="宋体" w:cs="宋体"/>
          <w:color w:val="auto"/>
          <w:spacing w:val="-4"/>
          <w:sz w:val="20"/>
          <w:szCs w:val="20"/>
          <w:highlight w:val="none"/>
          <w:lang w:eastAsia="zh-CN"/>
        </w:rPr>
        <w:t>发包人接收</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文件时，应向</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人出具文件签收凭证，凭证内容包括图纸名称、图 </w:t>
      </w:r>
      <w:r>
        <w:rPr>
          <w:rFonts w:hint="eastAsia" w:ascii="宋体" w:hAnsi="宋体" w:eastAsia="宋体" w:cs="宋体"/>
          <w:color w:val="auto"/>
          <w:sz w:val="20"/>
          <w:szCs w:val="20"/>
          <w:highlight w:val="none"/>
          <w:lang w:eastAsia="zh-CN"/>
        </w:rPr>
        <w:t>纸内容、图纸形式、文件名称、文件内容、文件形式、份数、提交和接收日期、提交人与接收人的亲笔签名等。</w:t>
      </w:r>
    </w:p>
    <w:p w14:paraId="52AF2D32">
      <w:pPr>
        <w:pStyle w:val="23"/>
        <w:spacing w:line="360" w:lineRule="auto"/>
        <w:ind w:left="100" w:right="2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8.1.3 勘察设计</w:t>
      </w:r>
      <w:r>
        <w:rPr>
          <w:rFonts w:hint="eastAsia" w:ascii="宋体" w:hAnsi="宋体" w:eastAsia="宋体" w:cs="宋体"/>
          <w:color w:val="auto"/>
          <w:spacing w:val="-4"/>
          <w:sz w:val="20"/>
          <w:szCs w:val="20"/>
          <w:highlight w:val="none"/>
          <w:lang w:eastAsia="zh-CN"/>
        </w:rPr>
        <w:t xml:space="preserve">文件提交的份数、内容、纸幅、装订格式、电子文件、展板、模型、沙盘、动画 </w:t>
      </w:r>
      <w:r>
        <w:rPr>
          <w:rFonts w:hint="eastAsia" w:ascii="宋体" w:hAnsi="宋体" w:eastAsia="宋体" w:cs="宋体"/>
          <w:color w:val="auto"/>
          <w:sz w:val="20"/>
          <w:szCs w:val="20"/>
          <w:highlight w:val="none"/>
          <w:lang w:eastAsia="zh-CN"/>
        </w:rPr>
        <w:t>等要求，在专用合同条款中约定。</w:t>
      </w:r>
    </w:p>
    <w:p w14:paraId="61BD0F3E">
      <w:pPr>
        <w:pStyle w:val="15"/>
        <w:rPr>
          <w:rFonts w:hint="eastAsia" w:ascii="宋体" w:hAnsi="宋体" w:eastAsia="宋体" w:cs="宋体"/>
          <w:color w:val="auto"/>
          <w:sz w:val="20"/>
          <w:szCs w:val="20"/>
          <w:highlight w:val="none"/>
          <w:lang w:eastAsia="zh-CN"/>
        </w:rPr>
      </w:pPr>
      <w:bookmarkStart w:id="243" w:name="_bookmark151"/>
      <w:bookmarkEnd w:id="243"/>
      <w:bookmarkStart w:id="244" w:name="_Toc9021"/>
      <w:bookmarkStart w:id="245" w:name="_Toc256000141"/>
      <w:bookmarkStart w:id="246" w:name="_Toc256000307"/>
      <w:r>
        <w:rPr>
          <w:rFonts w:hint="eastAsia" w:ascii="宋体" w:hAnsi="宋体" w:eastAsia="宋体" w:cs="宋体"/>
          <w:color w:val="auto"/>
          <w:sz w:val="20"/>
          <w:szCs w:val="20"/>
          <w:highlight w:val="none"/>
          <w:lang w:eastAsia="zh-CN"/>
        </w:rPr>
        <w:t>8.2 发包人审查勘察设计文件</w:t>
      </w:r>
      <w:bookmarkEnd w:id="244"/>
      <w:bookmarkEnd w:id="245"/>
      <w:bookmarkEnd w:id="246"/>
    </w:p>
    <w:p w14:paraId="2E082969">
      <w:pPr>
        <w:pStyle w:val="23"/>
        <w:spacing w:line="360" w:lineRule="auto"/>
        <w:ind w:left="100" w:right="100"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8.2.1  发</w:t>
      </w:r>
      <w:r>
        <w:rPr>
          <w:rFonts w:hint="eastAsia" w:ascii="宋体" w:hAnsi="宋体" w:eastAsia="宋体" w:cs="宋体"/>
          <w:color w:val="auto"/>
          <w:spacing w:val="-3"/>
          <w:sz w:val="20"/>
          <w:szCs w:val="20"/>
          <w:highlight w:val="none"/>
          <w:lang w:eastAsia="zh-CN"/>
        </w:rPr>
        <w:t>包</w:t>
      </w:r>
      <w:r>
        <w:rPr>
          <w:rFonts w:hint="eastAsia" w:ascii="宋体" w:hAnsi="宋体" w:eastAsia="宋体" w:cs="宋体"/>
          <w:color w:val="auto"/>
          <w:sz w:val="20"/>
          <w:szCs w:val="20"/>
          <w:highlight w:val="none"/>
          <w:lang w:eastAsia="zh-CN"/>
        </w:rPr>
        <w:t>人</w:t>
      </w:r>
      <w:r>
        <w:rPr>
          <w:rFonts w:hint="eastAsia" w:ascii="宋体" w:hAnsi="宋体" w:eastAsia="宋体" w:cs="宋体"/>
          <w:color w:val="auto"/>
          <w:spacing w:val="-3"/>
          <w:sz w:val="20"/>
          <w:szCs w:val="20"/>
          <w:highlight w:val="none"/>
          <w:lang w:eastAsia="zh-CN"/>
        </w:rPr>
        <w:t>接</w:t>
      </w:r>
      <w:r>
        <w:rPr>
          <w:rFonts w:hint="eastAsia" w:ascii="宋体" w:hAnsi="宋体" w:eastAsia="宋体" w:cs="宋体"/>
          <w:color w:val="auto"/>
          <w:spacing w:val="-1"/>
          <w:sz w:val="20"/>
          <w:szCs w:val="20"/>
          <w:highlight w:val="none"/>
          <w:lang w:eastAsia="zh-CN"/>
        </w:rPr>
        <w:t>收</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3"/>
          <w:sz w:val="20"/>
          <w:szCs w:val="20"/>
          <w:highlight w:val="none"/>
          <w:lang w:eastAsia="zh-CN"/>
        </w:rPr>
        <w:t>文件</w:t>
      </w:r>
      <w:r>
        <w:rPr>
          <w:rFonts w:hint="eastAsia" w:ascii="宋体" w:hAnsi="宋体" w:eastAsia="宋体" w:cs="宋体"/>
          <w:color w:val="auto"/>
          <w:sz w:val="20"/>
          <w:szCs w:val="20"/>
          <w:highlight w:val="none"/>
          <w:lang w:eastAsia="zh-CN"/>
        </w:rPr>
        <w:t>之后</w:t>
      </w:r>
      <w:r>
        <w:rPr>
          <w:rFonts w:hint="eastAsia" w:ascii="宋体" w:hAnsi="宋体" w:eastAsia="宋体" w:cs="宋体"/>
          <w:color w:val="auto"/>
          <w:spacing w:val="-92"/>
          <w:sz w:val="20"/>
          <w:szCs w:val="20"/>
          <w:highlight w:val="none"/>
          <w:lang w:eastAsia="zh-CN"/>
        </w:rPr>
        <w:t>，</w:t>
      </w:r>
      <w:r>
        <w:rPr>
          <w:rFonts w:hint="eastAsia" w:ascii="宋体" w:hAnsi="宋体" w:eastAsia="宋体" w:cs="宋体"/>
          <w:color w:val="auto"/>
          <w:spacing w:val="-3"/>
          <w:sz w:val="20"/>
          <w:szCs w:val="20"/>
          <w:highlight w:val="none"/>
          <w:lang w:eastAsia="zh-CN"/>
        </w:rPr>
        <w:t>可</w:t>
      </w:r>
      <w:r>
        <w:rPr>
          <w:rFonts w:hint="eastAsia" w:ascii="宋体" w:hAnsi="宋体" w:eastAsia="宋体" w:cs="宋体"/>
          <w:color w:val="auto"/>
          <w:sz w:val="20"/>
          <w:szCs w:val="20"/>
          <w:highlight w:val="none"/>
          <w:lang w:eastAsia="zh-CN"/>
        </w:rPr>
        <w:t>以</w:t>
      </w:r>
      <w:r>
        <w:rPr>
          <w:rFonts w:hint="eastAsia" w:ascii="宋体" w:hAnsi="宋体" w:eastAsia="宋体" w:cs="宋体"/>
          <w:color w:val="auto"/>
          <w:spacing w:val="-3"/>
          <w:sz w:val="20"/>
          <w:szCs w:val="20"/>
          <w:highlight w:val="none"/>
          <w:lang w:eastAsia="zh-CN"/>
        </w:rPr>
        <w:t>自</w:t>
      </w:r>
      <w:r>
        <w:rPr>
          <w:rFonts w:hint="eastAsia" w:ascii="宋体" w:hAnsi="宋体" w:eastAsia="宋体" w:cs="宋体"/>
          <w:color w:val="auto"/>
          <w:sz w:val="20"/>
          <w:szCs w:val="20"/>
          <w:highlight w:val="none"/>
          <w:lang w:eastAsia="zh-CN"/>
        </w:rPr>
        <w:t>行</w:t>
      </w:r>
      <w:r>
        <w:rPr>
          <w:rFonts w:hint="eastAsia" w:ascii="宋体" w:hAnsi="宋体" w:eastAsia="宋体" w:cs="宋体"/>
          <w:color w:val="auto"/>
          <w:spacing w:val="-3"/>
          <w:sz w:val="20"/>
          <w:szCs w:val="20"/>
          <w:highlight w:val="none"/>
          <w:lang w:eastAsia="zh-CN"/>
        </w:rPr>
        <w:t>或</w:t>
      </w:r>
      <w:r>
        <w:rPr>
          <w:rFonts w:hint="eastAsia" w:ascii="宋体" w:hAnsi="宋体" w:eastAsia="宋体" w:cs="宋体"/>
          <w:color w:val="auto"/>
          <w:sz w:val="20"/>
          <w:szCs w:val="20"/>
          <w:highlight w:val="none"/>
          <w:lang w:eastAsia="zh-CN"/>
        </w:rPr>
        <w:t>者</w:t>
      </w:r>
      <w:r>
        <w:rPr>
          <w:rFonts w:hint="eastAsia" w:ascii="宋体" w:hAnsi="宋体" w:eastAsia="宋体" w:cs="宋体"/>
          <w:color w:val="auto"/>
          <w:spacing w:val="-3"/>
          <w:sz w:val="20"/>
          <w:szCs w:val="20"/>
          <w:highlight w:val="none"/>
          <w:lang w:eastAsia="zh-CN"/>
        </w:rPr>
        <w:t>组</w:t>
      </w:r>
      <w:r>
        <w:rPr>
          <w:rFonts w:hint="eastAsia" w:ascii="宋体" w:hAnsi="宋体" w:eastAsia="宋体" w:cs="宋体"/>
          <w:color w:val="auto"/>
          <w:sz w:val="20"/>
          <w:szCs w:val="20"/>
          <w:highlight w:val="none"/>
          <w:lang w:eastAsia="zh-CN"/>
        </w:rPr>
        <w:t>织</w:t>
      </w:r>
      <w:r>
        <w:rPr>
          <w:rFonts w:hint="eastAsia" w:ascii="宋体" w:hAnsi="宋体" w:eastAsia="宋体" w:cs="宋体"/>
          <w:color w:val="auto"/>
          <w:spacing w:val="-3"/>
          <w:sz w:val="20"/>
          <w:szCs w:val="20"/>
          <w:highlight w:val="none"/>
          <w:lang w:eastAsia="zh-CN"/>
        </w:rPr>
        <w:t>专</w:t>
      </w:r>
      <w:r>
        <w:rPr>
          <w:rFonts w:hint="eastAsia" w:ascii="宋体" w:hAnsi="宋体" w:eastAsia="宋体" w:cs="宋体"/>
          <w:color w:val="auto"/>
          <w:sz w:val="20"/>
          <w:szCs w:val="20"/>
          <w:highlight w:val="none"/>
          <w:lang w:eastAsia="zh-CN"/>
        </w:rPr>
        <w:t>家会</w:t>
      </w:r>
      <w:r>
        <w:rPr>
          <w:rFonts w:hint="eastAsia" w:ascii="宋体" w:hAnsi="宋体" w:eastAsia="宋体" w:cs="宋体"/>
          <w:color w:val="auto"/>
          <w:spacing w:val="-3"/>
          <w:sz w:val="20"/>
          <w:szCs w:val="20"/>
          <w:highlight w:val="none"/>
          <w:lang w:eastAsia="zh-CN"/>
        </w:rPr>
        <w:t>进</w:t>
      </w:r>
      <w:r>
        <w:rPr>
          <w:rFonts w:hint="eastAsia" w:ascii="宋体" w:hAnsi="宋体" w:eastAsia="宋体" w:cs="宋体"/>
          <w:color w:val="auto"/>
          <w:sz w:val="20"/>
          <w:szCs w:val="20"/>
          <w:highlight w:val="none"/>
          <w:lang w:eastAsia="zh-CN"/>
        </w:rPr>
        <w:t>行</w:t>
      </w:r>
      <w:r>
        <w:rPr>
          <w:rFonts w:hint="eastAsia" w:ascii="宋体" w:hAnsi="宋体" w:eastAsia="宋体" w:cs="宋体"/>
          <w:color w:val="auto"/>
          <w:spacing w:val="-3"/>
          <w:sz w:val="20"/>
          <w:szCs w:val="20"/>
          <w:highlight w:val="none"/>
          <w:lang w:eastAsia="zh-CN"/>
        </w:rPr>
        <w:t>审</w:t>
      </w:r>
      <w:r>
        <w:rPr>
          <w:rFonts w:hint="eastAsia" w:ascii="宋体" w:hAnsi="宋体" w:eastAsia="宋体" w:cs="宋体"/>
          <w:color w:val="auto"/>
          <w:sz w:val="20"/>
          <w:szCs w:val="20"/>
          <w:highlight w:val="none"/>
          <w:lang w:eastAsia="zh-CN"/>
        </w:rPr>
        <w:t>查</w:t>
      </w:r>
      <w:r>
        <w:rPr>
          <w:rFonts w:hint="eastAsia" w:ascii="宋体" w:hAnsi="宋体" w:eastAsia="宋体" w:cs="宋体"/>
          <w:color w:val="auto"/>
          <w:spacing w:val="-92"/>
          <w:sz w:val="20"/>
          <w:szCs w:val="20"/>
          <w:highlight w:val="none"/>
          <w:lang w:eastAsia="zh-CN"/>
        </w:rPr>
        <w:t>，</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3"/>
          <w:sz w:val="20"/>
          <w:szCs w:val="20"/>
          <w:highlight w:val="none"/>
          <w:lang w:eastAsia="zh-CN"/>
        </w:rPr>
        <w:t>人</w:t>
      </w:r>
      <w:r>
        <w:rPr>
          <w:rFonts w:hint="eastAsia" w:ascii="宋体" w:hAnsi="宋体" w:eastAsia="宋体" w:cs="宋体"/>
          <w:color w:val="auto"/>
          <w:sz w:val="20"/>
          <w:szCs w:val="20"/>
          <w:highlight w:val="none"/>
          <w:lang w:eastAsia="zh-CN"/>
        </w:rPr>
        <w:t>应</w:t>
      </w:r>
      <w:r>
        <w:rPr>
          <w:rFonts w:hint="eastAsia" w:ascii="宋体" w:hAnsi="宋体" w:eastAsia="宋体" w:cs="宋体"/>
          <w:color w:val="auto"/>
          <w:spacing w:val="-3"/>
          <w:sz w:val="20"/>
          <w:szCs w:val="20"/>
          <w:highlight w:val="none"/>
          <w:lang w:eastAsia="zh-CN"/>
        </w:rPr>
        <w:t>当</w:t>
      </w:r>
      <w:r>
        <w:rPr>
          <w:rFonts w:hint="eastAsia" w:ascii="宋体" w:hAnsi="宋体" w:eastAsia="宋体" w:cs="宋体"/>
          <w:color w:val="auto"/>
          <w:sz w:val="20"/>
          <w:szCs w:val="20"/>
          <w:highlight w:val="none"/>
          <w:lang w:eastAsia="zh-CN"/>
        </w:rPr>
        <w:t>给予</w:t>
      </w:r>
      <w:r>
        <w:rPr>
          <w:rFonts w:hint="eastAsia" w:ascii="宋体" w:hAnsi="宋体" w:eastAsia="宋体" w:cs="宋体"/>
          <w:color w:val="auto"/>
          <w:spacing w:val="-3"/>
          <w:sz w:val="20"/>
          <w:szCs w:val="20"/>
          <w:highlight w:val="none"/>
          <w:lang w:eastAsia="zh-CN"/>
        </w:rPr>
        <w:t>配</w:t>
      </w:r>
      <w:r>
        <w:rPr>
          <w:rFonts w:hint="eastAsia" w:ascii="宋体" w:hAnsi="宋体" w:eastAsia="宋体" w:cs="宋体"/>
          <w:color w:val="auto"/>
          <w:sz w:val="20"/>
          <w:szCs w:val="20"/>
          <w:highlight w:val="none"/>
          <w:lang w:eastAsia="zh-CN"/>
        </w:rPr>
        <w:t>合。 审查标准应当符合法律、规范标准、合同约定和发包人要求等；审查的具体范围、明细内容和费用分担，在专用合同条款中约定。</w:t>
      </w:r>
    </w:p>
    <w:p w14:paraId="36E866F7">
      <w:pPr>
        <w:pStyle w:val="23"/>
        <w:spacing w:line="360" w:lineRule="auto"/>
        <w:ind w:left="100" w:right="100"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8.2.2  除专用合同条款另有约定外，发包人对于勘察设计文件的审查期限，自文件接收之日起不应超过14天。发包人逾期未做出审查结论且未提出异议的，视为勘察设计人的勘察设计文件已经通过发包人审查。</w:t>
      </w:r>
    </w:p>
    <w:p w14:paraId="19EFC9F0">
      <w:pPr>
        <w:pStyle w:val="23"/>
        <w:spacing w:line="360" w:lineRule="auto"/>
        <w:ind w:left="100" w:right="2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8.2.3 </w:t>
      </w:r>
      <w:r>
        <w:rPr>
          <w:rFonts w:hint="eastAsia" w:ascii="宋体" w:hAnsi="宋体" w:eastAsia="宋体" w:cs="宋体"/>
          <w:color w:val="auto"/>
          <w:spacing w:val="-4"/>
          <w:sz w:val="20"/>
          <w:szCs w:val="20"/>
          <w:highlight w:val="none"/>
          <w:lang w:eastAsia="zh-CN"/>
        </w:rPr>
        <w:t>发包人审查后不同意</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文件的，应以书面形式通知</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人，说明审查不通过的理由 </w:t>
      </w:r>
      <w:r>
        <w:rPr>
          <w:rFonts w:hint="eastAsia" w:ascii="宋体" w:hAnsi="宋体" w:eastAsia="宋体" w:cs="宋体"/>
          <w:color w:val="auto"/>
          <w:spacing w:val="-1"/>
          <w:sz w:val="20"/>
          <w:szCs w:val="20"/>
          <w:highlight w:val="none"/>
          <w:lang w:eastAsia="zh-CN"/>
        </w:rPr>
        <w:t>及其具体内容。</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人应根据发包人的审查意见修改完善</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 xml:space="preserve">文件，并重新报送发包人审查， </w:t>
      </w:r>
      <w:r>
        <w:rPr>
          <w:rFonts w:hint="eastAsia" w:ascii="宋体" w:hAnsi="宋体" w:eastAsia="宋体" w:cs="宋体"/>
          <w:color w:val="auto"/>
          <w:sz w:val="20"/>
          <w:szCs w:val="20"/>
          <w:highlight w:val="none"/>
          <w:lang w:eastAsia="zh-CN"/>
        </w:rPr>
        <w:t>审查期限重新起算。</w:t>
      </w:r>
    </w:p>
    <w:p w14:paraId="3E67DF48">
      <w:pPr>
        <w:pStyle w:val="15"/>
        <w:rPr>
          <w:rFonts w:hint="eastAsia" w:ascii="宋体" w:hAnsi="宋体" w:eastAsia="宋体" w:cs="宋体"/>
          <w:color w:val="auto"/>
          <w:sz w:val="20"/>
          <w:szCs w:val="20"/>
          <w:highlight w:val="none"/>
          <w:lang w:eastAsia="zh-CN"/>
        </w:rPr>
      </w:pPr>
      <w:bookmarkStart w:id="247" w:name="_bookmark152"/>
      <w:bookmarkEnd w:id="247"/>
      <w:bookmarkStart w:id="248" w:name="_Toc256000308"/>
      <w:bookmarkStart w:id="249" w:name="_Toc32684"/>
      <w:bookmarkStart w:id="250" w:name="_Toc256000142"/>
      <w:r>
        <w:rPr>
          <w:rFonts w:hint="eastAsia" w:ascii="宋体" w:hAnsi="宋体" w:eastAsia="宋体" w:cs="宋体"/>
          <w:color w:val="auto"/>
          <w:sz w:val="20"/>
          <w:szCs w:val="20"/>
          <w:highlight w:val="none"/>
          <w:lang w:eastAsia="zh-CN"/>
        </w:rPr>
        <w:t>8.3 审查机构审查勘察设计文件</w:t>
      </w:r>
      <w:bookmarkEnd w:id="248"/>
      <w:bookmarkEnd w:id="249"/>
      <w:bookmarkEnd w:id="250"/>
    </w:p>
    <w:p w14:paraId="370B25E5">
      <w:pPr>
        <w:pStyle w:val="23"/>
        <w:spacing w:line="360" w:lineRule="auto"/>
        <w:ind w:left="100" w:right="2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8.3.1 勘察设计</w:t>
      </w:r>
      <w:r>
        <w:rPr>
          <w:rFonts w:hint="eastAsia" w:ascii="宋体" w:hAnsi="宋体" w:eastAsia="宋体" w:cs="宋体"/>
          <w:color w:val="auto"/>
          <w:spacing w:val="-4"/>
          <w:sz w:val="20"/>
          <w:szCs w:val="20"/>
          <w:highlight w:val="none"/>
          <w:lang w:eastAsia="zh-CN"/>
        </w:rPr>
        <w:t xml:space="preserve">文件需经政府有关部门审查或批准的，发包人应在审查同意后，按照有关主管部 </w:t>
      </w:r>
      <w:r>
        <w:rPr>
          <w:rFonts w:hint="eastAsia" w:ascii="宋体" w:hAnsi="宋体" w:eastAsia="宋体" w:cs="宋体"/>
          <w:color w:val="auto"/>
          <w:spacing w:val="-1"/>
          <w:sz w:val="20"/>
          <w:szCs w:val="20"/>
          <w:highlight w:val="none"/>
          <w:lang w:eastAsia="zh-CN"/>
        </w:rPr>
        <w:t>门要求，将</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文件和相关资料报送施工图审查机构进行审查。发包人的审查和施工图审查机</w:t>
      </w:r>
      <w:r>
        <w:rPr>
          <w:rFonts w:hint="eastAsia" w:ascii="宋体" w:hAnsi="宋体" w:eastAsia="宋体" w:cs="宋体"/>
          <w:color w:val="auto"/>
          <w:sz w:val="20"/>
          <w:szCs w:val="20"/>
          <w:highlight w:val="none"/>
          <w:lang w:eastAsia="zh-CN"/>
        </w:rPr>
        <w:t>构的审查不减免勘察设计人因为质量问题而应承担的勘察设计责任。</w:t>
      </w:r>
    </w:p>
    <w:p w14:paraId="117ADEE1">
      <w:pPr>
        <w:pStyle w:val="23"/>
        <w:spacing w:line="360" w:lineRule="auto"/>
        <w:ind w:left="100" w:right="2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8.3.2 </w:t>
      </w:r>
      <w:r>
        <w:rPr>
          <w:rFonts w:hint="eastAsia" w:ascii="宋体" w:hAnsi="宋体" w:eastAsia="宋体" w:cs="宋体"/>
          <w:color w:val="auto"/>
          <w:spacing w:val="-4"/>
          <w:sz w:val="20"/>
          <w:szCs w:val="20"/>
          <w:highlight w:val="none"/>
          <w:lang w:eastAsia="zh-CN"/>
        </w:rPr>
        <w:t>对于施工图审查机构的审查意见，如不需要修改发包人要求的，应由</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人按照审查 </w:t>
      </w:r>
      <w:r>
        <w:rPr>
          <w:rFonts w:hint="eastAsia" w:ascii="宋体" w:hAnsi="宋体" w:eastAsia="宋体" w:cs="宋体"/>
          <w:color w:val="auto"/>
          <w:spacing w:val="-1"/>
          <w:sz w:val="20"/>
          <w:szCs w:val="20"/>
          <w:highlight w:val="none"/>
          <w:lang w:eastAsia="zh-CN"/>
        </w:rPr>
        <w:t>意见修改完善</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文件；如需修改发包人要求的，则由发包人重新修改和提出发包人要求，再</w:t>
      </w:r>
      <w:r>
        <w:rPr>
          <w:rFonts w:hint="eastAsia" w:ascii="宋体" w:hAnsi="宋体" w:eastAsia="宋体" w:cs="宋体"/>
          <w:color w:val="auto"/>
          <w:sz w:val="20"/>
          <w:szCs w:val="20"/>
          <w:highlight w:val="none"/>
          <w:lang w:eastAsia="zh-CN"/>
        </w:rPr>
        <w:t>由勘察设计人根据新的发包人要求修改完善勘察设计文件。</w:t>
      </w:r>
    </w:p>
    <w:p w14:paraId="146B3D38">
      <w:pPr>
        <w:pStyle w:val="23"/>
        <w:spacing w:line="360" w:lineRule="auto"/>
        <w:ind w:left="100" w:right="213" w:firstLine="419"/>
        <w:jc w:val="both"/>
        <w:rPr>
          <w:rFonts w:hint="eastAsia" w:ascii="宋体" w:hAnsi="宋体" w:eastAsia="宋体" w:cs="宋体"/>
          <w:color w:val="auto"/>
          <w:spacing w:val="-1"/>
          <w:sz w:val="20"/>
          <w:szCs w:val="20"/>
          <w:highlight w:val="none"/>
          <w:lang w:eastAsia="zh-CN"/>
        </w:rPr>
      </w:pPr>
      <w:r>
        <w:rPr>
          <w:rFonts w:hint="eastAsia" w:ascii="宋体" w:hAnsi="宋体" w:eastAsia="宋体" w:cs="宋体"/>
          <w:color w:val="auto"/>
          <w:sz w:val="20"/>
          <w:szCs w:val="20"/>
          <w:highlight w:val="none"/>
          <w:lang w:eastAsia="zh-CN"/>
        </w:rPr>
        <w:t xml:space="preserve">8.3.3 </w:t>
      </w:r>
      <w:r>
        <w:rPr>
          <w:rFonts w:hint="eastAsia" w:ascii="宋体" w:hAnsi="宋体" w:eastAsia="宋体" w:cs="宋体"/>
          <w:color w:val="auto"/>
          <w:spacing w:val="-4"/>
          <w:sz w:val="20"/>
          <w:szCs w:val="20"/>
          <w:highlight w:val="none"/>
          <w:lang w:eastAsia="zh-CN"/>
        </w:rPr>
        <w:t>由于自身原因造成</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文件未通过审查机构审查的，</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人应当承担违约责任，采取 </w:t>
      </w:r>
      <w:r>
        <w:rPr>
          <w:rFonts w:hint="eastAsia" w:ascii="宋体" w:hAnsi="宋体" w:eastAsia="宋体" w:cs="宋体"/>
          <w:color w:val="auto"/>
          <w:spacing w:val="-1"/>
          <w:sz w:val="20"/>
          <w:szCs w:val="20"/>
          <w:highlight w:val="none"/>
          <w:lang w:eastAsia="zh-CN"/>
        </w:rPr>
        <w:t>补救措施直至达到合同约定的质量标准，并自行承担由此导致的费用增加和（或）周期延误。</w:t>
      </w:r>
    </w:p>
    <w:p w14:paraId="181CF593">
      <w:pPr>
        <w:pStyle w:val="23"/>
        <w:spacing w:line="360" w:lineRule="auto"/>
        <w:ind w:left="100" w:right="213" w:firstLine="419"/>
        <w:jc w:val="both"/>
        <w:rPr>
          <w:rFonts w:hint="eastAsia" w:ascii="宋体" w:hAnsi="宋体" w:eastAsia="宋体" w:cs="宋体"/>
          <w:color w:val="auto"/>
          <w:spacing w:val="-1"/>
          <w:sz w:val="20"/>
          <w:szCs w:val="20"/>
          <w:highlight w:val="none"/>
          <w:lang w:eastAsia="zh-CN"/>
        </w:rPr>
      </w:pPr>
    </w:p>
    <w:p w14:paraId="2DB74D16">
      <w:pPr>
        <w:pStyle w:val="13"/>
        <w:ind w:left="0"/>
        <w:rPr>
          <w:rFonts w:hint="eastAsia" w:ascii="宋体" w:hAnsi="宋体" w:eastAsia="宋体" w:cs="宋体"/>
          <w:color w:val="auto"/>
          <w:sz w:val="20"/>
          <w:szCs w:val="20"/>
          <w:highlight w:val="none"/>
          <w:lang w:eastAsia="zh-CN"/>
        </w:rPr>
      </w:pPr>
      <w:bookmarkStart w:id="251" w:name="_bookmark153"/>
      <w:bookmarkEnd w:id="251"/>
      <w:bookmarkStart w:id="252" w:name="_Toc23514"/>
      <w:bookmarkStart w:id="253" w:name="_Toc256000309"/>
      <w:bookmarkStart w:id="254" w:name="_Toc256000143"/>
      <w:r>
        <w:rPr>
          <w:rFonts w:hint="eastAsia" w:ascii="宋体" w:hAnsi="宋体" w:eastAsia="宋体" w:cs="宋体"/>
          <w:color w:val="auto"/>
          <w:sz w:val="20"/>
          <w:szCs w:val="20"/>
          <w:highlight w:val="none"/>
          <w:lang w:eastAsia="zh-CN"/>
        </w:rPr>
        <w:t>9. 勘察设计责任与保险</w:t>
      </w:r>
      <w:bookmarkEnd w:id="252"/>
      <w:bookmarkEnd w:id="253"/>
      <w:bookmarkEnd w:id="254"/>
    </w:p>
    <w:p w14:paraId="46BD906E">
      <w:pPr>
        <w:pStyle w:val="15"/>
        <w:rPr>
          <w:rFonts w:hint="eastAsia" w:ascii="宋体" w:hAnsi="宋体" w:eastAsia="宋体" w:cs="宋体"/>
          <w:color w:val="auto"/>
          <w:sz w:val="20"/>
          <w:szCs w:val="20"/>
          <w:highlight w:val="none"/>
          <w:lang w:eastAsia="zh-CN"/>
        </w:rPr>
      </w:pPr>
      <w:bookmarkStart w:id="255" w:name="_bookmark154"/>
      <w:bookmarkEnd w:id="255"/>
      <w:bookmarkStart w:id="256" w:name="_Toc256000144"/>
      <w:bookmarkStart w:id="257" w:name="_Toc256000310"/>
      <w:bookmarkStart w:id="258" w:name="_Toc32011"/>
      <w:r>
        <w:rPr>
          <w:rFonts w:hint="eastAsia" w:ascii="宋体" w:hAnsi="宋体" w:eastAsia="宋体" w:cs="宋体"/>
          <w:color w:val="auto"/>
          <w:sz w:val="20"/>
          <w:szCs w:val="20"/>
          <w:highlight w:val="none"/>
          <w:lang w:eastAsia="zh-CN"/>
        </w:rPr>
        <w:t>9.1 工作质量责任</w:t>
      </w:r>
      <w:bookmarkEnd w:id="256"/>
      <w:bookmarkEnd w:id="257"/>
      <w:bookmarkEnd w:id="258"/>
    </w:p>
    <w:p w14:paraId="458B203C">
      <w:pPr>
        <w:pStyle w:val="23"/>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9.1.1 勘察设计工作质量应满足法律规定、规范标准、合同约定和发包人要求等。</w:t>
      </w:r>
    </w:p>
    <w:p w14:paraId="1EBC14A6">
      <w:pPr>
        <w:pStyle w:val="23"/>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9.1.2 勘察设计人应做好设计服务的质量与技术管理工作，建立健全内部质量管理体系和质量责任制度，加强勘察设计服务全过程的质量控制，建立完整的勘察设计文件的设计、复核、审核、会签和批准制度，明确各阶段的责任人。</w:t>
      </w:r>
    </w:p>
    <w:p w14:paraId="34284943">
      <w:pPr>
        <w:pStyle w:val="14"/>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9.1.3 勘察设计人应当强化现场作业质量和试验工作管理，保证原始记录和试验数据的可靠性、真实性和完整性，严禁离开现场进行追记、补记和修改记录。</w:t>
      </w:r>
    </w:p>
    <w:p w14:paraId="243751F1">
      <w:pPr>
        <w:pStyle w:val="23"/>
        <w:spacing w:line="360" w:lineRule="auto"/>
        <w:ind w:right="108"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9.1.4 勘察设计人应按合同约定对勘察设计服务进行全过程的质量检查和检验，并作详细记录，编制勘察设计工作质量报表，报送发包人审查。</w:t>
      </w:r>
    </w:p>
    <w:p w14:paraId="6CC7C818">
      <w:pPr>
        <w:pStyle w:val="23"/>
        <w:spacing w:line="360" w:lineRule="auto"/>
        <w:ind w:left="94" w:leftChars="45" w:right="211"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9.1.5 </w:t>
      </w:r>
      <w:r>
        <w:rPr>
          <w:rFonts w:hint="eastAsia" w:ascii="宋体" w:hAnsi="宋体" w:eastAsia="宋体" w:cs="宋体"/>
          <w:color w:val="auto"/>
          <w:spacing w:val="-4"/>
          <w:sz w:val="20"/>
          <w:szCs w:val="20"/>
          <w:highlight w:val="none"/>
          <w:lang w:eastAsia="zh-CN"/>
        </w:rPr>
        <w:t>发包人有权对</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工作质量进行检查和审核。</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人应为发包人的检查和检验提供方 </w:t>
      </w:r>
      <w:r>
        <w:rPr>
          <w:rFonts w:hint="eastAsia" w:ascii="宋体" w:hAnsi="宋体" w:eastAsia="宋体" w:cs="宋体"/>
          <w:color w:val="auto"/>
          <w:spacing w:val="-1"/>
          <w:sz w:val="20"/>
          <w:szCs w:val="20"/>
          <w:highlight w:val="none"/>
          <w:lang w:eastAsia="zh-CN"/>
        </w:rPr>
        <w:t>便，包括发包人到</w:t>
      </w:r>
      <w:r>
        <w:rPr>
          <w:rFonts w:hint="eastAsia" w:ascii="宋体" w:hAnsi="宋体" w:eastAsia="宋体" w:cs="宋体"/>
          <w:color w:val="auto"/>
          <w:sz w:val="20"/>
          <w:szCs w:val="20"/>
          <w:highlight w:val="none"/>
          <w:lang w:eastAsia="zh-CN"/>
        </w:rPr>
        <w:t>勘察设计场地、试验室</w:t>
      </w:r>
      <w:r>
        <w:rPr>
          <w:rFonts w:hint="eastAsia" w:ascii="宋体" w:hAnsi="宋体" w:eastAsia="宋体" w:cs="宋体"/>
          <w:color w:val="auto"/>
          <w:spacing w:val="-1"/>
          <w:sz w:val="20"/>
          <w:szCs w:val="20"/>
          <w:highlight w:val="none"/>
          <w:lang w:eastAsia="zh-CN"/>
        </w:rPr>
        <w:t>或合同约定的其他地方进行察看，查阅、审核</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1"/>
          <w:sz w:val="20"/>
          <w:szCs w:val="20"/>
          <w:highlight w:val="none"/>
          <w:lang w:eastAsia="zh-CN"/>
        </w:rPr>
        <w:t>的原始记录和其</w:t>
      </w:r>
      <w:r>
        <w:rPr>
          <w:rFonts w:hint="eastAsia" w:ascii="宋体" w:hAnsi="宋体" w:eastAsia="宋体" w:cs="宋体"/>
          <w:color w:val="auto"/>
          <w:sz w:val="20"/>
          <w:szCs w:val="20"/>
          <w:highlight w:val="none"/>
          <w:lang w:eastAsia="zh-CN"/>
        </w:rPr>
        <w:t>他文件。发包人的检查和审核，不免除勘察设计人按合同约定应负的责任。</w:t>
      </w:r>
    </w:p>
    <w:p w14:paraId="2D999F09">
      <w:pPr>
        <w:pStyle w:val="15"/>
        <w:rPr>
          <w:rFonts w:hint="eastAsia" w:ascii="宋体" w:hAnsi="宋体" w:eastAsia="宋体" w:cs="宋体"/>
          <w:color w:val="auto"/>
          <w:sz w:val="20"/>
          <w:szCs w:val="20"/>
          <w:highlight w:val="none"/>
          <w:lang w:eastAsia="zh-CN"/>
        </w:rPr>
      </w:pPr>
      <w:bookmarkStart w:id="259" w:name="_bookmark155"/>
      <w:bookmarkEnd w:id="259"/>
      <w:bookmarkStart w:id="260" w:name="_Toc6587"/>
      <w:bookmarkStart w:id="261" w:name="_Toc256000145"/>
      <w:bookmarkStart w:id="262" w:name="_Toc256000311"/>
      <w:r>
        <w:rPr>
          <w:rFonts w:hint="eastAsia" w:ascii="宋体" w:hAnsi="宋体" w:eastAsia="宋体" w:cs="宋体"/>
          <w:color w:val="auto"/>
          <w:sz w:val="20"/>
          <w:szCs w:val="20"/>
          <w:highlight w:val="none"/>
          <w:lang w:eastAsia="zh-CN"/>
        </w:rPr>
        <w:t>9.2 勘察设计文件错误责任</w:t>
      </w:r>
      <w:bookmarkEnd w:id="260"/>
      <w:bookmarkEnd w:id="261"/>
      <w:bookmarkEnd w:id="262"/>
    </w:p>
    <w:p w14:paraId="490BE511">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9.2.1 勘察设计</w:t>
      </w:r>
      <w:r>
        <w:rPr>
          <w:rFonts w:hint="eastAsia" w:ascii="宋体" w:hAnsi="宋体" w:eastAsia="宋体" w:cs="宋体"/>
          <w:color w:val="auto"/>
          <w:spacing w:val="-4"/>
          <w:sz w:val="20"/>
          <w:szCs w:val="20"/>
          <w:highlight w:val="none"/>
          <w:lang w:eastAsia="zh-CN"/>
        </w:rPr>
        <w:t>文件存在错误、遗漏、含混、矛盾、不充分之处或其他缺陷，无论</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人是否通 过了发包人审查或审查机构审查，</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4"/>
          <w:sz w:val="20"/>
          <w:szCs w:val="20"/>
          <w:highlight w:val="none"/>
          <w:lang w:eastAsia="zh-CN"/>
        </w:rPr>
        <w:t xml:space="preserve">人均应自费对前述问题带来的缺陷和工程问题进行改正， </w:t>
      </w:r>
      <w:r>
        <w:rPr>
          <w:rFonts w:hint="eastAsia" w:ascii="宋体" w:hAnsi="宋体" w:eastAsia="宋体" w:cs="宋体"/>
          <w:color w:val="auto"/>
          <w:sz w:val="20"/>
          <w:szCs w:val="20"/>
          <w:highlight w:val="none"/>
          <w:lang w:eastAsia="zh-CN"/>
        </w:rPr>
        <w:t>但因第</w:t>
      </w:r>
      <w:r>
        <w:rPr>
          <w:rFonts w:hint="eastAsia" w:ascii="宋体" w:hAnsi="宋体" w:eastAsia="宋体" w:cs="宋体"/>
          <w:color w:val="auto"/>
          <w:spacing w:val="-57"/>
          <w:sz w:val="20"/>
          <w:szCs w:val="20"/>
          <w:highlight w:val="none"/>
          <w:lang w:eastAsia="zh-CN"/>
        </w:rPr>
        <w:t xml:space="preserve"> </w:t>
      </w:r>
      <w:r>
        <w:rPr>
          <w:rFonts w:hint="eastAsia" w:ascii="宋体" w:hAnsi="宋体" w:eastAsia="宋体" w:cs="宋体"/>
          <w:color w:val="auto"/>
          <w:sz w:val="20"/>
          <w:szCs w:val="20"/>
          <w:highlight w:val="none"/>
          <w:lang w:eastAsia="zh-CN"/>
        </w:rPr>
        <w:t>1.6.2 项约定由发包人提供的文件错误导致的除外。</w:t>
      </w:r>
    </w:p>
    <w:p w14:paraId="222BD06E">
      <w:pPr>
        <w:pStyle w:val="23"/>
        <w:spacing w:line="360" w:lineRule="auto"/>
        <w:ind w:right="23"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9.2.2  因勘察设计人原因造成勘察设计文件不合格的，发包人有权要求勘察设计人采取补救措施，直至</w:t>
      </w:r>
      <w:r>
        <w:rPr>
          <w:rFonts w:hint="eastAsia" w:ascii="宋体" w:hAnsi="宋体" w:eastAsia="宋体" w:cs="宋体"/>
          <w:color w:val="auto"/>
          <w:spacing w:val="-4"/>
          <w:sz w:val="20"/>
          <w:szCs w:val="20"/>
          <w:highlight w:val="none"/>
          <w:lang w:eastAsia="zh-CN"/>
        </w:rPr>
        <w:t>达到</w:t>
      </w:r>
      <w:r>
        <w:rPr>
          <w:rFonts w:hint="eastAsia" w:ascii="宋体" w:hAnsi="宋体" w:eastAsia="宋体" w:cs="宋体"/>
          <w:color w:val="auto"/>
          <w:sz w:val="20"/>
          <w:szCs w:val="20"/>
          <w:highlight w:val="none"/>
          <w:lang w:eastAsia="zh-CN"/>
        </w:rPr>
        <w:t>合同要求的质量标准，并按第</w:t>
      </w:r>
      <w:r>
        <w:rPr>
          <w:rFonts w:hint="eastAsia" w:ascii="宋体" w:hAnsi="宋体" w:eastAsia="宋体" w:cs="宋体"/>
          <w:color w:val="auto"/>
          <w:spacing w:val="-57"/>
          <w:sz w:val="20"/>
          <w:szCs w:val="20"/>
          <w:highlight w:val="none"/>
          <w:lang w:eastAsia="zh-CN"/>
        </w:rPr>
        <w:t xml:space="preserve"> </w:t>
      </w:r>
      <w:r>
        <w:rPr>
          <w:rFonts w:hint="eastAsia" w:ascii="宋体" w:hAnsi="宋体" w:eastAsia="宋体" w:cs="宋体"/>
          <w:color w:val="auto"/>
          <w:sz w:val="20"/>
          <w:szCs w:val="20"/>
          <w:highlight w:val="none"/>
          <w:lang w:eastAsia="zh-CN"/>
        </w:rPr>
        <w:t>14.1 款的约定承担责任。</w:t>
      </w:r>
    </w:p>
    <w:p w14:paraId="5DFBA0CC">
      <w:pPr>
        <w:pStyle w:val="23"/>
        <w:spacing w:line="360" w:lineRule="auto"/>
        <w:ind w:right="108"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9.2.3 因发包人原因造成勘察设计文件不合格的，勘察设计人应当采取补救措施，直至达到合同要求 的质量标准，由此造成的服务费用增加和（或）勘察设计服务期限延误由发包人承担。</w:t>
      </w:r>
    </w:p>
    <w:p w14:paraId="255ADBDB">
      <w:pPr>
        <w:pStyle w:val="15"/>
        <w:rPr>
          <w:rFonts w:hint="eastAsia" w:ascii="宋体" w:hAnsi="宋体" w:eastAsia="宋体" w:cs="宋体"/>
          <w:color w:val="auto"/>
          <w:sz w:val="20"/>
          <w:szCs w:val="20"/>
          <w:highlight w:val="none"/>
          <w:lang w:eastAsia="zh-CN"/>
        </w:rPr>
      </w:pPr>
      <w:bookmarkStart w:id="263" w:name="_bookmark156"/>
      <w:bookmarkEnd w:id="263"/>
      <w:bookmarkStart w:id="264" w:name="_Toc7825"/>
      <w:bookmarkStart w:id="265" w:name="_Toc256000312"/>
      <w:bookmarkStart w:id="266" w:name="_Toc256000146"/>
      <w:r>
        <w:rPr>
          <w:rFonts w:hint="eastAsia" w:ascii="宋体" w:hAnsi="宋体" w:eastAsia="宋体" w:cs="宋体"/>
          <w:color w:val="auto"/>
          <w:sz w:val="20"/>
          <w:szCs w:val="20"/>
          <w:highlight w:val="none"/>
          <w:lang w:eastAsia="zh-CN"/>
        </w:rPr>
        <w:t>9.3 勘察设计责任主体</w:t>
      </w:r>
      <w:bookmarkEnd w:id="264"/>
      <w:bookmarkEnd w:id="265"/>
      <w:bookmarkEnd w:id="266"/>
    </w:p>
    <w:p w14:paraId="0BB762CA">
      <w:pPr>
        <w:pStyle w:val="23"/>
        <w:spacing w:line="360" w:lineRule="auto"/>
        <w:ind w:right="108"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责人应当在办理工程质量监督手续前签署工程质量终身责任承诺书，连同法定 代表人出具的授权书，报工程质量监督机构备案。</w:t>
      </w:r>
    </w:p>
    <w:p w14:paraId="73CBBF8B">
      <w:pPr>
        <w:pStyle w:val="23"/>
        <w:spacing w:line="360" w:lineRule="auto"/>
        <w:ind w:right="108"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9.3.1 勘察设计人应运用一切合理的专业技术、知识技能和项目经验，按照职业道德准则和行业 公认标准尽其全部职责，勤勉、谨慎、公正地履行其在本合同项下的责任和义务。</w:t>
      </w:r>
    </w:p>
    <w:p w14:paraId="24E207EC">
      <w:pPr>
        <w:pStyle w:val="23"/>
        <w:spacing w:line="360" w:lineRule="auto"/>
        <w:ind w:right="108"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9.3.2勘察设计责任为勘察设计单位项目负责人终身责任制。项目负责人应当保证勘察设计文件符合法律 法规和工程建设强制性标准的要求，对因勘察设计导致的工程质量事故或质量问题承担责任。</w:t>
      </w:r>
    </w:p>
    <w:p w14:paraId="21FC6499">
      <w:pPr>
        <w:pStyle w:val="23"/>
        <w:spacing w:line="360" w:lineRule="auto"/>
        <w:ind w:right="108"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9.3.3 项目负责人应当按照有关规定在办理工程质量监督手续前签署工程质量终身责任承诺书，连同法定代表人出具的授权书，报工程质量监督机构备案。</w:t>
      </w:r>
    </w:p>
    <w:p w14:paraId="7E62C20E">
      <w:pPr>
        <w:pStyle w:val="15"/>
        <w:rPr>
          <w:rFonts w:hint="eastAsia" w:ascii="宋体" w:hAnsi="宋体" w:eastAsia="宋体" w:cs="宋体"/>
          <w:color w:val="auto"/>
          <w:sz w:val="20"/>
          <w:szCs w:val="20"/>
          <w:highlight w:val="none"/>
          <w:lang w:eastAsia="zh-CN"/>
        </w:rPr>
      </w:pPr>
      <w:bookmarkStart w:id="267" w:name="_bookmark157"/>
      <w:bookmarkEnd w:id="267"/>
      <w:bookmarkStart w:id="268" w:name="_Toc256000147"/>
      <w:bookmarkStart w:id="269" w:name="_Toc256000313"/>
      <w:bookmarkStart w:id="270" w:name="_Toc11340"/>
      <w:r>
        <w:rPr>
          <w:rFonts w:hint="eastAsia" w:ascii="宋体" w:hAnsi="宋体" w:eastAsia="宋体" w:cs="宋体"/>
          <w:color w:val="auto"/>
          <w:sz w:val="20"/>
          <w:szCs w:val="20"/>
          <w:highlight w:val="none"/>
          <w:lang w:eastAsia="zh-CN"/>
        </w:rPr>
        <w:t>9.4 勘察设计责任保险</w:t>
      </w:r>
      <w:bookmarkEnd w:id="268"/>
      <w:bookmarkEnd w:id="269"/>
      <w:bookmarkEnd w:id="270"/>
    </w:p>
    <w:p w14:paraId="461EC4F9">
      <w:pPr>
        <w:pStyle w:val="23"/>
        <w:spacing w:line="360" w:lineRule="auto"/>
        <w:ind w:left="94" w:leftChars="45" w:right="211"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9.4.1  除专用合同条款另有约定外，勘察设计人应具有发包人认可的、履行本合同所需要的工程勘察设计责任险，于合同签订后 28 天内向发包人提交工程勘察设计责任险的保险单副本或者其他有效证明，并在合同履行期间保持足额、有效。</w:t>
      </w:r>
    </w:p>
    <w:p w14:paraId="4A4FD2E4">
      <w:pPr>
        <w:pStyle w:val="23"/>
        <w:spacing w:line="360" w:lineRule="auto"/>
        <w:ind w:left="94" w:leftChars="45" w:right="211"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9.4.2 工程勘察设计责任险的保险范围，应当包括由于勘察设计人的疏忽或过失而造成的工程质量事 故损失，以及由于事故引发的第三者人身伤亡、财产损失或费用赔偿等。</w:t>
      </w:r>
    </w:p>
    <w:p w14:paraId="1AB20E48">
      <w:pPr>
        <w:pStyle w:val="23"/>
        <w:spacing w:line="360" w:lineRule="auto"/>
        <w:ind w:left="94" w:leftChars="45" w:right="211"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9.4.3 发生工程勘察设计保险事故后，勘察设计人应按保险人要求进行报告，并负责办理保险理赔业 务；保险金不足以补偿损失的，由勘察设计人自行补偿。</w:t>
      </w:r>
    </w:p>
    <w:p w14:paraId="57B441FB">
      <w:pPr>
        <w:pStyle w:val="24"/>
        <w:spacing w:line="360" w:lineRule="auto"/>
        <w:ind w:firstLine="420"/>
        <w:jc w:val="both"/>
        <w:rPr>
          <w:rFonts w:hint="eastAsia" w:ascii="宋体" w:hAnsi="宋体" w:eastAsia="宋体" w:cs="宋体"/>
          <w:color w:val="auto"/>
          <w:sz w:val="20"/>
          <w:szCs w:val="20"/>
          <w:highlight w:val="none"/>
          <w:lang w:eastAsia="zh-CN"/>
        </w:rPr>
      </w:pPr>
    </w:p>
    <w:p w14:paraId="754E8797">
      <w:pPr>
        <w:pStyle w:val="13"/>
        <w:ind w:left="0"/>
        <w:rPr>
          <w:rFonts w:hint="eastAsia" w:ascii="宋体" w:hAnsi="宋体" w:eastAsia="宋体" w:cs="宋体"/>
          <w:color w:val="auto"/>
          <w:sz w:val="20"/>
          <w:szCs w:val="20"/>
          <w:highlight w:val="none"/>
          <w:lang w:eastAsia="zh-CN"/>
        </w:rPr>
      </w:pPr>
      <w:bookmarkStart w:id="271" w:name="_bookmark158"/>
      <w:bookmarkEnd w:id="271"/>
      <w:bookmarkStart w:id="272" w:name="_Toc256000148"/>
      <w:bookmarkStart w:id="273" w:name="_Toc256000314"/>
      <w:bookmarkStart w:id="274" w:name="_Toc26518"/>
      <w:r>
        <w:rPr>
          <w:rFonts w:hint="eastAsia" w:ascii="宋体" w:hAnsi="宋体" w:eastAsia="宋体" w:cs="宋体"/>
          <w:color w:val="auto"/>
          <w:sz w:val="20"/>
          <w:szCs w:val="20"/>
          <w:highlight w:val="none"/>
          <w:lang w:eastAsia="zh-CN"/>
        </w:rPr>
        <w:t>10.招标和施工期间配合</w:t>
      </w:r>
      <w:bookmarkEnd w:id="272"/>
      <w:bookmarkEnd w:id="273"/>
      <w:bookmarkEnd w:id="274"/>
    </w:p>
    <w:p w14:paraId="6CD73211">
      <w:pPr>
        <w:pStyle w:val="15"/>
        <w:rPr>
          <w:rFonts w:hint="eastAsia" w:ascii="宋体" w:hAnsi="宋体" w:eastAsia="宋体" w:cs="宋体"/>
          <w:color w:val="auto"/>
          <w:sz w:val="20"/>
          <w:szCs w:val="20"/>
          <w:highlight w:val="none"/>
          <w:lang w:eastAsia="zh-CN"/>
        </w:rPr>
      </w:pPr>
      <w:bookmarkStart w:id="275" w:name="_Toc7353"/>
      <w:bookmarkStart w:id="276" w:name="_Toc256000149"/>
      <w:bookmarkStart w:id="277" w:name="_Toc256000315"/>
      <w:r>
        <w:rPr>
          <w:rFonts w:hint="eastAsia" w:ascii="宋体" w:hAnsi="宋体" w:eastAsia="宋体" w:cs="宋体"/>
          <w:color w:val="auto"/>
          <w:sz w:val="20"/>
          <w:szCs w:val="20"/>
          <w:highlight w:val="none"/>
          <w:lang w:eastAsia="zh-CN"/>
        </w:rPr>
        <w:t>10.1 招标期间配合</w:t>
      </w:r>
      <w:bookmarkEnd w:id="275"/>
      <w:bookmarkEnd w:id="276"/>
      <w:bookmarkEnd w:id="277"/>
    </w:p>
    <w:p w14:paraId="28A8387E">
      <w:pPr>
        <w:pStyle w:val="23"/>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10.1.1 招标配合指勘察设计人配合发包人进行各项招标工作。</w:t>
      </w:r>
    </w:p>
    <w:p w14:paraId="7412B1DF">
      <w:pPr>
        <w:pStyle w:val="23"/>
        <w:spacing w:line="360" w:lineRule="auto"/>
        <w:ind w:firstLine="400" w:firstLineChars="20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10.1.2 招标人应按发包人规定的时间提供各标段施工招标所需的工程数量和工程说明；按发包人规定的时间提供各标段的施工招标图纸、工程量清单和参考资料；按发包人要求安排相关人员参加标前会，就有关设计问题进行答疑。</w:t>
      </w:r>
    </w:p>
    <w:p w14:paraId="76E9A0FD">
      <w:pPr>
        <w:pStyle w:val="15"/>
        <w:rPr>
          <w:rFonts w:hint="eastAsia" w:ascii="宋体" w:hAnsi="宋体" w:eastAsia="宋体" w:cs="宋体"/>
          <w:color w:val="auto"/>
          <w:sz w:val="20"/>
          <w:szCs w:val="20"/>
          <w:highlight w:val="none"/>
          <w:lang w:eastAsia="zh-CN"/>
        </w:rPr>
      </w:pPr>
      <w:bookmarkStart w:id="278" w:name="_Toc256000316"/>
      <w:bookmarkStart w:id="279" w:name="_Toc19198"/>
      <w:bookmarkStart w:id="280" w:name="_Toc256000150"/>
      <w:r>
        <w:rPr>
          <w:rFonts w:hint="eastAsia" w:ascii="宋体" w:hAnsi="宋体" w:eastAsia="宋体" w:cs="宋体"/>
          <w:color w:val="auto"/>
          <w:sz w:val="20"/>
          <w:szCs w:val="20"/>
          <w:highlight w:val="none"/>
          <w:lang w:eastAsia="zh-CN"/>
        </w:rPr>
        <w:t>10.2 施工期间配合</w:t>
      </w:r>
      <w:bookmarkEnd w:id="278"/>
      <w:bookmarkEnd w:id="279"/>
      <w:bookmarkEnd w:id="280"/>
    </w:p>
    <w:p w14:paraId="3A6D4D2D">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10.2.1 施工配合指勘察设计人配合施工承包人，在施工期间提供的勘察设计服务或其他配合工作，直至工程通过竣工验收为止。</w:t>
      </w:r>
    </w:p>
    <w:p w14:paraId="132DDBEF">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10.2.2 除专用合同条款另有约定外，发包人应为勘察设计人派赴施工现场的工作人员，在施工期 间提供办公房间、办公桌椅、互联网接口、冷暖设施、生活设施、进出现场交通服务和其他便 利条件。</w:t>
      </w:r>
    </w:p>
    <w:p w14:paraId="1D009A4B">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10.2.3 勘察设计人应在本工程的施工期间，积极提供勘察设计配合服务，包括并不限于勘察设计技术交底、 施工现场服务、参与施工过程验收、参与投产试车（试运行）、委派专业人员配合施工承包人及时解决与勘察有关的问题，参与基坑基底验收和工程竣工验收等工作。</w:t>
      </w:r>
    </w:p>
    <w:p w14:paraId="114D9F69">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10.2.4 发包人应当组织勘察设计技术交底会，由勘察设计人向发包人、监理人和施工承包人等进行勘察设计交底，对本工程的勘察设计意图、勘察设计文件和施工要求等进行系统地说明和解释。</w:t>
      </w:r>
    </w:p>
    <w:p w14:paraId="75820A0B">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10.2.5 工程施工完毕后，发包人应当组织投产试车（试运行）和工程竣工验收，勘察设计人参加 验收并出具本单位的验收结论。如因勘察设计原因致使工程不合格的，勘察设计人应当承担违约责任，免费修改勘察设计文件和赔偿发包人由此产生的经济损失。</w:t>
      </w:r>
    </w:p>
    <w:p w14:paraId="5D454A1E">
      <w:pPr>
        <w:pStyle w:val="23"/>
        <w:spacing w:line="360" w:lineRule="auto"/>
        <w:ind w:left="100" w:right="113" w:firstLine="419"/>
        <w:jc w:val="both"/>
        <w:rPr>
          <w:rFonts w:hint="eastAsia" w:ascii="宋体" w:hAnsi="宋体" w:eastAsia="宋体" w:cs="宋体"/>
          <w:color w:val="auto"/>
          <w:sz w:val="20"/>
          <w:szCs w:val="20"/>
          <w:highlight w:val="none"/>
          <w:lang w:eastAsia="zh-CN"/>
        </w:rPr>
      </w:pPr>
    </w:p>
    <w:p w14:paraId="2139269A">
      <w:pPr>
        <w:pStyle w:val="13"/>
        <w:ind w:left="0"/>
        <w:rPr>
          <w:rFonts w:hint="eastAsia" w:ascii="宋体" w:hAnsi="宋体" w:eastAsia="宋体" w:cs="宋体"/>
          <w:color w:val="auto"/>
          <w:sz w:val="20"/>
          <w:szCs w:val="20"/>
          <w:highlight w:val="none"/>
          <w:lang w:eastAsia="zh-CN"/>
        </w:rPr>
      </w:pPr>
      <w:bookmarkStart w:id="281" w:name="_bookmark159"/>
      <w:bookmarkEnd w:id="281"/>
      <w:bookmarkStart w:id="282" w:name="_Toc256000317"/>
      <w:bookmarkStart w:id="283" w:name="_Toc256000151"/>
      <w:bookmarkStart w:id="284" w:name="_Toc3863"/>
      <w:r>
        <w:rPr>
          <w:rFonts w:hint="eastAsia" w:ascii="宋体" w:hAnsi="宋体" w:eastAsia="宋体" w:cs="宋体"/>
          <w:color w:val="auto"/>
          <w:sz w:val="20"/>
          <w:szCs w:val="20"/>
          <w:highlight w:val="none"/>
          <w:lang w:eastAsia="zh-CN"/>
        </w:rPr>
        <w:t>11. 合同变更</w:t>
      </w:r>
      <w:bookmarkEnd w:id="282"/>
      <w:bookmarkEnd w:id="283"/>
      <w:bookmarkEnd w:id="284"/>
    </w:p>
    <w:p w14:paraId="7B1652DA">
      <w:pPr>
        <w:pStyle w:val="15"/>
        <w:rPr>
          <w:rFonts w:hint="eastAsia" w:ascii="宋体" w:hAnsi="宋体" w:eastAsia="宋体" w:cs="宋体"/>
          <w:color w:val="auto"/>
          <w:sz w:val="20"/>
          <w:szCs w:val="20"/>
          <w:highlight w:val="none"/>
          <w:lang w:eastAsia="zh-CN"/>
        </w:rPr>
      </w:pPr>
      <w:bookmarkStart w:id="285" w:name="_bookmark160"/>
      <w:bookmarkEnd w:id="285"/>
      <w:bookmarkStart w:id="286" w:name="_Toc256000152"/>
      <w:bookmarkStart w:id="287" w:name="_Toc256000318"/>
      <w:bookmarkStart w:id="288" w:name="_Toc28227"/>
      <w:r>
        <w:rPr>
          <w:rFonts w:hint="eastAsia" w:ascii="宋体" w:hAnsi="宋体" w:eastAsia="宋体" w:cs="宋体"/>
          <w:color w:val="auto"/>
          <w:sz w:val="20"/>
          <w:szCs w:val="20"/>
          <w:highlight w:val="none"/>
          <w:lang w:eastAsia="zh-CN"/>
        </w:rPr>
        <w:t>11.1 变更情形</w:t>
      </w:r>
      <w:bookmarkEnd w:id="286"/>
      <w:bookmarkEnd w:id="287"/>
      <w:bookmarkEnd w:id="288"/>
    </w:p>
    <w:p w14:paraId="395432C7">
      <w:pPr>
        <w:pStyle w:val="24"/>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11.1.1 合同履行中发生下述情形时，合同一方均可向对方提出变更请求，经双方协商一致后进行变更，勘察设计服务期限和服务费用的调整方法在专用合同条款中约定。</w:t>
      </w:r>
    </w:p>
    <w:p w14:paraId="63A504BD">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（1）勘察设计范围发生变化；</w:t>
      </w:r>
    </w:p>
    <w:p w14:paraId="19822B09">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（2）除不可抗力外，非勘察设计人的原因引起的周期延误；</w:t>
      </w:r>
    </w:p>
    <w:p w14:paraId="0C132C60">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（3）非勘察设计人的原因，对工程同一部分重复进行勘察设计；</w:t>
      </w:r>
    </w:p>
    <w:p w14:paraId="5A9794A0">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（4）非勘察设计人的原因，对工程暂停勘察设计及恢复勘察设计。</w:t>
      </w:r>
    </w:p>
    <w:p w14:paraId="4F3E2503">
      <w:pPr>
        <w:pStyle w:val="24"/>
        <w:spacing w:line="360" w:lineRule="auto"/>
        <w:ind w:firstLine="465"/>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11.1.2 基准日后，因颁布新的或修订原有法律、法规、规范和标准等引发合同变更情形的，按照上述约定进行调整。</w:t>
      </w:r>
    </w:p>
    <w:p w14:paraId="28CBDA38">
      <w:pPr>
        <w:pStyle w:val="15"/>
        <w:rPr>
          <w:rFonts w:hint="eastAsia" w:ascii="宋体" w:hAnsi="宋体" w:eastAsia="宋体" w:cs="宋体"/>
          <w:color w:val="auto"/>
          <w:sz w:val="20"/>
          <w:szCs w:val="20"/>
          <w:highlight w:val="none"/>
          <w:lang w:eastAsia="zh-CN"/>
        </w:rPr>
      </w:pPr>
      <w:bookmarkStart w:id="289" w:name="_bookmark161"/>
      <w:bookmarkEnd w:id="289"/>
      <w:bookmarkStart w:id="290" w:name="_Toc17864"/>
      <w:bookmarkStart w:id="291" w:name="_Toc256000153"/>
      <w:bookmarkStart w:id="292" w:name="_Toc256000319"/>
      <w:r>
        <w:rPr>
          <w:rFonts w:hint="eastAsia" w:ascii="宋体" w:hAnsi="宋体" w:eastAsia="宋体" w:cs="宋体"/>
          <w:color w:val="auto"/>
          <w:sz w:val="20"/>
          <w:szCs w:val="20"/>
          <w:highlight w:val="none"/>
          <w:lang w:eastAsia="zh-CN"/>
        </w:rPr>
        <w:t>11.2 合理化建议</w:t>
      </w:r>
      <w:bookmarkEnd w:id="290"/>
      <w:bookmarkEnd w:id="291"/>
      <w:bookmarkEnd w:id="292"/>
    </w:p>
    <w:p w14:paraId="47545645">
      <w:pPr>
        <w:pStyle w:val="23"/>
        <w:spacing w:line="360" w:lineRule="auto"/>
        <w:ind w:right="108" w:firstLine="494" w:firstLineChars="247"/>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11.2.1  合同履行中，勘察设计人可对发包人要求提出合理化建议。合理化建议应以书面形式提交发包人，被发包人采纳并构成变更的，执行第 11.1 款约定。</w:t>
      </w:r>
    </w:p>
    <w:p w14:paraId="7970A2BE">
      <w:pPr>
        <w:pStyle w:val="24"/>
        <w:spacing w:line="360" w:lineRule="auto"/>
        <w:ind w:firstLine="48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11.2.2 勘察设计人提出的合理化建议降低了工程投资、缩短了施工期限或者提高了工程经济效益的，发包人应按专用合同条款中的约定给予奖励。</w:t>
      </w:r>
    </w:p>
    <w:p w14:paraId="21FAADFC">
      <w:pPr>
        <w:pStyle w:val="24"/>
        <w:spacing w:line="360" w:lineRule="auto"/>
        <w:ind w:firstLine="480"/>
        <w:jc w:val="both"/>
        <w:rPr>
          <w:rFonts w:hint="eastAsia" w:ascii="宋体" w:hAnsi="宋体" w:eastAsia="宋体" w:cs="宋体"/>
          <w:color w:val="auto"/>
          <w:sz w:val="20"/>
          <w:szCs w:val="20"/>
          <w:highlight w:val="none"/>
          <w:lang w:eastAsia="zh-CN"/>
        </w:rPr>
      </w:pPr>
    </w:p>
    <w:p w14:paraId="09C6D265">
      <w:pPr>
        <w:pStyle w:val="13"/>
        <w:ind w:left="0"/>
        <w:rPr>
          <w:rFonts w:hint="eastAsia" w:ascii="宋体" w:hAnsi="宋体" w:eastAsia="宋体" w:cs="宋体"/>
          <w:color w:val="auto"/>
          <w:sz w:val="20"/>
          <w:szCs w:val="20"/>
          <w:highlight w:val="none"/>
          <w:lang w:eastAsia="zh-CN"/>
        </w:rPr>
      </w:pPr>
      <w:bookmarkStart w:id="293" w:name="_bookmark162"/>
      <w:bookmarkEnd w:id="293"/>
      <w:bookmarkStart w:id="294" w:name="_Toc256000320"/>
      <w:bookmarkStart w:id="295" w:name="_Toc14793"/>
      <w:bookmarkStart w:id="296" w:name="_Toc256000154"/>
      <w:r>
        <w:rPr>
          <w:rFonts w:hint="eastAsia" w:ascii="宋体" w:hAnsi="宋体" w:eastAsia="宋体" w:cs="宋体"/>
          <w:color w:val="auto"/>
          <w:sz w:val="20"/>
          <w:szCs w:val="20"/>
          <w:highlight w:val="none"/>
          <w:lang w:eastAsia="zh-CN"/>
        </w:rPr>
        <w:t>12.合同价格与支付</w:t>
      </w:r>
      <w:bookmarkEnd w:id="294"/>
      <w:bookmarkEnd w:id="295"/>
      <w:bookmarkEnd w:id="296"/>
    </w:p>
    <w:p w14:paraId="5A56FA01">
      <w:pPr>
        <w:pStyle w:val="15"/>
        <w:rPr>
          <w:rFonts w:hint="eastAsia" w:ascii="宋体" w:hAnsi="宋体" w:eastAsia="宋体" w:cs="宋体"/>
          <w:color w:val="auto"/>
          <w:sz w:val="20"/>
          <w:szCs w:val="20"/>
          <w:highlight w:val="none"/>
        </w:rPr>
      </w:pPr>
      <w:bookmarkStart w:id="297" w:name="_bookmark163"/>
      <w:bookmarkEnd w:id="297"/>
      <w:bookmarkStart w:id="298" w:name="_Toc256000321"/>
      <w:bookmarkStart w:id="299" w:name="_Toc256000155"/>
      <w:bookmarkStart w:id="300" w:name="_Toc8455"/>
      <w:r>
        <w:rPr>
          <w:rFonts w:hint="eastAsia" w:ascii="宋体" w:hAnsi="宋体" w:eastAsia="宋体" w:cs="宋体"/>
          <w:color w:val="auto"/>
          <w:sz w:val="20"/>
          <w:szCs w:val="20"/>
          <w:highlight w:val="none"/>
        </w:rPr>
        <w:t>12.1 合同价格</w:t>
      </w:r>
      <w:bookmarkEnd w:id="298"/>
      <w:bookmarkEnd w:id="299"/>
      <w:bookmarkEnd w:id="300"/>
    </w:p>
    <w:p w14:paraId="075D40DE">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12.1.1 本合同的价款确定方式、调整方式和风险范围划分，在专用合同条款中约定。</w:t>
      </w:r>
    </w:p>
    <w:p w14:paraId="663F82AE">
      <w:pPr>
        <w:pStyle w:val="23"/>
        <w:spacing w:line="360" w:lineRule="auto"/>
        <w:ind w:left="100" w:right="2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12.1.2 服务费用实行发包人签证制度，即勘察设计人完成勘察设计项目后通知发包人进行验收，通过验收后由发包人代表对实施的勘察设计项目、数量、质量和实施时间签字确认，以此作为计算服务费用的依据之一。</w:t>
      </w:r>
    </w:p>
    <w:p w14:paraId="79361594">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12.1.3 除专用合同条款另有约定外，合同价格应当包括收集资料，踏勘现场，制订纲要，进行测绘、勘探、取样、试验、测试、分析、设计、评估、审查等，编制勘察设计文件、招标与施工配合，青苗和园林绿化补偿，占地补偿，扰民及民扰，占道施工，安全防护、文明施工、环境保护，农民工工伤保险等全部费用和国家规定的增值税税金。</w:t>
      </w:r>
    </w:p>
    <w:p w14:paraId="742F93CA">
      <w:pPr>
        <w:pStyle w:val="23"/>
        <w:spacing w:line="360" w:lineRule="auto"/>
        <w:ind w:left="100" w:right="2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12.1.4 发包人要求勘察设计人进行外出考察、试验检测、专项咨询或专家评审时，相应费用不 含在合同价格之中，由发包人另行支付。</w:t>
      </w:r>
    </w:p>
    <w:p w14:paraId="6C2B4BCC">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12.1.5 勘察设计人为联合体的，发包人应根据勘察设计工作进展向联合体牵头人支付服务费用，由联合体牵头人根据联合体各成员及分包人（如有）实际完成的工作量及完成质量，向联合体各成员及分包人支付合同价款，由此发生的税费等费用统一包含在合同价格内，发包人不另行支付。联合体牵头人提出书面申请时，发包人也可直接向联合体各成员支付合同价款。</w:t>
      </w:r>
    </w:p>
    <w:p w14:paraId="3DE975A4">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12.1.6 发包人向勘察设计人实际支付的勘察设计费，将不高于初步设计审批概算中相应勘察设计费的审批额，除非勘察设计费审批额依法予以调整。勘察设计费超过审批额部分发包人将予以扣除，合同价格相应变更，不足部分发包人将不另行支付。</w:t>
      </w:r>
    </w:p>
    <w:p w14:paraId="5ACA9224">
      <w:pPr>
        <w:pStyle w:val="15"/>
        <w:rPr>
          <w:rFonts w:hint="eastAsia" w:ascii="宋体" w:hAnsi="宋体" w:eastAsia="宋体" w:cs="宋体"/>
          <w:color w:val="auto"/>
          <w:sz w:val="20"/>
          <w:szCs w:val="20"/>
          <w:highlight w:val="none"/>
          <w:lang w:eastAsia="zh-CN"/>
        </w:rPr>
      </w:pPr>
      <w:bookmarkStart w:id="301" w:name="_bookmark164"/>
      <w:bookmarkEnd w:id="301"/>
      <w:bookmarkStart w:id="302" w:name="_Toc256000322"/>
      <w:bookmarkStart w:id="303" w:name="_Toc256000156"/>
      <w:bookmarkStart w:id="304" w:name="_Toc18622"/>
      <w:r>
        <w:rPr>
          <w:rFonts w:hint="eastAsia" w:ascii="宋体" w:hAnsi="宋体" w:eastAsia="宋体" w:cs="宋体"/>
          <w:color w:val="auto"/>
          <w:sz w:val="20"/>
          <w:szCs w:val="20"/>
          <w:highlight w:val="none"/>
          <w:lang w:eastAsia="zh-CN"/>
        </w:rPr>
        <w:t>12.2 定金或预付款</w:t>
      </w:r>
      <w:bookmarkEnd w:id="302"/>
      <w:bookmarkEnd w:id="303"/>
      <w:bookmarkEnd w:id="304"/>
    </w:p>
    <w:p w14:paraId="26F8D6AB">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12.2.1 定金或预付款应专用于本工程的勘察设计。定金或预付款的额度、支付方式及抵扣方式 在专用合同条款中约定。</w:t>
      </w:r>
    </w:p>
    <w:p w14:paraId="5A01E94E">
      <w:pPr>
        <w:pStyle w:val="23"/>
        <w:spacing w:line="360" w:lineRule="auto"/>
        <w:ind w:left="100" w:right="16"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12.2.2 发包人应在收到定金或预付款支付申请后 28 天内，将定金或预付款支付给勘察设计人；勘察设计人应当提供等额的增值税发票。</w:t>
      </w:r>
    </w:p>
    <w:p w14:paraId="0B393356">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12.2.3 勘察设计服务完成之前，由于不可抗力或其他非勘察设计人的原因解除合同时，定金不予退 还。</w:t>
      </w:r>
    </w:p>
    <w:p w14:paraId="6BD312FC">
      <w:pPr>
        <w:pStyle w:val="15"/>
        <w:rPr>
          <w:rFonts w:hint="eastAsia" w:ascii="宋体" w:hAnsi="宋体" w:eastAsia="宋体" w:cs="宋体"/>
          <w:color w:val="auto"/>
          <w:sz w:val="20"/>
          <w:szCs w:val="20"/>
          <w:highlight w:val="none"/>
          <w:lang w:eastAsia="zh-CN"/>
        </w:rPr>
      </w:pPr>
      <w:bookmarkStart w:id="305" w:name="_bookmark165"/>
      <w:bookmarkEnd w:id="305"/>
      <w:bookmarkStart w:id="306" w:name="_Toc952"/>
      <w:bookmarkStart w:id="307" w:name="_Toc256000157"/>
      <w:bookmarkStart w:id="308" w:name="_Toc256000323"/>
      <w:r>
        <w:rPr>
          <w:rFonts w:hint="eastAsia" w:ascii="宋体" w:hAnsi="宋体" w:eastAsia="宋体" w:cs="宋体"/>
          <w:color w:val="auto"/>
          <w:sz w:val="20"/>
          <w:szCs w:val="20"/>
          <w:highlight w:val="none"/>
          <w:lang w:eastAsia="zh-CN"/>
        </w:rPr>
        <w:t>12.3 中期支付</w:t>
      </w:r>
      <w:bookmarkEnd w:id="306"/>
      <w:bookmarkEnd w:id="307"/>
      <w:bookmarkEnd w:id="308"/>
    </w:p>
    <w:p w14:paraId="01E96647">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12.3.1 勘察设计人应按发包人批准或专用合同条款约定的格式及份数，向发包人提交中期支付申请，并附相应的支持性证明文件。</w:t>
      </w:r>
    </w:p>
    <w:p w14:paraId="7F12583C">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12.3.2 支付约定按照国库集中支付等国家相关规定和专用合同条款的约定执行。</w:t>
      </w:r>
    </w:p>
    <w:p w14:paraId="289229D0">
      <w:pPr>
        <w:pStyle w:val="15"/>
        <w:rPr>
          <w:rFonts w:hint="eastAsia" w:ascii="宋体" w:hAnsi="宋体" w:eastAsia="宋体" w:cs="宋体"/>
          <w:color w:val="auto"/>
          <w:sz w:val="20"/>
          <w:szCs w:val="20"/>
          <w:highlight w:val="none"/>
          <w:lang w:eastAsia="zh-CN"/>
        </w:rPr>
      </w:pPr>
      <w:bookmarkStart w:id="309" w:name="_bookmark166"/>
      <w:bookmarkEnd w:id="309"/>
      <w:bookmarkStart w:id="310" w:name="_Toc7448"/>
      <w:bookmarkStart w:id="311" w:name="_Toc256000324"/>
      <w:bookmarkStart w:id="312" w:name="_Toc256000158"/>
      <w:r>
        <w:rPr>
          <w:rFonts w:hint="eastAsia" w:ascii="宋体" w:hAnsi="宋体" w:eastAsia="宋体" w:cs="宋体"/>
          <w:color w:val="auto"/>
          <w:sz w:val="20"/>
          <w:szCs w:val="20"/>
          <w:highlight w:val="none"/>
          <w:lang w:eastAsia="zh-CN"/>
        </w:rPr>
        <w:t>12.4 费用结算</w:t>
      </w:r>
      <w:bookmarkEnd w:id="310"/>
      <w:bookmarkEnd w:id="311"/>
      <w:bookmarkEnd w:id="312"/>
    </w:p>
    <w:p w14:paraId="65A4FA4F">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12.4.1 合同工作完成后，勘察设计人可按专用合同条款约定的份数和期限，向发包人提交服务费用结算申请，并提供相关证明材料。</w:t>
      </w:r>
    </w:p>
    <w:p w14:paraId="15FAF85C">
      <w:pPr>
        <w:pStyle w:val="23"/>
        <w:spacing w:line="360" w:lineRule="auto"/>
        <w:ind w:left="100" w:right="111"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12.4.2 发包人应在收到费用结算申请后的 28 </w:t>
      </w:r>
      <w:r>
        <w:rPr>
          <w:rFonts w:hint="eastAsia" w:ascii="宋体" w:hAnsi="宋体" w:eastAsia="宋体" w:cs="宋体"/>
          <w:color w:val="auto"/>
          <w:spacing w:val="-5"/>
          <w:sz w:val="20"/>
          <w:szCs w:val="20"/>
          <w:highlight w:val="none"/>
          <w:lang w:eastAsia="zh-CN"/>
        </w:rPr>
        <w:t>天内，将应付款项支付给</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5"/>
          <w:sz w:val="20"/>
          <w:szCs w:val="20"/>
          <w:highlight w:val="none"/>
          <w:lang w:eastAsia="zh-CN"/>
        </w:rPr>
        <w:t>人；</w:t>
      </w:r>
      <w:r>
        <w:rPr>
          <w:rFonts w:hint="eastAsia" w:ascii="宋体" w:hAnsi="宋体" w:eastAsia="宋体" w:cs="宋体"/>
          <w:color w:val="auto"/>
          <w:sz w:val="20"/>
          <w:szCs w:val="20"/>
          <w:highlight w:val="none"/>
          <w:lang w:eastAsia="zh-CN"/>
        </w:rPr>
        <w:t>勘察设计</w:t>
      </w:r>
      <w:r>
        <w:rPr>
          <w:rFonts w:hint="eastAsia" w:ascii="宋体" w:hAnsi="宋体" w:eastAsia="宋体" w:cs="宋体"/>
          <w:color w:val="auto"/>
          <w:spacing w:val="-5"/>
          <w:sz w:val="20"/>
          <w:szCs w:val="20"/>
          <w:highlight w:val="none"/>
          <w:lang w:eastAsia="zh-CN"/>
        </w:rPr>
        <w:t xml:space="preserve">人应当 </w:t>
      </w:r>
      <w:r>
        <w:rPr>
          <w:rFonts w:hint="eastAsia" w:ascii="宋体" w:hAnsi="宋体" w:eastAsia="宋体" w:cs="宋体"/>
          <w:color w:val="auto"/>
          <w:spacing w:val="-1"/>
          <w:sz w:val="20"/>
          <w:szCs w:val="20"/>
          <w:highlight w:val="none"/>
          <w:lang w:eastAsia="zh-CN"/>
        </w:rPr>
        <w:t xml:space="preserve">提供等额的增值税发票。发包人未能在前述时间内完成审批或不予答复的，视为发包人同意费 </w:t>
      </w:r>
      <w:r>
        <w:rPr>
          <w:rFonts w:hint="eastAsia" w:ascii="宋体" w:hAnsi="宋体" w:eastAsia="宋体" w:cs="宋体"/>
          <w:color w:val="auto"/>
          <w:sz w:val="20"/>
          <w:szCs w:val="20"/>
          <w:highlight w:val="none"/>
          <w:lang w:eastAsia="zh-CN"/>
        </w:rPr>
        <w:t>用结算申请。发包人不按期支付的，按专用合同条款的约定支付逾期付款违约金。</w:t>
      </w:r>
    </w:p>
    <w:p w14:paraId="63F4F062">
      <w:pPr>
        <w:pStyle w:val="23"/>
        <w:spacing w:line="360" w:lineRule="auto"/>
        <w:ind w:right="108" w:firstLine="494" w:firstLineChars="247"/>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12.4.3  发包人对费用结算申请内容有异议的，有权要求勘察设计人进行修正和提供补充资料，由勘察设计人重新提交。勘察设计人对此有异议的，按第</w:t>
      </w:r>
      <w:r>
        <w:rPr>
          <w:rFonts w:hint="eastAsia" w:ascii="宋体" w:hAnsi="宋体" w:eastAsia="宋体" w:cs="宋体"/>
          <w:color w:val="auto"/>
          <w:spacing w:val="-59"/>
          <w:sz w:val="20"/>
          <w:szCs w:val="20"/>
          <w:highlight w:val="none"/>
          <w:lang w:eastAsia="zh-CN"/>
        </w:rPr>
        <w:t xml:space="preserve"> </w:t>
      </w:r>
      <w:r>
        <w:rPr>
          <w:rFonts w:hint="eastAsia" w:ascii="宋体" w:hAnsi="宋体" w:eastAsia="宋体" w:cs="宋体"/>
          <w:color w:val="auto"/>
          <w:sz w:val="20"/>
          <w:szCs w:val="20"/>
          <w:highlight w:val="none"/>
          <w:lang w:eastAsia="zh-CN"/>
        </w:rPr>
        <w:t>15 条的约定执行。</w:t>
      </w:r>
    </w:p>
    <w:p w14:paraId="1B3DD13A">
      <w:pPr>
        <w:pStyle w:val="24"/>
        <w:spacing w:line="360" w:lineRule="auto"/>
        <w:ind w:firstLine="48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12.4.4 最终结清付款涉及政府投资资金的，按第 12.3.3 项的约定执行。</w:t>
      </w:r>
    </w:p>
    <w:p w14:paraId="2922803C">
      <w:pPr>
        <w:pStyle w:val="24"/>
        <w:spacing w:line="360" w:lineRule="auto"/>
        <w:ind w:firstLine="480"/>
        <w:jc w:val="both"/>
        <w:rPr>
          <w:rFonts w:hint="eastAsia" w:ascii="宋体" w:hAnsi="宋体" w:eastAsia="宋体" w:cs="宋体"/>
          <w:color w:val="auto"/>
          <w:sz w:val="20"/>
          <w:szCs w:val="20"/>
          <w:highlight w:val="none"/>
          <w:lang w:eastAsia="zh-CN"/>
        </w:rPr>
      </w:pPr>
    </w:p>
    <w:p w14:paraId="75069131">
      <w:pPr>
        <w:pStyle w:val="13"/>
        <w:ind w:left="0"/>
        <w:rPr>
          <w:rFonts w:hint="eastAsia" w:ascii="宋体" w:hAnsi="宋体" w:eastAsia="宋体" w:cs="宋体"/>
          <w:color w:val="auto"/>
          <w:sz w:val="20"/>
          <w:szCs w:val="20"/>
          <w:highlight w:val="none"/>
          <w:lang w:eastAsia="zh-CN"/>
        </w:rPr>
      </w:pPr>
      <w:bookmarkStart w:id="313" w:name="_bookmark167"/>
      <w:bookmarkEnd w:id="313"/>
      <w:bookmarkStart w:id="314" w:name="_Toc256000159"/>
      <w:bookmarkStart w:id="315" w:name="_Toc4093"/>
      <w:bookmarkStart w:id="316" w:name="_Toc256000325"/>
      <w:r>
        <w:rPr>
          <w:rFonts w:hint="eastAsia" w:ascii="宋体" w:hAnsi="宋体" w:eastAsia="宋体" w:cs="宋体"/>
          <w:color w:val="auto"/>
          <w:sz w:val="20"/>
          <w:szCs w:val="20"/>
          <w:highlight w:val="none"/>
          <w:lang w:eastAsia="zh-CN"/>
        </w:rPr>
        <w:t>13.不可抗力</w:t>
      </w:r>
      <w:bookmarkEnd w:id="314"/>
      <w:bookmarkEnd w:id="315"/>
      <w:bookmarkEnd w:id="316"/>
    </w:p>
    <w:p w14:paraId="1A01BF94">
      <w:pPr>
        <w:pStyle w:val="15"/>
        <w:rPr>
          <w:rFonts w:hint="eastAsia" w:ascii="宋体" w:hAnsi="宋体" w:eastAsia="宋体" w:cs="宋体"/>
          <w:color w:val="auto"/>
          <w:sz w:val="20"/>
          <w:szCs w:val="20"/>
          <w:highlight w:val="none"/>
          <w:lang w:eastAsia="zh-CN"/>
        </w:rPr>
      </w:pPr>
      <w:bookmarkStart w:id="317" w:name="_bookmark168"/>
      <w:bookmarkEnd w:id="317"/>
      <w:bookmarkStart w:id="318" w:name="_Toc256000326"/>
      <w:bookmarkStart w:id="319" w:name="_Toc256000160"/>
      <w:bookmarkStart w:id="320" w:name="_Toc24690"/>
      <w:r>
        <w:rPr>
          <w:rFonts w:hint="eastAsia" w:ascii="宋体" w:hAnsi="宋体" w:eastAsia="宋体" w:cs="宋体"/>
          <w:color w:val="auto"/>
          <w:sz w:val="20"/>
          <w:szCs w:val="20"/>
          <w:highlight w:val="none"/>
          <w:lang w:eastAsia="zh-CN"/>
        </w:rPr>
        <w:t>13.1 不可抗力的确认</w:t>
      </w:r>
      <w:bookmarkEnd w:id="318"/>
      <w:bookmarkEnd w:id="319"/>
      <w:bookmarkEnd w:id="320"/>
    </w:p>
    <w:p w14:paraId="1241B653">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13.1.1 不可抗力是指勘察设计人和发包人在订立合同时不可预见，在履行合同过程中不可避免 发生并不能克服的自然灾害和社会性突发事件，如地震、海啸、瘟疫、水灾、骚乱、暴动、战 争和专用合同条款约定的其他情形。</w:t>
      </w:r>
    </w:p>
    <w:p w14:paraId="479D1D3D">
      <w:pPr>
        <w:pStyle w:val="23"/>
        <w:spacing w:line="360" w:lineRule="auto"/>
        <w:ind w:left="100" w:right="113"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13.1.2 不可抗力发生后，发包人和勘察设计人应及时认真统计所造成的损失，收集不可抗力造 成损</w:t>
      </w:r>
      <w:r>
        <w:rPr>
          <w:rFonts w:hint="eastAsia" w:ascii="宋体" w:hAnsi="宋体" w:eastAsia="宋体" w:cs="宋体"/>
          <w:color w:val="auto"/>
          <w:spacing w:val="-3"/>
          <w:sz w:val="20"/>
          <w:szCs w:val="20"/>
          <w:highlight w:val="none"/>
          <w:lang w:eastAsia="zh-CN"/>
        </w:rPr>
        <w:t>失</w:t>
      </w:r>
      <w:r>
        <w:rPr>
          <w:rFonts w:hint="eastAsia" w:ascii="宋体" w:hAnsi="宋体" w:eastAsia="宋体" w:cs="宋体"/>
          <w:color w:val="auto"/>
          <w:sz w:val="20"/>
          <w:szCs w:val="20"/>
          <w:highlight w:val="none"/>
          <w:lang w:eastAsia="zh-CN"/>
        </w:rPr>
        <w:t>的</w:t>
      </w:r>
      <w:r>
        <w:rPr>
          <w:rFonts w:hint="eastAsia" w:ascii="宋体" w:hAnsi="宋体" w:eastAsia="宋体" w:cs="宋体"/>
          <w:color w:val="auto"/>
          <w:spacing w:val="-3"/>
          <w:sz w:val="20"/>
          <w:szCs w:val="20"/>
          <w:highlight w:val="none"/>
          <w:lang w:eastAsia="zh-CN"/>
        </w:rPr>
        <w:t>证</w:t>
      </w:r>
      <w:r>
        <w:rPr>
          <w:rFonts w:hint="eastAsia" w:ascii="宋体" w:hAnsi="宋体" w:eastAsia="宋体" w:cs="宋体"/>
          <w:color w:val="auto"/>
          <w:sz w:val="20"/>
          <w:szCs w:val="20"/>
          <w:highlight w:val="none"/>
          <w:lang w:eastAsia="zh-CN"/>
        </w:rPr>
        <w:t>据</w:t>
      </w:r>
      <w:r>
        <w:rPr>
          <w:rFonts w:hint="eastAsia" w:ascii="宋体" w:hAnsi="宋体" w:eastAsia="宋体" w:cs="宋体"/>
          <w:color w:val="auto"/>
          <w:spacing w:val="-92"/>
          <w:sz w:val="20"/>
          <w:szCs w:val="20"/>
          <w:highlight w:val="none"/>
          <w:lang w:eastAsia="zh-CN"/>
        </w:rPr>
        <w:t>。</w:t>
      </w:r>
      <w:r>
        <w:rPr>
          <w:rFonts w:hint="eastAsia" w:ascii="宋体" w:hAnsi="宋体" w:eastAsia="宋体" w:cs="宋体"/>
          <w:color w:val="auto"/>
          <w:spacing w:val="-3"/>
          <w:sz w:val="20"/>
          <w:szCs w:val="20"/>
          <w:highlight w:val="none"/>
          <w:lang w:eastAsia="zh-CN"/>
        </w:rPr>
        <w:t>合</w:t>
      </w:r>
      <w:r>
        <w:rPr>
          <w:rFonts w:hint="eastAsia" w:ascii="宋体" w:hAnsi="宋体" w:eastAsia="宋体" w:cs="宋体"/>
          <w:color w:val="auto"/>
          <w:sz w:val="20"/>
          <w:szCs w:val="20"/>
          <w:highlight w:val="none"/>
          <w:lang w:eastAsia="zh-CN"/>
        </w:rPr>
        <w:t>同</w:t>
      </w:r>
      <w:r>
        <w:rPr>
          <w:rFonts w:hint="eastAsia" w:ascii="宋体" w:hAnsi="宋体" w:eastAsia="宋体" w:cs="宋体"/>
          <w:color w:val="auto"/>
          <w:spacing w:val="-3"/>
          <w:sz w:val="20"/>
          <w:szCs w:val="20"/>
          <w:highlight w:val="none"/>
          <w:lang w:eastAsia="zh-CN"/>
        </w:rPr>
        <w:t>双</w:t>
      </w:r>
      <w:r>
        <w:rPr>
          <w:rFonts w:hint="eastAsia" w:ascii="宋体" w:hAnsi="宋体" w:eastAsia="宋体" w:cs="宋体"/>
          <w:color w:val="auto"/>
          <w:sz w:val="20"/>
          <w:szCs w:val="20"/>
          <w:highlight w:val="none"/>
          <w:lang w:eastAsia="zh-CN"/>
        </w:rPr>
        <w:t>方</w:t>
      </w:r>
      <w:r>
        <w:rPr>
          <w:rFonts w:hint="eastAsia" w:ascii="宋体" w:hAnsi="宋体" w:eastAsia="宋体" w:cs="宋体"/>
          <w:color w:val="auto"/>
          <w:spacing w:val="-3"/>
          <w:sz w:val="20"/>
          <w:szCs w:val="20"/>
          <w:highlight w:val="none"/>
          <w:lang w:eastAsia="zh-CN"/>
        </w:rPr>
        <w:t>对</w:t>
      </w:r>
      <w:r>
        <w:rPr>
          <w:rFonts w:hint="eastAsia" w:ascii="宋体" w:hAnsi="宋体" w:eastAsia="宋体" w:cs="宋体"/>
          <w:color w:val="auto"/>
          <w:sz w:val="20"/>
          <w:szCs w:val="20"/>
          <w:highlight w:val="none"/>
          <w:lang w:eastAsia="zh-CN"/>
        </w:rPr>
        <w:t>是否</w:t>
      </w:r>
      <w:r>
        <w:rPr>
          <w:rFonts w:hint="eastAsia" w:ascii="宋体" w:hAnsi="宋体" w:eastAsia="宋体" w:cs="宋体"/>
          <w:color w:val="auto"/>
          <w:spacing w:val="-3"/>
          <w:sz w:val="20"/>
          <w:szCs w:val="20"/>
          <w:highlight w:val="none"/>
          <w:lang w:eastAsia="zh-CN"/>
        </w:rPr>
        <w:t>属</w:t>
      </w:r>
      <w:r>
        <w:rPr>
          <w:rFonts w:hint="eastAsia" w:ascii="宋体" w:hAnsi="宋体" w:eastAsia="宋体" w:cs="宋体"/>
          <w:color w:val="auto"/>
          <w:sz w:val="20"/>
          <w:szCs w:val="20"/>
          <w:highlight w:val="none"/>
          <w:lang w:eastAsia="zh-CN"/>
        </w:rPr>
        <w:t>于</w:t>
      </w:r>
      <w:r>
        <w:rPr>
          <w:rFonts w:hint="eastAsia" w:ascii="宋体" w:hAnsi="宋体" w:eastAsia="宋体" w:cs="宋体"/>
          <w:color w:val="auto"/>
          <w:spacing w:val="-3"/>
          <w:sz w:val="20"/>
          <w:szCs w:val="20"/>
          <w:highlight w:val="none"/>
          <w:lang w:eastAsia="zh-CN"/>
        </w:rPr>
        <w:t>不</w:t>
      </w:r>
      <w:r>
        <w:rPr>
          <w:rFonts w:hint="eastAsia" w:ascii="宋体" w:hAnsi="宋体" w:eastAsia="宋体" w:cs="宋体"/>
          <w:color w:val="auto"/>
          <w:sz w:val="20"/>
          <w:szCs w:val="20"/>
          <w:highlight w:val="none"/>
          <w:lang w:eastAsia="zh-CN"/>
        </w:rPr>
        <w:t>可</w:t>
      </w:r>
      <w:r>
        <w:rPr>
          <w:rFonts w:hint="eastAsia" w:ascii="宋体" w:hAnsi="宋体" w:eastAsia="宋体" w:cs="宋体"/>
          <w:color w:val="auto"/>
          <w:spacing w:val="-3"/>
          <w:sz w:val="20"/>
          <w:szCs w:val="20"/>
          <w:highlight w:val="none"/>
          <w:lang w:eastAsia="zh-CN"/>
        </w:rPr>
        <w:t>抗</w:t>
      </w:r>
      <w:r>
        <w:rPr>
          <w:rFonts w:hint="eastAsia" w:ascii="宋体" w:hAnsi="宋体" w:eastAsia="宋体" w:cs="宋体"/>
          <w:color w:val="auto"/>
          <w:sz w:val="20"/>
          <w:szCs w:val="20"/>
          <w:highlight w:val="none"/>
          <w:lang w:eastAsia="zh-CN"/>
        </w:rPr>
        <w:t>力</w:t>
      </w:r>
      <w:r>
        <w:rPr>
          <w:rFonts w:hint="eastAsia" w:ascii="宋体" w:hAnsi="宋体" w:eastAsia="宋体" w:cs="宋体"/>
          <w:color w:val="auto"/>
          <w:spacing w:val="-3"/>
          <w:sz w:val="20"/>
          <w:szCs w:val="20"/>
          <w:highlight w:val="none"/>
          <w:lang w:eastAsia="zh-CN"/>
        </w:rPr>
        <w:t>或</w:t>
      </w:r>
      <w:r>
        <w:rPr>
          <w:rFonts w:hint="eastAsia" w:ascii="宋体" w:hAnsi="宋体" w:eastAsia="宋体" w:cs="宋体"/>
          <w:color w:val="auto"/>
          <w:sz w:val="20"/>
          <w:szCs w:val="20"/>
          <w:highlight w:val="none"/>
          <w:lang w:eastAsia="zh-CN"/>
        </w:rPr>
        <w:t>其</w:t>
      </w:r>
      <w:r>
        <w:rPr>
          <w:rFonts w:hint="eastAsia" w:ascii="宋体" w:hAnsi="宋体" w:eastAsia="宋体" w:cs="宋体"/>
          <w:color w:val="auto"/>
          <w:spacing w:val="-3"/>
          <w:sz w:val="20"/>
          <w:szCs w:val="20"/>
          <w:highlight w:val="none"/>
          <w:lang w:eastAsia="zh-CN"/>
        </w:rPr>
        <w:t>损</w:t>
      </w:r>
      <w:r>
        <w:rPr>
          <w:rFonts w:hint="eastAsia" w:ascii="宋体" w:hAnsi="宋体" w:eastAsia="宋体" w:cs="宋体"/>
          <w:color w:val="auto"/>
          <w:sz w:val="20"/>
          <w:szCs w:val="20"/>
          <w:highlight w:val="none"/>
          <w:lang w:eastAsia="zh-CN"/>
        </w:rPr>
        <w:t>失的</w:t>
      </w:r>
      <w:r>
        <w:rPr>
          <w:rFonts w:hint="eastAsia" w:ascii="宋体" w:hAnsi="宋体" w:eastAsia="宋体" w:cs="宋体"/>
          <w:color w:val="auto"/>
          <w:spacing w:val="-3"/>
          <w:sz w:val="20"/>
          <w:szCs w:val="20"/>
          <w:highlight w:val="none"/>
          <w:lang w:eastAsia="zh-CN"/>
        </w:rPr>
        <w:t>意</w:t>
      </w:r>
      <w:r>
        <w:rPr>
          <w:rFonts w:hint="eastAsia" w:ascii="宋体" w:hAnsi="宋体" w:eastAsia="宋体" w:cs="宋体"/>
          <w:color w:val="auto"/>
          <w:sz w:val="20"/>
          <w:szCs w:val="20"/>
          <w:highlight w:val="none"/>
          <w:lang w:eastAsia="zh-CN"/>
        </w:rPr>
        <w:t>见</w:t>
      </w:r>
      <w:r>
        <w:rPr>
          <w:rFonts w:hint="eastAsia" w:ascii="宋体" w:hAnsi="宋体" w:eastAsia="宋体" w:cs="宋体"/>
          <w:color w:val="auto"/>
          <w:spacing w:val="-3"/>
          <w:sz w:val="20"/>
          <w:szCs w:val="20"/>
          <w:highlight w:val="none"/>
          <w:lang w:eastAsia="zh-CN"/>
        </w:rPr>
        <w:t>不</w:t>
      </w:r>
      <w:r>
        <w:rPr>
          <w:rFonts w:hint="eastAsia" w:ascii="宋体" w:hAnsi="宋体" w:eastAsia="宋体" w:cs="宋体"/>
          <w:color w:val="auto"/>
          <w:sz w:val="20"/>
          <w:szCs w:val="20"/>
          <w:highlight w:val="none"/>
          <w:lang w:eastAsia="zh-CN"/>
        </w:rPr>
        <w:t>一</w:t>
      </w:r>
      <w:r>
        <w:rPr>
          <w:rFonts w:hint="eastAsia" w:ascii="宋体" w:hAnsi="宋体" w:eastAsia="宋体" w:cs="宋体"/>
          <w:color w:val="auto"/>
          <w:spacing w:val="-3"/>
          <w:sz w:val="20"/>
          <w:szCs w:val="20"/>
          <w:highlight w:val="none"/>
          <w:lang w:eastAsia="zh-CN"/>
        </w:rPr>
        <w:t>致</w:t>
      </w:r>
      <w:r>
        <w:rPr>
          <w:rFonts w:hint="eastAsia" w:ascii="宋体" w:hAnsi="宋体" w:eastAsia="宋体" w:cs="宋体"/>
          <w:color w:val="auto"/>
          <w:sz w:val="20"/>
          <w:szCs w:val="20"/>
          <w:highlight w:val="none"/>
          <w:lang w:eastAsia="zh-CN"/>
        </w:rPr>
        <w:t>的</w:t>
      </w:r>
      <w:r>
        <w:rPr>
          <w:rFonts w:hint="eastAsia" w:ascii="宋体" w:hAnsi="宋体" w:eastAsia="宋体" w:cs="宋体"/>
          <w:color w:val="auto"/>
          <w:spacing w:val="-92"/>
          <w:sz w:val="20"/>
          <w:szCs w:val="20"/>
          <w:highlight w:val="none"/>
          <w:lang w:eastAsia="zh-CN"/>
        </w:rPr>
        <w:t>，</w:t>
      </w:r>
      <w:r>
        <w:rPr>
          <w:rFonts w:hint="eastAsia" w:ascii="宋体" w:hAnsi="宋体" w:eastAsia="宋体" w:cs="宋体"/>
          <w:color w:val="auto"/>
          <w:spacing w:val="-3"/>
          <w:sz w:val="20"/>
          <w:szCs w:val="20"/>
          <w:highlight w:val="none"/>
          <w:lang w:eastAsia="zh-CN"/>
        </w:rPr>
        <w:t>由</w:t>
      </w:r>
      <w:r>
        <w:rPr>
          <w:rFonts w:hint="eastAsia" w:ascii="宋体" w:hAnsi="宋体" w:eastAsia="宋体" w:cs="宋体"/>
          <w:color w:val="auto"/>
          <w:sz w:val="20"/>
          <w:szCs w:val="20"/>
          <w:highlight w:val="none"/>
          <w:lang w:eastAsia="zh-CN"/>
        </w:rPr>
        <w:t>合</w:t>
      </w:r>
      <w:r>
        <w:rPr>
          <w:rFonts w:hint="eastAsia" w:ascii="宋体" w:hAnsi="宋体" w:eastAsia="宋体" w:cs="宋体"/>
          <w:color w:val="auto"/>
          <w:spacing w:val="-3"/>
          <w:sz w:val="20"/>
          <w:szCs w:val="20"/>
          <w:highlight w:val="none"/>
          <w:lang w:eastAsia="zh-CN"/>
        </w:rPr>
        <w:t>同</w:t>
      </w:r>
      <w:r>
        <w:rPr>
          <w:rFonts w:hint="eastAsia" w:ascii="宋体" w:hAnsi="宋体" w:eastAsia="宋体" w:cs="宋体"/>
          <w:color w:val="auto"/>
          <w:sz w:val="20"/>
          <w:szCs w:val="20"/>
          <w:highlight w:val="none"/>
          <w:lang w:eastAsia="zh-CN"/>
        </w:rPr>
        <w:t>双方</w:t>
      </w:r>
      <w:r>
        <w:rPr>
          <w:rFonts w:hint="eastAsia" w:ascii="宋体" w:hAnsi="宋体" w:eastAsia="宋体" w:cs="宋体"/>
          <w:color w:val="auto"/>
          <w:spacing w:val="-3"/>
          <w:sz w:val="20"/>
          <w:szCs w:val="20"/>
          <w:highlight w:val="none"/>
          <w:lang w:eastAsia="zh-CN"/>
        </w:rPr>
        <w:t>协商确定</w:t>
      </w:r>
      <w:r>
        <w:rPr>
          <w:rFonts w:hint="eastAsia" w:ascii="宋体" w:hAnsi="宋体" w:eastAsia="宋体" w:cs="宋体"/>
          <w:color w:val="auto"/>
          <w:sz w:val="20"/>
          <w:szCs w:val="20"/>
          <w:highlight w:val="none"/>
          <w:lang w:eastAsia="zh-CN"/>
        </w:rPr>
        <w:t>。</w:t>
      </w:r>
    </w:p>
    <w:p w14:paraId="318B2D65">
      <w:pPr>
        <w:pStyle w:val="15"/>
        <w:rPr>
          <w:rFonts w:hint="eastAsia" w:ascii="宋体" w:hAnsi="宋体" w:eastAsia="宋体" w:cs="宋体"/>
          <w:color w:val="auto"/>
          <w:sz w:val="20"/>
          <w:szCs w:val="20"/>
          <w:highlight w:val="none"/>
          <w:lang w:eastAsia="zh-CN"/>
        </w:rPr>
      </w:pPr>
      <w:bookmarkStart w:id="321" w:name="_bookmark169"/>
      <w:bookmarkEnd w:id="321"/>
      <w:bookmarkStart w:id="322" w:name="_Toc256000327"/>
      <w:bookmarkStart w:id="323" w:name="_Toc256000161"/>
      <w:bookmarkStart w:id="324" w:name="_Toc279"/>
      <w:r>
        <w:rPr>
          <w:rFonts w:hint="eastAsia" w:ascii="宋体" w:hAnsi="宋体" w:eastAsia="宋体" w:cs="宋体"/>
          <w:color w:val="auto"/>
          <w:sz w:val="20"/>
          <w:szCs w:val="20"/>
          <w:highlight w:val="none"/>
          <w:lang w:eastAsia="zh-CN"/>
        </w:rPr>
        <w:t>13.2 不可抗力的通知</w:t>
      </w:r>
      <w:bookmarkEnd w:id="322"/>
      <w:bookmarkEnd w:id="323"/>
      <w:bookmarkEnd w:id="324"/>
    </w:p>
    <w:p w14:paraId="0ACC8A93">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13.2.1 合同一方当事人遇到不可抗力事件，使其履行合同义务受到阻碍时，应立即通知合 同另一方当事人，书面说明不可抗力和受阻碍的详细情况，并提供必要的证明。</w:t>
      </w:r>
    </w:p>
    <w:p w14:paraId="25E86AF0">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13.2.2  如不可抗力持续发生，合同一方当事人应及时向合同另一方当事人提交中间报告，</w:t>
      </w:r>
    </w:p>
    <w:p w14:paraId="2D149DFE">
      <w:pPr>
        <w:pStyle w:val="23"/>
        <w:spacing w:line="360" w:lineRule="auto"/>
        <w:ind w:left="10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 xml:space="preserve">说明不可抗力和履行合同受阻的情况，并于不可抗力事件结束后 </w:t>
      </w:r>
      <w:r>
        <w:rPr>
          <w:rFonts w:hint="eastAsia" w:ascii="宋体" w:hAnsi="宋体" w:eastAsia="宋体" w:cs="宋体"/>
          <w:color w:val="auto"/>
          <w:sz w:val="20"/>
          <w:szCs w:val="20"/>
          <w:highlight w:val="none"/>
          <w:lang w:eastAsia="zh-CN"/>
        </w:rPr>
        <w:t>28 天内提交最终报告及有关资 料。</w:t>
      </w:r>
    </w:p>
    <w:p w14:paraId="37666023">
      <w:pPr>
        <w:pStyle w:val="15"/>
        <w:rPr>
          <w:rFonts w:hint="eastAsia" w:ascii="宋体" w:hAnsi="宋体" w:eastAsia="宋体" w:cs="宋体"/>
          <w:color w:val="auto"/>
          <w:sz w:val="20"/>
          <w:szCs w:val="20"/>
          <w:highlight w:val="none"/>
          <w:lang w:eastAsia="zh-CN"/>
        </w:rPr>
      </w:pPr>
      <w:bookmarkStart w:id="325" w:name="_bookmark170"/>
      <w:bookmarkEnd w:id="325"/>
      <w:bookmarkStart w:id="326" w:name="_Toc256000328"/>
      <w:bookmarkStart w:id="327" w:name="_Toc256000162"/>
      <w:bookmarkStart w:id="328" w:name="_Toc209"/>
      <w:r>
        <w:rPr>
          <w:rFonts w:hint="eastAsia" w:ascii="宋体" w:hAnsi="宋体" w:eastAsia="宋体" w:cs="宋体"/>
          <w:color w:val="auto"/>
          <w:sz w:val="20"/>
          <w:szCs w:val="20"/>
          <w:highlight w:val="none"/>
          <w:lang w:eastAsia="zh-CN"/>
        </w:rPr>
        <w:t>13.3 不可抗力后果及其处理</w:t>
      </w:r>
      <w:bookmarkEnd w:id="326"/>
      <w:bookmarkEnd w:id="327"/>
      <w:bookmarkEnd w:id="328"/>
    </w:p>
    <w:p w14:paraId="3DB0C831">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13.3.1 不可抗力引起的后果及其损失，应由合同当事人依据法律规定各自承担。不可抗力发生前已完成的勘察设计工作，应当按照合同约定进行支付。</w:t>
      </w:r>
    </w:p>
    <w:p w14:paraId="1BE04193">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13.3.2 不可抗力发生后，合同当事人应当采取有效措施避免损失进一步扩大，如未采取有 效措施致使损失扩大的，应当自行承担扩大部分的损失。</w:t>
      </w:r>
    </w:p>
    <w:p w14:paraId="70D03AE8">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13.3.3 因一方当事人迟延履行合同义务，致使迟延履行期间遭遇不可抗力的，应由该当事 人承担全部损失。</w:t>
      </w:r>
    </w:p>
    <w:p w14:paraId="09FA078B">
      <w:pPr>
        <w:pStyle w:val="13"/>
        <w:ind w:left="0"/>
        <w:rPr>
          <w:rFonts w:hint="eastAsia" w:ascii="宋体" w:hAnsi="宋体" w:eastAsia="宋体" w:cs="宋体"/>
          <w:color w:val="auto"/>
          <w:sz w:val="20"/>
          <w:szCs w:val="20"/>
          <w:highlight w:val="none"/>
          <w:lang w:eastAsia="zh-CN"/>
        </w:rPr>
      </w:pPr>
      <w:bookmarkStart w:id="329" w:name="_bookmark171"/>
      <w:bookmarkEnd w:id="329"/>
      <w:bookmarkStart w:id="330" w:name="_Toc256000329"/>
      <w:bookmarkStart w:id="331" w:name="_Toc21909"/>
      <w:bookmarkStart w:id="332" w:name="_Toc256000163"/>
      <w:r>
        <w:rPr>
          <w:rFonts w:hint="eastAsia" w:ascii="宋体" w:hAnsi="宋体" w:eastAsia="宋体" w:cs="宋体"/>
          <w:color w:val="auto"/>
          <w:sz w:val="20"/>
          <w:szCs w:val="20"/>
          <w:highlight w:val="none"/>
          <w:lang w:eastAsia="zh-CN"/>
        </w:rPr>
        <w:t>14.违约</w:t>
      </w:r>
      <w:bookmarkEnd w:id="330"/>
      <w:bookmarkEnd w:id="331"/>
      <w:bookmarkEnd w:id="332"/>
    </w:p>
    <w:p w14:paraId="2880FC6C">
      <w:pPr>
        <w:pStyle w:val="15"/>
        <w:rPr>
          <w:rFonts w:hint="eastAsia" w:ascii="宋体" w:hAnsi="宋体" w:eastAsia="宋体" w:cs="宋体"/>
          <w:color w:val="auto"/>
          <w:sz w:val="20"/>
          <w:szCs w:val="20"/>
          <w:highlight w:val="none"/>
          <w:lang w:eastAsia="zh-CN"/>
        </w:rPr>
      </w:pPr>
      <w:bookmarkStart w:id="333" w:name="_bookmark172"/>
      <w:bookmarkEnd w:id="333"/>
      <w:bookmarkStart w:id="334" w:name="_Toc256000164"/>
      <w:bookmarkStart w:id="335" w:name="_Toc256000330"/>
      <w:bookmarkStart w:id="336" w:name="_Toc12446"/>
      <w:r>
        <w:rPr>
          <w:rFonts w:hint="eastAsia" w:ascii="宋体" w:hAnsi="宋体" w:eastAsia="宋体" w:cs="宋体"/>
          <w:color w:val="auto"/>
          <w:sz w:val="20"/>
          <w:szCs w:val="20"/>
          <w:highlight w:val="none"/>
          <w:lang w:eastAsia="zh-CN"/>
        </w:rPr>
        <w:t>14.1 勘察设计人违约</w:t>
      </w:r>
      <w:bookmarkEnd w:id="334"/>
      <w:bookmarkEnd w:id="335"/>
      <w:bookmarkEnd w:id="336"/>
    </w:p>
    <w:p w14:paraId="2A98734B">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14.1.1 合同履行中发生下列情况之一的，属勘察设计人违约：</w:t>
      </w:r>
    </w:p>
    <w:p w14:paraId="1D8737FC">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（1）勘察设计文件不符合法律以及合同约定；</w:t>
      </w:r>
    </w:p>
    <w:p w14:paraId="0C17E507">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（2）勘察设计人转包、违法分包或者未经发包人同意擅自分包；</w:t>
      </w:r>
    </w:p>
    <w:p w14:paraId="5FAEF00C">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（3）勘察设计人未按合同计划完成勘察设计，从而造成工程损失；</w:t>
      </w:r>
    </w:p>
    <w:p w14:paraId="259538BE">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（4）勘察设计人无法履行或停止履行合同；</w:t>
      </w:r>
    </w:p>
    <w:p w14:paraId="77010C19">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（5）勘察设计人不履行合同约定的其他义务。</w:t>
      </w:r>
    </w:p>
    <w:p w14:paraId="28557B69">
      <w:pPr>
        <w:pStyle w:val="23"/>
        <w:spacing w:line="360" w:lineRule="auto"/>
        <w:ind w:left="100" w:right="114"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14.1.2 勘察设计人发生违约情况时，发包人可向勘察设计人发出整改通知，要求其在限定期限内纠 正；逾期仍不纠正的，发包人有权解除合同并向勘察设计人发出解除合同通知。勘察设计人应当承担由 于违约所造成的费用增加、周期延误和发包人损失等。</w:t>
      </w:r>
    </w:p>
    <w:p w14:paraId="0F7FABC6">
      <w:pPr>
        <w:pStyle w:val="15"/>
        <w:rPr>
          <w:rFonts w:hint="eastAsia" w:ascii="宋体" w:hAnsi="宋体" w:eastAsia="宋体" w:cs="宋体"/>
          <w:color w:val="auto"/>
          <w:sz w:val="20"/>
          <w:szCs w:val="20"/>
          <w:highlight w:val="none"/>
          <w:lang w:eastAsia="zh-CN"/>
        </w:rPr>
      </w:pPr>
      <w:bookmarkStart w:id="337" w:name="_bookmark173"/>
      <w:bookmarkEnd w:id="337"/>
      <w:bookmarkStart w:id="338" w:name="_Toc21492"/>
      <w:bookmarkStart w:id="339" w:name="_Toc256000331"/>
      <w:bookmarkStart w:id="340" w:name="_Toc256000165"/>
      <w:r>
        <w:rPr>
          <w:rFonts w:hint="eastAsia" w:ascii="宋体" w:hAnsi="宋体" w:eastAsia="宋体" w:cs="宋体"/>
          <w:color w:val="auto"/>
          <w:sz w:val="20"/>
          <w:szCs w:val="20"/>
          <w:highlight w:val="none"/>
          <w:lang w:eastAsia="zh-CN"/>
        </w:rPr>
        <w:t>14.2 发包人违约</w:t>
      </w:r>
      <w:bookmarkEnd w:id="338"/>
      <w:bookmarkEnd w:id="339"/>
      <w:bookmarkEnd w:id="340"/>
    </w:p>
    <w:p w14:paraId="4E12CC01">
      <w:pPr>
        <w:pStyle w:val="14"/>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14.2.1 合同履行中发生下列情况之一的，属发包人违约：</w:t>
      </w:r>
    </w:p>
    <w:p w14:paraId="1B69E671">
      <w:pPr>
        <w:pStyle w:val="14"/>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（1）发包人未按合同约定支付勘察设计费用；</w:t>
      </w:r>
    </w:p>
    <w:p w14:paraId="5D308357">
      <w:pPr>
        <w:pStyle w:val="14"/>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（2）发包人原因造成勘察设计停止；</w:t>
      </w:r>
    </w:p>
    <w:p w14:paraId="2F54EE66">
      <w:pPr>
        <w:pStyle w:val="14"/>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（3）发包人无法履行或停止履行合同；</w:t>
      </w:r>
    </w:p>
    <w:p w14:paraId="00E32560">
      <w:pPr>
        <w:pStyle w:val="14"/>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（4）发包人不履行合同约定的其他义务。</w:t>
      </w:r>
    </w:p>
    <w:p w14:paraId="41B94732">
      <w:pPr>
        <w:pStyle w:val="14"/>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14.2.2 发包人发生违约情况时，勘察设计人可向发包人发出暂停勘察设计通知，要求其在限定期限 内纠正；逾期仍不纠正的，勘察设计人有权解除合同并向发包人发出解除合同通知。发包人应当承 担由于违约所造成的费用增加、周期延误和勘察设计人损失等。</w:t>
      </w:r>
    </w:p>
    <w:p w14:paraId="2E065FE1">
      <w:pPr>
        <w:pStyle w:val="15"/>
        <w:rPr>
          <w:rFonts w:hint="eastAsia" w:ascii="宋体" w:hAnsi="宋体" w:eastAsia="宋体" w:cs="宋体"/>
          <w:color w:val="auto"/>
          <w:sz w:val="20"/>
          <w:szCs w:val="20"/>
          <w:highlight w:val="none"/>
          <w:lang w:eastAsia="zh-CN"/>
        </w:rPr>
      </w:pPr>
      <w:bookmarkStart w:id="341" w:name="_bookmark174"/>
      <w:bookmarkEnd w:id="341"/>
      <w:bookmarkStart w:id="342" w:name="_Toc256000332"/>
      <w:bookmarkStart w:id="343" w:name="_Toc256000166"/>
      <w:bookmarkStart w:id="344" w:name="_Toc19282"/>
      <w:r>
        <w:rPr>
          <w:rFonts w:hint="eastAsia" w:ascii="宋体" w:hAnsi="宋体" w:eastAsia="宋体" w:cs="宋体"/>
          <w:color w:val="auto"/>
          <w:sz w:val="20"/>
          <w:szCs w:val="20"/>
          <w:highlight w:val="none"/>
          <w:lang w:eastAsia="zh-CN"/>
        </w:rPr>
        <w:t>14.3</w:t>
      </w:r>
      <w:r>
        <w:rPr>
          <w:rFonts w:hint="eastAsia" w:ascii="宋体" w:hAnsi="宋体" w:eastAsia="宋体" w:cs="宋体"/>
          <w:color w:val="auto"/>
          <w:spacing w:val="68"/>
          <w:sz w:val="20"/>
          <w:szCs w:val="20"/>
          <w:highlight w:val="none"/>
          <w:lang w:eastAsia="zh-CN"/>
        </w:rPr>
        <w:t xml:space="preserve"> </w:t>
      </w:r>
      <w:r>
        <w:rPr>
          <w:rFonts w:hint="eastAsia" w:ascii="宋体" w:hAnsi="宋体" w:eastAsia="宋体" w:cs="宋体"/>
          <w:color w:val="auto"/>
          <w:sz w:val="20"/>
          <w:szCs w:val="20"/>
          <w:highlight w:val="none"/>
          <w:lang w:eastAsia="zh-CN"/>
        </w:rPr>
        <w:t>第三人造成的违约</w:t>
      </w:r>
      <w:bookmarkEnd w:id="342"/>
      <w:bookmarkEnd w:id="343"/>
      <w:bookmarkEnd w:id="344"/>
    </w:p>
    <w:p w14:paraId="7901FA96">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在履行合同过程中，一方当事人因第三人的原因造成违约的，应当向对方当事人承担违约 责任。一方当事人和第三人之间的纠纷，依照法律规定或者按照约定解决。</w:t>
      </w:r>
    </w:p>
    <w:p w14:paraId="66872042">
      <w:pPr>
        <w:pStyle w:val="23"/>
        <w:spacing w:line="360" w:lineRule="auto"/>
        <w:ind w:left="100" w:right="108" w:firstLine="419"/>
        <w:jc w:val="both"/>
        <w:rPr>
          <w:rFonts w:hint="eastAsia" w:ascii="宋体" w:hAnsi="宋体" w:eastAsia="宋体" w:cs="宋体"/>
          <w:color w:val="auto"/>
          <w:sz w:val="20"/>
          <w:szCs w:val="20"/>
          <w:highlight w:val="none"/>
          <w:lang w:eastAsia="zh-CN"/>
        </w:rPr>
      </w:pPr>
    </w:p>
    <w:p w14:paraId="161FB023">
      <w:pPr>
        <w:pStyle w:val="13"/>
        <w:ind w:left="0"/>
        <w:rPr>
          <w:rFonts w:hint="eastAsia" w:ascii="宋体" w:hAnsi="宋体" w:eastAsia="宋体" w:cs="宋体"/>
          <w:color w:val="auto"/>
          <w:sz w:val="20"/>
          <w:szCs w:val="20"/>
          <w:highlight w:val="none"/>
          <w:lang w:eastAsia="zh-CN"/>
        </w:rPr>
      </w:pPr>
      <w:bookmarkStart w:id="345" w:name="_bookmark175"/>
      <w:bookmarkEnd w:id="345"/>
      <w:bookmarkStart w:id="346" w:name="_Toc256000167"/>
      <w:bookmarkStart w:id="347" w:name="_Toc1287"/>
      <w:bookmarkStart w:id="348" w:name="_Toc256000333"/>
      <w:r>
        <w:rPr>
          <w:rFonts w:hint="eastAsia" w:ascii="宋体" w:hAnsi="宋体" w:eastAsia="宋体" w:cs="宋体"/>
          <w:color w:val="auto"/>
          <w:sz w:val="20"/>
          <w:szCs w:val="20"/>
          <w:highlight w:val="none"/>
          <w:lang w:eastAsia="zh-CN"/>
        </w:rPr>
        <w:t>15.争议的解决</w:t>
      </w:r>
      <w:bookmarkEnd w:id="346"/>
      <w:bookmarkEnd w:id="347"/>
      <w:bookmarkEnd w:id="348"/>
    </w:p>
    <w:p w14:paraId="4049F2FB">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b/>
          <w:bCs/>
          <w:color w:val="auto"/>
          <w:sz w:val="20"/>
          <w:szCs w:val="20"/>
          <w:highlight w:val="none"/>
          <w:lang w:eastAsia="zh-CN"/>
        </w:rPr>
        <w:t>15.1</w:t>
      </w:r>
      <w:r>
        <w:rPr>
          <w:rFonts w:hint="eastAsia" w:ascii="宋体" w:hAnsi="宋体" w:eastAsia="宋体" w:cs="宋体"/>
          <w:color w:val="auto"/>
          <w:sz w:val="20"/>
          <w:szCs w:val="20"/>
          <w:highlight w:val="none"/>
          <w:lang w:eastAsia="zh-CN"/>
        </w:rPr>
        <w:t>发包人和勘察设计人在履行合同中发生争议的，可以友好协商解决。合同当事人友好协商解决 不成的，可在专用合同条款中约定下列一种方式解决：</w:t>
      </w:r>
    </w:p>
    <w:p w14:paraId="6684546B">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（1）向约定的仲裁委员会申请仲裁；</w:t>
      </w:r>
    </w:p>
    <w:p w14:paraId="50EA568C">
      <w:pPr>
        <w:pStyle w:val="23"/>
        <w:spacing w:line="360" w:lineRule="auto"/>
        <w:ind w:left="520" w:right="10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（2）向有管辖权的人民法院提起诉讼。</w:t>
      </w:r>
      <w:bookmarkStart w:id="349" w:name="_bookmark176"/>
      <w:bookmarkEnd w:id="349"/>
    </w:p>
    <w:p w14:paraId="070B0BBD">
      <w:pPr>
        <w:pStyle w:val="23"/>
        <w:spacing w:line="360" w:lineRule="auto"/>
        <w:ind w:left="100" w:right="108" w:firstLine="419"/>
        <w:jc w:val="both"/>
        <w:rPr>
          <w:rFonts w:hint="eastAsia" w:ascii="宋体" w:hAnsi="宋体" w:eastAsia="宋体" w:cs="宋体"/>
          <w:color w:val="auto"/>
          <w:sz w:val="20"/>
          <w:szCs w:val="20"/>
          <w:highlight w:val="none"/>
          <w:lang w:eastAsia="zh-CN"/>
        </w:rPr>
      </w:pPr>
      <w:r>
        <w:rPr>
          <w:rFonts w:hint="eastAsia" w:ascii="宋体" w:hAnsi="宋体" w:eastAsia="宋体" w:cs="宋体"/>
          <w:b/>
          <w:bCs/>
          <w:color w:val="auto"/>
          <w:sz w:val="20"/>
          <w:szCs w:val="20"/>
          <w:highlight w:val="none"/>
          <w:lang w:eastAsia="zh-CN"/>
        </w:rPr>
        <w:t>15.2</w:t>
      </w:r>
      <w:r>
        <w:rPr>
          <w:rFonts w:hint="eastAsia" w:ascii="宋体" w:hAnsi="宋体" w:eastAsia="宋体" w:cs="宋体"/>
          <w:color w:val="auto"/>
          <w:sz w:val="20"/>
          <w:szCs w:val="20"/>
          <w:highlight w:val="none"/>
          <w:lang w:eastAsia="zh-CN"/>
        </w:rPr>
        <w:t>采用仲裁方式最终解决争议的项目，仲裁裁决是终局性的并对发包人和勘察设计人双方均具有约束力。全部仲裁费用应由败诉方承担，或按仲裁委员会裁决的比例分担。</w:t>
      </w:r>
    </w:p>
    <w:p w14:paraId="6AA769AB">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14:paraId="35D9635C">
      <w:pPr>
        <w:pStyle w:val="13"/>
        <w:jc w:val="center"/>
        <w:rPr>
          <w:rFonts w:ascii="Times New Roman" w:hAnsi="Times New Roman"/>
          <w:color w:val="auto"/>
          <w:highlight w:val="none"/>
          <w:lang w:eastAsia="zh-CN"/>
        </w:rPr>
      </w:pPr>
      <w:r>
        <w:rPr>
          <w:rFonts w:hint="eastAsia" w:ascii="Times New Roman" w:hAnsi="Times New Roman"/>
          <w:color w:val="auto"/>
          <w:highlight w:val="none"/>
          <w:lang w:val="en-US" w:eastAsia="zh-CN"/>
        </w:rPr>
        <w:t xml:space="preserve">第三节   </w:t>
      </w:r>
      <w:r>
        <w:rPr>
          <w:rFonts w:ascii="Times New Roman" w:hAnsi="Times New Roman"/>
          <w:color w:val="auto"/>
          <w:highlight w:val="none"/>
          <w:lang w:eastAsia="zh-CN"/>
        </w:rPr>
        <w:t>专用合同条款（适用于勘察设计项目）</w:t>
      </w:r>
    </w:p>
    <w:p w14:paraId="6718D50B">
      <w:pPr>
        <w:pStyle w:val="14"/>
        <w:rPr>
          <w:rFonts w:ascii="Times New Roman" w:hAnsi="Times New Roman" w:cs="Times New Roman"/>
          <w:color w:val="auto"/>
          <w:highlight w:val="none"/>
          <w:lang w:eastAsia="zh-CN"/>
        </w:rPr>
      </w:pPr>
    </w:p>
    <w:p w14:paraId="04D5B4FA">
      <w:pPr>
        <w:pStyle w:val="13"/>
        <w:ind w:left="0"/>
        <w:rPr>
          <w:rFonts w:ascii="Times New Roman" w:hAnsi="Times New Roman"/>
          <w:color w:val="auto"/>
          <w:highlight w:val="none"/>
          <w:lang w:eastAsia="zh-CN"/>
        </w:rPr>
      </w:pPr>
      <w:bookmarkStart w:id="350" w:name="_Toc13585"/>
      <w:bookmarkStart w:id="351" w:name="_Toc256000169"/>
      <w:bookmarkStart w:id="352" w:name="_Toc256000335"/>
      <w:r>
        <w:rPr>
          <w:rFonts w:ascii="Times New Roman" w:hAnsi="Times New Roman"/>
          <w:color w:val="auto"/>
          <w:highlight w:val="none"/>
          <w:lang w:eastAsia="zh-CN"/>
        </w:rPr>
        <w:t>1. 一般约定</w:t>
      </w:r>
      <w:bookmarkEnd w:id="350"/>
      <w:bookmarkEnd w:id="351"/>
      <w:bookmarkEnd w:id="352"/>
    </w:p>
    <w:p w14:paraId="5EEBA20E">
      <w:pPr>
        <w:pStyle w:val="15"/>
        <w:rPr>
          <w:color w:val="auto"/>
          <w:highlight w:val="none"/>
          <w:lang w:eastAsia="zh-CN"/>
        </w:rPr>
      </w:pPr>
      <w:bookmarkStart w:id="353" w:name="_Toc256000170"/>
      <w:bookmarkStart w:id="354" w:name="_Toc256000336"/>
      <w:bookmarkStart w:id="355" w:name="_Toc2496"/>
      <w:r>
        <w:rPr>
          <w:color w:val="auto"/>
          <w:highlight w:val="none"/>
          <w:lang w:eastAsia="zh-CN"/>
        </w:rPr>
        <w:t xml:space="preserve">1.1 </w:t>
      </w:r>
      <w:r>
        <w:rPr>
          <w:rFonts w:hint="eastAsia" w:ascii="宋体" w:hAnsi="宋体" w:eastAsia="宋体" w:cs="宋体"/>
          <w:color w:val="auto"/>
          <w:highlight w:val="none"/>
          <w:lang w:eastAsia="zh-CN"/>
        </w:rPr>
        <w:t>词语定义</w:t>
      </w:r>
      <w:bookmarkEnd w:id="353"/>
      <w:bookmarkEnd w:id="354"/>
      <w:bookmarkEnd w:id="355"/>
    </w:p>
    <w:p w14:paraId="0A2B259B">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1.1.2  合同当事人和人员</w:t>
      </w:r>
    </w:p>
    <w:p w14:paraId="79207F36">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1.1.2.2 发包人：</w:t>
      </w:r>
      <w:r>
        <w:rPr>
          <w:rFonts w:ascii="Times New Roman" w:hAnsi="Times New Roman" w:cs="Times New Roman"/>
          <w:color w:val="auto"/>
          <w:szCs w:val="21"/>
          <w:highlight w:val="none"/>
          <w:u w:val="single"/>
          <w:lang w:eastAsia="zh-CN"/>
        </w:rPr>
        <w:t xml:space="preserve">                   </w:t>
      </w:r>
      <w:r>
        <w:rPr>
          <w:rFonts w:ascii="Times New Roman" w:hAnsi="Times New Roman" w:cs="Times New Roman"/>
          <w:color w:val="auto"/>
          <w:szCs w:val="21"/>
          <w:highlight w:val="none"/>
          <w:lang w:eastAsia="zh-CN"/>
        </w:rPr>
        <w:t>。</w:t>
      </w:r>
    </w:p>
    <w:p w14:paraId="489204EE">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1.1.2.3 勘察设计人：</w:t>
      </w:r>
      <w:r>
        <w:rPr>
          <w:rFonts w:ascii="Times New Roman" w:hAnsi="Times New Roman" w:cs="Times New Roman"/>
          <w:color w:val="auto"/>
          <w:szCs w:val="21"/>
          <w:highlight w:val="none"/>
          <w:u w:val="single"/>
          <w:lang w:eastAsia="zh-CN"/>
        </w:rPr>
        <w:t xml:space="preserve">                   </w:t>
      </w:r>
      <w:r>
        <w:rPr>
          <w:rFonts w:ascii="Times New Roman" w:hAnsi="Times New Roman" w:cs="Times New Roman"/>
          <w:color w:val="auto"/>
          <w:szCs w:val="21"/>
          <w:highlight w:val="none"/>
          <w:lang w:eastAsia="zh-CN"/>
        </w:rPr>
        <w:t>。</w:t>
      </w:r>
    </w:p>
    <w:p w14:paraId="7E464384">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1.1.2.4 发包人代表：</w:t>
      </w:r>
      <w:r>
        <w:rPr>
          <w:rFonts w:ascii="Times New Roman" w:hAnsi="Times New Roman" w:cs="Times New Roman"/>
          <w:color w:val="auto"/>
          <w:szCs w:val="21"/>
          <w:highlight w:val="none"/>
          <w:u w:val="single"/>
          <w:lang w:eastAsia="zh-CN"/>
        </w:rPr>
        <w:t xml:space="preserve">                  </w:t>
      </w:r>
      <w:r>
        <w:rPr>
          <w:rFonts w:ascii="Times New Roman" w:hAnsi="Times New Roman" w:cs="Times New Roman"/>
          <w:color w:val="auto"/>
          <w:szCs w:val="21"/>
          <w:highlight w:val="none"/>
          <w:lang w:eastAsia="zh-CN"/>
        </w:rPr>
        <w:t xml:space="preserve"> 。</w:t>
      </w:r>
    </w:p>
    <w:p w14:paraId="49A61382">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1.1.2.5 项目负责人：</w:t>
      </w:r>
      <w:r>
        <w:rPr>
          <w:rFonts w:ascii="Times New Roman" w:hAnsi="Times New Roman" w:cs="Times New Roman"/>
          <w:color w:val="auto"/>
          <w:szCs w:val="21"/>
          <w:highlight w:val="none"/>
          <w:u w:val="single"/>
          <w:lang w:eastAsia="zh-CN"/>
        </w:rPr>
        <w:t xml:space="preserve">  （姓名、身份证号码、执业证书编号）     </w:t>
      </w:r>
      <w:r>
        <w:rPr>
          <w:rFonts w:ascii="Times New Roman" w:hAnsi="Times New Roman" w:cs="Times New Roman"/>
          <w:color w:val="auto"/>
          <w:szCs w:val="21"/>
          <w:highlight w:val="none"/>
          <w:lang w:eastAsia="zh-CN"/>
        </w:rPr>
        <w:t>。</w:t>
      </w:r>
    </w:p>
    <w:p w14:paraId="197A09CA">
      <w:pPr>
        <w:pStyle w:val="14"/>
        <w:tabs>
          <w:tab w:val="left" w:pos="6303"/>
        </w:tabs>
        <w:spacing w:after="24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1.1.2.6 分包人：</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val="zh-CN" w:eastAsia="zh-CN" w:bidi="zh-CN"/>
        </w:rPr>
        <w:t>。</w:t>
      </w:r>
    </w:p>
    <w:p w14:paraId="447C8E12">
      <w:pPr>
        <w:pStyle w:val="15"/>
        <w:rPr>
          <w:color w:val="auto"/>
          <w:highlight w:val="none"/>
          <w:lang w:eastAsia="zh-CN"/>
        </w:rPr>
      </w:pPr>
      <w:bookmarkStart w:id="356" w:name="_Toc19483"/>
      <w:bookmarkStart w:id="357" w:name="_Toc256000171"/>
      <w:bookmarkStart w:id="358" w:name="_Toc256000337"/>
      <w:r>
        <w:rPr>
          <w:color w:val="auto"/>
          <w:highlight w:val="none"/>
          <w:lang w:eastAsia="zh-CN"/>
        </w:rPr>
        <w:t>1.4</w:t>
      </w:r>
      <w:r>
        <w:rPr>
          <w:rFonts w:hint="eastAsia" w:ascii="宋体" w:hAnsi="宋体" w:eastAsia="宋体" w:cs="宋体"/>
          <w:color w:val="auto"/>
          <w:highlight w:val="none"/>
          <w:lang w:eastAsia="zh-CN"/>
        </w:rPr>
        <w:t>合同文件的优先顺序</w:t>
      </w:r>
      <w:bookmarkEnd w:id="356"/>
      <w:bookmarkEnd w:id="357"/>
      <w:bookmarkEnd w:id="358"/>
    </w:p>
    <w:p w14:paraId="3E7A7E07">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解释合同文件的优先顺序如下：</w:t>
      </w:r>
    </w:p>
    <w:p w14:paraId="69948625">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（1）合同协议书；</w:t>
      </w:r>
    </w:p>
    <w:p w14:paraId="52D4FEA2">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（2）中标通知书；</w:t>
      </w:r>
    </w:p>
    <w:p w14:paraId="222CF75C">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（3）投标函及投标函附录；</w:t>
      </w:r>
    </w:p>
    <w:p w14:paraId="628DA3C0">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（4）专用合同条款；</w:t>
      </w:r>
    </w:p>
    <w:p w14:paraId="152ADFD2">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（5）通用合同条款；</w:t>
      </w:r>
    </w:p>
    <w:p w14:paraId="0A1F41FB">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（6）发包人要求；</w:t>
      </w:r>
    </w:p>
    <w:p w14:paraId="378DF37B">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（7）服务费用清单；</w:t>
      </w:r>
    </w:p>
    <w:p w14:paraId="77846A74">
      <w:pPr>
        <w:pStyle w:val="14"/>
        <w:tabs>
          <w:tab w:val="left" w:pos="4064"/>
        </w:tabs>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（8）技术服务方案；</w:t>
      </w:r>
    </w:p>
    <w:p w14:paraId="24DD03A6">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（9）其他合同文件。</w:t>
      </w:r>
    </w:p>
    <w:p w14:paraId="4B565B49">
      <w:pPr>
        <w:pStyle w:val="15"/>
        <w:rPr>
          <w:color w:val="auto"/>
          <w:highlight w:val="none"/>
          <w:lang w:eastAsia="zh-CN"/>
        </w:rPr>
      </w:pPr>
      <w:bookmarkStart w:id="359" w:name="_Toc256000338"/>
      <w:bookmarkStart w:id="360" w:name="_Toc22853"/>
      <w:bookmarkStart w:id="361" w:name="_Toc256000172"/>
      <w:r>
        <w:rPr>
          <w:color w:val="auto"/>
          <w:highlight w:val="none"/>
          <w:lang w:eastAsia="zh-CN"/>
        </w:rPr>
        <w:t>1.6</w:t>
      </w:r>
      <w:r>
        <w:rPr>
          <w:rFonts w:hint="eastAsia" w:ascii="宋体" w:hAnsi="宋体" w:eastAsia="宋体" w:cs="宋体"/>
          <w:color w:val="auto"/>
          <w:highlight w:val="none"/>
          <w:lang w:eastAsia="zh-CN"/>
        </w:rPr>
        <w:t>文件的提供和照管</w:t>
      </w:r>
      <w:bookmarkEnd w:id="359"/>
      <w:bookmarkEnd w:id="360"/>
      <w:bookmarkEnd w:id="361"/>
    </w:p>
    <w:p w14:paraId="02D2BCC1">
      <w:pPr>
        <w:pStyle w:val="14"/>
        <w:spacing w:line="360" w:lineRule="auto"/>
        <w:ind w:firstLine="440" w:firstLineChars="200"/>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val="zh-CN" w:eastAsia="zh-CN" w:bidi="zh-CN"/>
        </w:rPr>
        <w:t>1.</w:t>
      </w:r>
      <w:r>
        <w:rPr>
          <w:rFonts w:ascii="Times New Roman" w:hAnsi="Times New Roman" w:cs="Times New Roman"/>
          <w:color w:val="auto"/>
          <w:highlight w:val="none"/>
          <w:lang w:eastAsia="zh-CN" w:bidi="zh-CN"/>
        </w:rPr>
        <w:t>6</w:t>
      </w:r>
      <w:r>
        <w:rPr>
          <w:rFonts w:ascii="Times New Roman" w:hAnsi="Times New Roman" w:cs="Times New Roman"/>
          <w:color w:val="auto"/>
          <w:highlight w:val="none"/>
          <w:lang w:val="zh-CN" w:eastAsia="zh-CN" w:bidi="zh-CN"/>
        </w:rPr>
        <w:t xml:space="preserve">.1 </w:t>
      </w:r>
      <w:r>
        <w:rPr>
          <w:rFonts w:ascii="Times New Roman" w:hAnsi="Times New Roman" w:cs="Times New Roman"/>
          <w:color w:val="auto"/>
          <w:szCs w:val="21"/>
          <w:highlight w:val="none"/>
          <w:lang w:eastAsia="zh-CN"/>
        </w:rPr>
        <w:t>勘察设计</w:t>
      </w:r>
      <w:r>
        <w:rPr>
          <w:rFonts w:ascii="Times New Roman" w:hAnsi="Times New Roman" w:cs="Times New Roman"/>
          <w:color w:val="auto"/>
          <w:highlight w:val="none"/>
          <w:lang w:val="zh-CN" w:eastAsia="zh-CN" w:bidi="zh-CN"/>
        </w:rPr>
        <w:t>文件的提供</w:t>
      </w:r>
    </w:p>
    <w:p w14:paraId="3E174690">
      <w:pPr>
        <w:pStyle w:val="14"/>
        <w:spacing w:line="360" w:lineRule="auto"/>
        <w:ind w:firstLine="440" w:firstLineChars="200"/>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勘察设计人应在</w:t>
      </w:r>
      <w:r>
        <w:rPr>
          <w:rFonts w:ascii="Times New Roman" w:hAnsi="Times New Roman" w:cs="Times New Roman"/>
          <w:color w:val="auto"/>
          <w:szCs w:val="21"/>
          <w:highlight w:val="none"/>
          <w:u w:val="single"/>
          <w:lang w:eastAsia="zh-CN"/>
        </w:rPr>
        <w:t xml:space="preserve"> 招标文件规定的服务期限  </w:t>
      </w:r>
      <w:r>
        <w:rPr>
          <w:rFonts w:ascii="Times New Roman" w:hAnsi="Times New Roman" w:cs="Times New Roman"/>
          <w:color w:val="auto"/>
          <w:szCs w:val="21"/>
          <w:highlight w:val="none"/>
          <w:lang w:eastAsia="zh-CN"/>
        </w:rPr>
        <w:t>内向发包人提供</w:t>
      </w:r>
      <w:r>
        <w:rPr>
          <w:rFonts w:hint="eastAsia" w:ascii="Times New Roman" w:hAnsi="Times New Roman" w:cs="Times New Roman"/>
          <w:color w:val="auto"/>
          <w:szCs w:val="21"/>
          <w:highlight w:val="none"/>
          <w:lang w:eastAsia="zh-CN"/>
        </w:rPr>
        <w:t>最终报批稿</w:t>
      </w:r>
      <w:r>
        <w:rPr>
          <w:rFonts w:ascii="Times New Roman" w:hAnsi="Times New Roman" w:cs="Times New Roman"/>
          <w:color w:val="auto"/>
          <w:szCs w:val="21"/>
          <w:highlight w:val="none"/>
          <w:lang w:eastAsia="zh-CN"/>
        </w:rPr>
        <w:t>勘察设计文件</w:t>
      </w:r>
      <w:r>
        <w:rPr>
          <w:rFonts w:ascii="Times New Roman" w:hAnsi="Times New Roman" w:cs="Times New Roman"/>
          <w:color w:val="auto"/>
          <w:szCs w:val="21"/>
          <w:highlight w:val="none"/>
          <w:u w:val="single"/>
          <w:lang w:eastAsia="zh-CN"/>
        </w:rPr>
        <w:t xml:space="preserve"> </w:t>
      </w:r>
      <w:r>
        <w:rPr>
          <w:rFonts w:hint="eastAsia" w:ascii="Times New Roman" w:hAnsi="Times New Roman" w:cs="Times New Roman"/>
          <w:color w:val="auto"/>
          <w:szCs w:val="21"/>
          <w:highlight w:val="none"/>
          <w:u w:val="single"/>
          <w:lang w:eastAsia="zh-CN"/>
        </w:rPr>
        <w:t>8</w:t>
      </w:r>
      <w:r>
        <w:rPr>
          <w:rFonts w:ascii="Times New Roman" w:hAnsi="Times New Roman" w:cs="Times New Roman"/>
          <w:color w:val="auto"/>
          <w:szCs w:val="21"/>
          <w:highlight w:val="none"/>
          <w:u w:val="single"/>
          <w:lang w:eastAsia="zh-CN"/>
        </w:rPr>
        <w:t xml:space="preserve"> 套（份）</w:t>
      </w:r>
      <w:r>
        <w:rPr>
          <w:rFonts w:ascii="Times New Roman" w:hAnsi="Times New Roman" w:cs="Times New Roman"/>
          <w:color w:val="auto"/>
          <w:szCs w:val="21"/>
          <w:highlight w:val="none"/>
          <w:lang w:eastAsia="zh-CN"/>
        </w:rPr>
        <w:t>。</w:t>
      </w:r>
    </w:p>
    <w:p w14:paraId="0ED0A062">
      <w:pPr>
        <w:pStyle w:val="14"/>
        <w:spacing w:line="360" w:lineRule="auto"/>
        <w:ind w:firstLine="440" w:firstLineChars="200"/>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val="zh-CN" w:eastAsia="zh-CN" w:bidi="zh-CN"/>
        </w:rPr>
        <w:t>1.</w:t>
      </w:r>
      <w:r>
        <w:rPr>
          <w:rFonts w:ascii="Times New Roman" w:hAnsi="Times New Roman" w:cs="Times New Roman"/>
          <w:color w:val="auto"/>
          <w:highlight w:val="none"/>
          <w:lang w:eastAsia="zh-CN" w:bidi="zh-CN"/>
        </w:rPr>
        <w:t>6</w:t>
      </w:r>
      <w:r>
        <w:rPr>
          <w:rFonts w:ascii="Times New Roman" w:hAnsi="Times New Roman" w:cs="Times New Roman"/>
          <w:color w:val="auto"/>
          <w:highlight w:val="none"/>
          <w:lang w:val="zh-CN" w:eastAsia="zh-CN" w:bidi="zh-CN"/>
        </w:rPr>
        <w:t>.2 发包人提供的文件</w:t>
      </w:r>
    </w:p>
    <w:p w14:paraId="05D45518">
      <w:pPr>
        <w:pStyle w:val="14"/>
        <w:spacing w:line="360" w:lineRule="auto"/>
        <w:ind w:firstLine="440" w:firstLineChars="200"/>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由发包人提供的文件，包括 基础资料、勘察任务书、勘察报告、设计任务书等，发包人应在</w:t>
      </w:r>
      <w:r>
        <w:rPr>
          <w:rFonts w:ascii="Times New Roman" w:hAnsi="Times New Roman" w:cs="Times New Roman"/>
          <w:color w:val="auto"/>
          <w:highlight w:val="none"/>
          <w:u w:val="single"/>
          <w:lang w:eastAsia="zh-CN"/>
        </w:rPr>
        <w:t xml:space="preserve"> 合同签订后14 </w:t>
      </w:r>
      <w:r>
        <w:rPr>
          <w:rFonts w:ascii="Times New Roman" w:hAnsi="Times New Roman" w:cs="Times New Roman"/>
          <w:color w:val="auto"/>
          <w:highlight w:val="none"/>
          <w:lang w:eastAsia="zh-CN"/>
        </w:rPr>
        <w:t>日内提供</w:t>
      </w:r>
      <w:r>
        <w:rPr>
          <w:rFonts w:ascii="Times New Roman" w:hAnsi="Times New Roman" w:cs="Times New Roman"/>
          <w:color w:val="auto"/>
          <w:highlight w:val="none"/>
          <w:u w:val="single"/>
          <w:lang w:eastAsia="zh-CN"/>
        </w:rPr>
        <w:t xml:space="preserve"> 2  </w:t>
      </w:r>
      <w:r>
        <w:rPr>
          <w:rFonts w:ascii="Times New Roman" w:hAnsi="Times New Roman" w:cs="Times New Roman"/>
          <w:color w:val="auto"/>
          <w:highlight w:val="none"/>
          <w:lang w:eastAsia="zh-CN"/>
        </w:rPr>
        <w:t>套（份）交给勘察设计人。</w:t>
      </w:r>
    </w:p>
    <w:p w14:paraId="00F2E077">
      <w:pPr>
        <w:pStyle w:val="14"/>
        <w:spacing w:line="360" w:lineRule="auto"/>
        <w:ind w:firstLine="440" w:firstLineChars="200"/>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val="zh-CN" w:eastAsia="zh-CN" w:bidi="zh-CN"/>
        </w:rPr>
        <w:t>1.</w:t>
      </w:r>
      <w:r>
        <w:rPr>
          <w:rFonts w:ascii="Times New Roman" w:hAnsi="Times New Roman" w:cs="Times New Roman"/>
          <w:color w:val="auto"/>
          <w:highlight w:val="none"/>
          <w:lang w:eastAsia="zh-CN" w:bidi="zh-CN"/>
        </w:rPr>
        <w:t>6</w:t>
      </w:r>
      <w:r>
        <w:rPr>
          <w:rFonts w:ascii="Times New Roman" w:hAnsi="Times New Roman" w:cs="Times New Roman"/>
          <w:color w:val="auto"/>
          <w:highlight w:val="none"/>
          <w:lang w:val="zh-CN" w:eastAsia="zh-CN" w:bidi="zh-CN"/>
        </w:rPr>
        <w:t>.3 文件错误的通知</w:t>
      </w:r>
    </w:p>
    <w:p w14:paraId="0D55B85F">
      <w:pPr>
        <w:pStyle w:val="14"/>
        <w:spacing w:line="360" w:lineRule="auto"/>
        <w:ind w:firstLine="440" w:firstLineChars="200"/>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val="zh-CN" w:eastAsia="zh-CN" w:bidi="zh-CN"/>
        </w:rPr>
        <w:t>任何一方当事人发现文件中存在的明显错误或疏忽，均应</w:t>
      </w:r>
      <w:r>
        <w:rPr>
          <w:rFonts w:ascii="Times New Roman" w:hAnsi="Times New Roman" w:cs="Times New Roman"/>
          <w:color w:val="auto"/>
          <w:highlight w:val="none"/>
          <w:u w:val="single"/>
          <w:lang w:eastAsia="zh-CN" w:bidi="zh-CN"/>
        </w:rPr>
        <w:t xml:space="preserve">  3  </w:t>
      </w:r>
      <w:r>
        <w:rPr>
          <w:rFonts w:ascii="Times New Roman" w:hAnsi="Times New Roman" w:cs="Times New Roman"/>
          <w:color w:val="auto"/>
          <w:highlight w:val="none"/>
          <w:lang w:eastAsia="zh-CN" w:bidi="zh-CN"/>
        </w:rPr>
        <w:t xml:space="preserve"> 日</w:t>
      </w:r>
      <w:r>
        <w:rPr>
          <w:rFonts w:ascii="Times New Roman" w:hAnsi="Times New Roman" w:cs="Times New Roman"/>
          <w:color w:val="auto"/>
          <w:highlight w:val="none"/>
          <w:lang w:val="zh-CN" w:eastAsia="zh-CN" w:bidi="zh-CN"/>
        </w:rPr>
        <w:t>内通知对方当事人。</w:t>
      </w:r>
    </w:p>
    <w:p w14:paraId="2CC857CD">
      <w:pPr>
        <w:pStyle w:val="15"/>
        <w:rPr>
          <w:color w:val="auto"/>
          <w:highlight w:val="none"/>
          <w:lang w:eastAsia="zh-CN"/>
        </w:rPr>
      </w:pPr>
      <w:bookmarkStart w:id="362" w:name="_Toc256000173"/>
      <w:bookmarkStart w:id="363" w:name="_Toc256000339"/>
      <w:bookmarkStart w:id="364" w:name="_Toc13509"/>
      <w:r>
        <w:rPr>
          <w:color w:val="auto"/>
          <w:highlight w:val="none"/>
          <w:lang w:eastAsia="zh-CN"/>
        </w:rPr>
        <w:t xml:space="preserve">1.7 </w:t>
      </w:r>
      <w:r>
        <w:rPr>
          <w:rFonts w:hint="eastAsia" w:ascii="宋体" w:hAnsi="宋体" w:eastAsia="宋体" w:cs="宋体"/>
          <w:color w:val="auto"/>
          <w:highlight w:val="none"/>
          <w:lang w:eastAsia="zh-CN"/>
        </w:rPr>
        <w:t>联络</w:t>
      </w:r>
      <w:bookmarkEnd w:id="362"/>
      <w:bookmarkEnd w:id="363"/>
      <w:bookmarkEnd w:id="364"/>
    </w:p>
    <w:p w14:paraId="60A095E4">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1.7.2 发包人和</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人应将与合同有关的通知、批准、证明、证书、指示、要求、请求、统一、意见、确定和决定等</w:t>
      </w:r>
      <w:r>
        <w:rPr>
          <w:rFonts w:ascii="Times New Roman" w:hAnsi="Times New Roman" w:cs="Times New Roman"/>
          <w:color w:val="auto"/>
          <w:spacing w:val="-4"/>
          <w:szCs w:val="21"/>
          <w:highlight w:val="none"/>
          <w:lang w:val="zh-CN" w:eastAsia="zh-CN" w:bidi="zh-CN"/>
        </w:rPr>
        <w:t>来往</w:t>
      </w:r>
      <w:r>
        <w:rPr>
          <w:rFonts w:ascii="Times New Roman" w:hAnsi="Times New Roman" w:cs="Times New Roman"/>
          <w:color w:val="auto"/>
          <w:szCs w:val="21"/>
          <w:highlight w:val="none"/>
          <w:lang w:val="zh-CN" w:eastAsia="zh-CN" w:bidi="zh-CN"/>
        </w:rPr>
        <w:t>函件，送达指定的地点好指定的接收人，并办理签收手续。</w:t>
      </w:r>
    </w:p>
    <w:p w14:paraId="2D4D4540">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指定的地点和接收人如下：</w:t>
      </w:r>
    </w:p>
    <w:p w14:paraId="1D97B99F">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发包人接收来往函件的指定地点：</w:t>
      </w:r>
      <w:r>
        <w:rPr>
          <w:rFonts w:ascii="Times New Roman" w:hAnsi="Times New Roman" w:cs="Times New Roman"/>
          <w:color w:val="auto"/>
          <w:szCs w:val="21"/>
          <w:highlight w:val="none"/>
          <w:u w:val="single"/>
          <w:lang w:val="zh-CN" w:eastAsia="zh-CN" w:bidi="zh-CN"/>
        </w:rPr>
        <w:t xml:space="preserve">                </w:t>
      </w:r>
      <w:r>
        <w:rPr>
          <w:rFonts w:ascii="Times New Roman" w:hAnsi="Times New Roman" w:cs="Times New Roman"/>
          <w:color w:val="auto"/>
          <w:szCs w:val="21"/>
          <w:highlight w:val="none"/>
          <w:lang w:val="zh-CN" w:eastAsia="zh-CN" w:bidi="zh-CN"/>
        </w:rPr>
        <w:t xml:space="preserve"> 。</w:t>
      </w:r>
    </w:p>
    <w:p w14:paraId="2D48DBAD">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发包人接收来往函件的指定接收人：</w:t>
      </w:r>
      <w:r>
        <w:rPr>
          <w:rFonts w:ascii="Times New Roman" w:hAnsi="Times New Roman" w:cs="Times New Roman"/>
          <w:color w:val="auto"/>
          <w:szCs w:val="21"/>
          <w:highlight w:val="none"/>
          <w:u w:val="single"/>
          <w:lang w:val="zh-CN" w:eastAsia="zh-CN" w:bidi="zh-CN"/>
        </w:rPr>
        <w:t xml:space="preserve">                 </w:t>
      </w:r>
      <w:r>
        <w:rPr>
          <w:rFonts w:ascii="Times New Roman" w:hAnsi="Times New Roman" w:cs="Times New Roman"/>
          <w:color w:val="auto"/>
          <w:szCs w:val="21"/>
          <w:highlight w:val="none"/>
          <w:lang w:val="zh-CN" w:eastAsia="zh-CN" w:bidi="zh-CN"/>
        </w:rPr>
        <w:t>。</w:t>
      </w:r>
    </w:p>
    <w:p w14:paraId="4337ACD1">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发包人指定的联系方式：</w:t>
      </w:r>
      <w:r>
        <w:rPr>
          <w:rFonts w:ascii="Times New Roman" w:hAnsi="Times New Roman" w:cs="Times New Roman"/>
          <w:color w:val="auto"/>
          <w:szCs w:val="21"/>
          <w:highlight w:val="none"/>
          <w:u w:val="single"/>
          <w:lang w:val="zh-CN" w:eastAsia="zh-CN" w:bidi="zh-CN"/>
        </w:rPr>
        <w:t xml:space="preserve">                 </w:t>
      </w:r>
      <w:r>
        <w:rPr>
          <w:rFonts w:ascii="Times New Roman" w:hAnsi="Times New Roman" w:cs="Times New Roman"/>
          <w:color w:val="auto"/>
          <w:szCs w:val="21"/>
          <w:highlight w:val="none"/>
          <w:lang w:val="zh-CN" w:eastAsia="zh-CN" w:bidi="zh-CN"/>
        </w:rPr>
        <w:t>。</w:t>
      </w:r>
    </w:p>
    <w:p w14:paraId="0EA24DE7">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人接收来往函件的指定地点：</w:t>
      </w:r>
      <w:r>
        <w:rPr>
          <w:rFonts w:ascii="Times New Roman" w:hAnsi="Times New Roman" w:cs="Times New Roman"/>
          <w:color w:val="auto"/>
          <w:szCs w:val="21"/>
          <w:highlight w:val="none"/>
          <w:u w:val="single"/>
          <w:lang w:val="zh-CN" w:eastAsia="zh-CN" w:bidi="zh-CN"/>
        </w:rPr>
        <w:t xml:space="preserve">                 </w:t>
      </w:r>
      <w:r>
        <w:rPr>
          <w:rFonts w:ascii="Times New Roman" w:hAnsi="Times New Roman" w:cs="Times New Roman"/>
          <w:color w:val="auto"/>
          <w:szCs w:val="21"/>
          <w:highlight w:val="none"/>
          <w:lang w:val="zh-CN" w:eastAsia="zh-CN" w:bidi="zh-CN"/>
        </w:rPr>
        <w:t>。</w:t>
      </w:r>
    </w:p>
    <w:p w14:paraId="2FB90358">
      <w:pPr>
        <w:pStyle w:val="14"/>
        <w:tabs>
          <w:tab w:val="left" w:pos="6303"/>
        </w:tabs>
        <w:spacing w:after="24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人指定的联系方式：</w:t>
      </w:r>
      <w:r>
        <w:rPr>
          <w:rFonts w:ascii="Times New Roman" w:hAnsi="Times New Roman" w:cs="Times New Roman"/>
          <w:color w:val="auto"/>
          <w:szCs w:val="21"/>
          <w:highlight w:val="none"/>
          <w:u w:val="single"/>
          <w:lang w:val="zh-CN" w:eastAsia="zh-CN" w:bidi="zh-CN"/>
        </w:rPr>
        <w:t xml:space="preserve">                 </w:t>
      </w:r>
      <w:r>
        <w:rPr>
          <w:rFonts w:ascii="Times New Roman" w:hAnsi="Times New Roman" w:cs="Times New Roman"/>
          <w:color w:val="auto"/>
          <w:szCs w:val="21"/>
          <w:highlight w:val="none"/>
          <w:lang w:val="zh-CN" w:eastAsia="zh-CN" w:bidi="zh-CN"/>
        </w:rPr>
        <w:t>。</w:t>
      </w:r>
    </w:p>
    <w:p w14:paraId="38463E4B">
      <w:pPr>
        <w:pStyle w:val="15"/>
        <w:rPr>
          <w:color w:val="auto"/>
          <w:highlight w:val="none"/>
          <w:lang w:eastAsia="zh-CN"/>
        </w:rPr>
      </w:pPr>
      <w:bookmarkStart w:id="365" w:name="_Toc256000340"/>
      <w:bookmarkStart w:id="366" w:name="_Toc23106"/>
      <w:bookmarkStart w:id="367" w:name="_Toc256000174"/>
      <w:r>
        <w:rPr>
          <w:color w:val="auto"/>
          <w:highlight w:val="none"/>
          <w:lang w:eastAsia="zh-CN"/>
        </w:rPr>
        <w:t xml:space="preserve">1.8 </w:t>
      </w:r>
      <w:r>
        <w:rPr>
          <w:rFonts w:hint="eastAsia" w:ascii="宋体" w:hAnsi="宋体" w:eastAsia="宋体" w:cs="宋体"/>
          <w:color w:val="auto"/>
          <w:highlight w:val="none"/>
          <w:lang w:eastAsia="zh-CN"/>
        </w:rPr>
        <w:t>转让</w:t>
      </w:r>
      <w:bookmarkEnd w:id="365"/>
      <w:bookmarkEnd w:id="366"/>
      <w:bookmarkEnd w:id="367"/>
    </w:p>
    <w:p w14:paraId="0322EEA4">
      <w:pPr>
        <w:pStyle w:val="14"/>
        <w:tabs>
          <w:tab w:val="left" w:pos="6303"/>
        </w:tabs>
        <w:spacing w:after="240" w:line="360" w:lineRule="auto"/>
        <w:ind w:firstLine="440"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zCs w:val="21"/>
          <w:highlight w:val="none"/>
          <w:lang w:val="zh-CN" w:eastAsia="zh-CN" w:bidi="zh-CN"/>
        </w:rPr>
        <w:t>关于转让合同权利义务的约定：</w:t>
      </w:r>
      <w:r>
        <w:rPr>
          <w:rFonts w:ascii="Times New Roman" w:hAnsi="Times New Roman" w:cs="Times New Roman"/>
          <w:color w:val="auto"/>
          <w:szCs w:val="21"/>
          <w:highlight w:val="none"/>
          <w:u w:val="single"/>
          <w:lang w:eastAsia="zh-CN" w:bidi="zh-CN"/>
        </w:rPr>
        <w:t xml:space="preserve">  禁止转让   </w:t>
      </w:r>
      <w:r>
        <w:rPr>
          <w:rFonts w:ascii="Times New Roman" w:hAnsi="Times New Roman" w:cs="Times New Roman"/>
          <w:color w:val="auto"/>
          <w:szCs w:val="21"/>
          <w:highlight w:val="none"/>
          <w:lang w:eastAsia="zh-CN" w:bidi="zh-CN"/>
        </w:rPr>
        <w:t>。</w:t>
      </w:r>
    </w:p>
    <w:p w14:paraId="16E8C35D">
      <w:pPr>
        <w:pStyle w:val="15"/>
        <w:rPr>
          <w:color w:val="auto"/>
          <w:highlight w:val="none"/>
          <w:lang w:eastAsia="zh-CN"/>
        </w:rPr>
      </w:pPr>
      <w:bookmarkStart w:id="368" w:name="_Toc256000341"/>
      <w:bookmarkStart w:id="369" w:name="_Toc16128"/>
      <w:bookmarkStart w:id="370" w:name="_Toc256000175"/>
      <w:r>
        <w:rPr>
          <w:color w:val="auto"/>
          <w:highlight w:val="none"/>
          <w:lang w:eastAsia="zh-CN"/>
        </w:rPr>
        <w:t xml:space="preserve">1.12 </w:t>
      </w:r>
      <w:r>
        <w:rPr>
          <w:rFonts w:hint="eastAsia" w:ascii="宋体" w:hAnsi="宋体" w:eastAsia="宋体" w:cs="宋体"/>
          <w:color w:val="auto"/>
          <w:highlight w:val="none"/>
          <w:lang w:eastAsia="zh-CN"/>
        </w:rPr>
        <w:t>发包人要求</w:t>
      </w:r>
      <w:bookmarkEnd w:id="368"/>
      <w:bookmarkEnd w:id="369"/>
      <w:bookmarkEnd w:id="370"/>
    </w:p>
    <w:p w14:paraId="670A8EC1">
      <w:pPr>
        <w:pStyle w:val="14"/>
        <w:tabs>
          <w:tab w:val="left" w:pos="6303"/>
        </w:tabs>
        <w:spacing w:after="240" w:line="360" w:lineRule="auto"/>
        <w:ind w:firstLine="440"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zCs w:val="21"/>
          <w:highlight w:val="none"/>
          <w:lang w:val="zh-CN" w:eastAsia="zh-CN" w:bidi="zh-CN"/>
        </w:rPr>
        <w:t>1.</w:t>
      </w:r>
      <w:r>
        <w:rPr>
          <w:rFonts w:ascii="Times New Roman" w:hAnsi="Times New Roman" w:cs="Times New Roman"/>
          <w:color w:val="auto"/>
          <w:szCs w:val="21"/>
          <w:highlight w:val="none"/>
          <w:lang w:eastAsia="zh-CN" w:bidi="zh-CN"/>
        </w:rPr>
        <w:t>12</w:t>
      </w:r>
      <w:r>
        <w:rPr>
          <w:rFonts w:ascii="Times New Roman" w:hAnsi="Times New Roman" w:cs="Times New Roman"/>
          <w:color w:val="auto"/>
          <w:szCs w:val="21"/>
          <w:highlight w:val="none"/>
          <w:lang w:val="zh-CN" w:eastAsia="zh-CN" w:bidi="zh-CN"/>
        </w:rPr>
        <w:t>.</w:t>
      </w:r>
      <w:r>
        <w:rPr>
          <w:rFonts w:ascii="Times New Roman" w:hAnsi="Times New Roman" w:cs="Times New Roman"/>
          <w:color w:val="auto"/>
          <w:szCs w:val="21"/>
          <w:highlight w:val="none"/>
          <w:lang w:eastAsia="zh-CN" w:bidi="zh-CN"/>
        </w:rPr>
        <w:t>1</w:t>
      </w:r>
      <w:r>
        <w:rPr>
          <w:rFonts w:ascii="Times New Roman" w:hAnsi="Times New Roman" w:cs="Times New Roman"/>
          <w:color w:val="auto"/>
          <w:szCs w:val="21"/>
          <w:highlight w:val="none"/>
          <w:lang w:val="zh-CN" w:eastAsia="zh-CN" w:bidi="zh-CN"/>
        </w:rPr>
        <w:t xml:space="preserve"> 发包人要求需要修改或存在错误导致</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人费用增加和（或）</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服务期限延误的，确定由</w:t>
      </w:r>
      <w:r>
        <w:rPr>
          <w:rFonts w:ascii="Times New Roman" w:hAnsi="Times New Roman" w:cs="Times New Roman"/>
          <w:color w:val="auto"/>
          <w:szCs w:val="21"/>
          <w:highlight w:val="none"/>
          <w:u w:val="single"/>
          <w:lang w:eastAsia="zh-CN" w:bidi="zh-CN"/>
        </w:rPr>
        <w:t xml:space="preserve"> 发包人 </w:t>
      </w:r>
      <w:r>
        <w:rPr>
          <w:rFonts w:ascii="Times New Roman" w:hAnsi="Times New Roman" w:cs="Times New Roman"/>
          <w:color w:val="auto"/>
          <w:szCs w:val="21"/>
          <w:highlight w:val="none"/>
          <w:lang w:eastAsia="zh-CN" w:bidi="zh-CN"/>
        </w:rPr>
        <w:t>承担由此导致的费用增加和（或）周期延误。</w:t>
      </w:r>
    </w:p>
    <w:p w14:paraId="692C5DBD">
      <w:pPr>
        <w:pStyle w:val="13"/>
        <w:ind w:left="0"/>
        <w:rPr>
          <w:rFonts w:ascii="Times New Roman" w:hAnsi="Times New Roman"/>
          <w:color w:val="auto"/>
          <w:highlight w:val="none"/>
          <w:lang w:eastAsia="zh-CN"/>
        </w:rPr>
      </w:pPr>
      <w:bookmarkStart w:id="371" w:name="_Toc256000342"/>
      <w:bookmarkStart w:id="372" w:name="_Toc256000176"/>
      <w:bookmarkStart w:id="373" w:name="_Toc22928"/>
      <w:r>
        <w:rPr>
          <w:rFonts w:ascii="Times New Roman" w:hAnsi="Times New Roman"/>
          <w:color w:val="auto"/>
          <w:highlight w:val="none"/>
          <w:lang w:eastAsia="zh-CN"/>
        </w:rPr>
        <w:t>2. 发包人义务</w:t>
      </w:r>
      <w:bookmarkEnd w:id="371"/>
      <w:bookmarkEnd w:id="372"/>
      <w:bookmarkEnd w:id="373"/>
    </w:p>
    <w:p w14:paraId="6AA87B14">
      <w:pPr>
        <w:pStyle w:val="15"/>
        <w:rPr>
          <w:color w:val="auto"/>
          <w:highlight w:val="none"/>
          <w:lang w:val="zh-CN" w:eastAsia="zh-CN" w:bidi="zh-CN"/>
        </w:rPr>
      </w:pPr>
      <w:bookmarkStart w:id="374" w:name="_Toc256000343"/>
      <w:bookmarkStart w:id="375" w:name="_Toc256000177"/>
      <w:bookmarkStart w:id="376" w:name="_Toc5682"/>
      <w:r>
        <w:rPr>
          <w:color w:val="auto"/>
          <w:sz w:val="28"/>
          <w:szCs w:val="28"/>
          <w:highlight w:val="none"/>
          <w:lang w:eastAsia="zh-CN"/>
        </w:rPr>
        <w:t xml:space="preserve">2.6 </w:t>
      </w:r>
      <w:r>
        <w:rPr>
          <w:rFonts w:hint="eastAsia" w:ascii="宋体" w:hAnsi="宋体" w:eastAsia="宋体" w:cs="宋体"/>
          <w:color w:val="auto"/>
          <w:sz w:val="28"/>
          <w:szCs w:val="28"/>
          <w:highlight w:val="none"/>
          <w:lang w:eastAsia="zh-CN"/>
        </w:rPr>
        <w:t>其他义务</w:t>
      </w:r>
      <w:r>
        <w:rPr>
          <w:rFonts w:hint="eastAsia" w:ascii="宋体" w:hAnsi="宋体" w:eastAsia="宋体" w:cs="宋体"/>
          <w:color w:val="auto"/>
          <w:highlight w:val="none"/>
          <w:lang w:val="zh-CN" w:eastAsia="zh-CN" w:bidi="zh-CN"/>
        </w:rPr>
        <w:t>（根据发包人的合同管理要求补充）</w:t>
      </w:r>
      <w:bookmarkEnd w:id="374"/>
      <w:bookmarkEnd w:id="375"/>
      <w:bookmarkEnd w:id="376"/>
    </w:p>
    <w:p w14:paraId="11A17234">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377" w:name="_Toc256000178"/>
      <w:bookmarkStart w:id="378" w:name="_Toc256000344"/>
      <w:bookmarkStart w:id="379" w:name="_Toc18246"/>
      <w:r>
        <w:rPr>
          <w:rFonts w:ascii="宋体" w:hAnsi="宋体" w:eastAsia="宋体" w:cs="宋体"/>
          <w:b w:val="0"/>
          <w:snapToGrid w:val="0"/>
          <w:color w:val="auto"/>
          <w:spacing w:val="-2"/>
          <w:kern w:val="0"/>
          <w:sz w:val="20"/>
          <w:szCs w:val="20"/>
          <w:highlight w:val="none"/>
          <w:lang w:val="zh-CN" w:eastAsia="zh-CN" w:bidi="ar-SA"/>
        </w:rPr>
        <w:t>（1）发包人应严格履行基本建设程序，根据工程项目的具体情况和技术要求，确定合理的设计工作量及合理的设计周期，并按本合同有关规定及时支付勘察设计费。</w:t>
      </w:r>
      <w:bookmarkEnd w:id="377"/>
      <w:bookmarkEnd w:id="378"/>
    </w:p>
    <w:p w14:paraId="794DBAE0">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380" w:name="_Toc256000345"/>
      <w:bookmarkStart w:id="381" w:name="_Toc256000179"/>
      <w:r>
        <w:rPr>
          <w:rFonts w:ascii="宋体" w:hAnsi="宋体" w:eastAsia="宋体" w:cs="宋体"/>
          <w:b w:val="0"/>
          <w:snapToGrid w:val="0"/>
          <w:color w:val="auto"/>
          <w:spacing w:val="-2"/>
          <w:kern w:val="0"/>
          <w:sz w:val="20"/>
          <w:szCs w:val="20"/>
          <w:highlight w:val="none"/>
          <w:lang w:val="zh-CN" w:eastAsia="zh-CN" w:bidi="ar-SA"/>
        </w:rPr>
        <w:t>（2）发包人应向勘察设计人提供开展勘察设计工作所需要的经国家有关部门批准的前一阶段的可研文件、资料及附件、有关的协议、文件等。</w:t>
      </w:r>
      <w:bookmarkEnd w:id="380"/>
      <w:bookmarkEnd w:id="381"/>
    </w:p>
    <w:p w14:paraId="33E11BD1">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382" w:name="_Toc256000346"/>
      <w:bookmarkStart w:id="383" w:name="_Toc256000180"/>
      <w:r>
        <w:rPr>
          <w:rFonts w:ascii="宋体" w:hAnsi="宋体" w:eastAsia="宋体" w:cs="宋体"/>
          <w:b w:val="0"/>
          <w:snapToGrid w:val="0"/>
          <w:color w:val="auto"/>
          <w:spacing w:val="-2"/>
          <w:kern w:val="0"/>
          <w:sz w:val="20"/>
          <w:szCs w:val="20"/>
          <w:highlight w:val="none"/>
          <w:lang w:val="zh-CN" w:eastAsia="zh-CN" w:bidi="ar-SA"/>
        </w:rPr>
        <w:t>（3）本次招标对未中标的投标人将不给予设计补偿。 发包人采用未中标人投标文件中具有专利权的技术方案的应当征得未中标人的书面同意，并视发包人使用的程度支付合理的使用费用，最高不超过人民币5万元。</w:t>
      </w:r>
      <w:bookmarkEnd w:id="382"/>
      <w:bookmarkEnd w:id="383"/>
    </w:p>
    <w:p w14:paraId="425A3BD4">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384" w:name="_Toc256000181"/>
      <w:bookmarkStart w:id="385" w:name="_Toc256000347"/>
      <w:r>
        <w:rPr>
          <w:rFonts w:ascii="宋体" w:hAnsi="宋体" w:eastAsia="宋体" w:cs="宋体"/>
          <w:b w:val="0"/>
          <w:snapToGrid w:val="0"/>
          <w:color w:val="auto"/>
          <w:spacing w:val="-2"/>
          <w:kern w:val="0"/>
          <w:sz w:val="20"/>
          <w:szCs w:val="20"/>
          <w:highlight w:val="none"/>
          <w:lang w:val="zh-CN" w:eastAsia="zh-CN" w:bidi="ar-SA"/>
        </w:rPr>
        <w:t>（4） 在勘察设计人员进入现场进行勘察作业时，发包人应对勘察设计人与地方政府及有关部门的协调工作提供必要的协助，但不免除勘察设计人根据本合同规定应负的责任。</w:t>
      </w:r>
      <w:bookmarkEnd w:id="384"/>
      <w:bookmarkEnd w:id="385"/>
    </w:p>
    <w:p w14:paraId="03D2A215">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386" w:name="_Toc256000182"/>
      <w:bookmarkStart w:id="387" w:name="_Toc256000348"/>
      <w:r>
        <w:rPr>
          <w:rFonts w:ascii="宋体" w:hAnsi="宋体" w:eastAsia="宋体" w:cs="宋体"/>
          <w:b w:val="0"/>
          <w:snapToGrid w:val="0"/>
          <w:color w:val="auto"/>
          <w:spacing w:val="-2"/>
          <w:kern w:val="0"/>
          <w:sz w:val="20"/>
          <w:szCs w:val="20"/>
          <w:highlight w:val="none"/>
          <w:lang w:val="zh-CN" w:eastAsia="zh-CN" w:bidi="ar-SA"/>
        </w:rPr>
        <w:t>（5） 发包人应认真组织专家或委托咨询审查单位对勘察成果、勘察设计文件和为了满足勘察设计需要而进行的各种研究试验成果进行审查，并负责勘察设计文件的报审工作，向勘察设计人提供上级主管部门对勘察设计文件进行审查后的批复意见。对勘察设计人在贯彻落实审查意见时提出的有关问题应及时认真予以解答，但并不免除勘察设计人根据本合同规定应负的责任。</w:t>
      </w:r>
      <w:bookmarkEnd w:id="386"/>
      <w:bookmarkEnd w:id="387"/>
    </w:p>
    <w:p w14:paraId="69A7CD34">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388" w:name="_Toc256000183"/>
      <w:bookmarkStart w:id="389" w:name="_Toc256000349"/>
      <w:r>
        <w:rPr>
          <w:rFonts w:ascii="宋体" w:hAnsi="宋体" w:eastAsia="宋体" w:cs="宋体"/>
          <w:b w:val="0"/>
          <w:snapToGrid w:val="0"/>
          <w:color w:val="auto"/>
          <w:spacing w:val="-2"/>
          <w:kern w:val="0"/>
          <w:sz w:val="20"/>
          <w:szCs w:val="20"/>
          <w:highlight w:val="none"/>
          <w:lang w:val="zh-CN" w:eastAsia="zh-CN" w:bidi="ar-SA"/>
        </w:rPr>
        <w:t>（6） 除合同另有规定外，发包人应保护勘察设计人的投标文件、勘察设计方案、计算软件和专利技术。未经勘察设计人同意，发包人对勘察设计人交付的勘察成果、勘察设计资料及文件不得擅自修改、复制或向第三人转让或用于本合同以外的项目。</w:t>
      </w:r>
      <w:bookmarkEnd w:id="388"/>
      <w:bookmarkEnd w:id="389"/>
      <w:r>
        <w:rPr>
          <w:rFonts w:ascii="宋体" w:hAnsi="宋体" w:eastAsia="宋体" w:cs="宋体"/>
          <w:b w:val="0"/>
          <w:snapToGrid w:val="0"/>
          <w:color w:val="auto"/>
          <w:spacing w:val="-2"/>
          <w:kern w:val="0"/>
          <w:sz w:val="20"/>
          <w:szCs w:val="20"/>
          <w:highlight w:val="none"/>
          <w:lang w:val="zh-CN" w:eastAsia="zh-CN" w:bidi="ar-SA"/>
        </w:rPr>
        <w:t xml:space="preserve"> </w:t>
      </w:r>
    </w:p>
    <w:p w14:paraId="5B7402E2">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390" w:name="_Toc256000184"/>
      <w:bookmarkStart w:id="391" w:name="_Toc256000350"/>
      <w:r>
        <w:rPr>
          <w:rFonts w:ascii="宋体" w:hAnsi="宋体" w:eastAsia="宋体" w:cs="宋体"/>
          <w:b w:val="0"/>
          <w:snapToGrid w:val="0"/>
          <w:color w:val="auto"/>
          <w:spacing w:val="-2"/>
          <w:kern w:val="0"/>
          <w:sz w:val="20"/>
          <w:szCs w:val="20"/>
          <w:highlight w:val="none"/>
          <w:lang w:val="zh-CN" w:eastAsia="zh-CN" w:bidi="ar-SA"/>
        </w:rPr>
        <w:t>（7） 由于执行发包人的书面指令而造成的勘察设计质量事故应由发包人承担责任。但不免除勘察设计人根据本合同规定应负的责任。</w:t>
      </w:r>
      <w:bookmarkEnd w:id="390"/>
      <w:bookmarkEnd w:id="391"/>
    </w:p>
    <w:p w14:paraId="43D87B87">
      <w:pPr>
        <w:pStyle w:val="13"/>
        <w:spacing w:line="340" w:lineRule="exact"/>
        <w:ind w:left="0"/>
        <w:rPr>
          <w:rFonts w:ascii="宋体" w:hAnsi="宋体" w:eastAsia="宋体" w:cs="宋体"/>
          <w:b w:val="0"/>
          <w:snapToGrid w:val="0"/>
          <w:color w:val="auto"/>
          <w:spacing w:val="-2"/>
          <w:kern w:val="0"/>
          <w:sz w:val="24"/>
          <w:szCs w:val="24"/>
          <w:highlight w:val="none"/>
          <w:lang w:val="zh-CN" w:eastAsia="zh-CN" w:bidi="ar-SA"/>
        </w:rPr>
      </w:pPr>
      <w:bookmarkStart w:id="392" w:name="_Toc256000351"/>
      <w:bookmarkStart w:id="393" w:name="_Toc256000185"/>
      <w:r>
        <w:rPr>
          <w:rFonts w:ascii="宋体" w:hAnsi="宋体" w:eastAsia="宋体" w:cs="宋体"/>
          <w:b w:val="0"/>
          <w:snapToGrid w:val="0"/>
          <w:color w:val="auto"/>
          <w:spacing w:val="-2"/>
          <w:kern w:val="0"/>
          <w:sz w:val="20"/>
          <w:szCs w:val="20"/>
          <w:highlight w:val="none"/>
          <w:lang w:val="zh-CN" w:eastAsia="zh-CN" w:bidi="ar-SA"/>
        </w:rPr>
        <w:t>（8） 发包人不得以压低勘察设计费、增加工作量、缩短勘察设计周期等作为中标的条件，不得与中标人再行订立背离合同实质性内容的其它协议。</w:t>
      </w:r>
      <w:bookmarkEnd w:id="392"/>
      <w:bookmarkEnd w:id="393"/>
    </w:p>
    <w:p w14:paraId="66E56980">
      <w:pPr>
        <w:pStyle w:val="13"/>
        <w:ind w:left="0"/>
        <w:rPr>
          <w:rFonts w:ascii="Times New Roman" w:hAnsi="Times New Roman"/>
          <w:color w:val="auto"/>
          <w:highlight w:val="none"/>
          <w:lang w:eastAsia="zh-CN"/>
        </w:rPr>
      </w:pPr>
      <w:bookmarkStart w:id="394" w:name="_Toc256000352"/>
      <w:bookmarkStart w:id="395" w:name="_Toc256000186"/>
      <w:r>
        <w:rPr>
          <w:rFonts w:ascii="Times New Roman" w:hAnsi="Times New Roman"/>
          <w:color w:val="auto"/>
          <w:highlight w:val="none"/>
          <w:lang w:eastAsia="zh-CN"/>
        </w:rPr>
        <w:t>3. 发包人管理</w:t>
      </w:r>
      <w:bookmarkEnd w:id="379"/>
      <w:bookmarkEnd w:id="394"/>
      <w:bookmarkEnd w:id="395"/>
    </w:p>
    <w:p w14:paraId="00453516">
      <w:pPr>
        <w:pStyle w:val="15"/>
        <w:rPr>
          <w:color w:val="auto"/>
          <w:highlight w:val="none"/>
          <w:lang w:eastAsia="zh-CN"/>
        </w:rPr>
      </w:pPr>
      <w:bookmarkStart w:id="396" w:name="_Toc256000187"/>
      <w:bookmarkStart w:id="397" w:name="_Toc256000353"/>
      <w:bookmarkStart w:id="398" w:name="_Toc6992"/>
      <w:r>
        <w:rPr>
          <w:color w:val="auto"/>
          <w:highlight w:val="none"/>
          <w:lang w:eastAsia="zh-CN"/>
        </w:rPr>
        <w:t xml:space="preserve">3.1 </w:t>
      </w:r>
      <w:r>
        <w:rPr>
          <w:rFonts w:hint="eastAsia" w:ascii="宋体" w:hAnsi="宋体" w:eastAsia="宋体" w:cs="宋体"/>
          <w:color w:val="auto"/>
          <w:highlight w:val="none"/>
          <w:lang w:eastAsia="zh-CN"/>
        </w:rPr>
        <w:t>发包人代表</w:t>
      </w:r>
      <w:bookmarkEnd w:id="396"/>
      <w:bookmarkEnd w:id="397"/>
      <w:bookmarkEnd w:id="398"/>
    </w:p>
    <w:p w14:paraId="7B5B54C8">
      <w:pPr>
        <w:pStyle w:val="14"/>
        <w:spacing w:after="100" w:line="360" w:lineRule="auto"/>
        <w:ind w:firstLine="424" w:firstLineChars="200"/>
        <w:jc w:val="both"/>
        <w:rPr>
          <w:rFonts w:ascii="Times New Roman" w:hAnsi="Times New Roman" w:cs="Times New Roman"/>
          <w:color w:val="auto"/>
          <w:spacing w:val="-4"/>
          <w:szCs w:val="21"/>
          <w:highlight w:val="none"/>
          <w:lang w:val="zh-CN" w:eastAsia="zh-CN" w:bidi="zh-CN"/>
        </w:rPr>
      </w:pPr>
      <w:r>
        <w:rPr>
          <w:rFonts w:ascii="Times New Roman" w:hAnsi="Times New Roman" w:cs="Times New Roman"/>
          <w:color w:val="auto"/>
          <w:spacing w:val="-4"/>
          <w:szCs w:val="21"/>
          <w:highlight w:val="none"/>
          <w:lang w:eastAsia="zh-CN" w:bidi="zh-CN"/>
        </w:rPr>
        <w:t>3.1.1</w:t>
      </w:r>
      <w:r>
        <w:rPr>
          <w:rFonts w:ascii="Times New Roman" w:hAnsi="Times New Roman" w:cs="Times New Roman"/>
          <w:color w:val="auto"/>
          <w:spacing w:val="-4"/>
          <w:szCs w:val="21"/>
          <w:highlight w:val="none"/>
          <w:lang w:val="zh-CN" w:eastAsia="zh-CN" w:bidi="zh-CN"/>
        </w:rPr>
        <w:t>发包人书面通知</w:t>
      </w:r>
      <w:r>
        <w:rPr>
          <w:rFonts w:ascii="Times New Roman" w:hAnsi="Times New Roman" w:cs="Times New Roman"/>
          <w:color w:val="auto"/>
          <w:szCs w:val="21"/>
          <w:highlight w:val="none"/>
          <w:lang w:eastAsia="zh-CN"/>
        </w:rPr>
        <w:t>勘察设计</w:t>
      </w:r>
      <w:r>
        <w:rPr>
          <w:rFonts w:ascii="Times New Roman" w:hAnsi="Times New Roman" w:cs="Times New Roman"/>
          <w:color w:val="auto"/>
          <w:spacing w:val="-4"/>
          <w:szCs w:val="21"/>
          <w:highlight w:val="none"/>
          <w:lang w:val="zh-CN" w:eastAsia="zh-CN" w:bidi="zh-CN"/>
        </w:rPr>
        <w:t>人发包人代表的期限：</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签订合同7天内</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w:t>
      </w:r>
    </w:p>
    <w:p w14:paraId="2EDA0453">
      <w:pPr>
        <w:pStyle w:val="15"/>
        <w:rPr>
          <w:color w:val="auto"/>
          <w:highlight w:val="none"/>
          <w:lang w:eastAsia="zh-CN"/>
        </w:rPr>
      </w:pPr>
      <w:bookmarkStart w:id="399" w:name="_Toc256000188"/>
      <w:bookmarkStart w:id="400" w:name="_Toc256000354"/>
      <w:bookmarkStart w:id="401" w:name="_Toc21718"/>
      <w:r>
        <w:rPr>
          <w:color w:val="auto"/>
          <w:highlight w:val="none"/>
          <w:lang w:eastAsia="zh-CN"/>
        </w:rPr>
        <w:t xml:space="preserve">3.2 </w:t>
      </w:r>
      <w:r>
        <w:rPr>
          <w:rFonts w:hint="eastAsia" w:ascii="宋体" w:hAnsi="宋体" w:eastAsia="宋体" w:cs="宋体"/>
          <w:color w:val="auto"/>
          <w:highlight w:val="none"/>
          <w:lang w:eastAsia="zh-CN"/>
        </w:rPr>
        <w:t>监理人</w:t>
      </w:r>
      <w:bookmarkEnd w:id="399"/>
      <w:bookmarkEnd w:id="400"/>
      <w:bookmarkEnd w:id="401"/>
    </w:p>
    <w:p w14:paraId="7C072775">
      <w:pPr>
        <w:pStyle w:val="14"/>
        <w:spacing w:line="360" w:lineRule="auto"/>
        <w:ind w:firstLine="424" w:firstLineChars="200"/>
        <w:jc w:val="both"/>
        <w:rPr>
          <w:rFonts w:ascii="Times New Roman" w:hAnsi="Times New Roman" w:cs="Times New Roman"/>
          <w:color w:val="auto"/>
          <w:spacing w:val="-4"/>
          <w:szCs w:val="21"/>
          <w:highlight w:val="none"/>
          <w:lang w:val="zh-CN" w:eastAsia="zh-CN" w:bidi="zh-CN"/>
        </w:rPr>
      </w:pPr>
      <w:r>
        <w:rPr>
          <w:rFonts w:ascii="Times New Roman" w:hAnsi="Times New Roman" w:cs="Times New Roman"/>
          <w:color w:val="auto"/>
          <w:spacing w:val="-4"/>
          <w:szCs w:val="21"/>
          <w:highlight w:val="none"/>
          <w:lang w:val="zh-CN" w:eastAsia="zh-CN" w:bidi="zh-CN"/>
        </w:rPr>
        <w:t>本工程是否委托监理人进行</w:t>
      </w:r>
      <w:r>
        <w:rPr>
          <w:rFonts w:ascii="Times New Roman" w:hAnsi="Times New Roman" w:cs="Times New Roman"/>
          <w:color w:val="auto"/>
          <w:szCs w:val="21"/>
          <w:highlight w:val="none"/>
          <w:lang w:eastAsia="zh-CN"/>
        </w:rPr>
        <w:t>勘察设计</w:t>
      </w:r>
      <w:r>
        <w:rPr>
          <w:rFonts w:ascii="Times New Roman" w:hAnsi="Times New Roman" w:cs="Times New Roman"/>
          <w:color w:val="auto"/>
          <w:spacing w:val="-4"/>
          <w:szCs w:val="21"/>
          <w:highlight w:val="none"/>
          <w:lang w:val="zh-CN" w:eastAsia="zh-CN" w:bidi="zh-CN"/>
        </w:rPr>
        <w:t>监理：</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w:t>
      </w:r>
    </w:p>
    <w:p w14:paraId="55CA3484">
      <w:pPr>
        <w:pStyle w:val="14"/>
        <w:spacing w:line="360" w:lineRule="auto"/>
        <w:ind w:firstLine="440"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zCs w:val="21"/>
          <w:highlight w:val="none"/>
          <w:lang w:val="zh-CN" w:eastAsia="zh-CN" w:bidi="zh-CN"/>
        </w:rPr>
        <w:t>如进行</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监理，监理人的监理范围包括：</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w:t>
      </w:r>
      <w:r>
        <w:rPr>
          <w:rFonts w:ascii="Times New Roman" w:hAnsi="Times New Roman" w:cs="Times New Roman"/>
          <w:color w:val="auto"/>
          <w:szCs w:val="21"/>
          <w:highlight w:val="none"/>
          <w:lang w:val="zh-CN" w:eastAsia="zh-CN" w:bidi="zh-CN"/>
        </w:rPr>
        <w:t>职责权限：</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w:t>
      </w:r>
      <w:r>
        <w:rPr>
          <w:rFonts w:ascii="Times New Roman" w:hAnsi="Times New Roman" w:cs="Times New Roman"/>
          <w:color w:val="auto"/>
          <w:szCs w:val="21"/>
          <w:highlight w:val="none"/>
          <w:lang w:val="zh-CN" w:eastAsia="zh-CN" w:bidi="zh-CN"/>
        </w:rPr>
        <w:t>总监理工程师：</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w:t>
      </w:r>
    </w:p>
    <w:p w14:paraId="32863DAF">
      <w:pPr>
        <w:pStyle w:val="15"/>
        <w:rPr>
          <w:color w:val="auto"/>
          <w:highlight w:val="none"/>
          <w:lang w:eastAsia="zh-CN"/>
        </w:rPr>
      </w:pPr>
      <w:bookmarkStart w:id="402" w:name="_Toc1288"/>
      <w:bookmarkStart w:id="403" w:name="_Toc256000189"/>
      <w:bookmarkStart w:id="404" w:name="_Toc256000355"/>
      <w:r>
        <w:rPr>
          <w:color w:val="auto"/>
          <w:highlight w:val="none"/>
          <w:lang w:eastAsia="zh-CN"/>
        </w:rPr>
        <w:t xml:space="preserve">3.3 </w:t>
      </w:r>
      <w:r>
        <w:rPr>
          <w:rFonts w:hint="eastAsia" w:ascii="宋体" w:hAnsi="宋体" w:eastAsia="宋体" w:cs="宋体"/>
          <w:color w:val="auto"/>
          <w:highlight w:val="none"/>
          <w:lang w:eastAsia="zh-CN"/>
        </w:rPr>
        <w:t>发包人的指示</w:t>
      </w:r>
      <w:bookmarkEnd w:id="402"/>
      <w:bookmarkEnd w:id="403"/>
      <w:bookmarkEnd w:id="404"/>
    </w:p>
    <w:p w14:paraId="29F9DC31">
      <w:pPr>
        <w:pStyle w:val="14"/>
        <w:spacing w:line="360" w:lineRule="auto"/>
        <w:ind w:firstLine="424"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pacing w:val="-4"/>
          <w:szCs w:val="21"/>
          <w:highlight w:val="none"/>
          <w:lang w:eastAsia="zh-CN" w:bidi="zh-CN"/>
        </w:rPr>
        <w:t>3.3.4</w:t>
      </w:r>
      <w:r>
        <w:rPr>
          <w:rFonts w:ascii="Times New Roman" w:hAnsi="Times New Roman" w:cs="Times New Roman"/>
          <w:color w:val="auto"/>
          <w:szCs w:val="21"/>
          <w:highlight w:val="none"/>
          <w:lang w:eastAsia="zh-CN"/>
        </w:rPr>
        <w:t>勘察设计</w:t>
      </w:r>
      <w:r>
        <w:rPr>
          <w:rFonts w:ascii="Times New Roman" w:hAnsi="Times New Roman" w:cs="Times New Roman"/>
          <w:color w:val="auto"/>
          <w:spacing w:val="-4"/>
          <w:szCs w:val="21"/>
          <w:highlight w:val="none"/>
          <w:lang w:val="zh-CN" w:eastAsia="zh-CN" w:bidi="zh-CN"/>
        </w:rPr>
        <w:t>人除从发包人代表或按第</w:t>
      </w:r>
      <w:r>
        <w:rPr>
          <w:rFonts w:ascii="Times New Roman" w:hAnsi="Times New Roman" w:cs="Times New Roman"/>
          <w:color w:val="auto"/>
          <w:spacing w:val="-4"/>
          <w:szCs w:val="21"/>
          <w:highlight w:val="none"/>
          <w:lang w:eastAsia="zh-CN" w:bidi="zh-CN"/>
        </w:rPr>
        <w:t>3.1.4项约定的被授权人员处取得指示外，还可从</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处取得指示。</w:t>
      </w:r>
    </w:p>
    <w:p w14:paraId="356FABC8">
      <w:pPr>
        <w:pStyle w:val="15"/>
        <w:rPr>
          <w:color w:val="auto"/>
          <w:highlight w:val="none"/>
          <w:lang w:eastAsia="zh-CN"/>
        </w:rPr>
      </w:pPr>
      <w:bookmarkStart w:id="405" w:name="_Toc9489"/>
      <w:bookmarkStart w:id="406" w:name="_Toc256000190"/>
      <w:bookmarkStart w:id="407" w:name="_Toc256000356"/>
      <w:r>
        <w:rPr>
          <w:color w:val="auto"/>
          <w:highlight w:val="none"/>
          <w:lang w:eastAsia="zh-CN"/>
        </w:rPr>
        <w:t xml:space="preserve">3.4 </w:t>
      </w:r>
      <w:r>
        <w:rPr>
          <w:rFonts w:hint="eastAsia" w:ascii="宋体" w:hAnsi="宋体" w:eastAsia="宋体" w:cs="宋体"/>
          <w:color w:val="auto"/>
          <w:highlight w:val="none"/>
          <w:lang w:eastAsia="zh-CN"/>
        </w:rPr>
        <w:t>决定或答复</w:t>
      </w:r>
      <w:bookmarkEnd w:id="405"/>
      <w:bookmarkEnd w:id="406"/>
      <w:bookmarkEnd w:id="407"/>
    </w:p>
    <w:p w14:paraId="5AAE9F31">
      <w:pPr>
        <w:pStyle w:val="14"/>
        <w:spacing w:line="360" w:lineRule="auto"/>
        <w:ind w:firstLine="424"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pacing w:val="-4"/>
          <w:szCs w:val="21"/>
          <w:highlight w:val="none"/>
          <w:lang w:eastAsia="zh-CN" w:bidi="zh-CN"/>
        </w:rPr>
        <w:t>3.4.2发包人应在</w:t>
      </w:r>
      <w:r>
        <w:rPr>
          <w:rFonts w:ascii="Times New Roman" w:hAnsi="Times New Roman" w:cs="Times New Roman"/>
          <w:color w:val="auto"/>
          <w:spacing w:val="-4"/>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收到书面提问7天内</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pacing w:val="-4"/>
          <w:szCs w:val="21"/>
          <w:highlight w:val="none"/>
          <w:u w:val="single"/>
          <w:lang w:eastAsia="zh-CN" w:bidi="zh-CN"/>
        </w:rPr>
        <w:t xml:space="preserve"> </w:t>
      </w:r>
      <w:r>
        <w:rPr>
          <w:rFonts w:ascii="Times New Roman" w:hAnsi="Times New Roman" w:cs="Times New Roman"/>
          <w:color w:val="auto"/>
          <w:spacing w:val="-4"/>
          <w:szCs w:val="21"/>
          <w:highlight w:val="none"/>
          <w:lang w:eastAsia="zh-CN" w:bidi="zh-CN"/>
        </w:rPr>
        <w:t>，对</w:t>
      </w:r>
      <w:r>
        <w:rPr>
          <w:rFonts w:ascii="Times New Roman" w:hAnsi="Times New Roman" w:cs="Times New Roman"/>
          <w:color w:val="auto"/>
          <w:szCs w:val="21"/>
          <w:highlight w:val="none"/>
          <w:lang w:eastAsia="zh-CN"/>
        </w:rPr>
        <w:t>勘察设计</w:t>
      </w:r>
      <w:r>
        <w:rPr>
          <w:rFonts w:ascii="Times New Roman" w:hAnsi="Times New Roman" w:cs="Times New Roman"/>
          <w:color w:val="auto"/>
          <w:spacing w:val="-4"/>
          <w:szCs w:val="21"/>
          <w:highlight w:val="none"/>
          <w:lang w:eastAsia="zh-CN" w:bidi="zh-CN"/>
        </w:rPr>
        <w:t>人书面提出的事项作出书面答复；逾期没有作出答复的，视为已获得发包人的批准。</w:t>
      </w:r>
    </w:p>
    <w:p w14:paraId="1086D919">
      <w:pPr>
        <w:pStyle w:val="13"/>
        <w:ind w:left="0"/>
        <w:rPr>
          <w:rFonts w:ascii="Times New Roman" w:hAnsi="Times New Roman"/>
          <w:color w:val="auto"/>
          <w:highlight w:val="none"/>
          <w:lang w:eastAsia="zh-CN"/>
        </w:rPr>
      </w:pPr>
      <w:bookmarkStart w:id="408" w:name="_Toc256000191"/>
      <w:bookmarkStart w:id="409" w:name="_Toc256000357"/>
      <w:bookmarkStart w:id="410" w:name="_Toc7748"/>
      <w:r>
        <w:rPr>
          <w:rFonts w:ascii="Times New Roman" w:hAnsi="Times New Roman"/>
          <w:color w:val="auto"/>
          <w:highlight w:val="none"/>
          <w:lang w:eastAsia="zh-CN"/>
        </w:rPr>
        <w:t>4. 勘察设计人义务</w:t>
      </w:r>
      <w:bookmarkEnd w:id="408"/>
      <w:bookmarkEnd w:id="409"/>
      <w:bookmarkEnd w:id="410"/>
    </w:p>
    <w:p w14:paraId="2D5D6E2F">
      <w:pPr>
        <w:pStyle w:val="15"/>
        <w:rPr>
          <w:color w:val="auto"/>
          <w:highlight w:val="none"/>
          <w:lang w:eastAsia="zh-CN"/>
        </w:rPr>
      </w:pPr>
      <w:bookmarkStart w:id="411" w:name="_Toc256000358"/>
      <w:bookmarkStart w:id="412" w:name="_Toc256000192"/>
      <w:bookmarkStart w:id="413" w:name="_Toc9526"/>
      <w:r>
        <w:rPr>
          <w:color w:val="auto"/>
          <w:highlight w:val="none"/>
          <w:lang w:eastAsia="zh-CN"/>
        </w:rPr>
        <w:t xml:space="preserve">4.1 </w:t>
      </w:r>
      <w:r>
        <w:rPr>
          <w:rFonts w:hint="eastAsia" w:ascii="宋体" w:hAnsi="宋体" w:eastAsia="宋体" w:cs="宋体"/>
          <w:color w:val="auto"/>
          <w:highlight w:val="none"/>
          <w:lang w:eastAsia="zh-CN"/>
        </w:rPr>
        <w:t>勘察设计人的一般义务</w:t>
      </w:r>
      <w:bookmarkEnd w:id="411"/>
      <w:bookmarkEnd w:id="412"/>
      <w:bookmarkEnd w:id="413"/>
    </w:p>
    <w:p w14:paraId="60A4285E">
      <w:pPr>
        <w:pStyle w:val="14"/>
        <w:spacing w:after="100" w:line="320" w:lineRule="exact"/>
        <w:ind w:firstLine="400" w:firstLineChars="200"/>
        <w:jc w:val="both"/>
        <w:rPr>
          <w:rFonts w:ascii="Times New Roman" w:hAnsi="Times New Roman" w:cs="Times New Roman"/>
          <w:color w:val="auto"/>
          <w:sz w:val="20"/>
          <w:szCs w:val="20"/>
          <w:highlight w:val="none"/>
          <w:lang w:val="zh-CN" w:eastAsia="zh-CN" w:bidi="zh-CN"/>
        </w:rPr>
      </w:pPr>
      <w:r>
        <w:rPr>
          <w:rFonts w:ascii="Times New Roman" w:hAnsi="Times New Roman" w:cs="Times New Roman"/>
          <w:color w:val="auto"/>
          <w:sz w:val="20"/>
          <w:szCs w:val="20"/>
          <w:highlight w:val="none"/>
          <w:lang w:val="zh-CN" w:eastAsia="zh-CN" w:bidi="zh-CN"/>
        </w:rPr>
        <w:t>4.1.6  其他义务</w:t>
      </w:r>
      <w:r>
        <w:rPr>
          <w:rFonts w:ascii="Times New Roman" w:hAnsi="Times New Roman" w:cs="Times New Roman"/>
          <w:color w:val="auto"/>
          <w:spacing w:val="-4"/>
          <w:sz w:val="20"/>
          <w:szCs w:val="20"/>
          <w:highlight w:val="none"/>
          <w:lang w:val="zh-CN" w:eastAsia="zh-CN" w:bidi="zh-CN"/>
        </w:rPr>
        <w:t>（根据发包人的合同管理要求补充）</w:t>
      </w:r>
    </w:p>
    <w:p w14:paraId="2C158F8A">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414" w:name="_Toc256000359"/>
      <w:bookmarkStart w:id="415" w:name="_Toc256000193"/>
      <w:bookmarkStart w:id="416" w:name="_Toc32115"/>
      <w:r>
        <w:rPr>
          <w:rFonts w:hint="eastAsia" w:ascii="宋体" w:hAnsi="宋体" w:eastAsia="宋体" w:cs="宋体"/>
          <w:b w:val="0"/>
          <w:snapToGrid w:val="0"/>
          <w:color w:val="auto"/>
          <w:spacing w:val="-2"/>
          <w:kern w:val="0"/>
          <w:sz w:val="20"/>
          <w:szCs w:val="20"/>
          <w:highlight w:val="none"/>
          <w:lang w:val="zh-CN" w:eastAsia="zh-CN" w:bidi="ar-SA"/>
        </w:rPr>
        <w:t>（</w:t>
      </w:r>
      <w:r>
        <w:rPr>
          <w:rFonts w:ascii="宋体" w:hAnsi="宋体" w:eastAsia="宋体" w:cs="宋体"/>
          <w:b w:val="0"/>
          <w:snapToGrid w:val="0"/>
          <w:color w:val="auto"/>
          <w:spacing w:val="-2"/>
          <w:kern w:val="0"/>
          <w:sz w:val="20"/>
          <w:szCs w:val="20"/>
          <w:highlight w:val="none"/>
          <w:lang w:val="zh-CN" w:eastAsia="zh-CN" w:bidi="ar-SA"/>
        </w:rPr>
        <w:t>1</w:t>
      </w:r>
      <w:r>
        <w:rPr>
          <w:rFonts w:hint="eastAsia" w:ascii="宋体" w:hAnsi="宋体" w:eastAsia="宋体" w:cs="宋体"/>
          <w:b w:val="0"/>
          <w:snapToGrid w:val="0"/>
          <w:color w:val="auto"/>
          <w:spacing w:val="-2"/>
          <w:kern w:val="0"/>
          <w:sz w:val="20"/>
          <w:szCs w:val="20"/>
          <w:highlight w:val="none"/>
          <w:lang w:val="zh-CN" w:eastAsia="zh-CN" w:bidi="ar-SA"/>
        </w:rPr>
        <w:t>）勘察设计人应根据本合同工程项目的具体情况，按照国家有关工程建设标准强制性条文和水利部等主管部门关于勘察设计方面的现行技术标准、规范、规程、定额、办法、示例等有关规定，完成本合同工程的勘察设计工作。</w:t>
      </w:r>
      <w:bookmarkEnd w:id="414"/>
      <w:bookmarkEnd w:id="415"/>
    </w:p>
    <w:p w14:paraId="4F8C2A61">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417" w:name="_Toc256000194"/>
      <w:bookmarkStart w:id="418" w:name="_Toc256000360"/>
      <w:r>
        <w:rPr>
          <w:rFonts w:hint="eastAsia" w:ascii="宋体" w:hAnsi="宋体" w:eastAsia="宋体" w:cs="宋体"/>
          <w:b w:val="0"/>
          <w:snapToGrid w:val="0"/>
          <w:color w:val="auto"/>
          <w:spacing w:val="-2"/>
          <w:kern w:val="0"/>
          <w:sz w:val="20"/>
          <w:szCs w:val="20"/>
          <w:highlight w:val="none"/>
          <w:lang w:val="zh-CN" w:eastAsia="zh-CN" w:bidi="ar-SA"/>
        </w:rPr>
        <w:t>（</w:t>
      </w:r>
      <w:r>
        <w:rPr>
          <w:rFonts w:ascii="宋体" w:hAnsi="宋体" w:eastAsia="宋体" w:cs="宋体"/>
          <w:b w:val="0"/>
          <w:snapToGrid w:val="0"/>
          <w:color w:val="auto"/>
          <w:spacing w:val="-2"/>
          <w:kern w:val="0"/>
          <w:sz w:val="20"/>
          <w:szCs w:val="20"/>
          <w:highlight w:val="none"/>
          <w:lang w:val="zh-CN" w:eastAsia="zh-CN" w:bidi="ar-SA"/>
        </w:rPr>
        <w:t>2</w:t>
      </w:r>
      <w:r>
        <w:rPr>
          <w:rFonts w:hint="eastAsia" w:ascii="宋体" w:hAnsi="宋体" w:eastAsia="宋体" w:cs="宋体"/>
          <w:b w:val="0"/>
          <w:snapToGrid w:val="0"/>
          <w:color w:val="auto"/>
          <w:spacing w:val="-2"/>
          <w:kern w:val="0"/>
          <w:sz w:val="20"/>
          <w:szCs w:val="20"/>
          <w:highlight w:val="none"/>
          <w:lang w:val="zh-CN" w:eastAsia="zh-CN" w:bidi="ar-SA"/>
        </w:rPr>
        <w:t>）勘察设计人应做好勘察设计的质量管理工作，建立健全勘察设计质量保证体系，加强勘察设计全过程的质量控制，建立完整的勘察设计文件的设计、复核、审核、会签和批准制度，明确各阶段的责任人，并对本合同工程的勘察设计质量负责。</w:t>
      </w:r>
      <w:bookmarkEnd w:id="417"/>
      <w:bookmarkEnd w:id="418"/>
    </w:p>
    <w:p w14:paraId="67CF9315">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419" w:name="_Toc256000195"/>
      <w:bookmarkStart w:id="420" w:name="_Toc256000361"/>
      <w:r>
        <w:rPr>
          <w:rFonts w:hint="eastAsia" w:ascii="宋体" w:hAnsi="宋体" w:eastAsia="宋体" w:cs="宋体"/>
          <w:b w:val="0"/>
          <w:snapToGrid w:val="0"/>
          <w:color w:val="auto"/>
          <w:spacing w:val="-2"/>
          <w:kern w:val="0"/>
          <w:sz w:val="20"/>
          <w:szCs w:val="20"/>
          <w:highlight w:val="none"/>
          <w:lang w:val="zh-CN" w:eastAsia="zh-CN" w:bidi="ar-SA"/>
        </w:rPr>
        <w:t>（</w:t>
      </w:r>
      <w:r>
        <w:rPr>
          <w:rFonts w:ascii="宋体" w:hAnsi="宋体" w:eastAsia="宋体" w:cs="宋体"/>
          <w:b w:val="0"/>
          <w:snapToGrid w:val="0"/>
          <w:color w:val="auto"/>
          <w:spacing w:val="-2"/>
          <w:kern w:val="0"/>
          <w:sz w:val="20"/>
          <w:szCs w:val="20"/>
          <w:highlight w:val="none"/>
          <w:lang w:val="zh-CN" w:eastAsia="zh-CN" w:bidi="ar-SA"/>
        </w:rPr>
        <w:t>3</w:t>
      </w:r>
      <w:r>
        <w:rPr>
          <w:rFonts w:hint="eastAsia" w:ascii="宋体" w:hAnsi="宋体" w:eastAsia="宋体" w:cs="宋体"/>
          <w:b w:val="0"/>
          <w:snapToGrid w:val="0"/>
          <w:color w:val="auto"/>
          <w:spacing w:val="-2"/>
          <w:kern w:val="0"/>
          <w:sz w:val="20"/>
          <w:szCs w:val="20"/>
          <w:highlight w:val="none"/>
          <w:lang w:val="zh-CN" w:eastAsia="zh-CN" w:bidi="ar-SA"/>
        </w:rPr>
        <w:t>）勘察设计人提供的勘察测量成果必须真实、准确、可靠并对其负责，以及根据勘察测量成果文件进行本合同工程勘察设计。</w:t>
      </w:r>
      <w:bookmarkEnd w:id="419"/>
      <w:bookmarkEnd w:id="420"/>
    </w:p>
    <w:p w14:paraId="0F7D7E82">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421" w:name="_Toc256000362"/>
      <w:bookmarkStart w:id="422" w:name="_Toc256000196"/>
      <w:r>
        <w:rPr>
          <w:rFonts w:hint="eastAsia" w:ascii="宋体" w:hAnsi="宋体" w:eastAsia="宋体" w:cs="宋体"/>
          <w:b w:val="0"/>
          <w:snapToGrid w:val="0"/>
          <w:color w:val="auto"/>
          <w:spacing w:val="-2"/>
          <w:kern w:val="0"/>
          <w:sz w:val="20"/>
          <w:szCs w:val="20"/>
          <w:highlight w:val="none"/>
          <w:lang w:val="zh-CN" w:eastAsia="zh-CN" w:bidi="ar-SA"/>
        </w:rPr>
        <w:t>（</w:t>
      </w:r>
      <w:r>
        <w:rPr>
          <w:rFonts w:ascii="宋体" w:hAnsi="宋体" w:eastAsia="宋体" w:cs="宋体"/>
          <w:b w:val="0"/>
          <w:snapToGrid w:val="0"/>
          <w:color w:val="auto"/>
          <w:spacing w:val="-2"/>
          <w:kern w:val="0"/>
          <w:sz w:val="20"/>
          <w:szCs w:val="20"/>
          <w:highlight w:val="none"/>
          <w:lang w:val="zh-CN" w:eastAsia="zh-CN" w:bidi="ar-SA"/>
        </w:rPr>
        <w:t>4</w:t>
      </w:r>
      <w:r>
        <w:rPr>
          <w:rFonts w:hint="eastAsia" w:ascii="宋体" w:hAnsi="宋体" w:eastAsia="宋体" w:cs="宋体"/>
          <w:b w:val="0"/>
          <w:snapToGrid w:val="0"/>
          <w:color w:val="auto"/>
          <w:spacing w:val="-2"/>
          <w:kern w:val="0"/>
          <w:sz w:val="20"/>
          <w:szCs w:val="20"/>
          <w:highlight w:val="none"/>
          <w:lang w:val="zh-CN" w:eastAsia="zh-CN" w:bidi="ar-SA"/>
        </w:rPr>
        <w:t>）勘察设计人必须遵循国家法律和有关方针政策，贯彻</w:t>
      </w:r>
      <w:r>
        <w:rPr>
          <w:rFonts w:ascii="宋体" w:hAnsi="宋体" w:eastAsia="宋体" w:cs="宋体"/>
          <w:b w:val="0"/>
          <w:snapToGrid w:val="0"/>
          <w:color w:val="auto"/>
          <w:spacing w:val="-2"/>
          <w:kern w:val="0"/>
          <w:sz w:val="20"/>
          <w:szCs w:val="20"/>
          <w:highlight w:val="none"/>
          <w:lang w:val="zh-CN" w:eastAsia="zh-CN" w:bidi="ar-SA"/>
        </w:rPr>
        <w:t>“</w:t>
      </w:r>
      <w:r>
        <w:rPr>
          <w:rFonts w:hint="eastAsia" w:ascii="宋体" w:hAnsi="宋体" w:eastAsia="宋体" w:cs="宋体"/>
          <w:b w:val="0"/>
          <w:snapToGrid w:val="0"/>
          <w:color w:val="auto"/>
          <w:spacing w:val="-2"/>
          <w:kern w:val="0"/>
          <w:sz w:val="20"/>
          <w:szCs w:val="20"/>
          <w:highlight w:val="none"/>
          <w:lang w:val="zh-CN" w:eastAsia="zh-CN" w:bidi="ar-SA"/>
        </w:rPr>
        <w:t>技术可行、实施可能、经济合理</w:t>
      </w:r>
      <w:r>
        <w:rPr>
          <w:rFonts w:ascii="宋体" w:hAnsi="宋体" w:eastAsia="宋体" w:cs="宋体"/>
          <w:b w:val="0"/>
          <w:snapToGrid w:val="0"/>
          <w:color w:val="auto"/>
          <w:spacing w:val="-2"/>
          <w:kern w:val="0"/>
          <w:sz w:val="20"/>
          <w:szCs w:val="20"/>
          <w:highlight w:val="none"/>
          <w:lang w:val="zh-CN" w:eastAsia="zh-CN" w:bidi="ar-SA"/>
        </w:rPr>
        <w:t>”</w:t>
      </w:r>
      <w:r>
        <w:rPr>
          <w:rFonts w:hint="eastAsia" w:ascii="宋体" w:hAnsi="宋体" w:eastAsia="宋体" w:cs="宋体"/>
          <w:b w:val="0"/>
          <w:snapToGrid w:val="0"/>
          <w:color w:val="auto"/>
          <w:spacing w:val="-2"/>
          <w:kern w:val="0"/>
          <w:sz w:val="20"/>
          <w:szCs w:val="20"/>
          <w:highlight w:val="none"/>
          <w:lang w:val="zh-CN" w:eastAsia="zh-CN" w:bidi="ar-SA"/>
        </w:rPr>
        <w:t>的基本原则，加强总体设计，重视与周围环境的协调，节约资源，保护环境，充分发挥本合同工程的经济、社会和环境的综合效益。</w:t>
      </w:r>
      <w:bookmarkEnd w:id="421"/>
      <w:bookmarkEnd w:id="422"/>
    </w:p>
    <w:p w14:paraId="4386847A">
      <w:pPr>
        <w:pStyle w:val="13"/>
        <w:spacing w:line="340" w:lineRule="exact"/>
        <w:ind w:left="0"/>
        <w:rPr>
          <w:rFonts w:ascii="宋体" w:hAnsi="宋体" w:eastAsia="宋体" w:cs="宋体"/>
          <w:b w:val="0"/>
          <w:snapToGrid w:val="0"/>
          <w:color w:val="auto"/>
          <w:spacing w:val="-2"/>
          <w:kern w:val="0"/>
          <w:sz w:val="20"/>
          <w:szCs w:val="20"/>
          <w:highlight w:val="none"/>
          <w:lang w:val="zh-CN" w:eastAsia="zh-CN" w:bidi="ar-SA"/>
        </w:rPr>
      </w:pPr>
      <w:bookmarkStart w:id="423" w:name="_Toc256000363"/>
      <w:bookmarkStart w:id="424" w:name="_Toc256000197"/>
      <w:r>
        <w:rPr>
          <w:rFonts w:hint="eastAsia" w:ascii="宋体" w:hAnsi="宋体" w:eastAsia="宋体" w:cs="宋体"/>
          <w:b w:val="0"/>
          <w:snapToGrid w:val="0"/>
          <w:color w:val="auto"/>
          <w:spacing w:val="-2"/>
          <w:kern w:val="0"/>
          <w:sz w:val="20"/>
          <w:szCs w:val="20"/>
          <w:highlight w:val="none"/>
          <w:lang w:val="zh-CN" w:eastAsia="zh-CN" w:bidi="ar-SA"/>
        </w:rPr>
        <w:t>（</w:t>
      </w:r>
      <w:r>
        <w:rPr>
          <w:rFonts w:ascii="宋体" w:hAnsi="宋体" w:eastAsia="宋体" w:cs="宋体"/>
          <w:b w:val="0"/>
          <w:snapToGrid w:val="0"/>
          <w:color w:val="auto"/>
          <w:spacing w:val="-2"/>
          <w:kern w:val="0"/>
          <w:sz w:val="20"/>
          <w:szCs w:val="20"/>
          <w:highlight w:val="none"/>
          <w:lang w:val="zh-CN" w:eastAsia="zh-CN" w:bidi="ar-SA"/>
        </w:rPr>
        <w:t>5</w:t>
      </w:r>
      <w:r>
        <w:rPr>
          <w:rFonts w:hint="eastAsia" w:ascii="宋体" w:hAnsi="宋体" w:eastAsia="宋体" w:cs="宋体"/>
          <w:b w:val="0"/>
          <w:snapToGrid w:val="0"/>
          <w:color w:val="auto"/>
          <w:spacing w:val="-2"/>
          <w:kern w:val="0"/>
          <w:sz w:val="20"/>
          <w:szCs w:val="20"/>
          <w:highlight w:val="none"/>
          <w:lang w:val="zh-CN" w:eastAsia="zh-CN" w:bidi="ar-SA"/>
        </w:rPr>
        <w:t>）勘察设计文件必须符合下列要求：</w:t>
      </w:r>
      <w:bookmarkEnd w:id="423"/>
      <w:bookmarkEnd w:id="424"/>
      <w:r>
        <w:rPr>
          <w:rFonts w:ascii="宋体" w:hAnsi="宋体" w:eastAsia="宋体" w:cs="宋体"/>
          <w:b w:val="0"/>
          <w:snapToGrid w:val="0"/>
          <w:color w:val="auto"/>
          <w:spacing w:val="-2"/>
          <w:kern w:val="0"/>
          <w:sz w:val="20"/>
          <w:szCs w:val="20"/>
          <w:highlight w:val="none"/>
          <w:lang w:val="zh-CN" w:eastAsia="zh-CN" w:bidi="ar-SA"/>
        </w:rPr>
        <w:t xml:space="preserve"> </w:t>
      </w:r>
    </w:p>
    <w:p w14:paraId="798EBFF3">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25" w:name="_Toc256000364"/>
      <w:bookmarkStart w:id="426" w:name="_Toc256000198"/>
      <w:r>
        <w:rPr>
          <w:rFonts w:hint="eastAsia" w:ascii="宋体" w:hAnsi="宋体" w:eastAsia="宋体" w:cs="宋体"/>
          <w:b w:val="0"/>
          <w:snapToGrid w:val="0"/>
          <w:color w:val="auto"/>
          <w:spacing w:val="-2"/>
          <w:kern w:val="0"/>
          <w:sz w:val="20"/>
          <w:szCs w:val="20"/>
          <w:highlight w:val="none"/>
          <w:lang w:val="zh-CN" w:eastAsia="zh-CN" w:bidi="ar-SA"/>
        </w:rPr>
        <w:t>1.勘察设计文件的编制必须严格执行国家基建程序、工程建设标准强制性条文及有关同类工程建设的法律、法规、规章、规范、标准、规程、定额和合同的要求；</w:t>
      </w:r>
      <w:bookmarkEnd w:id="425"/>
      <w:bookmarkEnd w:id="426"/>
    </w:p>
    <w:p w14:paraId="6A85B899">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27" w:name="_Toc256000365"/>
      <w:bookmarkStart w:id="428" w:name="_Toc256000199"/>
      <w:r>
        <w:rPr>
          <w:rFonts w:hint="eastAsia" w:ascii="宋体" w:hAnsi="宋体" w:eastAsia="宋体" w:cs="宋体"/>
          <w:b w:val="0"/>
          <w:snapToGrid w:val="0"/>
          <w:color w:val="auto"/>
          <w:spacing w:val="-2"/>
          <w:kern w:val="0"/>
          <w:sz w:val="20"/>
          <w:szCs w:val="20"/>
          <w:highlight w:val="none"/>
          <w:lang w:val="zh-CN" w:eastAsia="zh-CN" w:bidi="ar-SA"/>
        </w:rPr>
        <w:t>2.勘察设计依据的基本资料应完整、准确、可靠，勘察设计方案论证充分，计算可靠，并符合系统运行安全要求；</w:t>
      </w:r>
      <w:bookmarkEnd w:id="427"/>
      <w:bookmarkEnd w:id="428"/>
    </w:p>
    <w:p w14:paraId="7676CBA7">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29" w:name="_Toc256000366"/>
      <w:bookmarkStart w:id="430" w:name="_Toc256000200"/>
      <w:r>
        <w:rPr>
          <w:rFonts w:hint="eastAsia" w:ascii="宋体" w:hAnsi="宋体" w:eastAsia="宋体" w:cs="宋体"/>
          <w:b w:val="0"/>
          <w:snapToGrid w:val="0"/>
          <w:color w:val="auto"/>
          <w:spacing w:val="-2"/>
          <w:kern w:val="0"/>
          <w:sz w:val="20"/>
          <w:szCs w:val="20"/>
          <w:highlight w:val="none"/>
          <w:lang w:val="zh-CN" w:eastAsia="zh-CN" w:bidi="ar-SA"/>
        </w:rPr>
        <w:t>3.勘察设计文件的深度应满足勘察设计阶段的有关规定要求，并符合相关规范的要求；</w:t>
      </w:r>
      <w:bookmarkEnd w:id="429"/>
      <w:bookmarkEnd w:id="430"/>
    </w:p>
    <w:p w14:paraId="2F6C8D18">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31" w:name="_Toc256000201"/>
      <w:bookmarkStart w:id="432" w:name="_Toc256000367"/>
      <w:r>
        <w:rPr>
          <w:rFonts w:hint="eastAsia" w:ascii="宋体" w:hAnsi="宋体" w:eastAsia="宋体" w:cs="宋体"/>
          <w:b w:val="0"/>
          <w:snapToGrid w:val="0"/>
          <w:color w:val="auto"/>
          <w:spacing w:val="-2"/>
          <w:kern w:val="0"/>
          <w:sz w:val="20"/>
          <w:szCs w:val="20"/>
          <w:highlight w:val="none"/>
          <w:lang w:val="zh-CN" w:eastAsia="zh-CN" w:bidi="ar-SA"/>
        </w:rPr>
        <w:t>4.勘察设计文件必须保证本合同工程质量和安全的要求，符合安全、适用、经济、美观的综合要求；</w:t>
      </w:r>
      <w:bookmarkEnd w:id="431"/>
      <w:bookmarkEnd w:id="432"/>
    </w:p>
    <w:p w14:paraId="7E599EAC">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33" w:name="_Toc256000202"/>
      <w:bookmarkStart w:id="434" w:name="_Toc256000368"/>
      <w:r>
        <w:rPr>
          <w:rFonts w:hint="eastAsia" w:ascii="宋体" w:hAnsi="宋体" w:eastAsia="宋体" w:cs="宋体"/>
          <w:b w:val="0"/>
          <w:snapToGrid w:val="0"/>
          <w:color w:val="auto"/>
          <w:spacing w:val="-2"/>
          <w:kern w:val="0"/>
          <w:sz w:val="20"/>
          <w:szCs w:val="20"/>
          <w:highlight w:val="none"/>
          <w:lang w:val="zh-CN" w:eastAsia="zh-CN" w:bidi="ar-SA"/>
        </w:rPr>
        <w:t>5.勘察设计文件中关于材料、配件和设备的选用，应当注明其性能及技术标准，其质量要求必须符合国家规定的标准，但不得指定生产厂、供货商和产品品牌。</w:t>
      </w:r>
      <w:bookmarkEnd w:id="433"/>
      <w:bookmarkEnd w:id="434"/>
    </w:p>
    <w:p w14:paraId="0FB4553F">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35" w:name="_Toc256000369"/>
      <w:bookmarkStart w:id="436" w:name="_Toc256000203"/>
      <w:r>
        <w:rPr>
          <w:rFonts w:hint="eastAsia" w:ascii="宋体" w:hAnsi="宋体" w:eastAsia="宋体" w:cs="宋体"/>
          <w:b w:val="0"/>
          <w:snapToGrid w:val="0"/>
          <w:color w:val="auto"/>
          <w:spacing w:val="-2"/>
          <w:kern w:val="0"/>
          <w:sz w:val="20"/>
          <w:szCs w:val="20"/>
          <w:highlight w:val="none"/>
          <w:lang w:val="zh-CN" w:eastAsia="zh-CN" w:bidi="ar-SA"/>
        </w:rPr>
        <w:t>6.勘察设计文件中的各比选方案均应进行同等深度的论证和比较，并推荐经济、合理、可行的方案；</w:t>
      </w:r>
      <w:bookmarkEnd w:id="435"/>
      <w:bookmarkEnd w:id="436"/>
    </w:p>
    <w:p w14:paraId="11180330">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37" w:name="_Toc256000204"/>
      <w:bookmarkStart w:id="438" w:name="_Toc256000370"/>
      <w:r>
        <w:rPr>
          <w:rFonts w:hint="eastAsia" w:ascii="宋体" w:hAnsi="宋体" w:eastAsia="宋体" w:cs="宋体"/>
          <w:b w:val="0"/>
          <w:snapToGrid w:val="0"/>
          <w:color w:val="auto"/>
          <w:spacing w:val="-2"/>
          <w:kern w:val="0"/>
          <w:sz w:val="20"/>
          <w:szCs w:val="20"/>
          <w:highlight w:val="none"/>
          <w:lang w:val="zh-CN" w:eastAsia="zh-CN" w:bidi="ar-SA"/>
        </w:rPr>
        <w:t>7.勘察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bookmarkEnd w:id="437"/>
      <w:bookmarkEnd w:id="438"/>
    </w:p>
    <w:p w14:paraId="7BACB244">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39" w:name="_Toc256000205"/>
      <w:bookmarkStart w:id="440" w:name="_Toc256000371"/>
      <w:r>
        <w:rPr>
          <w:rFonts w:hint="eastAsia" w:ascii="宋体" w:hAnsi="宋体" w:eastAsia="宋体" w:cs="宋体"/>
          <w:b w:val="0"/>
          <w:snapToGrid w:val="0"/>
          <w:color w:val="auto"/>
          <w:spacing w:val="-2"/>
          <w:kern w:val="0"/>
          <w:sz w:val="20"/>
          <w:szCs w:val="20"/>
          <w:highlight w:val="none"/>
          <w:lang w:val="zh-CN" w:eastAsia="zh-CN" w:bidi="ar-SA"/>
        </w:rPr>
        <w:t>8.勘察设计人的勘察设计文件必须接受发包人或发包人委托的咨询审查单位及发包人的上级主管部门的审查，凡审查意见中提出的问题，勘察设计人应逐条给予认真贯彻落实，提交书面的反馈意见并免费修改勘察设计文件。当上级主管部门对前一段设计进行批复时，其结果影响后一段工作内容时，勘察设计人必须无条件执行批复内容。所有修改、赶工的费用，均含入报价中，发包人不另行支付。</w:t>
      </w:r>
      <w:bookmarkEnd w:id="439"/>
      <w:bookmarkEnd w:id="440"/>
    </w:p>
    <w:p w14:paraId="700CF09D">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41" w:name="_Toc256000372"/>
      <w:bookmarkStart w:id="442" w:name="_Toc256000206"/>
      <w:r>
        <w:rPr>
          <w:rFonts w:hint="eastAsia" w:ascii="宋体" w:hAnsi="宋体" w:eastAsia="宋体" w:cs="宋体"/>
          <w:b w:val="0"/>
          <w:snapToGrid w:val="0"/>
          <w:color w:val="auto"/>
          <w:spacing w:val="-2"/>
          <w:kern w:val="0"/>
          <w:sz w:val="20"/>
          <w:szCs w:val="20"/>
          <w:highlight w:val="none"/>
          <w:lang w:val="zh-CN" w:eastAsia="zh-CN" w:bidi="ar-SA"/>
        </w:rPr>
        <w:t>9.若发包人或发包人上级主管部门认为需要进行技术勘察设计，勘察设计人应根据发包人要求，按有关规定编制技术勘察设计文件和修正概算，其费用已包含在相应报价之中，发包人不另行支付。</w:t>
      </w:r>
      <w:bookmarkEnd w:id="441"/>
      <w:bookmarkEnd w:id="442"/>
    </w:p>
    <w:p w14:paraId="56FFB729">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43" w:name="_Toc256000207"/>
      <w:bookmarkStart w:id="444" w:name="_Toc256000373"/>
      <w:r>
        <w:rPr>
          <w:rFonts w:hint="eastAsia" w:ascii="宋体" w:hAnsi="宋体" w:eastAsia="宋体" w:cs="宋体"/>
          <w:b w:val="0"/>
          <w:snapToGrid w:val="0"/>
          <w:color w:val="auto"/>
          <w:spacing w:val="-2"/>
          <w:kern w:val="0"/>
          <w:sz w:val="20"/>
          <w:szCs w:val="20"/>
          <w:highlight w:val="none"/>
          <w:lang w:val="zh-CN" w:eastAsia="zh-CN" w:bidi="ar-SA"/>
        </w:rPr>
        <w:t>10.勘察设计人应按批准的初步设计完成招标设计工作，并接受发包人及发包人上级主管部门对招标设计的审查，然后按审查意见修改招标设计文件。</w:t>
      </w:r>
      <w:bookmarkEnd w:id="443"/>
      <w:bookmarkEnd w:id="444"/>
    </w:p>
    <w:p w14:paraId="011B31D4">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45" w:name="_Toc256000208"/>
      <w:bookmarkStart w:id="446" w:name="_Toc256000374"/>
      <w:r>
        <w:rPr>
          <w:rFonts w:hint="eastAsia" w:ascii="宋体" w:hAnsi="宋体" w:eastAsia="宋体" w:cs="宋体"/>
          <w:b w:val="0"/>
          <w:snapToGrid w:val="0"/>
          <w:color w:val="auto"/>
          <w:spacing w:val="-2"/>
          <w:kern w:val="0"/>
          <w:sz w:val="20"/>
          <w:szCs w:val="20"/>
          <w:highlight w:val="none"/>
          <w:lang w:val="zh-CN" w:eastAsia="zh-CN" w:bidi="ar-SA"/>
        </w:rPr>
        <w:t>11.勘察设计人应积极配合发包人进行各项招标工作。</w:t>
      </w:r>
      <w:bookmarkEnd w:id="445"/>
      <w:bookmarkEnd w:id="446"/>
    </w:p>
    <w:p w14:paraId="13EAB34A">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bookmarkStart w:id="447" w:name="_Toc256000209"/>
      <w:bookmarkStart w:id="448" w:name="_Toc256000375"/>
      <w:r>
        <w:rPr>
          <w:rFonts w:hint="eastAsia" w:ascii="宋体" w:hAnsi="宋体" w:eastAsia="宋体" w:cs="宋体"/>
          <w:b w:val="0"/>
          <w:snapToGrid w:val="0"/>
          <w:color w:val="auto"/>
          <w:spacing w:val="-2"/>
          <w:kern w:val="0"/>
          <w:sz w:val="20"/>
          <w:szCs w:val="20"/>
          <w:highlight w:val="none"/>
          <w:lang w:val="zh-CN" w:eastAsia="zh-CN" w:bidi="ar-SA"/>
        </w:rPr>
        <w:t>12.发包人及发包人委托的咨询审查单位、上级主管部门对勘察资料成果（包括研究试验成果）、勘察设计文件的审查并不免除设计人的责任。</w:t>
      </w:r>
      <w:bookmarkEnd w:id="447"/>
      <w:bookmarkEnd w:id="448"/>
    </w:p>
    <w:p w14:paraId="0DD3336C">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49" w:name="_Toc256000210"/>
      <w:bookmarkStart w:id="450" w:name="_Toc256000376"/>
      <w:r>
        <w:rPr>
          <w:rFonts w:hint="eastAsia" w:ascii="宋体" w:hAnsi="宋体" w:eastAsia="宋体" w:cs="宋体"/>
          <w:b w:val="0"/>
          <w:snapToGrid w:val="0"/>
          <w:color w:val="auto"/>
          <w:spacing w:val="-2"/>
          <w:kern w:val="0"/>
          <w:sz w:val="20"/>
          <w:szCs w:val="20"/>
          <w:highlight w:val="none"/>
          <w:lang w:val="zh-CN" w:eastAsia="zh-CN" w:bidi="ar-SA"/>
        </w:rPr>
        <w:t>13.人员保证与变更</w:t>
      </w:r>
      <w:bookmarkEnd w:id="449"/>
      <w:bookmarkEnd w:id="450"/>
    </w:p>
    <w:p w14:paraId="0337CD6C">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51" w:name="_Toc256000377"/>
      <w:bookmarkStart w:id="452" w:name="_Toc256000211"/>
      <w:r>
        <w:rPr>
          <w:rFonts w:hint="eastAsia" w:ascii="宋体" w:hAnsi="宋体" w:eastAsia="宋体" w:cs="宋体"/>
          <w:b w:val="0"/>
          <w:snapToGrid w:val="0"/>
          <w:color w:val="auto"/>
          <w:spacing w:val="-2"/>
          <w:kern w:val="0"/>
          <w:sz w:val="20"/>
          <w:szCs w:val="20"/>
          <w:highlight w:val="none"/>
          <w:lang w:val="zh-CN" w:eastAsia="zh-CN" w:bidi="ar-SA"/>
        </w:rPr>
        <w:t>13.1勘察设计人应安排投标文件中承诺的人员投入工作，并在设计过程中保持人员的相对稳定。在特殊情况下投标人可以同等资历及其以上的人员代替，但应事先得到招标人的同意。</w:t>
      </w:r>
      <w:bookmarkEnd w:id="451"/>
      <w:bookmarkEnd w:id="452"/>
    </w:p>
    <w:p w14:paraId="405DF9DF">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53" w:name="_Toc256000378"/>
      <w:bookmarkStart w:id="454" w:name="_Toc256000212"/>
      <w:r>
        <w:rPr>
          <w:rFonts w:hint="eastAsia" w:ascii="宋体" w:hAnsi="宋体" w:eastAsia="宋体" w:cs="宋体"/>
          <w:b w:val="0"/>
          <w:snapToGrid w:val="0"/>
          <w:color w:val="auto"/>
          <w:spacing w:val="-2"/>
          <w:kern w:val="0"/>
          <w:sz w:val="20"/>
          <w:szCs w:val="20"/>
          <w:highlight w:val="none"/>
          <w:lang w:val="zh-CN" w:eastAsia="zh-CN" w:bidi="ar-SA"/>
        </w:rPr>
        <w:t>13.2如果勘察设计人员不能胜任工作、渎职或从事其它违法活动，发包人有权以书面形式提出更换要求，勘察设计人应立即派出具有同等资历的人员替换；若非属上述原因，勘察设计人有权拒绝。勘察设计人在事先取得发包人的同意后可以更换他所派驻现场的人员，但应符合合同规定的资历要求，否则，发包人有权拒绝。</w:t>
      </w:r>
      <w:bookmarkEnd w:id="453"/>
      <w:bookmarkEnd w:id="454"/>
    </w:p>
    <w:p w14:paraId="507840F1">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55" w:name="_Toc256000379"/>
      <w:bookmarkStart w:id="456" w:name="_Toc256000213"/>
      <w:r>
        <w:rPr>
          <w:rFonts w:hint="eastAsia" w:ascii="宋体" w:hAnsi="宋体" w:eastAsia="宋体" w:cs="宋体"/>
          <w:b w:val="0"/>
          <w:snapToGrid w:val="0"/>
          <w:color w:val="auto"/>
          <w:spacing w:val="-2"/>
          <w:kern w:val="0"/>
          <w:sz w:val="20"/>
          <w:szCs w:val="20"/>
          <w:highlight w:val="none"/>
          <w:lang w:val="zh-CN" w:eastAsia="zh-CN" w:bidi="ar-SA"/>
        </w:rPr>
        <w:t>13.3勘察设计人的工作进度没有达到勘察设计人投标文件中承诺的进度计划时，发包人有权提出要求增加设计人员，勘察设计人应立即安排，其费用被认为已包含在合同价格之中。</w:t>
      </w:r>
      <w:bookmarkEnd w:id="455"/>
      <w:bookmarkEnd w:id="456"/>
    </w:p>
    <w:p w14:paraId="475D59AF">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57" w:name="_Toc256000380"/>
      <w:bookmarkStart w:id="458" w:name="_Toc256000214"/>
      <w:r>
        <w:rPr>
          <w:rFonts w:hint="eastAsia" w:ascii="宋体" w:hAnsi="宋体" w:eastAsia="宋体" w:cs="宋体"/>
          <w:b w:val="0"/>
          <w:snapToGrid w:val="0"/>
          <w:color w:val="auto"/>
          <w:spacing w:val="-2"/>
          <w:kern w:val="0"/>
          <w:sz w:val="20"/>
          <w:szCs w:val="20"/>
          <w:highlight w:val="none"/>
          <w:lang w:val="zh-CN" w:eastAsia="zh-CN" w:bidi="ar-SA"/>
        </w:rPr>
        <w:t>13.4由于发包人提出加快勘察设计进度，提前完成勘察设计工作而增加人员时，其费用应另外协商确定。</w:t>
      </w:r>
      <w:bookmarkEnd w:id="457"/>
      <w:bookmarkEnd w:id="458"/>
    </w:p>
    <w:p w14:paraId="7788EC51">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59" w:name="_Toc256000381"/>
      <w:bookmarkStart w:id="460" w:name="_Toc256000215"/>
      <w:r>
        <w:rPr>
          <w:rFonts w:hint="eastAsia" w:ascii="宋体" w:hAnsi="宋体" w:eastAsia="宋体" w:cs="宋体"/>
          <w:b w:val="0"/>
          <w:snapToGrid w:val="0"/>
          <w:color w:val="auto"/>
          <w:spacing w:val="-2"/>
          <w:kern w:val="0"/>
          <w:sz w:val="20"/>
          <w:szCs w:val="20"/>
          <w:highlight w:val="none"/>
          <w:lang w:val="zh-CN" w:eastAsia="zh-CN" w:bidi="ar-SA"/>
        </w:rPr>
        <w:t>14.勘察设计人在勘察设计过程中，如果因其采用的技术方案等方面发生侵犯专利权的行为而引起索赔或诉讼，则勘察设计人应承担全部责任，并保障发包人免于承担（或代为承担）由此造成的一切损害和损失。勘察设计人采用其它未中标人投标文件中技术方案的，应当征得未中标人的书面同意，并支付合理的使用费。</w:t>
      </w:r>
      <w:bookmarkEnd w:id="459"/>
      <w:bookmarkEnd w:id="460"/>
    </w:p>
    <w:p w14:paraId="40D35D3A">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61" w:name="_Toc256000216"/>
      <w:bookmarkStart w:id="462" w:name="_Toc256000382"/>
      <w:r>
        <w:rPr>
          <w:rFonts w:hint="eastAsia" w:ascii="宋体" w:hAnsi="宋体" w:eastAsia="宋体" w:cs="宋体"/>
          <w:b w:val="0"/>
          <w:snapToGrid w:val="0"/>
          <w:color w:val="auto"/>
          <w:spacing w:val="-2"/>
          <w:kern w:val="0"/>
          <w:sz w:val="20"/>
          <w:szCs w:val="20"/>
          <w:highlight w:val="none"/>
          <w:lang w:val="zh-CN" w:eastAsia="zh-CN" w:bidi="ar-SA"/>
        </w:rPr>
        <w:t>15.勘察设计人除需承担在工作过程中的决策和指导责任外，对其工作范围外的工作不承担任何责任。</w:t>
      </w:r>
      <w:bookmarkEnd w:id="461"/>
      <w:bookmarkEnd w:id="462"/>
    </w:p>
    <w:p w14:paraId="4422C1FA">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63" w:name="_Toc256000217"/>
      <w:bookmarkStart w:id="464" w:name="_Toc256000383"/>
      <w:r>
        <w:rPr>
          <w:rFonts w:hint="eastAsia" w:ascii="宋体" w:hAnsi="宋体" w:eastAsia="宋体" w:cs="宋体"/>
          <w:b w:val="0"/>
          <w:snapToGrid w:val="0"/>
          <w:color w:val="auto"/>
          <w:spacing w:val="-2"/>
          <w:kern w:val="0"/>
          <w:sz w:val="20"/>
          <w:szCs w:val="20"/>
          <w:highlight w:val="none"/>
          <w:lang w:val="zh-CN" w:eastAsia="zh-CN" w:bidi="ar-SA"/>
        </w:rPr>
        <w:t>16.对于勘察设计人在勘察设计过程中发生的人员伤亡，或者造成第三方的人员伤亡，或财产损失，或由此而引起的其它一切损害和损失，均由勘察设计人自行承担其全部后果和风险，发包人均不承担责任。</w:t>
      </w:r>
      <w:bookmarkEnd w:id="463"/>
      <w:bookmarkEnd w:id="464"/>
    </w:p>
    <w:p w14:paraId="421CD512">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65" w:name="_Toc256000384"/>
      <w:bookmarkStart w:id="466" w:name="_Toc256000218"/>
      <w:r>
        <w:rPr>
          <w:rFonts w:hint="eastAsia" w:ascii="宋体" w:hAnsi="宋体" w:eastAsia="宋体" w:cs="宋体"/>
          <w:b w:val="0"/>
          <w:snapToGrid w:val="0"/>
          <w:color w:val="auto"/>
          <w:spacing w:val="-2"/>
          <w:kern w:val="0"/>
          <w:sz w:val="20"/>
          <w:szCs w:val="20"/>
          <w:highlight w:val="none"/>
          <w:lang w:val="zh-CN" w:eastAsia="zh-CN" w:bidi="ar-SA"/>
        </w:rPr>
        <w:t>17.勘察设计人按招标文件中所列出的标准与规范（“四新”技术的采用不限于本规范，但必须得到发包人的批准）精心设计，确保工程勘察设计质量。</w:t>
      </w:r>
      <w:bookmarkEnd w:id="465"/>
      <w:bookmarkEnd w:id="466"/>
    </w:p>
    <w:p w14:paraId="50723684">
      <w:pPr>
        <w:pStyle w:val="13"/>
        <w:spacing w:line="340" w:lineRule="exact"/>
        <w:ind w:left="0"/>
        <w:rPr>
          <w:rFonts w:hint="eastAsia" w:ascii="宋体" w:hAnsi="宋体" w:eastAsia="宋体" w:cs="宋体"/>
          <w:b w:val="0"/>
          <w:snapToGrid w:val="0"/>
          <w:color w:val="auto"/>
          <w:spacing w:val="-2"/>
          <w:kern w:val="0"/>
          <w:sz w:val="20"/>
          <w:szCs w:val="20"/>
          <w:highlight w:val="none"/>
          <w:lang w:val="zh-CN" w:eastAsia="zh-CN" w:bidi="ar-SA"/>
        </w:rPr>
      </w:pPr>
      <w:r>
        <w:rPr>
          <w:rFonts w:hint="eastAsia" w:ascii="宋体" w:hAnsi="宋体" w:eastAsia="宋体" w:cs="宋体"/>
          <w:b w:val="0"/>
          <w:snapToGrid w:val="0"/>
          <w:color w:val="auto"/>
          <w:spacing w:val="-2"/>
          <w:kern w:val="0"/>
          <w:sz w:val="20"/>
          <w:szCs w:val="20"/>
          <w:highlight w:val="none"/>
          <w:lang w:val="zh-CN" w:eastAsia="zh-CN" w:bidi="ar-SA"/>
        </w:rPr>
        <w:t xml:space="preserve">  </w:t>
      </w:r>
      <w:bookmarkStart w:id="467" w:name="_Toc256000219"/>
      <w:bookmarkStart w:id="468" w:name="_Toc256000385"/>
      <w:r>
        <w:rPr>
          <w:rFonts w:hint="eastAsia" w:ascii="宋体" w:hAnsi="宋体" w:eastAsia="宋体" w:cs="宋体"/>
          <w:b w:val="0"/>
          <w:snapToGrid w:val="0"/>
          <w:color w:val="auto"/>
          <w:spacing w:val="-2"/>
          <w:kern w:val="0"/>
          <w:sz w:val="20"/>
          <w:szCs w:val="20"/>
          <w:highlight w:val="none"/>
          <w:lang w:val="zh-CN" w:eastAsia="zh-CN" w:bidi="ar-SA"/>
        </w:rPr>
        <w:t>18.勘察设计人应在收到发包人或发包人委托咨询审查单位或上级主管单位提出的审查意见后，及时对勘察设计文件进行修改。</w:t>
      </w:r>
      <w:bookmarkEnd w:id="467"/>
      <w:bookmarkEnd w:id="468"/>
    </w:p>
    <w:p w14:paraId="47B1391E">
      <w:pPr>
        <w:pStyle w:val="15"/>
        <w:rPr>
          <w:color w:val="auto"/>
          <w:sz w:val="20"/>
          <w:szCs w:val="20"/>
          <w:highlight w:val="none"/>
          <w:lang w:eastAsia="zh-CN"/>
        </w:rPr>
      </w:pPr>
      <w:bookmarkStart w:id="469" w:name="_Toc256000386"/>
      <w:bookmarkStart w:id="470" w:name="_Toc256000220"/>
      <w:r>
        <w:rPr>
          <w:color w:val="auto"/>
          <w:sz w:val="20"/>
          <w:szCs w:val="20"/>
          <w:highlight w:val="none"/>
          <w:lang w:eastAsia="zh-CN"/>
        </w:rPr>
        <w:t xml:space="preserve">4.3 </w:t>
      </w:r>
      <w:r>
        <w:rPr>
          <w:rFonts w:hint="eastAsia" w:ascii="宋体" w:hAnsi="宋体" w:eastAsia="宋体" w:cs="宋体"/>
          <w:color w:val="auto"/>
          <w:sz w:val="20"/>
          <w:szCs w:val="20"/>
          <w:highlight w:val="none"/>
          <w:lang w:eastAsia="zh-CN"/>
        </w:rPr>
        <w:t>分包和不得转包</w:t>
      </w:r>
      <w:bookmarkEnd w:id="416"/>
      <w:bookmarkEnd w:id="469"/>
      <w:bookmarkEnd w:id="470"/>
    </w:p>
    <w:p w14:paraId="655DC3AB">
      <w:pPr>
        <w:pStyle w:val="14"/>
        <w:spacing w:line="360" w:lineRule="auto"/>
        <w:ind w:firstLine="440"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zCs w:val="21"/>
          <w:highlight w:val="none"/>
          <w:lang w:val="zh-CN" w:eastAsia="zh-CN" w:bidi="zh-CN"/>
        </w:rPr>
        <w:t>4.</w:t>
      </w:r>
      <w:r>
        <w:rPr>
          <w:rFonts w:ascii="Times New Roman" w:hAnsi="Times New Roman" w:cs="Times New Roman"/>
          <w:color w:val="auto"/>
          <w:szCs w:val="21"/>
          <w:highlight w:val="none"/>
          <w:lang w:eastAsia="zh-CN" w:bidi="zh-CN"/>
        </w:rPr>
        <w:t>3.2关于分包的约定：</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w:t>
      </w:r>
    </w:p>
    <w:p w14:paraId="5FD93275">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4.</w:t>
      </w:r>
      <w:r>
        <w:rPr>
          <w:rFonts w:ascii="Times New Roman" w:hAnsi="Times New Roman" w:cs="Times New Roman"/>
          <w:color w:val="auto"/>
          <w:szCs w:val="21"/>
          <w:highlight w:val="none"/>
          <w:lang w:eastAsia="zh-CN" w:bidi="zh-CN"/>
        </w:rPr>
        <w:t>3.3分包人的</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eastAsia="zh-CN" w:bidi="zh-CN"/>
        </w:rPr>
        <w:t>费用的承担：</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 xml:space="preserve">  。</w:t>
      </w:r>
    </w:p>
    <w:p w14:paraId="37F97AF4">
      <w:pPr>
        <w:pStyle w:val="14"/>
        <w:spacing w:line="360" w:lineRule="auto"/>
        <w:ind w:firstLine="440"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zCs w:val="21"/>
          <w:highlight w:val="none"/>
          <w:lang w:val="zh-CN" w:eastAsia="zh-CN" w:bidi="zh-CN"/>
        </w:rPr>
        <w:t>4.</w:t>
      </w:r>
      <w:r>
        <w:rPr>
          <w:rFonts w:ascii="Times New Roman" w:hAnsi="Times New Roman" w:cs="Times New Roman"/>
          <w:color w:val="auto"/>
          <w:szCs w:val="21"/>
          <w:highlight w:val="none"/>
          <w:lang w:eastAsia="zh-CN" w:bidi="zh-CN"/>
        </w:rPr>
        <w:t>3.4分包人资质：</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 xml:space="preserve">  。分包人主要人员要求：</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 xml:space="preserve">  。设备要求：</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 xml:space="preserve">  。类似业绩：</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 xml:space="preserve">  。</w:t>
      </w:r>
    </w:p>
    <w:p w14:paraId="0486DEE7">
      <w:pPr>
        <w:pStyle w:val="15"/>
        <w:rPr>
          <w:color w:val="auto"/>
          <w:highlight w:val="none"/>
          <w:lang w:eastAsia="zh-CN"/>
        </w:rPr>
      </w:pPr>
      <w:bookmarkStart w:id="471" w:name="_Toc256000387"/>
      <w:bookmarkStart w:id="472" w:name="_Toc8049"/>
      <w:bookmarkStart w:id="473" w:name="_Toc256000221"/>
      <w:r>
        <w:rPr>
          <w:color w:val="auto"/>
          <w:highlight w:val="none"/>
          <w:lang w:eastAsia="zh-CN"/>
        </w:rPr>
        <w:t xml:space="preserve">4.6 </w:t>
      </w:r>
      <w:r>
        <w:rPr>
          <w:rFonts w:hint="eastAsia" w:ascii="宋体" w:hAnsi="宋体" w:eastAsia="宋体" w:cs="宋体"/>
          <w:color w:val="auto"/>
          <w:highlight w:val="none"/>
          <w:lang w:eastAsia="zh-CN"/>
        </w:rPr>
        <w:t>勘察设计人员的管理</w:t>
      </w:r>
      <w:bookmarkEnd w:id="471"/>
      <w:bookmarkEnd w:id="472"/>
      <w:bookmarkEnd w:id="473"/>
    </w:p>
    <w:p w14:paraId="2F2ADF6C">
      <w:pPr>
        <w:pStyle w:val="14"/>
        <w:spacing w:line="360" w:lineRule="auto"/>
        <w:ind w:firstLine="440"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zCs w:val="21"/>
          <w:highlight w:val="none"/>
          <w:lang w:val="zh-CN" w:eastAsia="zh-CN" w:bidi="zh-CN"/>
        </w:rPr>
        <w:t>4.</w:t>
      </w:r>
      <w:r>
        <w:rPr>
          <w:rFonts w:ascii="Times New Roman" w:hAnsi="Times New Roman" w:cs="Times New Roman"/>
          <w:color w:val="auto"/>
          <w:szCs w:val="21"/>
          <w:highlight w:val="none"/>
          <w:lang w:eastAsia="zh-CN" w:bidi="zh-CN"/>
        </w:rPr>
        <w:t>6.2主要</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eastAsia="zh-CN" w:bidi="zh-CN"/>
        </w:rPr>
        <w:t>人员包括：</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 xml:space="preserve">  。其他人员包括：</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w:t>
      </w:r>
    </w:p>
    <w:p w14:paraId="60909E3E">
      <w:pPr>
        <w:pStyle w:val="13"/>
        <w:ind w:left="0"/>
        <w:rPr>
          <w:rFonts w:ascii="Times New Roman" w:hAnsi="Times New Roman"/>
          <w:color w:val="auto"/>
          <w:highlight w:val="none"/>
          <w:lang w:eastAsia="zh-CN"/>
        </w:rPr>
      </w:pPr>
      <w:bookmarkStart w:id="474" w:name="_Toc9095"/>
      <w:bookmarkStart w:id="475" w:name="_Toc256000222"/>
      <w:bookmarkStart w:id="476" w:name="_Toc256000388"/>
      <w:r>
        <w:rPr>
          <w:rFonts w:ascii="Times New Roman" w:hAnsi="Times New Roman"/>
          <w:color w:val="auto"/>
          <w:highlight w:val="none"/>
          <w:lang w:eastAsia="zh-CN"/>
        </w:rPr>
        <w:t>5. 勘察设计要求</w:t>
      </w:r>
      <w:bookmarkEnd w:id="474"/>
      <w:bookmarkEnd w:id="475"/>
      <w:bookmarkEnd w:id="476"/>
    </w:p>
    <w:p w14:paraId="5C29FE5E">
      <w:pPr>
        <w:pStyle w:val="15"/>
        <w:rPr>
          <w:color w:val="auto"/>
          <w:highlight w:val="none"/>
          <w:lang w:eastAsia="zh-CN"/>
        </w:rPr>
      </w:pPr>
      <w:bookmarkStart w:id="477" w:name="_Toc256000223"/>
      <w:bookmarkStart w:id="478" w:name="_Toc23170"/>
      <w:bookmarkStart w:id="479" w:name="_Toc256000389"/>
      <w:r>
        <w:rPr>
          <w:color w:val="auto"/>
          <w:highlight w:val="none"/>
          <w:lang w:eastAsia="zh-CN"/>
        </w:rPr>
        <w:t xml:space="preserve">5.3 </w:t>
      </w:r>
      <w:r>
        <w:rPr>
          <w:rFonts w:hint="eastAsia" w:ascii="宋体" w:hAnsi="宋体" w:eastAsia="宋体" w:cs="宋体"/>
          <w:color w:val="auto"/>
          <w:highlight w:val="none"/>
          <w:lang w:eastAsia="zh-CN"/>
        </w:rPr>
        <w:t>勘察设计范围</w:t>
      </w:r>
      <w:bookmarkEnd w:id="477"/>
      <w:bookmarkEnd w:id="478"/>
      <w:bookmarkEnd w:id="479"/>
    </w:p>
    <w:p w14:paraId="6DB76A77">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5.</w:t>
      </w:r>
      <w:r>
        <w:rPr>
          <w:rFonts w:ascii="Times New Roman" w:hAnsi="Times New Roman" w:cs="Times New Roman"/>
          <w:color w:val="auto"/>
          <w:szCs w:val="21"/>
          <w:highlight w:val="none"/>
          <w:lang w:eastAsia="zh-CN" w:bidi="zh-CN"/>
        </w:rPr>
        <w:t>3</w:t>
      </w:r>
      <w:r>
        <w:rPr>
          <w:rFonts w:ascii="Times New Roman" w:hAnsi="Times New Roman" w:cs="Times New Roman"/>
          <w:color w:val="auto"/>
          <w:szCs w:val="21"/>
          <w:highlight w:val="none"/>
          <w:lang w:val="zh-CN" w:eastAsia="zh-CN" w:bidi="zh-CN"/>
        </w:rPr>
        <w:t>.2 工程具体范围：</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广西平果市</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val="zh-CN" w:eastAsia="zh-CN" w:bidi="zh-CN"/>
        </w:rPr>
        <w:t>。</w:t>
      </w:r>
    </w:p>
    <w:p w14:paraId="6FDAB1CB">
      <w:pPr>
        <w:pStyle w:val="14"/>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5.3.3</w:t>
      </w:r>
      <w:r>
        <w:rPr>
          <w:rFonts w:ascii="Times New Roman" w:hAnsi="Times New Roman" w:cs="Times New Roman"/>
          <w:color w:val="auto"/>
          <w:szCs w:val="21"/>
          <w:highlight w:val="none"/>
          <w:lang w:eastAsia="zh-CN" w:bidi="zh-CN"/>
        </w:rPr>
        <w:t xml:space="preserve"> 阶段</w:t>
      </w:r>
      <w:r>
        <w:rPr>
          <w:rFonts w:ascii="Times New Roman" w:hAnsi="Times New Roman" w:cs="Times New Roman"/>
          <w:color w:val="auto"/>
          <w:szCs w:val="21"/>
          <w:highlight w:val="none"/>
          <w:lang w:eastAsia="zh-CN"/>
        </w:rPr>
        <w:t>具体范围：</w:t>
      </w:r>
      <w:r>
        <w:rPr>
          <w:rFonts w:ascii="Times New Roman" w:hAnsi="Times New Roman" w:cs="Times New Roman"/>
          <w:color w:val="auto"/>
          <w:szCs w:val="21"/>
          <w:highlight w:val="none"/>
          <w:u w:val="single"/>
          <w:lang w:eastAsia="zh-CN"/>
        </w:rPr>
        <w:t xml:space="preserve">                                </w:t>
      </w:r>
      <w:r>
        <w:rPr>
          <w:rFonts w:ascii="Times New Roman" w:hAnsi="Times New Roman" w:cs="Times New Roman"/>
          <w:color w:val="auto"/>
          <w:szCs w:val="21"/>
          <w:highlight w:val="none"/>
          <w:lang w:eastAsia="zh-CN"/>
        </w:rPr>
        <w:t xml:space="preserve"> 。</w:t>
      </w:r>
    </w:p>
    <w:p w14:paraId="0FEB104C">
      <w:pPr>
        <w:pStyle w:val="14"/>
        <w:spacing w:after="100" w:line="360" w:lineRule="auto"/>
        <w:ind w:firstLine="440" w:firstLineChars="200"/>
        <w:jc w:val="both"/>
        <w:rPr>
          <w:rFonts w:ascii="Times New Roman" w:hAnsi="Times New Roman" w:cs="Times New Roman"/>
          <w:color w:val="auto"/>
          <w:szCs w:val="21"/>
          <w:highlight w:val="none"/>
          <w:lang w:eastAsia="zh-CN"/>
        </w:rPr>
      </w:pPr>
      <w:r>
        <w:rPr>
          <w:rFonts w:ascii="Times New Roman" w:hAnsi="Times New Roman" w:cs="Times New Roman"/>
          <w:color w:val="auto"/>
          <w:szCs w:val="21"/>
          <w:highlight w:val="none"/>
          <w:lang w:eastAsia="zh-CN"/>
        </w:rPr>
        <w:t>5.3.4</w:t>
      </w:r>
      <w:r>
        <w:rPr>
          <w:rFonts w:ascii="Times New Roman" w:hAnsi="Times New Roman" w:cs="Times New Roman"/>
          <w:color w:val="auto"/>
          <w:spacing w:val="-4"/>
          <w:szCs w:val="21"/>
          <w:highlight w:val="none"/>
          <w:lang w:eastAsia="zh-CN"/>
        </w:rPr>
        <w:t>工作</w:t>
      </w:r>
      <w:r>
        <w:rPr>
          <w:rFonts w:ascii="Times New Roman" w:hAnsi="Times New Roman" w:cs="Times New Roman"/>
          <w:color w:val="auto"/>
          <w:szCs w:val="21"/>
          <w:highlight w:val="none"/>
          <w:lang w:eastAsia="zh-CN"/>
        </w:rPr>
        <w:t>具</w:t>
      </w:r>
      <w:r>
        <w:rPr>
          <w:rFonts w:ascii="Times New Roman" w:hAnsi="Times New Roman" w:cs="Times New Roman"/>
          <w:color w:val="auto"/>
          <w:spacing w:val="-3"/>
          <w:szCs w:val="21"/>
          <w:highlight w:val="none"/>
          <w:lang w:eastAsia="zh-CN"/>
        </w:rPr>
        <w:t>体</w:t>
      </w:r>
      <w:r>
        <w:rPr>
          <w:rFonts w:ascii="Times New Roman" w:hAnsi="Times New Roman" w:cs="Times New Roman"/>
          <w:color w:val="auto"/>
          <w:szCs w:val="21"/>
          <w:highlight w:val="none"/>
          <w:lang w:eastAsia="zh-CN"/>
        </w:rPr>
        <w:t>范围：</w:t>
      </w:r>
      <w:r>
        <w:rPr>
          <w:rFonts w:ascii="Times New Roman" w:hAnsi="Times New Roman" w:cs="Times New Roman"/>
          <w:color w:val="auto"/>
          <w:szCs w:val="21"/>
          <w:highlight w:val="none"/>
          <w:u w:val="single"/>
          <w:lang w:eastAsia="zh-CN"/>
        </w:rPr>
        <w:t xml:space="preserve">                                </w:t>
      </w:r>
      <w:r>
        <w:rPr>
          <w:rFonts w:ascii="Times New Roman" w:hAnsi="Times New Roman" w:cs="Times New Roman"/>
          <w:color w:val="auto"/>
          <w:szCs w:val="21"/>
          <w:highlight w:val="none"/>
          <w:lang w:eastAsia="zh-CN"/>
        </w:rPr>
        <w:t xml:space="preserve"> 。</w:t>
      </w:r>
    </w:p>
    <w:p w14:paraId="6A45D96C">
      <w:pPr>
        <w:pStyle w:val="13"/>
        <w:ind w:left="0"/>
        <w:rPr>
          <w:rFonts w:ascii="Times New Roman" w:hAnsi="Times New Roman"/>
          <w:color w:val="auto"/>
          <w:highlight w:val="none"/>
          <w:lang w:eastAsia="zh-CN"/>
        </w:rPr>
      </w:pPr>
      <w:bookmarkStart w:id="480" w:name="_Toc10127"/>
      <w:bookmarkStart w:id="481" w:name="_Toc256000224"/>
      <w:bookmarkStart w:id="482" w:name="_Toc256000390"/>
      <w:r>
        <w:rPr>
          <w:rFonts w:ascii="Times New Roman" w:hAnsi="Times New Roman"/>
          <w:color w:val="auto"/>
          <w:highlight w:val="none"/>
          <w:lang w:eastAsia="zh-CN"/>
        </w:rPr>
        <w:t>6. 开始勘察设计和完成勘察设计</w:t>
      </w:r>
      <w:bookmarkEnd w:id="480"/>
      <w:bookmarkEnd w:id="481"/>
      <w:bookmarkEnd w:id="482"/>
    </w:p>
    <w:p w14:paraId="40E960C9">
      <w:pPr>
        <w:pStyle w:val="15"/>
        <w:rPr>
          <w:color w:val="auto"/>
          <w:highlight w:val="none"/>
          <w:lang w:eastAsia="zh-CN"/>
        </w:rPr>
      </w:pPr>
      <w:bookmarkStart w:id="483" w:name="_Toc256000391"/>
      <w:bookmarkStart w:id="484" w:name="_Toc30556"/>
      <w:bookmarkStart w:id="485" w:name="_Toc256000225"/>
      <w:r>
        <w:rPr>
          <w:color w:val="auto"/>
          <w:highlight w:val="none"/>
          <w:lang w:eastAsia="zh-CN"/>
        </w:rPr>
        <w:t xml:space="preserve">6.1 </w:t>
      </w:r>
      <w:r>
        <w:rPr>
          <w:rFonts w:hint="eastAsia" w:ascii="宋体" w:hAnsi="宋体" w:eastAsia="宋体" w:cs="宋体"/>
          <w:color w:val="auto"/>
          <w:highlight w:val="none"/>
          <w:lang w:eastAsia="zh-CN"/>
        </w:rPr>
        <w:t>开始勘察设计</w:t>
      </w:r>
      <w:bookmarkEnd w:id="483"/>
      <w:bookmarkEnd w:id="484"/>
      <w:bookmarkEnd w:id="485"/>
    </w:p>
    <w:p w14:paraId="19711E66">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 xml:space="preserve">6.1.1 </w:t>
      </w:r>
      <w:r>
        <w:rPr>
          <w:rFonts w:ascii="Times New Roman" w:hAnsi="Times New Roman" w:cs="Times New Roman"/>
          <w:color w:val="auto"/>
          <w:spacing w:val="-3"/>
          <w:szCs w:val="21"/>
          <w:highlight w:val="none"/>
          <w:lang w:val="zh-CN" w:eastAsia="zh-CN" w:bidi="zh-CN"/>
        </w:rPr>
        <w:t>符合开始</w:t>
      </w:r>
      <w:r>
        <w:rPr>
          <w:rFonts w:ascii="Times New Roman" w:hAnsi="Times New Roman" w:cs="Times New Roman"/>
          <w:color w:val="auto"/>
          <w:szCs w:val="21"/>
          <w:highlight w:val="none"/>
          <w:lang w:eastAsia="zh-CN"/>
        </w:rPr>
        <w:t>勘察设计</w:t>
      </w:r>
      <w:r>
        <w:rPr>
          <w:rFonts w:ascii="Times New Roman" w:hAnsi="Times New Roman" w:cs="Times New Roman"/>
          <w:color w:val="auto"/>
          <w:spacing w:val="-3"/>
          <w:szCs w:val="21"/>
          <w:highlight w:val="none"/>
          <w:lang w:val="zh-CN" w:eastAsia="zh-CN" w:bidi="zh-CN"/>
        </w:rPr>
        <w:t>的条件：</w:t>
      </w:r>
      <w:r>
        <w:rPr>
          <w:rFonts w:ascii="Times New Roman" w:hAnsi="Times New Roman" w:cs="Times New Roman"/>
          <w:color w:val="auto"/>
          <w:spacing w:val="-3"/>
          <w:szCs w:val="21"/>
          <w:highlight w:val="none"/>
          <w:u w:val="single"/>
          <w:lang w:eastAsia="zh-CN" w:bidi="zh-CN"/>
        </w:rPr>
        <w:t xml:space="preserve">    </w:t>
      </w:r>
      <w:r>
        <w:rPr>
          <w:rFonts w:hint="eastAsia" w:ascii="Times New Roman" w:hAnsi="Times New Roman" w:cs="Times New Roman"/>
          <w:color w:val="auto"/>
          <w:spacing w:val="-3"/>
          <w:szCs w:val="21"/>
          <w:highlight w:val="none"/>
          <w:u w:val="single"/>
          <w:lang w:eastAsia="zh-CN" w:bidi="zh-CN"/>
        </w:rPr>
        <w:t xml:space="preserve">发包人交付全部基础资料 </w:t>
      </w:r>
      <w:r>
        <w:rPr>
          <w:rFonts w:ascii="Times New Roman" w:hAnsi="Times New Roman" w:cs="Times New Roman"/>
          <w:color w:val="auto"/>
          <w:spacing w:val="-3"/>
          <w:szCs w:val="21"/>
          <w:highlight w:val="none"/>
          <w:u w:val="single"/>
          <w:lang w:eastAsia="zh-CN" w:bidi="zh-CN"/>
        </w:rPr>
        <w:t xml:space="preserve">   </w:t>
      </w:r>
      <w:r>
        <w:rPr>
          <w:rFonts w:ascii="Times New Roman" w:hAnsi="Times New Roman" w:cs="Times New Roman"/>
          <w:color w:val="auto"/>
          <w:szCs w:val="21"/>
          <w:highlight w:val="none"/>
          <w:lang w:val="zh-CN" w:eastAsia="zh-CN" w:bidi="zh-CN"/>
        </w:rPr>
        <w:t>。</w:t>
      </w:r>
    </w:p>
    <w:p w14:paraId="3B6B5315">
      <w:pPr>
        <w:pStyle w:val="15"/>
        <w:rPr>
          <w:color w:val="auto"/>
          <w:highlight w:val="none"/>
          <w:lang w:eastAsia="zh-CN"/>
        </w:rPr>
      </w:pPr>
      <w:bookmarkStart w:id="486" w:name="_Toc31816"/>
      <w:bookmarkStart w:id="487" w:name="_Toc256000226"/>
      <w:bookmarkStart w:id="488" w:name="_Toc256000392"/>
      <w:r>
        <w:rPr>
          <w:color w:val="auto"/>
          <w:highlight w:val="none"/>
          <w:lang w:eastAsia="zh-CN"/>
        </w:rPr>
        <w:t xml:space="preserve">6.2 </w:t>
      </w:r>
      <w:r>
        <w:rPr>
          <w:rFonts w:hint="eastAsia" w:ascii="宋体" w:hAnsi="宋体" w:eastAsia="宋体" w:cs="宋体"/>
          <w:color w:val="auto"/>
          <w:highlight w:val="none"/>
          <w:lang w:eastAsia="zh-CN"/>
        </w:rPr>
        <w:t>发包人引起的周期延误</w:t>
      </w:r>
      <w:bookmarkEnd w:id="486"/>
      <w:bookmarkEnd w:id="487"/>
      <w:bookmarkEnd w:id="488"/>
    </w:p>
    <w:p w14:paraId="4EEC793D">
      <w:pPr>
        <w:pStyle w:val="14"/>
        <w:spacing w:after="24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发包人应当延长</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服务期限并增加</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费用的具体方法：</w:t>
      </w:r>
      <w:r>
        <w:rPr>
          <w:rFonts w:ascii="Times New Roman" w:hAnsi="Times New Roman" w:cs="Times New Roman"/>
          <w:color w:val="auto"/>
          <w:szCs w:val="21"/>
          <w:highlight w:val="none"/>
          <w:u w:val="single"/>
          <w:lang w:eastAsia="zh-CN" w:bidi="zh-CN"/>
        </w:rPr>
        <w:t xml:space="preserve">   由发包人和勘察设计人协商确定   </w:t>
      </w:r>
      <w:r>
        <w:rPr>
          <w:rFonts w:ascii="Times New Roman" w:hAnsi="Times New Roman" w:cs="Times New Roman"/>
          <w:color w:val="auto"/>
          <w:szCs w:val="21"/>
          <w:highlight w:val="none"/>
          <w:lang w:val="zh-CN" w:eastAsia="zh-CN" w:bidi="zh-CN"/>
        </w:rPr>
        <w:t>。</w:t>
      </w:r>
    </w:p>
    <w:p w14:paraId="08D325C7">
      <w:pPr>
        <w:pStyle w:val="15"/>
        <w:rPr>
          <w:color w:val="auto"/>
          <w:highlight w:val="none"/>
          <w:lang w:eastAsia="zh-CN"/>
        </w:rPr>
      </w:pPr>
      <w:bookmarkStart w:id="489" w:name="_Toc256000393"/>
      <w:bookmarkStart w:id="490" w:name="_Toc1277"/>
      <w:bookmarkStart w:id="491" w:name="_Toc256000227"/>
      <w:r>
        <w:rPr>
          <w:color w:val="auto"/>
          <w:highlight w:val="none"/>
          <w:lang w:eastAsia="zh-CN"/>
        </w:rPr>
        <w:t>6.3</w:t>
      </w:r>
      <w:r>
        <w:rPr>
          <w:rFonts w:hint="eastAsia" w:ascii="宋体" w:hAnsi="宋体" w:eastAsia="宋体" w:cs="宋体"/>
          <w:color w:val="auto"/>
          <w:highlight w:val="none"/>
          <w:lang w:eastAsia="zh-CN"/>
        </w:rPr>
        <w:t>勘察设计人引起的周期延误</w:t>
      </w:r>
      <w:bookmarkEnd w:id="489"/>
      <w:bookmarkEnd w:id="490"/>
      <w:bookmarkEnd w:id="491"/>
    </w:p>
    <w:p w14:paraId="45C837AE">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p>
    <w:p w14:paraId="1FE99F12">
      <w:pPr>
        <w:pStyle w:val="14"/>
        <w:spacing w:after="100" w:line="360" w:lineRule="auto"/>
        <w:ind w:firstLine="440"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zCs w:val="21"/>
          <w:highlight w:val="none"/>
          <w:lang w:val="zh-CN" w:eastAsia="zh-CN" w:bidi="zh-CN"/>
        </w:rPr>
        <w:t>逾期违约金的计算方法：</w:t>
      </w:r>
      <w:r>
        <w:rPr>
          <w:rFonts w:ascii="Times New Roman" w:hAnsi="Times New Roman" w:cs="Times New Roman"/>
          <w:color w:val="auto"/>
          <w:szCs w:val="21"/>
          <w:highlight w:val="none"/>
          <w:u w:val="single"/>
          <w:lang w:eastAsia="zh-CN" w:bidi="zh-CN"/>
        </w:rPr>
        <w:t xml:space="preserve">   每延误一天，应减收该项目应收勘察设计费的千分之 </w:t>
      </w:r>
      <w:r>
        <w:rPr>
          <w:rFonts w:hint="eastAsia" w:ascii="Times New Roman" w:hAnsi="Times New Roman" w:cs="Times New Roman"/>
          <w:color w:val="auto"/>
          <w:szCs w:val="21"/>
          <w:highlight w:val="none"/>
          <w:u w:val="single"/>
          <w:lang w:eastAsia="zh-CN" w:bidi="zh-CN"/>
        </w:rPr>
        <w:t>一</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eastAsia="zh-CN" w:bidi="zh-CN"/>
        </w:rPr>
        <w:t>。</w:t>
      </w:r>
    </w:p>
    <w:p w14:paraId="072C52BC">
      <w:pPr>
        <w:pStyle w:val="14"/>
        <w:spacing w:after="24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最高限额：</w:t>
      </w:r>
      <w:r>
        <w:rPr>
          <w:rFonts w:ascii="Times New Roman" w:hAnsi="Times New Roman" w:cs="Times New Roman"/>
          <w:color w:val="auto"/>
          <w:szCs w:val="21"/>
          <w:highlight w:val="none"/>
          <w:u w:val="single"/>
          <w:lang w:eastAsia="zh-CN" w:bidi="zh-CN"/>
        </w:rPr>
        <w:t xml:space="preserve">   勘察设计费的百分之十 </w:t>
      </w:r>
      <w:r>
        <w:rPr>
          <w:rFonts w:ascii="Times New Roman" w:hAnsi="Times New Roman" w:cs="Times New Roman"/>
          <w:color w:val="auto"/>
          <w:szCs w:val="21"/>
          <w:highlight w:val="none"/>
          <w:lang w:val="zh-CN" w:eastAsia="zh-CN" w:bidi="zh-CN"/>
        </w:rPr>
        <w:t>。</w:t>
      </w:r>
    </w:p>
    <w:p w14:paraId="121784CB">
      <w:pPr>
        <w:pStyle w:val="13"/>
        <w:ind w:left="0"/>
        <w:rPr>
          <w:rFonts w:ascii="Times New Roman" w:hAnsi="Times New Roman"/>
          <w:color w:val="auto"/>
          <w:highlight w:val="none"/>
          <w:lang w:eastAsia="zh-CN"/>
        </w:rPr>
      </w:pPr>
      <w:bookmarkStart w:id="492" w:name="_Toc1826"/>
      <w:bookmarkStart w:id="493" w:name="_Toc256000394"/>
      <w:bookmarkStart w:id="494" w:name="_Toc256000228"/>
      <w:r>
        <w:rPr>
          <w:rFonts w:ascii="Times New Roman" w:hAnsi="Times New Roman"/>
          <w:color w:val="auto"/>
          <w:highlight w:val="none"/>
          <w:lang w:eastAsia="zh-CN"/>
        </w:rPr>
        <w:t>8. 勘察设计文件</w:t>
      </w:r>
      <w:bookmarkEnd w:id="492"/>
      <w:bookmarkEnd w:id="493"/>
      <w:bookmarkEnd w:id="494"/>
    </w:p>
    <w:p w14:paraId="08081BB8">
      <w:pPr>
        <w:pStyle w:val="15"/>
        <w:rPr>
          <w:color w:val="auto"/>
          <w:highlight w:val="none"/>
          <w:lang w:eastAsia="zh-CN"/>
        </w:rPr>
      </w:pPr>
      <w:bookmarkStart w:id="495" w:name="_Toc256000229"/>
      <w:bookmarkStart w:id="496" w:name="_Toc17364"/>
      <w:bookmarkStart w:id="497" w:name="_Toc256000395"/>
      <w:r>
        <w:rPr>
          <w:color w:val="auto"/>
          <w:highlight w:val="none"/>
          <w:lang w:eastAsia="zh-CN"/>
        </w:rPr>
        <w:t xml:space="preserve">8.1 </w:t>
      </w:r>
      <w:r>
        <w:rPr>
          <w:rFonts w:hint="eastAsia" w:ascii="宋体" w:hAnsi="宋体" w:eastAsia="宋体" w:cs="宋体"/>
          <w:color w:val="auto"/>
          <w:highlight w:val="none"/>
          <w:lang w:eastAsia="zh-CN"/>
        </w:rPr>
        <w:t>勘察设计文件接收</w:t>
      </w:r>
      <w:bookmarkEnd w:id="495"/>
      <w:bookmarkEnd w:id="496"/>
      <w:bookmarkEnd w:id="497"/>
    </w:p>
    <w:p w14:paraId="41074DD0">
      <w:pPr>
        <w:pStyle w:val="14"/>
        <w:spacing w:after="240" w:line="360" w:lineRule="exact"/>
        <w:ind w:firstLine="440" w:firstLineChars="200"/>
        <w:jc w:val="both"/>
        <w:rPr>
          <w:rFonts w:ascii="Times New Roman" w:hAnsi="Times New Roman" w:cs="Times New Roman"/>
          <w:color w:val="auto"/>
          <w:spacing w:val="-4"/>
          <w:sz w:val="21"/>
          <w:szCs w:val="21"/>
          <w:highlight w:val="none"/>
          <w:lang w:eastAsia="zh-CN" w:bidi="zh-CN"/>
        </w:rPr>
      </w:pPr>
      <w:r>
        <w:rPr>
          <w:rFonts w:ascii="Times New Roman" w:hAnsi="Times New Roman" w:cs="Times New Roman"/>
          <w:color w:val="auto"/>
          <w:szCs w:val="21"/>
          <w:highlight w:val="none"/>
          <w:lang w:eastAsia="zh-CN" w:bidi="zh-CN"/>
        </w:rPr>
        <w:t xml:space="preserve">8.1.3 </w:t>
      </w:r>
      <w:r>
        <w:rPr>
          <w:rFonts w:ascii="Times New Roman" w:hAnsi="Times New Roman" w:cs="Times New Roman"/>
          <w:color w:val="auto"/>
          <w:szCs w:val="21"/>
          <w:highlight w:val="none"/>
          <w:lang w:eastAsia="zh-CN"/>
        </w:rPr>
        <w:t>勘察设计</w:t>
      </w:r>
      <w:r>
        <w:rPr>
          <w:rFonts w:ascii="Times New Roman" w:hAnsi="Times New Roman" w:cs="Times New Roman"/>
          <w:color w:val="auto"/>
          <w:spacing w:val="-4"/>
          <w:szCs w:val="21"/>
          <w:highlight w:val="none"/>
          <w:lang w:val="zh-CN" w:eastAsia="zh-CN" w:bidi="zh-CN"/>
        </w:rPr>
        <w:t>文件提交的</w:t>
      </w:r>
      <w:r>
        <w:rPr>
          <w:rFonts w:ascii="Times New Roman" w:hAnsi="Times New Roman" w:cs="Times New Roman"/>
          <w:color w:val="auto"/>
          <w:szCs w:val="21"/>
          <w:highlight w:val="none"/>
          <w:lang w:val="zh-CN" w:eastAsia="zh-CN" w:bidi="zh-CN"/>
        </w:rPr>
        <w:t>要求</w:t>
      </w:r>
      <w:r>
        <w:rPr>
          <w:rFonts w:ascii="Times New Roman" w:hAnsi="Times New Roman" w:cs="Times New Roman"/>
          <w:color w:val="auto"/>
          <w:szCs w:val="21"/>
          <w:highlight w:val="none"/>
          <w:lang w:eastAsia="zh-CN" w:bidi="zh-CN"/>
        </w:rPr>
        <w:t>：</w:t>
      </w:r>
      <w:r>
        <w:rPr>
          <w:rFonts w:ascii="Times New Roman" w:hAnsi="Times New Roman" w:cs="Times New Roman"/>
          <w:color w:val="auto"/>
          <w:szCs w:val="21"/>
          <w:highlight w:val="none"/>
          <w:u w:val="single"/>
          <w:lang w:eastAsia="zh-CN" w:bidi="zh-CN"/>
        </w:rPr>
        <w:t>勘察设计文件提交</w:t>
      </w:r>
      <w:r>
        <w:rPr>
          <w:rFonts w:hint="eastAsia" w:ascii="Times New Roman" w:hAnsi="Times New Roman" w:cs="Times New Roman"/>
          <w:color w:val="auto"/>
          <w:szCs w:val="21"/>
          <w:highlight w:val="none"/>
          <w:u w:val="single"/>
          <w:lang w:eastAsia="zh-CN" w:bidi="zh-CN"/>
        </w:rPr>
        <w:t>最终报批稿</w:t>
      </w:r>
      <w:r>
        <w:rPr>
          <w:rFonts w:ascii="Times New Roman" w:hAnsi="Times New Roman" w:cs="Times New Roman"/>
          <w:color w:val="auto"/>
          <w:szCs w:val="21"/>
          <w:highlight w:val="none"/>
          <w:u w:val="single"/>
          <w:lang w:eastAsia="zh-CN" w:bidi="zh-CN"/>
        </w:rPr>
        <w:t>的份数纸质文件 8套，电子文件 1 套（PDF）</w:t>
      </w:r>
      <w:r>
        <w:rPr>
          <w:rFonts w:ascii="Times New Roman" w:hAnsi="Times New Roman" w:cs="Times New Roman"/>
          <w:color w:val="auto"/>
          <w:szCs w:val="21"/>
          <w:highlight w:val="none"/>
          <w:lang w:eastAsia="zh-CN" w:bidi="zh-CN"/>
        </w:rPr>
        <w:t xml:space="preserve"> </w:t>
      </w:r>
      <w:bookmarkStart w:id="498" w:name="_Toc15502"/>
      <w:r>
        <w:rPr>
          <w:rFonts w:ascii="Times New Roman" w:hAnsi="Times New Roman" w:cs="Times New Roman"/>
          <w:color w:val="auto"/>
          <w:szCs w:val="21"/>
          <w:highlight w:val="none"/>
          <w:lang w:eastAsia="zh-CN" w:bidi="zh-CN"/>
        </w:rPr>
        <w:t>，</w:t>
      </w:r>
      <w:r>
        <w:rPr>
          <w:rFonts w:ascii="Times New Roman" w:hAnsi="Times New Roman" w:cs="Times New Roman"/>
          <w:color w:val="auto"/>
          <w:spacing w:val="-4"/>
          <w:sz w:val="21"/>
          <w:szCs w:val="21"/>
          <w:highlight w:val="none"/>
          <w:lang w:eastAsia="zh-CN" w:bidi="zh-CN"/>
        </w:rPr>
        <w:t>勘察设计人须在招标文件规定的服务期限内向发包人提供，否则将按6.3条计算</w:t>
      </w:r>
      <w:r>
        <w:rPr>
          <w:rFonts w:ascii="Times New Roman" w:hAnsi="Times New Roman" w:cs="Times New Roman"/>
          <w:color w:val="auto"/>
          <w:spacing w:val="-4"/>
          <w:sz w:val="21"/>
          <w:szCs w:val="21"/>
          <w:highlight w:val="none"/>
          <w:lang w:val="zh-CN" w:eastAsia="zh-CN" w:bidi="zh-CN"/>
        </w:rPr>
        <w:t>逾期违约金</w:t>
      </w:r>
      <w:r>
        <w:rPr>
          <w:rFonts w:ascii="Times New Roman" w:hAnsi="Times New Roman" w:cs="Times New Roman"/>
          <w:color w:val="auto"/>
          <w:spacing w:val="-4"/>
          <w:sz w:val="21"/>
          <w:szCs w:val="21"/>
          <w:highlight w:val="none"/>
          <w:lang w:eastAsia="zh-CN" w:bidi="zh-CN"/>
        </w:rPr>
        <w:t>。</w:t>
      </w:r>
    </w:p>
    <w:p w14:paraId="2243A47E">
      <w:pPr>
        <w:pStyle w:val="16"/>
        <w:jc w:val="both"/>
        <w:rPr>
          <w:rFonts w:ascii="Times New Roman" w:hAnsi="Times New Roman"/>
          <w:color w:val="auto"/>
          <w:sz w:val="30"/>
          <w:szCs w:val="30"/>
          <w:highlight w:val="none"/>
          <w:lang w:eastAsia="zh-CN"/>
        </w:rPr>
      </w:pPr>
      <w:bookmarkStart w:id="499" w:name="_Toc256000396"/>
      <w:bookmarkStart w:id="500" w:name="_Toc256000230"/>
      <w:r>
        <w:rPr>
          <w:rFonts w:ascii="Times New Roman" w:hAnsi="Times New Roman"/>
          <w:color w:val="auto"/>
          <w:sz w:val="30"/>
          <w:szCs w:val="30"/>
          <w:highlight w:val="none"/>
          <w:lang w:eastAsia="zh-CN"/>
        </w:rPr>
        <w:t>8.2 发包人审查勘察设计文件</w:t>
      </w:r>
      <w:bookmarkEnd w:id="498"/>
      <w:bookmarkEnd w:id="499"/>
      <w:bookmarkEnd w:id="500"/>
    </w:p>
    <w:p w14:paraId="79EA7299">
      <w:pPr>
        <w:pStyle w:val="14"/>
        <w:spacing w:line="360" w:lineRule="auto"/>
        <w:ind w:firstLine="440" w:firstLineChars="200"/>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eastAsia="zh-CN" w:bidi="zh-CN"/>
        </w:rPr>
        <w:t>8</w:t>
      </w:r>
      <w:r>
        <w:rPr>
          <w:rFonts w:ascii="Times New Roman" w:hAnsi="Times New Roman" w:cs="Times New Roman"/>
          <w:color w:val="auto"/>
          <w:highlight w:val="none"/>
          <w:lang w:val="zh-CN" w:eastAsia="zh-CN" w:bidi="zh-CN"/>
        </w:rPr>
        <w:t>.2.1 发</w:t>
      </w:r>
      <w:r>
        <w:rPr>
          <w:rFonts w:ascii="Times New Roman" w:hAnsi="Times New Roman" w:cs="Times New Roman"/>
          <w:color w:val="auto"/>
          <w:spacing w:val="-3"/>
          <w:highlight w:val="none"/>
          <w:lang w:val="zh-CN" w:eastAsia="zh-CN" w:bidi="zh-CN"/>
        </w:rPr>
        <w:t>包</w:t>
      </w:r>
      <w:r>
        <w:rPr>
          <w:rFonts w:ascii="Times New Roman" w:hAnsi="Times New Roman" w:cs="Times New Roman"/>
          <w:color w:val="auto"/>
          <w:highlight w:val="none"/>
          <w:lang w:val="zh-CN" w:eastAsia="zh-CN" w:bidi="zh-CN"/>
        </w:rPr>
        <w:t>人</w:t>
      </w:r>
      <w:r>
        <w:rPr>
          <w:rFonts w:ascii="Times New Roman" w:hAnsi="Times New Roman" w:cs="Times New Roman"/>
          <w:color w:val="auto"/>
          <w:spacing w:val="-3"/>
          <w:highlight w:val="none"/>
          <w:lang w:val="zh-CN" w:eastAsia="zh-CN" w:bidi="zh-CN"/>
        </w:rPr>
        <w:t>接</w:t>
      </w:r>
      <w:r>
        <w:rPr>
          <w:rFonts w:ascii="Times New Roman" w:hAnsi="Times New Roman" w:cs="Times New Roman"/>
          <w:color w:val="auto"/>
          <w:spacing w:val="-1"/>
          <w:highlight w:val="none"/>
          <w:lang w:val="zh-CN" w:eastAsia="zh-CN" w:bidi="zh-CN"/>
        </w:rPr>
        <w:t>收</w:t>
      </w:r>
      <w:r>
        <w:rPr>
          <w:rFonts w:ascii="Times New Roman" w:hAnsi="Times New Roman" w:cs="Times New Roman"/>
          <w:color w:val="auto"/>
          <w:highlight w:val="none"/>
          <w:lang w:eastAsia="zh-CN"/>
        </w:rPr>
        <w:t>勘察设计</w:t>
      </w:r>
      <w:r>
        <w:rPr>
          <w:rFonts w:ascii="Times New Roman" w:hAnsi="Times New Roman" w:cs="Times New Roman"/>
          <w:color w:val="auto"/>
          <w:spacing w:val="-3"/>
          <w:highlight w:val="none"/>
          <w:lang w:val="zh-CN" w:eastAsia="zh-CN" w:bidi="zh-CN"/>
        </w:rPr>
        <w:t>文件</w:t>
      </w:r>
      <w:r>
        <w:rPr>
          <w:rFonts w:ascii="Times New Roman" w:hAnsi="Times New Roman" w:cs="Times New Roman"/>
          <w:color w:val="auto"/>
          <w:highlight w:val="none"/>
          <w:lang w:val="zh-CN" w:eastAsia="zh-CN" w:bidi="zh-CN"/>
        </w:rPr>
        <w:t>之后</w:t>
      </w:r>
      <w:r>
        <w:rPr>
          <w:rFonts w:ascii="Times New Roman" w:hAnsi="Times New Roman" w:cs="Times New Roman"/>
          <w:color w:val="auto"/>
          <w:spacing w:val="-92"/>
          <w:highlight w:val="none"/>
          <w:lang w:val="zh-CN" w:eastAsia="zh-CN" w:bidi="zh-CN"/>
        </w:rPr>
        <w:t>，</w:t>
      </w:r>
      <w:r>
        <w:rPr>
          <w:rFonts w:ascii="Times New Roman" w:hAnsi="Times New Roman" w:cs="Times New Roman"/>
          <w:color w:val="auto"/>
          <w:spacing w:val="-3"/>
          <w:highlight w:val="none"/>
          <w:lang w:val="zh-CN" w:eastAsia="zh-CN" w:bidi="zh-CN"/>
        </w:rPr>
        <w:t>可</w:t>
      </w:r>
      <w:r>
        <w:rPr>
          <w:rFonts w:ascii="Times New Roman" w:hAnsi="Times New Roman" w:cs="Times New Roman"/>
          <w:color w:val="auto"/>
          <w:highlight w:val="none"/>
          <w:lang w:val="zh-CN" w:eastAsia="zh-CN" w:bidi="zh-CN"/>
        </w:rPr>
        <w:t>以</w:t>
      </w:r>
      <w:r>
        <w:rPr>
          <w:rFonts w:ascii="Times New Roman" w:hAnsi="Times New Roman" w:cs="Times New Roman"/>
          <w:color w:val="auto"/>
          <w:spacing w:val="-3"/>
          <w:highlight w:val="none"/>
          <w:lang w:val="zh-CN" w:eastAsia="zh-CN" w:bidi="zh-CN"/>
        </w:rPr>
        <w:t>自</w:t>
      </w:r>
      <w:r>
        <w:rPr>
          <w:rFonts w:ascii="Times New Roman" w:hAnsi="Times New Roman" w:cs="Times New Roman"/>
          <w:color w:val="auto"/>
          <w:highlight w:val="none"/>
          <w:lang w:val="zh-CN" w:eastAsia="zh-CN" w:bidi="zh-CN"/>
        </w:rPr>
        <w:t>行</w:t>
      </w:r>
      <w:r>
        <w:rPr>
          <w:rFonts w:ascii="Times New Roman" w:hAnsi="Times New Roman" w:cs="Times New Roman"/>
          <w:color w:val="auto"/>
          <w:spacing w:val="-3"/>
          <w:highlight w:val="none"/>
          <w:lang w:val="zh-CN" w:eastAsia="zh-CN" w:bidi="zh-CN"/>
        </w:rPr>
        <w:t>或</w:t>
      </w:r>
      <w:r>
        <w:rPr>
          <w:rFonts w:ascii="Times New Roman" w:hAnsi="Times New Roman" w:cs="Times New Roman"/>
          <w:color w:val="auto"/>
          <w:highlight w:val="none"/>
          <w:lang w:val="zh-CN" w:eastAsia="zh-CN" w:bidi="zh-CN"/>
        </w:rPr>
        <w:t>者</w:t>
      </w:r>
      <w:r>
        <w:rPr>
          <w:rFonts w:ascii="Times New Roman" w:hAnsi="Times New Roman" w:cs="Times New Roman"/>
          <w:color w:val="auto"/>
          <w:spacing w:val="-3"/>
          <w:highlight w:val="none"/>
          <w:lang w:val="zh-CN" w:eastAsia="zh-CN" w:bidi="zh-CN"/>
        </w:rPr>
        <w:t>组</w:t>
      </w:r>
      <w:r>
        <w:rPr>
          <w:rFonts w:ascii="Times New Roman" w:hAnsi="Times New Roman" w:cs="Times New Roman"/>
          <w:color w:val="auto"/>
          <w:highlight w:val="none"/>
          <w:lang w:val="zh-CN" w:eastAsia="zh-CN" w:bidi="zh-CN"/>
        </w:rPr>
        <w:t>织</w:t>
      </w:r>
      <w:r>
        <w:rPr>
          <w:rFonts w:ascii="Times New Roman" w:hAnsi="Times New Roman" w:cs="Times New Roman"/>
          <w:color w:val="auto"/>
          <w:spacing w:val="-3"/>
          <w:highlight w:val="none"/>
          <w:lang w:val="zh-CN" w:eastAsia="zh-CN" w:bidi="zh-CN"/>
        </w:rPr>
        <w:t>专</w:t>
      </w:r>
      <w:r>
        <w:rPr>
          <w:rFonts w:ascii="Times New Roman" w:hAnsi="Times New Roman" w:cs="Times New Roman"/>
          <w:color w:val="auto"/>
          <w:highlight w:val="none"/>
          <w:lang w:val="zh-CN" w:eastAsia="zh-CN" w:bidi="zh-CN"/>
        </w:rPr>
        <w:t>家会</w:t>
      </w:r>
      <w:r>
        <w:rPr>
          <w:rFonts w:ascii="Times New Roman" w:hAnsi="Times New Roman" w:cs="Times New Roman"/>
          <w:color w:val="auto"/>
          <w:spacing w:val="-3"/>
          <w:highlight w:val="none"/>
          <w:lang w:val="zh-CN" w:eastAsia="zh-CN" w:bidi="zh-CN"/>
        </w:rPr>
        <w:t>进</w:t>
      </w:r>
      <w:r>
        <w:rPr>
          <w:rFonts w:ascii="Times New Roman" w:hAnsi="Times New Roman" w:cs="Times New Roman"/>
          <w:color w:val="auto"/>
          <w:highlight w:val="none"/>
          <w:lang w:val="zh-CN" w:eastAsia="zh-CN" w:bidi="zh-CN"/>
        </w:rPr>
        <w:t>行</w:t>
      </w:r>
      <w:r>
        <w:rPr>
          <w:rFonts w:ascii="Times New Roman" w:hAnsi="Times New Roman" w:cs="Times New Roman"/>
          <w:color w:val="auto"/>
          <w:spacing w:val="-3"/>
          <w:highlight w:val="none"/>
          <w:lang w:val="zh-CN" w:eastAsia="zh-CN" w:bidi="zh-CN"/>
        </w:rPr>
        <w:t>审</w:t>
      </w:r>
      <w:r>
        <w:rPr>
          <w:rFonts w:ascii="Times New Roman" w:hAnsi="Times New Roman" w:cs="Times New Roman"/>
          <w:color w:val="auto"/>
          <w:highlight w:val="none"/>
          <w:lang w:val="zh-CN" w:eastAsia="zh-CN" w:bidi="zh-CN"/>
        </w:rPr>
        <w:t>查</w:t>
      </w:r>
      <w:r>
        <w:rPr>
          <w:rFonts w:ascii="Times New Roman" w:hAnsi="Times New Roman" w:cs="Times New Roman"/>
          <w:color w:val="auto"/>
          <w:spacing w:val="-92"/>
          <w:highlight w:val="none"/>
          <w:lang w:val="zh-CN" w:eastAsia="zh-CN" w:bidi="zh-CN"/>
        </w:rPr>
        <w:t>，</w:t>
      </w:r>
      <w:r>
        <w:rPr>
          <w:rFonts w:ascii="Times New Roman" w:hAnsi="Times New Roman" w:cs="Times New Roman"/>
          <w:color w:val="auto"/>
          <w:highlight w:val="none"/>
          <w:lang w:eastAsia="zh-CN"/>
        </w:rPr>
        <w:t>勘察设计</w:t>
      </w:r>
      <w:r>
        <w:rPr>
          <w:rFonts w:ascii="Times New Roman" w:hAnsi="Times New Roman" w:cs="Times New Roman"/>
          <w:color w:val="auto"/>
          <w:spacing w:val="-3"/>
          <w:highlight w:val="none"/>
          <w:lang w:val="zh-CN" w:eastAsia="zh-CN" w:bidi="zh-CN"/>
        </w:rPr>
        <w:t>人</w:t>
      </w:r>
      <w:r>
        <w:rPr>
          <w:rFonts w:ascii="Times New Roman" w:hAnsi="Times New Roman" w:cs="Times New Roman"/>
          <w:color w:val="auto"/>
          <w:highlight w:val="none"/>
          <w:lang w:val="zh-CN" w:eastAsia="zh-CN" w:bidi="zh-CN"/>
        </w:rPr>
        <w:t>应</w:t>
      </w:r>
      <w:r>
        <w:rPr>
          <w:rFonts w:ascii="Times New Roman" w:hAnsi="Times New Roman" w:cs="Times New Roman"/>
          <w:color w:val="auto"/>
          <w:spacing w:val="-3"/>
          <w:highlight w:val="none"/>
          <w:lang w:val="zh-CN" w:eastAsia="zh-CN" w:bidi="zh-CN"/>
        </w:rPr>
        <w:t>当</w:t>
      </w:r>
      <w:r>
        <w:rPr>
          <w:rFonts w:ascii="Times New Roman" w:hAnsi="Times New Roman" w:cs="Times New Roman"/>
          <w:color w:val="auto"/>
          <w:highlight w:val="none"/>
          <w:lang w:val="zh-CN" w:eastAsia="zh-CN" w:bidi="zh-CN"/>
        </w:rPr>
        <w:t>给予</w:t>
      </w:r>
      <w:r>
        <w:rPr>
          <w:rFonts w:ascii="Times New Roman" w:hAnsi="Times New Roman" w:cs="Times New Roman"/>
          <w:color w:val="auto"/>
          <w:spacing w:val="-3"/>
          <w:highlight w:val="none"/>
          <w:lang w:val="zh-CN" w:eastAsia="zh-CN" w:bidi="zh-CN"/>
        </w:rPr>
        <w:t>配</w:t>
      </w:r>
      <w:r>
        <w:rPr>
          <w:rFonts w:ascii="Times New Roman" w:hAnsi="Times New Roman" w:cs="Times New Roman"/>
          <w:color w:val="auto"/>
          <w:highlight w:val="none"/>
          <w:lang w:val="zh-CN" w:eastAsia="zh-CN" w:bidi="zh-CN"/>
        </w:rPr>
        <w:t>合。 审查标准应当符合法律、规范标准、合同约定和发包人要求等。</w:t>
      </w:r>
    </w:p>
    <w:p w14:paraId="2CDFE974">
      <w:pPr>
        <w:pStyle w:val="14"/>
        <w:spacing w:line="360" w:lineRule="auto"/>
        <w:ind w:firstLine="440" w:firstLineChars="200"/>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val="zh-CN" w:eastAsia="zh-CN" w:bidi="zh-CN"/>
        </w:rPr>
        <w:t>审查的具体范围：</w:t>
      </w:r>
      <w:r>
        <w:rPr>
          <w:rFonts w:ascii="Times New Roman" w:hAnsi="Times New Roman" w:cs="Times New Roman"/>
          <w:color w:val="auto"/>
          <w:highlight w:val="none"/>
          <w:u w:val="single"/>
          <w:lang w:eastAsia="zh-CN" w:bidi="zh-CN"/>
        </w:rPr>
        <w:t xml:space="preserve">                 </w:t>
      </w:r>
      <w:r>
        <w:rPr>
          <w:rFonts w:ascii="Times New Roman" w:hAnsi="Times New Roman" w:cs="Times New Roman"/>
          <w:color w:val="auto"/>
          <w:highlight w:val="none"/>
          <w:lang w:eastAsia="zh-CN" w:bidi="zh-CN"/>
        </w:rPr>
        <w:t>。</w:t>
      </w:r>
      <w:r>
        <w:rPr>
          <w:rFonts w:ascii="Times New Roman" w:hAnsi="Times New Roman" w:cs="Times New Roman"/>
          <w:color w:val="auto"/>
          <w:highlight w:val="none"/>
          <w:lang w:val="zh-CN" w:eastAsia="zh-CN" w:bidi="zh-CN"/>
        </w:rPr>
        <w:t>明细内容：</w:t>
      </w:r>
      <w:r>
        <w:rPr>
          <w:rFonts w:ascii="Times New Roman" w:hAnsi="Times New Roman" w:cs="Times New Roman"/>
          <w:color w:val="auto"/>
          <w:highlight w:val="none"/>
          <w:u w:val="single"/>
          <w:lang w:eastAsia="zh-CN" w:bidi="zh-CN"/>
        </w:rPr>
        <w:t xml:space="preserve">                 </w:t>
      </w:r>
      <w:r>
        <w:rPr>
          <w:rFonts w:ascii="Times New Roman" w:hAnsi="Times New Roman" w:cs="Times New Roman"/>
          <w:color w:val="auto"/>
          <w:highlight w:val="none"/>
          <w:lang w:eastAsia="zh-CN" w:bidi="zh-CN"/>
        </w:rPr>
        <w:t>。</w:t>
      </w:r>
      <w:r>
        <w:rPr>
          <w:rFonts w:ascii="Times New Roman" w:hAnsi="Times New Roman" w:cs="Times New Roman"/>
          <w:color w:val="auto"/>
          <w:highlight w:val="none"/>
          <w:lang w:val="zh-CN" w:eastAsia="zh-CN" w:bidi="zh-CN"/>
        </w:rPr>
        <w:t>费用分担：</w:t>
      </w:r>
      <w:r>
        <w:rPr>
          <w:rFonts w:ascii="Times New Roman" w:hAnsi="Times New Roman" w:cs="Times New Roman"/>
          <w:color w:val="auto"/>
          <w:highlight w:val="none"/>
          <w:u w:val="single"/>
          <w:lang w:eastAsia="zh-CN" w:bidi="zh-CN"/>
        </w:rPr>
        <w:t xml:space="preserve">  </w:t>
      </w:r>
      <w:r>
        <w:rPr>
          <w:rFonts w:ascii="Times New Roman" w:hAnsi="Times New Roman" w:cs="Times New Roman"/>
          <w:color w:val="auto"/>
          <w:szCs w:val="21"/>
          <w:highlight w:val="none"/>
          <w:u w:val="single"/>
          <w:lang w:eastAsia="zh-CN" w:bidi="zh-CN"/>
        </w:rPr>
        <w:t>由发包人和勘察设计人协商确定</w:t>
      </w:r>
      <w:r>
        <w:rPr>
          <w:rFonts w:ascii="Times New Roman" w:hAnsi="Times New Roman" w:cs="Times New Roman"/>
          <w:color w:val="auto"/>
          <w:highlight w:val="none"/>
          <w:u w:val="single"/>
          <w:lang w:eastAsia="zh-CN" w:bidi="zh-CN"/>
        </w:rPr>
        <w:t xml:space="preserve">  </w:t>
      </w:r>
      <w:r>
        <w:rPr>
          <w:rFonts w:ascii="Times New Roman" w:hAnsi="Times New Roman" w:cs="Times New Roman"/>
          <w:color w:val="auto"/>
          <w:highlight w:val="none"/>
          <w:lang w:val="zh-CN" w:eastAsia="zh-CN" w:bidi="zh-CN"/>
        </w:rPr>
        <w:t>。</w:t>
      </w:r>
    </w:p>
    <w:p w14:paraId="57518662">
      <w:pPr>
        <w:pStyle w:val="14"/>
        <w:spacing w:line="360" w:lineRule="auto"/>
        <w:ind w:firstLine="440" w:firstLineChars="200"/>
        <w:rPr>
          <w:rFonts w:ascii="Times New Roman" w:hAnsi="Times New Roman" w:cs="Times New Roman"/>
          <w:color w:val="auto"/>
          <w:highlight w:val="none"/>
          <w:lang w:eastAsia="zh-CN" w:bidi="zh-CN"/>
        </w:rPr>
      </w:pPr>
      <w:r>
        <w:rPr>
          <w:rFonts w:ascii="Times New Roman" w:hAnsi="Times New Roman" w:cs="Times New Roman"/>
          <w:color w:val="auto"/>
          <w:highlight w:val="none"/>
          <w:lang w:eastAsia="zh-CN" w:bidi="zh-CN"/>
        </w:rPr>
        <w:t>8.2.2发包人对于</w:t>
      </w:r>
      <w:r>
        <w:rPr>
          <w:rFonts w:ascii="Times New Roman" w:hAnsi="Times New Roman" w:cs="Times New Roman"/>
          <w:color w:val="auto"/>
          <w:highlight w:val="none"/>
          <w:lang w:eastAsia="zh-CN"/>
        </w:rPr>
        <w:t>勘察设计</w:t>
      </w:r>
      <w:r>
        <w:rPr>
          <w:rFonts w:ascii="Times New Roman" w:hAnsi="Times New Roman" w:cs="Times New Roman"/>
          <w:color w:val="auto"/>
          <w:highlight w:val="none"/>
          <w:lang w:eastAsia="zh-CN" w:bidi="zh-CN"/>
        </w:rPr>
        <w:t>文件的审查期限，自文件接收之日起不应超过</w:t>
      </w:r>
      <w:r>
        <w:rPr>
          <w:rFonts w:ascii="Times New Roman" w:hAnsi="Times New Roman" w:cs="Times New Roman"/>
          <w:color w:val="auto"/>
          <w:highlight w:val="none"/>
          <w:u w:val="single"/>
          <w:lang w:eastAsia="zh-CN" w:bidi="zh-CN"/>
        </w:rPr>
        <w:t xml:space="preserve">  14    </w:t>
      </w:r>
      <w:r>
        <w:rPr>
          <w:rFonts w:ascii="Times New Roman" w:hAnsi="Times New Roman" w:cs="Times New Roman"/>
          <w:color w:val="auto"/>
          <w:highlight w:val="none"/>
          <w:lang w:eastAsia="zh-CN" w:bidi="zh-CN"/>
        </w:rPr>
        <w:t>天。发包人逾期未作出审查结论且未提出异议的，视为</w:t>
      </w:r>
      <w:r>
        <w:rPr>
          <w:rFonts w:ascii="Times New Roman" w:hAnsi="Times New Roman" w:cs="Times New Roman"/>
          <w:color w:val="auto"/>
          <w:highlight w:val="none"/>
          <w:lang w:eastAsia="zh-CN"/>
        </w:rPr>
        <w:t>勘察设计</w:t>
      </w:r>
      <w:r>
        <w:rPr>
          <w:rFonts w:ascii="Times New Roman" w:hAnsi="Times New Roman" w:cs="Times New Roman"/>
          <w:color w:val="auto"/>
          <w:highlight w:val="none"/>
          <w:lang w:eastAsia="zh-CN" w:bidi="zh-CN"/>
        </w:rPr>
        <w:t>人的</w:t>
      </w:r>
      <w:r>
        <w:rPr>
          <w:rFonts w:ascii="Times New Roman" w:hAnsi="Times New Roman" w:cs="Times New Roman"/>
          <w:color w:val="auto"/>
          <w:highlight w:val="none"/>
          <w:lang w:eastAsia="zh-CN"/>
        </w:rPr>
        <w:t>勘察设计</w:t>
      </w:r>
      <w:r>
        <w:rPr>
          <w:rFonts w:ascii="Times New Roman" w:hAnsi="Times New Roman" w:cs="Times New Roman"/>
          <w:color w:val="auto"/>
          <w:highlight w:val="none"/>
          <w:lang w:eastAsia="zh-CN" w:bidi="zh-CN"/>
        </w:rPr>
        <w:t>文件已经通过发包人的审查。</w:t>
      </w:r>
    </w:p>
    <w:p w14:paraId="78DD83D9">
      <w:pPr>
        <w:pStyle w:val="13"/>
        <w:ind w:left="0"/>
        <w:rPr>
          <w:rFonts w:ascii="Times New Roman" w:hAnsi="Times New Roman"/>
          <w:color w:val="auto"/>
          <w:highlight w:val="none"/>
          <w:lang w:eastAsia="zh-CN"/>
        </w:rPr>
      </w:pPr>
      <w:bookmarkStart w:id="501" w:name="_Toc7523"/>
      <w:bookmarkStart w:id="502" w:name="_Toc256000231"/>
      <w:bookmarkStart w:id="503" w:name="_Toc256000397"/>
      <w:r>
        <w:rPr>
          <w:rFonts w:ascii="Times New Roman" w:hAnsi="Times New Roman"/>
          <w:color w:val="auto"/>
          <w:highlight w:val="none"/>
          <w:lang w:eastAsia="zh-CN"/>
        </w:rPr>
        <w:t>11.合同变更</w:t>
      </w:r>
      <w:bookmarkEnd w:id="501"/>
      <w:bookmarkEnd w:id="502"/>
      <w:bookmarkEnd w:id="503"/>
    </w:p>
    <w:p w14:paraId="2A3D3772">
      <w:pPr>
        <w:pStyle w:val="15"/>
        <w:rPr>
          <w:color w:val="auto"/>
          <w:highlight w:val="none"/>
          <w:lang w:eastAsia="zh-CN"/>
        </w:rPr>
      </w:pPr>
      <w:bookmarkStart w:id="504" w:name="_Toc256000398"/>
      <w:bookmarkStart w:id="505" w:name="_Toc256000232"/>
      <w:bookmarkStart w:id="506" w:name="_Toc21386"/>
      <w:r>
        <w:rPr>
          <w:color w:val="auto"/>
          <w:highlight w:val="none"/>
          <w:lang w:eastAsia="zh-CN"/>
        </w:rPr>
        <w:t xml:space="preserve">11.1 </w:t>
      </w:r>
      <w:r>
        <w:rPr>
          <w:rFonts w:hint="eastAsia" w:ascii="宋体" w:hAnsi="宋体" w:eastAsia="宋体" w:cs="宋体"/>
          <w:color w:val="auto"/>
          <w:highlight w:val="none"/>
          <w:lang w:eastAsia="zh-CN"/>
        </w:rPr>
        <w:t>变更情形</w:t>
      </w:r>
      <w:bookmarkEnd w:id="504"/>
      <w:bookmarkEnd w:id="505"/>
      <w:bookmarkEnd w:id="506"/>
    </w:p>
    <w:p w14:paraId="05CCAEAC">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eastAsia="zh-CN" w:bidi="zh-CN"/>
        </w:rPr>
        <w:t>11</w:t>
      </w:r>
      <w:r>
        <w:rPr>
          <w:rFonts w:ascii="Times New Roman" w:hAnsi="Times New Roman" w:cs="Times New Roman"/>
          <w:color w:val="auto"/>
          <w:szCs w:val="21"/>
          <w:highlight w:val="none"/>
          <w:lang w:val="zh-CN" w:eastAsia="zh-CN" w:bidi="zh-CN"/>
        </w:rPr>
        <w:t>.1.1 合同履行中发生下述情形时，合同一方均可向对方提出变更请求，经双方协商一致后进行变更，</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服务期限的调整方法：</w:t>
      </w:r>
      <w:r>
        <w:rPr>
          <w:rFonts w:ascii="Times New Roman" w:hAnsi="Times New Roman" w:cs="Times New Roman"/>
          <w:color w:val="auto"/>
          <w:szCs w:val="21"/>
          <w:highlight w:val="none"/>
          <w:u w:val="single"/>
          <w:lang w:eastAsia="zh-CN" w:bidi="zh-CN"/>
        </w:rPr>
        <w:t xml:space="preserve"> 由发包人和勘察设计人协商确定   </w:t>
      </w:r>
      <w:r>
        <w:rPr>
          <w:rFonts w:ascii="Times New Roman" w:hAnsi="Times New Roman" w:cs="Times New Roman"/>
          <w:color w:val="auto"/>
          <w:szCs w:val="21"/>
          <w:highlight w:val="none"/>
          <w:lang w:eastAsia="zh-CN" w:bidi="zh-CN"/>
        </w:rPr>
        <w:t>。</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费用的调整方法：</w:t>
      </w:r>
      <w:r>
        <w:rPr>
          <w:rFonts w:ascii="Times New Roman" w:hAnsi="Times New Roman" w:cs="Times New Roman"/>
          <w:color w:val="auto"/>
          <w:szCs w:val="21"/>
          <w:highlight w:val="none"/>
          <w:u w:val="single"/>
          <w:lang w:eastAsia="zh-CN" w:bidi="zh-CN"/>
        </w:rPr>
        <w:t xml:space="preserve">  由发包人和勘察设计人协商确定  </w:t>
      </w:r>
      <w:r>
        <w:rPr>
          <w:rFonts w:ascii="Times New Roman" w:hAnsi="Times New Roman" w:cs="Times New Roman"/>
          <w:color w:val="auto"/>
          <w:szCs w:val="21"/>
          <w:highlight w:val="none"/>
          <w:lang w:val="zh-CN" w:eastAsia="zh-CN" w:bidi="zh-CN"/>
        </w:rPr>
        <w:t>。</w:t>
      </w:r>
    </w:p>
    <w:p w14:paraId="68602B3D">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（1）</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范围发生变化；</w:t>
      </w:r>
    </w:p>
    <w:p w14:paraId="32A23766">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（2）除不可抗力外，非</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人的原因引起的周期延误；</w:t>
      </w:r>
    </w:p>
    <w:p w14:paraId="168E8493">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（3）非</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人的原因，对工程同一部分重复进行</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w:t>
      </w:r>
    </w:p>
    <w:p w14:paraId="1AEDB0A1">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（4）非</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人的原因，对工程暂停</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及恢复</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w:t>
      </w:r>
    </w:p>
    <w:p w14:paraId="160F0FF7">
      <w:pPr>
        <w:pStyle w:val="15"/>
        <w:rPr>
          <w:color w:val="auto"/>
          <w:highlight w:val="none"/>
          <w:lang w:eastAsia="zh-CN"/>
        </w:rPr>
      </w:pPr>
      <w:bookmarkStart w:id="507" w:name="_Toc256000233"/>
      <w:bookmarkStart w:id="508" w:name="_Toc14861"/>
      <w:bookmarkStart w:id="509" w:name="_Toc256000399"/>
      <w:r>
        <w:rPr>
          <w:color w:val="auto"/>
          <w:highlight w:val="none"/>
          <w:lang w:eastAsia="zh-CN"/>
        </w:rPr>
        <w:t xml:space="preserve">11.2 </w:t>
      </w:r>
      <w:r>
        <w:rPr>
          <w:rFonts w:hint="eastAsia" w:ascii="宋体" w:hAnsi="宋体" w:eastAsia="宋体" w:cs="宋体"/>
          <w:color w:val="auto"/>
          <w:highlight w:val="none"/>
          <w:lang w:eastAsia="zh-CN"/>
        </w:rPr>
        <w:t>合理化建议</w:t>
      </w:r>
      <w:bookmarkEnd w:id="507"/>
      <w:bookmarkEnd w:id="508"/>
      <w:bookmarkEnd w:id="509"/>
    </w:p>
    <w:p w14:paraId="55F8DACD">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11.</w:t>
      </w:r>
      <w:r>
        <w:rPr>
          <w:rFonts w:ascii="Times New Roman" w:hAnsi="Times New Roman" w:cs="Times New Roman"/>
          <w:color w:val="auto"/>
          <w:szCs w:val="21"/>
          <w:highlight w:val="none"/>
          <w:lang w:eastAsia="zh-CN" w:bidi="zh-CN"/>
        </w:rPr>
        <w:t>2.2</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人提出的合理化建议降低了工程投资、缩短了施工期限或者提高了工程经济效益的，发包人给予</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人如下奖励：</w:t>
      </w:r>
      <w:r>
        <w:rPr>
          <w:rFonts w:ascii="Times New Roman" w:hAnsi="Times New Roman" w:cs="Times New Roman"/>
          <w:color w:val="auto"/>
          <w:szCs w:val="21"/>
          <w:highlight w:val="none"/>
          <w:u w:val="single"/>
          <w:lang w:eastAsia="zh-CN" w:bidi="zh-CN"/>
        </w:rPr>
        <w:t xml:space="preserve">    由发包人和勘察设计人协商确定   </w:t>
      </w:r>
      <w:r>
        <w:rPr>
          <w:rFonts w:ascii="Times New Roman" w:hAnsi="Times New Roman" w:cs="Times New Roman"/>
          <w:color w:val="auto"/>
          <w:szCs w:val="21"/>
          <w:highlight w:val="none"/>
          <w:lang w:eastAsia="zh-CN" w:bidi="zh-CN"/>
        </w:rPr>
        <w:t>。</w:t>
      </w:r>
    </w:p>
    <w:p w14:paraId="3CD490AD">
      <w:pPr>
        <w:pStyle w:val="13"/>
        <w:ind w:left="0"/>
        <w:rPr>
          <w:rFonts w:ascii="Times New Roman" w:hAnsi="Times New Roman"/>
          <w:color w:val="auto"/>
          <w:highlight w:val="none"/>
          <w:lang w:eastAsia="zh-CN"/>
        </w:rPr>
      </w:pPr>
      <w:bookmarkStart w:id="510" w:name="_Toc256000234"/>
      <w:bookmarkStart w:id="511" w:name="_Toc29387"/>
      <w:bookmarkStart w:id="512" w:name="_Toc256000400"/>
      <w:r>
        <w:rPr>
          <w:rFonts w:ascii="Times New Roman" w:hAnsi="Times New Roman"/>
          <w:color w:val="auto"/>
          <w:highlight w:val="none"/>
          <w:lang w:eastAsia="zh-CN"/>
        </w:rPr>
        <w:t>12. 合同价格与支付</w:t>
      </w:r>
      <w:bookmarkEnd w:id="510"/>
      <w:bookmarkEnd w:id="511"/>
      <w:bookmarkEnd w:id="512"/>
    </w:p>
    <w:p w14:paraId="66331B5D">
      <w:pPr>
        <w:pStyle w:val="15"/>
        <w:rPr>
          <w:color w:val="auto"/>
          <w:highlight w:val="none"/>
          <w:lang w:eastAsia="zh-CN"/>
        </w:rPr>
      </w:pPr>
      <w:bookmarkStart w:id="513" w:name="_Toc11818"/>
      <w:bookmarkStart w:id="514" w:name="_Toc256000235"/>
      <w:bookmarkStart w:id="515" w:name="_Toc256000401"/>
      <w:r>
        <w:rPr>
          <w:color w:val="auto"/>
          <w:highlight w:val="none"/>
          <w:lang w:eastAsia="zh-CN"/>
        </w:rPr>
        <w:t xml:space="preserve">12.1 </w:t>
      </w:r>
      <w:r>
        <w:rPr>
          <w:rFonts w:hint="eastAsia" w:ascii="宋体" w:hAnsi="宋体" w:eastAsia="宋体" w:cs="宋体"/>
          <w:color w:val="auto"/>
          <w:highlight w:val="none"/>
          <w:lang w:eastAsia="zh-CN"/>
        </w:rPr>
        <w:t>合同价格</w:t>
      </w:r>
      <w:bookmarkEnd w:id="513"/>
      <w:bookmarkEnd w:id="514"/>
      <w:bookmarkEnd w:id="515"/>
    </w:p>
    <w:p w14:paraId="37816934">
      <w:pPr>
        <w:pStyle w:val="14"/>
        <w:spacing w:line="360" w:lineRule="auto"/>
        <w:ind w:firstLine="440" w:firstLineChars="200"/>
        <w:jc w:val="both"/>
        <w:rPr>
          <w:rFonts w:hint="eastAsia" w:eastAsia="宋体"/>
          <w:bCs/>
          <w:color w:val="auto"/>
          <w:szCs w:val="21"/>
          <w:highlight w:val="none"/>
          <w:lang w:eastAsia="zh-CN"/>
        </w:rPr>
      </w:pPr>
      <w:bookmarkStart w:id="516" w:name="_Toc3060"/>
      <w:r>
        <w:rPr>
          <w:rFonts w:ascii="Times New Roman" w:hAnsi="Times New Roman" w:cs="Times New Roman"/>
          <w:color w:val="auto"/>
          <w:szCs w:val="21"/>
          <w:highlight w:val="none"/>
          <w:lang w:eastAsia="zh-CN"/>
        </w:rPr>
        <w:t>根据中标报价，中标费率为   %，本合同暂定价为</w:t>
      </w:r>
      <w:r>
        <w:rPr>
          <w:rFonts w:ascii="Times New Roman" w:hAnsi="Times New Roman" w:cs="Times New Roman"/>
          <w:color w:val="auto"/>
          <w:szCs w:val="21"/>
          <w:highlight w:val="none"/>
          <w:u w:val="single"/>
          <w:lang w:eastAsia="zh-CN"/>
        </w:rPr>
        <w:t xml:space="preserve">            </w:t>
      </w:r>
      <w:r>
        <w:rPr>
          <w:rFonts w:ascii="Times New Roman" w:hAnsi="Times New Roman" w:cs="Times New Roman"/>
          <w:color w:val="auto"/>
          <w:szCs w:val="21"/>
          <w:highlight w:val="none"/>
          <w:lang w:eastAsia="zh-CN"/>
        </w:rPr>
        <w:t>万元。</w:t>
      </w:r>
      <w:r>
        <w:rPr>
          <w:rFonts w:hint="eastAsia"/>
          <w:bCs/>
          <w:color w:val="auto"/>
          <w:szCs w:val="21"/>
          <w:highlight w:val="none"/>
        </w:rPr>
        <w:t>实际支付的勘察设计费用=上级部门批复的初步设计概算中建安费×中标费率（若勘察设计人在勘察设计范围内中投资超过本项目估算总投资的，发包人不给予增加设计费）</w:t>
      </w:r>
      <w:r>
        <w:rPr>
          <w:rFonts w:hint="eastAsia"/>
          <w:bCs/>
          <w:color w:val="auto"/>
          <w:szCs w:val="21"/>
          <w:highlight w:val="none"/>
          <w:lang w:eastAsia="zh-CN"/>
        </w:rPr>
        <w:t>。</w:t>
      </w:r>
    </w:p>
    <w:p w14:paraId="33B7D9B5">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发包人应按合同条款的有关规定，按时向设计人支付勘察设计费用，以及设计人额外服务的费用。</w:t>
      </w:r>
    </w:p>
    <w:p w14:paraId="060D01E4">
      <w:pPr>
        <w:pStyle w:val="15"/>
        <w:rPr>
          <w:color w:val="auto"/>
          <w:highlight w:val="none"/>
          <w:lang w:eastAsia="zh-CN"/>
        </w:rPr>
      </w:pPr>
      <w:bookmarkStart w:id="517" w:name="_Toc256000402"/>
      <w:bookmarkStart w:id="518" w:name="_Toc256000236"/>
      <w:r>
        <w:rPr>
          <w:color w:val="auto"/>
          <w:highlight w:val="none"/>
          <w:lang w:eastAsia="zh-CN"/>
        </w:rPr>
        <w:t xml:space="preserve">12.2  </w:t>
      </w:r>
      <w:r>
        <w:rPr>
          <w:rFonts w:hint="eastAsia" w:ascii="宋体" w:hAnsi="宋体" w:eastAsia="宋体" w:cs="宋体"/>
          <w:color w:val="auto"/>
          <w:highlight w:val="none"/>
          <w:lang w:eastAsia="zh-CN"/>
        </w:rPr>
        <w:t>定金或预付款</w:t>
      </w:r>
      <w:bookmarkEnd w:id="516"/>
      <w:bookmarkEnd w:id="517"/>
      <w:bookmarkEnd w:id="518"/>
    </w:p>
    <w:p w14:paraId="29F9A36C">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12.2.1 定金或预付款的额度：</w:t>
      </w:r>
      <w:r>
        <w:rPr>
          <w:rFonts w:hint="eastAsia" w:ascii="Times New Roman" w:hAnsi="Times New Roman" w:cs="Times New Roman"/>
          <w:color w:val="auto"/>
          <w:szCs w:val="21"/>
          <w:highlight w:val="none"/>
          <w:u w:val="single"/>
          <w:lang w:eastAsia="zh-CN"/>
        </w:rPr>
        <w:t xml:space="preserve">     无     </w:t>
      </w:r>
      <w:r>
        <w:rPr>
          <w:rFonts w:ascii="Times New Roman" w:hAnsi="Times New Roman" w:cs="Times New Roman"/>
          <w:color w:val="auto"/>
          <w:szCs w:val="21"/>
          <w:highlight w:val="none"/>
          <w:lang w:val="zh-CN" w:eastAsia="zh-CN" w:bidi="zh-CN"/>
        </w:rPr>
        <w:t>。支付方式：</w:t>
      </w:r>
      <w:r>
        <w:rPr>
          <w:rFonts w:ascii="Times New Roman" w:hAnsi="Times New Roman" w:cs="Times New Roman"/>
          <w:color w:val="auto"/>
          <w:szCs w:val="21"/>
          <w:highlight w:val="none"/>
          <w:u w:val="single"/>
          <w:lang w:eastAsia="zh-CN" w:bidi="zh-CN"/>
        </w:rPr>
        <w:t xml:space="preserve"> </w:t>
      </w:r>
      <w:r>
        <w:rPr>
          <w:rFonts w:hint="eastAsia"/>
          <w:color w:val="auto"/>
          <w:spacing w:val="-4"/>
          <w:highlight w:val="none"/>
          <w:u w:val="single"/>
          <w:lang w:eastAsia="zh-CN"/>
        </w:rPr>
        <w:t>/</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val="zh-CN" w:eastAsia="zh-CN" w:bidi="zh-CN"/>
        </w:rPr>
        <w:t>。抵扣方式：</w:t>
      </w:r>
      <w:r>
        <w:rPr>
          <w:rFonts w:ascii="Times New Roman" w:hAnsi="Times New Roman" w:cs="Times New Roman"/>
          <w:color w:val="auto"/>
          <w:szCs w:val="21"/>
          <w:highlight w:val="none"/>
          <w:u w:val="single"/>
          <w:lang w:eastAsia="zh-CN" w:bidi="zh-CN"/>
        </w:rPr>
        <w:t xml:space="preserve">   /   </w:t>
      </w:r>
      <w:r>
        <w:rPr>
          <w:rFonts w:ascii="Times New Roman" w:hAnsi="Times New Roman" w:cs="Times New Roman"/>
          <w:color w:val="auto"/>
          <w:szCs w:val="21"/>
          <w:highlight w:val="none"/>
          <w:lang w:val="zh-CN" w:eastAsia="zh-CN" w:bidi="zh-CN"/>
        </w:rPr>
        <w:t>。</w:t>
      </w:r>
    </w:p>
    <w:p w14:paraId="02AB8AB7">
      <w:pPr>
        <w:pStyle w:val="15"/>
        <w:rPr>
          <w:color w:val="auto"/>
          <w:highlight w:val="none"/>
          <w:lang w:eastAsia="zh-CN"/>
        </w:rPr>
      </w:pPr>
      <w:bookmarkStart w:id="519" w:name="_Toc256000403"/>
      <w:bookmarkStart w:id="520" w:name="_Toc256000237"/>
      <w:bookmarkStart w:id="521" w:name="_Toc16594"/>
      <w:r>
        <w:rPr>
          <w:color w:val="auto"/>
          <w:highlight w:val="none"/>
          <w:lang w:eastAsia="zh-CN"/>
        </w:rPr>
        <w:t xml:space="preserve">12.3 </w:t>
      </w:r>
      <w:r>
        <w:rPr>
          <w:rFonts w:hint="eastAsia" w:ascii="宋体" w:hAnsi="宋体" w:eastAsia="宋体" w:cs="宋体"/>
          <w:color w:val="auto"/>
          <w:highlight w:val="none"/>
          <w:lang w:eastAsia="zh-CN"/>
        </w:rPr>
        <w:t>中期支付</w:t>
      </w:r>
      <w:bookmarkEnd w:id="519"/>
      <w:bookmarkEnd w:id="520"/>
      <w:bookmarkEnd w:id="521"/>
    </w:p>
    <w:p w14:paraId="08BE367B">
      <w:pPr>
        <w:pStyle w:val="14"/>
        <w:spacing w:line="360" w:lineRule="auto"/>
        <w:ind w:firstLine="440" w:firstLineChars="200"/>
        <w:jc w:val="both"/>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val="zh-CN" w:eastAsia="zh-CN" w:bidi="zh-CN"/>
        </w:rPr>
        <w:t>12.3.1 中期支付申请的格式及份数：</w:t>
      </w:r>
      <w:r>
        <w:rPr>
          <w:rFonts w:ascii="Times New Roman" w:hAnsi="Times New Roman" w:cs="Times New Roman"/>
          <w:color w:val="auto"/>
          <w:highlight w:val="none"/>
          <w:u w:val="single"/>
          <w:lang w:eastAsia="zh-CN" w:bidi="zh-CN"/>
        </w:rPr>
        <w:t xml:space="preserve">    由发包人和勘察设计人协商确定 </w:t>
      </w:r>
      <w:r>
        <w:rPr>
          <w:rFonts w:ascii="Times New Roman" w:hAnsi="Times New Roman" w:cs="Times New Roman"/>
          <w:color w:val="auto"/>
          <w:highlight w:val="none"/>
          <w:lang w:val="zh-CN" w:eastAsia="zh-CN" w:bidi="zh-CN"/>
        </w:rPr>
        <w:t>。</w:t>
      </w:r>
    </w:p>
    <w:p w14:paraId="03B33B0C">
      <w:pPr>
        <w:pStyle w:val="14"/>
        <w:spacing w:line="360" w:lineRule="auto"/>
        <w:ind w:firstLine="440" w:firstLineChars="200"/>
        <w:jc w:val="both"/>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val="zh-CN" w:eastAsia="zh-CN" w:bidi="zh-CN"/>
        </w:rPr>
        <w:t>12.3.</w:t>
      </w:r>
      <w:r>
        <w:rPr>
          <w:rFonts w:ascii="Times New Roman" w:hAnsi="Times New Roman" w:cs="Times New Roman"/>
          <w:color w:val="auto"/>
          <w:highlight w:val="none"/>
          <w:lang w:eastAsia="zh-CN" w:bidi="zh-CN"/>
        </w:rPr>
        <w:t>2</w:t>
      </w:r>
      <w:r>
        <w:rPr>
          <w:rFonts w:ascii="Times New Roman" w:hAnsi="Times New Roman" w:cs="Times New Roman"/>
          <w:color w:val="auto"/>
          <w:highlight w:val="none"/>
          <w:lang w:val="zh-CN" w:eastAsia="zh-CN" w:bidi="zh-CN"/>
        </w:rPr>
        <w:t xml:space="preserve"> </w:t>
      </w:r>
      <w:r>
        <w:rPr>
          <w:rFonts w:ascii="Times New Roman" w:hAnsi="Times New Roman" w:cs="Times New Roman"/>
          <w:color w:val="auto"/>
          <w:highlight w:val="none"/>
          <w:lang w:eastAsia="zh-CN" w:bidi="zh-CN"/>
        </w:rPr>
        <w:t>支付规定如下</w:t>
      </w:r>
      <w:r>
        <w:rPr>
          <w:rFonts w:ascii="Times New Roman" w:hAnsi="Times New Roman" w:cs="Times New Roman"/>
          <w:color w:val="auto"/>
          <w:highlight w:val="none"/>
          <w:lang w:val="zh-CN" w:eastAsia="zh-CN" w:bidi="zh-CN"/>
        </w:rPr>
        <w:t>：</w:t>
      </w:r>
    </w:p>
    <w:p w14:paraId="09C50B93">
      <w:pPr>
        <w:pStyle w:val="17"/>
        <w:tabs>
          <w:tab w:val="left" w:pos="577"/>
        </w:tabs>
        <w:spacing w:line="360" w:lineRule="auto"/>
        <w:ind w:left="453"/>
        <w:rPr>
          <w:rFonts w:hint="eastAsia"/>
          <w:color w:val="auto"/>
          <w:highlight w:val="none"/>
        </w:rPr>
      </w:pPr>
      <w:bookmarkStart w:id="522" w:name="_Toc256000238"/>
      <w:bookmarkStart w:id="523" w:name="_Toc32181"/>
      <w:r>
        <w:rPr>
          <w:rFonts w:hint="eastAsia"/>
          <w:color w:val="auto"/>
          <w:highlight w:val="none"/>
        </w:rPr>
        <w:t xml:space="preserve">（1）初步设计获得批复且项目建设资金落实后，可申请支付至合同金额的50%；  </w:t>
      </w:r>
    </w:p>
    <w:p w14:paraId="1AAA3409">
      <w:pPr>
        <w:pStyle w:val="17"/>
        <w:tabs>
          <w:tab w:val="left" w:pos="577"/>
        </w:tabs>
        <w:spacing w:line="360" w:lineRule="auto"/>
        <w:ind w:left="453"/>
        <w:rPr>
          <w:rFonts w:hint="eastAsia"/>
          <w:color w:val="auto"/>
          <w:highlight w:val="none"/>
        </w:rPr>
      </w:pPr>
      <w:r>
        <w:rPr>
          <w:rFonts w:hint="eastAsia"/>
          <w:color w:val="auto"/>
          <w:highlight w:val="none"/>
        </w:rPr>
        <w:t xml:space="preserve">（2）提交施工图设计（含预算）文件后 15个工作日内且项目建设资金落实后，可申请支付至合同价的 80%；  </w:t>
      </w:r>
    </w:p>
    <w:p w14:paraId="1F0A69FC">
      <w:pPr>
        <w:pStyle w:val="17"/>
        <w:tabs>
          <w:tab w:val="left" w:pos="577"/>
        </w:tabs>
        <w:spacing w:line="360" w:lineRule="auto"/>
        <w:ind w:left="453"/>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）项目竣工（或合同完工）验收后，勘察设计人提交结算，经发包人审核通过且项目建设资金落实后15个工作日内付清余款。</w:t>
      </w:r>
    </w:p>
    <w:p w14:paraId="5891D5E8">
      <w:pPr>
        <w:pStyle w:val="17"/>
        <w:tabs>
          <w:tab w:val="left" w:pos="577"/>
        </w:tabs>
        <w:spacing w:line="220" w:lineRule="auto"/>
        <w:ind w:left="453"/>
        <w:rPr>
          <w:color w:val="auto"/>
          <w:highlight w:val="none"/>
        </w:rPr>
      </w:pPr>
    </w:p>
    <w:p w14:paraId="150179E2">
      <w:pPr>
        <w:pStyle w:val="15"/>
        <w:rPr>
          <w:color w:val="auto"/>
          <w:highlight w:val="none"/>
          <w:lang w:eastAsia="zh-CN"/>
        </w:rPr>
      </w:pPr>
      <w:bookmarkStart w:id="524" w:name="_Toc256000404"/>
      <w:r>
        <w:rPr>
          <w:color w:val="auto"/>
          <w:highlight w:val="none"/>
          <w:lang w:eastAsia="zh-CN"/>
        </w:rPr>
        <w:t xml:space="preserve">12.4 </w:t>
      </w:r>
      <w:r>
        <w:rPr>
          <w:rFonts w:hint="eastAsia" w:ascii="宋体" w:hAnsi="宋体" w:eastAsia="宋体" w:cs="宋体"/>
          <w:color w:val="auto"/>
          <w:highlight w:val="none"/>
          <w:lang w:eastAsia="zh-CN"/>
        </w:rPr>
        <w:t>费用结算</w:t>
      </w:r>
      <w:bookmarkEnd w:id="522"/>
      <w:bookmarkEnd w:id="523"/>
      <w:bookmarkEnd w:id="524"/>
    </w:p>
    <w:p w14:paraId="19E58767">
      <w:pPr>
        <w:pStyle w:val="14"/>
        <w:spacing w:line="360" w:lineRule="auto"/>
        <w:ind w:firstLine="440" w:firstLineChars="200"/>
        <w:jc w:val="both"/>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eastAsia="zh-CN" w:bidi="zh-CN"/>
        </w:rPr>
        <w:t>12</w:t>
      </w:r>
      <w:r>
        <w:rPr>
          <w:rFonts w:ascii="Times New Roman" w:hAnsi="Times New Roman" w:cs="Times New Roman"/>
          <w:color w:val="auto"/>
          <w:highlight w:val="none"/>
          <w:lang w:val="zh-CN" w:eastAsia="zh-CN" w:bidi="zh-CN"/>
        </w:rPr>
        <w:t>.</w:t>
      </w:r>
      <w:r>
        <w:rPr>
          <w:rFonts w:ascii="Times New Roman" w:hAnsi="Times New Roman" w:cs="Times New Roman"/>
          <w:color w:val="auto"/>
          <w:highlight w:val="none"/>
          <w:lang w:eastAsia="zh-CN" w:bidi="zh-CN"/>
        </w:rPr>
        <w:t>4</w:t>
      </w:r>
      <w:r>
        <w:rPr>
          <w:rFonts w:ascii="Times New Roman" w:hAnsi="Times New Roman" w:cs="Times New Roman"/>
          <w:color w:val="auto"/>
          <w:highlight w:val="none"/>
          <w:lang w:val="zh-CN" w:eastAsia="zh-CN" w:bidi="zh-CN"/>
        </w:rPr>
        <w:t xml:space="preserve">.1 </w:t>
      </w:r>
      <w:r>
        <w:rPr>
          <w:rFonts w:ascii="Times New Roman" w:hAnsi="Times New Roman" w:cs="Times New Roman"/>
          <w:color w:val="auto"/>
          <w:highlight w:val="none"/>
          <w:lang w:eastAsia="zh-CN"/>
        </w:rPr>
        <w:t>勘察设计</w:t>
      </w:r>
      <w:r>
        <w:rPr>
          <w:rFonts w:ascii="Times New Roman" w:hAnsi="Times New Roman" w:cs="Times New Roman"/>
          <w:color w:val="auto"/>
          <w:highlight w:val="none"/>
          <w:lang w:val="zh-CN" w:eastAsia="zh-CN" w:bidi="zh-CN"/>
        </w:rPr>
        <w:t>费用结算申请的份数和提交期限：</w:t>
      </w:r>
      <w:r>
        <w:rPr>
          <w:rFonts w:ascii="Times New Roman" w:hAnsi="Times New Roman" w:cs="Times New Roman"/>
          <w:color w:val="auto"/>
          <w:highlight w:val="none"/>
          <w:u w:val="single"/>
          <w:lang w:eastAsia="zh-CN" w:bidi="zh-CN"/>
        </w:rPr>
        <w:t xml:space="preserve"> </w:t>
      </w:r>
      <w:r>
        <w:rPr>
          <w:rFonts w:hint="eastAsia" w:ascii="Times New Roman" w:hAnsi="Times New Roman" w:cs="Times New Roman"/>
          <w:color w:val="auto"/>
          <w:highlight w:val="none"/>
          <w:u w:val="single"/>
          <w:lang w:eastAsia="zh-CN" w:bidi="zh-CN"/>
        </w:rPr>
        <w:t>请款材料纸质版4份</w:t>
      </w:r>
      <w:r>
        <w:rPr>
          <w:rFonts w:ascii="Times New Roman" w:hAnsi="Times New Roman" w:cs="Times New Roman"/>
          <w:color w:val="auto"/>
          <w:highlight w:val="none"/>
          <w:u w:val="single"/>
          <w:lang w:eastAsia="zh-CN" w:bidi="zh-CN"/>
        </w:rPr>
        <w:t xml:space="preserve">   </w:t>
      </w:r>
      <w:r>
        <w:rPr>
          <w:rFonts w:ascii="Times New Roman" w:hAnsi="Times New Roman" w:cs="Times New Roman"/>
          <w:color w:val="auto"/>
          <w:highlight w:val="none"/>
          <w:lang w:val="zh-CN" w:eastAsia="zh-CN" w:bidi="zh-CN"/>
        </w:rPr>
        <w:t>。</w:t>
      </w:r>
    </w:p>
    <w:p w14:paraId="15B3F1B2">
      <w:pPr>
        <w:pStyle w:val="14"/>
        <w:spacing w:line="360" w:lineRule="auto"/>
        <w:ind w:firstLine="440" w:firstLineChars="200"/>
        <w:jc w:val="both"/>
        <w:rPr>
          <w:rFonts w:ascii="Times New Roman" w:hAnsi="Times New Roman" w:cs="Times New Roman"/>
          <w:color w:val="auto"/>
          <w:highlight w:val="none"/>
          <w:lang w:val="zh-CN" w:eastAsia="zh-CN" w:bidi="zh-CN"/>
        </w:rPr>
      </w:pPr>
      <w:r>
        <w:rPr>
          <w:rFonts w:ascii="Times New Roman" w:hAnsi="Times New Roman" w:cs="Times New Roman"/>
          <w:color w:val="auto"/>
          <w:highlight w:val="none"/>
          <w:lang w:eastAsia="zh-CN" w:bidi="zh-CN"/>
        </w:rPr>
        <w:t>12</w:t>
      </w:r>
      <w:r>
        <w:rPr>
          <w:rFonts w:ascii="Times New Roman" w:hAnsi="Times New Roman" w:cs="Times New Roman"/>
          <w:color w:val="auto"/>
          <w:highlight w:val="none"/>
          <w:lang w:val="zh-CN" w:eastAsia="zh-CN" w:bidi="zh-CN"/>
        </w:rPr>
        <w:t>.</w:t>
      </w:r>
      <w:r>
        <w:rPr>
          <w:rFonts w:ascii="Times New Roman" w:hAnsi="Times New Roman" w:cs="Times New Roman"/>
          <w:color w:val="auto"/>
          <w:highlight w:val="none"/>
          <w:lang w:eastAsia="zh-CN" w:bidi="zh-CN"/>
        </w:rPr>
        <w:t>4</w:t>
      </w:r>
      <w:r>
        <w:rPr>
          <w:rFonts w:ascii="Times New Roman" w:hAnsi="Times New Roman" w:cs="Times New Roman"/>
          <w:color w:val="auto"/>
          <w:highlight w:val="none"/>
          <w:lang w:val="zh-CN" w:eastAsia="zh-CN" w:bidi="zh-CN"/>
        </w:rPr>
        <w:t>.</w:t>
      </w:r>
      <w:r>
        <w:rPr>
          <w:rFonts w:ascii="Times New Roman" w:hAnsi="Times New Roman" w:cs="Times New Roman"/>
          <w:color w:val="auto"/>
          <w:highlight w:val="none"/>
          <w:lang w:eastAsia="zh-CN" w:bidi="zh-CN"/>
        </w:rPr>
        <w:t>2</w:t>
      </w:r>
      <w:r>
        <w:rPr>
          <w:rFonts w:ascii="Times New Roman" w:hAnsi="Times New Roman" w:cs="Times New Roman"/>
          <w:color w:val="auto"/>
          <w:highlight w:val="none"/>
          <w:lang w:val="zh-CN" w:eastAsia="zh-CN" w:bidi="zh-CN"/>
        </w:rPr>
        <w:t xml:space="preserve"> 发包人不按期支付的，每延期支付</w:t>
      </w:r>
      <w:r>
        <w:rPr>
          <w:rFonts w:ascii="Times New Roman" w:hAnsi="Times New Roman" w:cs="Times New Roman"/>
          <w:color w:val="auto"/>
          <w:highlight w:val="none"/>
          <w:lang w:eastAsia="zh-CN" w:bidi="zh-CN"/>
        </w:rPr>
        <w:t>1天，发包人应付给</w:t>
      </w:r>
      <w:r>
        <w:rPr>
          <w:rFonts w:ascii="Times New Roman" w:hAnsi="Times New Roman" w:cs="Times New Roman"/>
          <w:color w:val="auto"/>
          <w:highlight w:val="none"/>
          <w:lang w:eastAsia="zh-CN"/>
        </w:rPr>
        <w:t>勘察设计</w:t>
      </w:r>
      <w:r>
        <w:rPr>
          <w:rFonts w:ascii="Times New Roman" w:hAnsi="Times New Roman" w:cs="Times New Roman"/>
          <w:color w:val="auto"/>
          <w:highlight w:val="none"/>
          <w:lang w:eastAsia="zh-CN" w:bidi="zh-CN"/>
        </w:rPr>
        <w:t>人拖欠金额的</w:t>
      </w:r>
      <w:r>
        <w:rPr>
          <w:rFonts w:ascii="Times New Roman" w:hAnsi="Times New Roman" w:cs="Times New Roman"/>
          <w:color w:val="auto"/>
          <w:highlight w:val="none"/>
          <w:lang w:val="zh-CN" w:eastAsia="zh-CN" w:bidi="zh-CN"/>
        </w:rPr>
        <w:t>的</w:t>
      </w:r>
      <w:r>
        <w:rPr>
          <w:rFonts w:ascii="Times New Roman" w:hAnsi="Times New Roman" w:cs="Times New Roman"/>
          <w:color w:val="auto"/>
          <w:highlight w:val="none"/>
          <w:u w:val="single"/>
          <w:lang w:eastAsia="zh-CN" w:bidi="zh-CN"/>
        </w:rPr>
        <w:t xml:space="preserve"> 0.01 </w:t>
      </w:r>
      <w:r>
        <w:rPr>
          <w:rFonts w:ascii="Times New Roman" w:hAnsi="Times New Roman" w:cs="Times New Roman"/>
          <w:color w:val="auto"/>
          <w:highlight w:val="none"/>
          <w:lang w:eastAsia="zh-CN" w:bidi="zh-CN"/>
        </w:rPr>
        <w:t xml:space="preserve"> %</w:t>
      </w:r>
      <w:r>
        <w:rPr>
          <w:rFonts w:ascii="Times New Roman" w:hAnsi="Times New Roman" w:cs="Times New Roman"/>
          <w:color w:val="auto"/>
          <w:highlight w:val="none"/>
          <w:lang w:val="zh-CN" w:eastAsia="zh-CN" w:bidi="zh-CN"/>
        </w:rPr>
        <w:t>的违约金。</w:t>
      </w:r>
    </w:p>
    <w:p w14:paraId="4FC6E0F7">
      <w:pPr>
        <w:pStyle w:val="13"/>
        <w:ind w:left="0"/>
        <w:rPr>
          <w:rFonts w:ascii="Times New Roman" w:hAnsi="Times New Roman"/>
          <w:color w:val="auto"/>
          <w:highlight w:val="none"/>
          <w:lang w:eastAsia="zh-CN"/>
        </w:rPr>
      </w:pPr>
      <w:bookmarkStart w:id="525" w:name="_Toc8712"/>
      <w:bookmarkStart w:id="526" w:name="_Toc256000239"/>
      <w:bookmarkStart w:id="527" w:name="_Toc256000405"/>
      <w:r>
        <w:rPr>
          <w:rFonts w:ascii="Times New Roman" w:hAnsi="Times New Roman"/>
          <w:color w:val="auto"/>
          <w:highlight w:val="none"/>
          <w:lang w:eastAsia="zh-CN"/>
        </w:rPr>
        <w:t>13. 不可抗力</w:t>
      </w:r>
      <w:bookmarkEnd w:id="525"/>
      <w:bookmarkEnd w:id="526"/>
      <w:bookmarkEnd w:id="527"/>
    </w:p>
    <w:p w14:paraId="6ACD531C">
      <w:pPr>
        <w:pStyle w:val="15"/>
        <w:rPr>
          <w:color w:val="auto"/>
          <w:highlight w:val="none"/>
          <w:lang w:eastAsia="zh-CN"/>
        </w:rPr>
      </w:pPr>
      <w:bookmarkStart w:id="528" w:name="_Toc256000240"/>
      <w:bookmarkStart w:id="529" w:name="_Toc7119"/>
      <w:bookmarkStart w:id="530" w:name="_Toc256000406"/>
      <w:r>
        <w:rPr>
          <w:color w:val="auto"/>
          <w:highlight w:val="none"/>
          <w:lang w:eastAsia="zh-CN"/>
        </w:rPr>
        <w:t xml:space="preserve">13.1 </w:t>
      </w:r>
      <w:r>
        <w:rPr>
          <w:rFonts w:hint="eastAsia" w:ascii="宋体" w:hAnsi="宋体" w:eastAsia="宋体" w:cs="宋体"/>
          <w:color w:val="auto"/>
          <w:highlight w:val="none"/>
          <w:lang w:eastAsia="zh-CN"/>
        </w:rPr>
        <w:t>不可抗力的确认</w:t>
      </w:r>
      <w:bookmarkEnd w:id="528"/>
      <w:bookmarkEnd w:id="529"/>
      <w:bookmarkEnd w:id="530"/>
    </w:p>
    <w:p w14:paraId="6111AB69">
      <w:pPr>
        <w:pStyle w:val="14"/>
        <w:spacing w:after="240" w:line="360" w:lineRule="auto"/>
        <w:ind w:firstLine="440"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zCs w:val="21"/>
          <w:highlight w:val="none"/>
          <w:lang w:eastAsia="zh-CN" w:bidi="zh-CN"/>
        </w:rPr>
        <w:t xml:space="preserve">13.1.1 </w:t>
      </w:r>
      <w:r>
        <w:rPr>
          <w:rFonts w:ascii="Times New Roman" w:hAnsi="Times New Roman" w:cs="Times New Roman"/>
          <w:color w:val="auto"/>
          <w:szCs w:val="21"/>
          <w:highlight w:val="none"/>
          <w:lang w:val="zh-CN" w:eastAsia="zh-CN" w:bidi="zh-CN"/>
        </w:rPr>
        <w:t>不可抗力的其他情形</w:t>
      </w:r>
      <w:r>
        <w:rPr>
          <w:rFonts w:ascii="Times New Roman" w:hAnsi="Times New Roman" w:cs="Times New Roman"/>
          <w:color w:val="auto"/>
          <w:szCs w:val="21"/>
          <w:highlight w:val="none"/>
          <w:lang w:eastAsia="zh-CN" w:bidi="zh-CN"/>
        </w:rPr>
        <w:t>：</w:t>
      </w:r>
    </w:p>
    <w:p w14:paraId="27C1B10F">
      <w:pPr>
        <w:pStyle w:val="14"/>
        <w:spacing w:after="240" w:line="360" w:lineRule="auto"/>
        <w:ind w:firstLine="440" w:firstLineChars="200"/>
        <w:jc w:val="both"/>
        <w:rPr>
          <w:rFonts w:ascii="Times New Roman" w:hAnsi="Times New Roman" w:cs="Times New Roman"/>
          <w:color w:val="auto"/>
          <w:szCs w:val="21"/>
          <w:highlight w:val="none"/>
          <w:u w:val="single"/>
          <w:lang w:eastAsia="zh-CN" w:bidi="zh-CN"/>
        </w:rPr>
      </w:pPr>
      <w:r>
        <w:rPr>
          <w:rFonts w:ascii="Times New Roman" w:hAnsi="Times New Roman" w:cs="Times New Roman"/>
          <w:color w:val="auto"/>
          <w:szCs w:val="21"/>
          <w:highlight w:val="none"/>
          <w:u w:val="single"/>
          <w:lang w:eastAsia="zh-CN" w:bidi="zh-CN"/>
        </w:rPr>
        <w:t>（1）当地6级以上的破坏性地震；</w:t>
      </w:r>
    </w:p>
    <w:p w14:paraId="72370347">
      <w:pPr>
        <w:pStyle w:val="14"/>
        <w:spacing w:after="240" w:line="360" w:lineRule="auto"/>
        <w:ind w:firstLine="440" w:firstLineChars="200"/>
        <w:jc w:val="both"/>
        <w:rPr>
          <w:rFonts w:ascii="Times New Roman" w:hAnsi="Times New Roman" w:cs="Times New Roman"/>
          <w:color w:val="auto"/>
          <w:szCs w:val="21"/>
          <w:highlight w:val="none"/>
          <w:u w:val="single"/>
          <w:lang w:eastAsia="zh-CN" w:bidi="zh-CN"/>
        </w:rPr>
      </w:pPr>
      <w:r>
        <w:rPr>
          <w:rFonts w:ascii="Times New Roman" w:hAnsi="Times New Roman" w:cs="Times New Roman"/>
          <w:color w:val="auto"/>
          <w:szCs w:val="21"/>
          <w:highlight w:val="none"/>
          <w:u w:val="single"/>
          <w:lang w:eastAsia="zh-CN" w:bidi="zh-CN"/>
        </w:rPr>
        <w:t>（2）暴雨级以上的持续3天的大雨；</w:t>
      </w:r>
    </w:p>
    <w:p w14:paraId="3BE8E2EA">
      <w:pPr>
        <w:pStyle w:val="14"/>
        <w:spacing w:after="240" w:line="360" w:lineRule="auto"/>
        <w:ind w:firstLine="440" w:firstLineChars="200"/>
        <w:jc w:val="both"/>
        <w:rPr>
          <w:rFonts w:ascii="Times New Roman" w:hAnsi="Times New Roman" w:cs="Times New Roman"/>
          <w:color w:val="auto"/>
          <w:szCs w:val="21"/>
          <w:highlight w:val="none"/>
          <w:lang w:eastAsia="zh-CN" w:bidi="zh-CN"/>
        </w:rPr>
      </w:pPr>
      <w:r>
        <w:rPr>
          <w:rFonts w:ascii="Times New Roman" w:hAnsi="Times New Roman" w:cs="Times New Roman"/>
          <w:color w:val="auto"/>
          <w:szCs w:val="21"/>
          <w:highlight w:val="none"/>
          <w:u w:val="single"/>
          <w:lang w:eastAsia="zh-CN" w:bidi="zh-CN"/>
        </w:rPr>
        <w:t>（3）5年以上未发生过的、持续5天的高温天气</w:t>
      </w:r>
      <w:r>
        <w:rPr>
          <w:rFonts w:ascii="Times New Roman" w:hAnsi="Times New Roman" w:cs="Times New Roman"/>
          <w:color w:val="auto"/>
          <w:szCs w:val="21"/>
          <w:highlight w:val="none"/>
          <w:lang w:val="zh-CN" w:eastAsia="zh-CN" w:bidi="zh-CN"/>
        </w:rPr>
        <w:t>。</w:t>
      </w:r>
    </w:p>
    <w:p w14:paraId="2E2CB01D">
      <w:pPr>
        <w:pStyle w:val="13"/>
        <w:ind w:left="0"/>
        <w:rPr>
          <w:rFonts w:ascii="Times New Roman" w:hAnsi="Times New Roman"/>
          <w:color w:val="auto"/>
          <w:highlight w:val="none"/>
          <w:lang w:eastAsia="zh-CN"/>
        </w:rPr>
      </w:pPr>
      <w:bookmarkStart w:id="531" w:name="_Toc21285"/>
      <w:bookmarkStart w:id="532" w:name="_Toc256000241"/>
      <w:bookmarkStart w:id="533" w:name="_Toc256000407"/>
      <w:r>
        <w:rPr>
          <w:rFonts w:ascii="Times New Roman" w:hAnsi="Times New Roman"/>
          <w:color w:val="auto"/>
          <w:highlight w:val="none"/>
          <w:lang w:eastAsia="zh-CN"/>
        </w:rPr>
        <w:t>14. 违约</w:t>
      </w:r>
      <w:bookmarkEnd w:id="531"/>
      <w:bookmarkEnd w:id="532"/>
      <w:bookmarkEnd w:id="533"/>
    </w:p>
    <w:p w14:paraId="59AF3472">
      <w:pPr>
        <w:pStyle w:val="15"/>
        <w:rPr>
          <w:color w:val="auto"/>
          <w:highlight w:val="none"/>
          <w:lang w:eastAsia="zh-CN"/>
        </w:rPr>
      </w:pPr>
      <w:bookmarkStart w:id="534" w:name="_Toc29777"/>
      <w:bookmarkStart w:id="535" w:name="_Toc256000408"/>
      <w:bookmarkStart w:id="536" w:name="_Toc256000242"/>
      <w:r>
        <w:rPr>
          <w:color w:val="auto"/>
          <w:highlight w:val="none"/>
          <w:lang w:eastAsia="zh-CN"/>
        </w:rPr>
        <w:t xml:space="preserve">14.1 </w:t>
      </w:r>
      <w:r>
        <w:rPr>
          <w:rFonts w:hint="eastAsia" w:ascii="宋体" w:hAnsi="宋体" w:eastAsia="宋体" w:cs="宋体"/>
          <w:color w:val="auto"/>
          <w:highlight w:val="none"/>
          <w:lang w:eastAsia="zh-CN"/>
        </w:rPr>
        <w:t>勘察设计人违约</w:t>
      </w:r>
      <w:bookmarkEnd w:id="534"/>
      <w:bookmarkEnd w:id="535"/>
      <w:bookmarkEnd w:id="536"/>
    </w:p>
    <w:p w14:paraId="12A8EC49">
      <w:pPr>
        <w:pStyle w:val="14"/>
        <w:spacing w:line="360" w:lineRule="auto"/>
        <w:ind w:firstLine="440" w:firstLineChars="200"/>
        <w:jc w:val="both"/>
        <w:rPr>
          <w:rFonts w:ascii="Times New Roman" w:hAnsi="Times New Roman" w:cs="Times New Roman"/>
          <w:color w:val="auto"/>
          <w:highlight w:val="none"/>
          <w:lang w:eastAsia="zh-CN" w:bidi="zh-CN"/>
        </w:rPr>
      </w:pPr>
      <w:r>
        <w:rPr>
          <w:rFonts w:ascii="Times New Roman" w:hAnsi="Times New Roman" w:cs="Times New Roman"/>
          <w:color w:val="auto"/>
          <w:highlight w:val="none"/>
          <w:lang w:eastAsia="zh-CN" w:bidi="zh-CN"/>
        </w:rPr>
        <w:t xml:space="preserve">14.1.2 </w:t>
      </w:r>
      <w:r>
        <w:rPr>
          <w:rFonts w:ascii="Times New Roman" w:hAnsi="Times New Roman" w:cs="Times New Roman"/>
          <w:color w:val="auto"/>
          <w:highlight w:val="none"/>
          <w:lang w:eastAsia="zh-CN"/>
        </w:rPr>
        <w:t>勘察设计</w:t>
      </w:r>
      <w:r>
        <w:rPr>
          <w:rFonts w:ascii="Times New Roman" w:hAnsi="Times New Roman" w:cs="Times New Roman"/>
          <w:color w:val="auto"/>
          <w:highlight w:val="none"/>
          <w:lang w:val="zh-CN" w:eastAsia="zh-CN" w:bidi="zh-CN"/>
        </w:rPr>
        <w:t>人发生违约情况时，发包人有权向</w:t>
      </w:r>
      <w:r>
        <w:rPr>
          <w:rFonts w:ascii="Times New Roman" w:hAnsi="Times New Roman" w:cs="Times New Roman"/>
          <w:color w:val="auto"/>
          <w:highlight w:val="none"/>
          <w:lang w:eastAsia="zh-CN"/>
        </w:rPr>
        <w:t>勘察设计</w:t>
      </w:r>
      <w:r>
        <w:rPr>
          <w:rFonts w:ascii="Times New Roman" w:hAnsi="Times New Roman" w:cs="Times New Roman"/>
          <w:color w:val="auto"/>
          <w:highlight w:val="none"/>
          <w:lang w:val="zh-CN" w:eastAsia="zh-CN" w:bidi="zh-CN"/>
        </w:rPr>
        <w:t>人课以违约金，具体约定如下</w:t>
      </w:r>
      <w:r>
        <w:rPr>
          <w:rFonts w:ascii="Times New Roman" w:hAnsi="Times New Roman" w:cs="Times New Roman"/>
          <w:color w:val="auto"/>
          <w:highlight w:val="none"/>
          <w:lang w:eastAsia="zh-CN" w:bidi="zh-CN"/>
        </w:rPr>
        <w:t>：</w:t>
      </w:r>
    </w:p>
    <w:p w14:paraId="699ABB5C">
      <w:pPr>
        <w:pStyle w:val="14"/>
        <w:numPr>
          <w:ilvl w:val="0"/>
          <w:numId w:val="2"/>
        </w:numPr>
        <w:spacing w:line="440" w:lineRule="exact"/>
        <w:ind w:left="0"/>
        <w:rPr>
          <w:rFonts w:ascii="Times New Roman" w:hAnsi="Times New Roman" w:cs="Times New Roman"/>
          <w:color w:val="auto"/>
          <w:szCs w:val="21"/>
          <w:highlight w:val="none"/>
          <w:u w:val="single"/>
          <w:lang w:eastAsia="zh-CN"/>
        </w:rPr>
      </w:pPr>
      <w:bookmarkStart w:id="537" w:name="_Toc23477"/>
      <w:r>
        <w:rPr>
          <w:rFonts w:ascii="Times New Roman" w:hAnsi="Times New Roman" w:cs="Times New Roman"/>
          <w:color w:val="auto"/>
          <w:szCs w:val="21"/>
          <w:highlight w:val="none"/>
          <w:u w:val="single"/>
          <w:lang w:eastAsia="zh-CN"/>
        </w:rPr>
        <w:t>勘察设计人将勘察设计任务转包，或者未经发包人同意私自分包的，发包人将有权终止合同收回已付款，并计收勘察设计人合同价3‰的违约金。</w:t>
      </w:r>
    </w:p>
    <w:p w14:paraId="6D9952F1">
      <w:pPr>
        <w:pStyle w:val="14"/>
        <w:numPr>
          <w:ilvl w:val="0"/>
          <w:numId w:val="2"/>
        </w:numPr>
        <w:spacing w:line="440" w:lineRule="exact"/>
        <w:ind w:left="0"/>
        <w:rPr>
          <w:rFonts w:ascii="Times New Roman" w:hAnsi="Times New Roman" w:cs="Times New Roman"/>
          <w:color w:val="auto"/>
          <w:szCs w:val="21"/>
          <w:highlight w:val="none"/>
          <w:u w:val="single"/>
          <w:lang w:eastAsia="zh-CN"/>
        </w:rPr>
      </w:pPr>
      <w:r>
        <w:rPr>
          <w:rFonts w:ascii="Times New Roman" w:hAnsi="Times New Roman" w:cs="Times New Roman"/>
          <w:color w:val="auto"/>
          <w:szCs w:val="21"/>
          <w:highlight w:val="none"/>
          <w:u w:val="single"/>
          <w:lang w:eastAsia="zh-CN"/>
        </w:rPr>
        <w:t>勘察设计人未按照国家及水利现行的强制性技术标准、规范、规程进行勘察设计，将视为设计不合格，发包人有权要求立即终止合同收回已付款。勘察设计人未根据勘察成果资料进行工程设计，或勘察设计人在设计文件中指定或变相指定材料或设备的生产厂、供货商，发包人将计扣勘察设计人合同价3‰的违约金。</w:t>
      </w:r>
    </w:p>
    <w:p w14:paraId="5E68CF93">
      <w:pPr>
        <w:pStyle w:val="14"/>
        <w:numPr>
          <w:ilvl w:val="0"/>
          <w:numId w:val="2"/>
        </w:numPr>
        <w:spacing w:line="440" w:lineRule="exact"/>
        <w:ind w:left="0"/>
        <w:rPr>
          <w:rFonts w:ascii="Times New Roman" w:hAnsi="Times New Roman" w:cs="Times New Roman"/>
          <w:color w:val="auto"/>
          <w:szCs w:val="21"/>
          <w:highlight w:val="none"/>
          <w:u w:val="single"/>
          <w:lang w:eastAsia="zh-CN"/>
        </w:rPr>
      </w:pPr>
      <w:r>
        <w:rPr>
          <w:rFonts w:ascii="Times New Roman" w:hAnsi="Times New Roman" w:cs="Times New Roman"/>
          <w:color w:val="auto"/>
          <w:szCs w:val="21"/>
          <w:highlight w:val="none"/>
          <w:u w:val="single"/>
          <w:lang w:eastAsia="zh-CN"/>
        </w:rPr>
        <w:t>勘察设计人未能按期提交勘察成果、设计文件的（发包人同意延长期限的除外），则每延期15天（超过7天不足15天按15天计），发包人将按相应勘察设计阶段合同价格的3‰扣除本项目勘察设计人的违约金，延期超过60天时发包人可以终止合同。</w:t>
      </w:r>
    </w:p>
    <w:p w14:paraId="189D18F3">
      <w:pPr>
        <w:pStyle w:val="14"/>
        <w:numPr>
          <w:ilvl w:val="0"/>
          <w:numId w:val="2"/>
        </w:numPr>
        <w:spacing w:line="440" w:lineRule="exact"/>
        <w:ind w:left="0"/>
        <w:rPr>
          <w:rFonts w:ascii="Times New Roman" w:hAnsi="Times New Roman" w:cs="Times New Roman"/>
          <w:color w:val="auto"/>
          <w:szCs w:val="21"/>
          <w:highlight w:val="none"/>
          <w:u w:val="single"/>
          <w:lang w:eastAsia="zh-CN"/>
        </w:rPr>
      </w:pPr>
      <w:r>
        <w:rPr>
          <w:rFonts w:ascii="Times New Roman" w:hAnsi="Times New Roman" w:cs="Times New Roman"/>
          <w:color w:val="auto"/>
          <w:szCs w:val="21"/>
          <w:highlight w:val="none"/>
          <w:u w:val="single"/>
          <w:lang w:eastAsia="zh-CN"/>
        </w:rPr>
        <w:t>因勘察设计深度不够、资料不足、方案缺陷以及勘察设计质量低劣而被要求返工从而造成质量问题的，勘察设计人必须无偿对相关设计文件予以修改或重新设计，若因此影响发包人项目的进度或造成损失等还应由勘察设计人赔偿甲方实际损失，损失若无法准确计算的则按合同价5％的标准计算。</w:t>
      </w:r>
    </w:p>
    <w:p w14:paraId="63EC32D2">
      <w:pPr>
        <w:pStyle w:val="14"/>
        <w:numPr>
          <w:ilvl w:val="0"/>
          <w:numId w:val="2"/>
        </w:numPr>
        <w:spacing w:line="440" w:lineRule="exact"/>
        <w:ind w:left="0"/>
        <w:rPr>
          <w:rFonts w:ascii="Times New Roman" w:hAnsi="Times New Roman" w:cs="Times New Roman"/>
          <w:color w:val="auto"/>
          <w:szCs w:val="21"/>
          <w:highlight w:val="none"/>
          <w:u w:val="single"/>
          <w:lang w:eastAsia="zh-CN"/>
        </w:rPr>
      </w:pPr>
      <w:r>
        <w:rPr>
          <w:rFonts w:ascii="Times New Roman" w:hAnsi="Times New Roman" w:cs="Times New Roman"/>
          <w:color w:val="auto"/>
          <w:szCs w:val="21"/>
          <w:highlight w:val="none"/>
          <w:u w:val="single"/>
          <w:lang w:eastAsia="zh-CN"/>
        </w:rPr>
        <w:t>因勘察设计错误而造成一般质量事故的，勘察设计人除继续完善完成勘察设计任务外，还应视造成损失大小情况减收或免收勘察设计费并赔偿发包人经济损失。</w:t>
      </w:r>
    </w:p>
    <w:p w14:paraId="7261F052">
      <w:pPr>
        <w:pStyle w:val="14"/>
        <w:numPr>
          <w:ilvl w:val="0"/>
          <w:numId w:val="2"/>
        </w:numPr>
        <w:spacing w:line="440" w:lineRule="exact"/>
        <w:ind w:left="0"/>
        <w:rPr>
          <w:rFonts w:ascii="Times New Roman" w:hAnsi="Times New Roman" w:cs="Times New Roman"/>
          <w:color w:val="auto"/>
          <w:szCs w:val="21"/>
          <w:highlight w:val="none"/>
          <w:u w:val="single"/>
          <w:lang w:eastAsia="zh-CN"/>
        </w:rPr>
      </w:pPr>
      <w:r>
        <w:rPr>
          <w:rFonts w:ascii="Times New Roman" w:hAnsi="Times New Roman" w:cs="Times New Roman"/>
          <w:color w:val="auto"/>
          <w:szCs w:val="21"/>
          <w:highlight w:val="none"/>
          <w:u w:val="single"/>
          <w:lang w:eastAsia="zh-CN"/>
        </w:rPr>
        <w:t>因勘察设计错误而造成重大质量事故的，勘察设计人除免收或退还全部勘察设计费用外还应赔偿发包人因此遭受的全部经济损失。必要时，发包人有权报请有关主管部门视事故造成的损失情况给予其它处罚。</w:t>
      </w:r>
    </w:p>
    <w:p w14:paraId="707EBE5D">
      <w:pPr>
        <w:pStyle w:val="14"/>
        <w:numPr>
          <w:ilvl w:val="0"/>
          <w:numId w:val="2"/>
        </w:numPr>
        <w:spacing w:line="440" w:lineRule="exact"/>
        <w:ind w:left="0"/>
        <w:rPr>
          <w:rFonts w:ascii="Times New Roman" w:hAnsi="Times New Roman" w:cs="Times New Roman"/>
          <w:color w:val="auto"/>
          <w:szCs w:val="21"/>
          <w:highlight w:val="none"/>
          <w:u w:val="single"/>
          <w:lang w:eastAsia="zh-CN"/>
        </w:rPr>
      </w:pPr>
      <w:r>
        <w:rPr>
          <w:rFonts w:ascii="Times New Roman" w:hAnsi="Times New Roman" w:cs="Times New Roman"/>
          <w:color w:val="auto"/>
          <w:szCs w:val="21"/>
          <w:highlight w:val="none"/>
          <w:u w:val="single"/>
          <w:lang w:eastAsia="zh-CN"/>
        </w:rPr>
        <w:t>所有违约金和赔偿金在勘察设计人的勘察设计费中扣除。</w:t>
      </w:r>
    </w:p>
    <w:p w14:paraId="16DD398D">
      <w:pPr>
        <w:pStyle w:val="15"/>
        <w:rPr>
          <w:color w:val="auto"/>
          <w:highlight w:val="none"/>
          <w:lang w:eastAsia="zh-CN"/>
        </w:rPr>
      </w:pPr>
      <w:bookmarkStart w:id="538" w:name="_Toc256000243"/>
      <w:bookmarkStart w:id="539" w:name="_Toc256000409"/>
      <w:r>
        <w:rPr>
          <w:color w:val="auto"/>
          <w:highlight w:val="none"/>
          <w:lang w:eastAsia="zh-CN"/>
        </w:rPr>
        <w:t xml:space="preserve">14.2 </w:t>
      </w:r>
      <w:r>
        <w:rPr>
          <w:rFonts w:hint="eastAsia" w:ascii="宋体" w:hAnsi="宋体" w:eastAsia="宋体" w:cs="宋体"/>
          <w:color w:val="auto"/>
          <w:highlight w:val="none"/>
          <w:lang w:eastAsia="zh-CN"/>
        </w:rPr>
        <w:t>发包人违约</w:t>
      </w:r>
      <w:bookmarkEnd w:id="537"/>
      <w:bookmarkEnd w:id="538"/>
      <w:bookmarkEnd w:id="539"/>
    </w:p>
    <w:p w14:paraId="2A60765A">
      <w:pPr>
        <w:pStyle w:val="14"/>
        <w:spacing w:line="360" w:lineRule="auto"/>
        <w:ind w:firstLine="440" w:firstLineChars="200"/>
        <w:jc w:val="both"/>
        <w:rPr>
          <w:rFonts w:ascii="Times New Roman" w:hAnsi="Times New Roman" w:cs="Times New Roman"/>
          <w:color w:val="auto"/>
          <w:highlight w:val="none"/>
          <w:lang w:eastAsia="zh-CN" w:bidi="zh-CN"/>
        </w:rPr>
      </w:pPr>
      <w:r>
        <w:rPr>
          <w:rFonts w:ascii="Times New Roman" w:hAnsi="Times New Roman" w:cs="Times New Roman"/>
          <w:color w:val="auto"/>
          <w:highlight w:val="none"/>
          <w:lang w:eastAsia="zh-CN" w:bidi="zh-CN"/>
        </w:rPr>
        <w:t xml:space="preserve">14.2.2 </w:t>
      </w:r>
      <w:r>
        <w:rPr>
          <w:rFonts w:ascii="Times New Roman" w:hAnsi="Times New Roman" w:cs="Times New Roman"/>
          <w:color w:val="auto"/>
          <w:highlight w:val="none"/>
          <w:lang w:val="zh-CN" w:eastAsia="zh-CN" w:bidi="zh-CN"/>
        </w:rPr>
        <w:t>发包人发生违约情况时，</w:t>
      </w:r>
      <w:r>
        <w:rPr>
          <w:rFonts w:ascii="Times New Roman" w:hAnsi="Times New Roman" w:cs="Times New Roman"/>
          <w:color w:val="auto"/>
          <w:highlight w:val="none"/>
          <w:lang w:eastAsia="zh-CN"/>
        </w:rPr>
        <w:t>勘察设计</w:t>
      </w:r>
      <w:r>
        <w:rPr>
          <w:rFonts w:ascii="Times New Roman" w:hAnsi="Times New Roman" w:cs="Times New Roman"/>
          <w:color w:val="auto"/>
          <w:highlight w:val="none"/>
          <w:lang w:val="zh-CN" w:eastAsia="zh-CN" w:bidi="zh-CN"/>
        </w:rPr>
        <w:t>人有权向发包人课以违约金，具体约定如下</w:t>
      </w:r>
      <w:r>
        <w:rPr>
          <w:rFonts w:ascii="Times New Roman" w:hAnsi="Times New Roman" w:cs="Times New Roman"/>
          <w:color w:val="auto"/>
          <w:highlight w:val="none"/>
          <w:lang w:eastAsia="zh-CN" w:bidi="zh-CN"/>
        </w:rPr>
        <w:t>：</w:t>
      </w:r>
    </w:p>
    <w:p w14:paraId="37221ECE">
      <w:pPr>
        <w:pStyle w:val="14"/>
        <w:spacing w:line="360" w:lineRule="auto"/>
        <w:ind w:firstLine="440" w:firstLineChars="200"/>
        <w:jc w:val="both"/>
        <w:rPr>
          <w:rFonts w:ascii="Times New Roman" w:hAnsi="Times New Roman" w:cs="Times New Roman"/>
          <w:color w:val="auto"/>
          <w:highlight w:val="none"/>
          <w:u w:val="single"/>
          <w:lang w:eastAsia="zh-CN" w:bidi="zh-CN"/>
        </w:rPr>
      </w:pPr>
      <w:r>
        <w:rPr>
          <w:rFonts w:ascii="Times New Roman" w:hAnsi="Times New Roman" w:cs="Times New Roman"/>
          <w:color w:val="auto"/>
          <w:highlight w:val="none"/>
          <w:lang w:eastAsia="zh-CN" w:bidi="zh-CN"/>
        </w:rPr>
        <w:t>（1）</w:t>
      </w:r>
      <w:r>
        <w:rPr>
          <w:rFonts w:ascii="Times New Roman" w:hAnsi="Times New Roman" w:cs="Times New Roman"/>
          <w:color w:val="auto"/>
          <w:highlight w:val="none"/>
          <w:u w:val="single"/>
          <w:lang w:eastAsia="zh-CN" w:bidi="zh-CN"/>
        </w:rPr>
        <w:t>由于发包人变更勘察设计项目、规模和条件，或提供的资料不准确，或对其所提交资料作较大修改，或未按期提供勘察设计必需的资料、工作条件，而造成勘察设计的返工、停工、窝工或修改设计，发包人应按设计人实际消耗的工作量增付费用；由于发包人方要求提前完成勘察设计工作而导致增加的人员和费用，应另行协商确定相关处理方案。</w:t>
      </w:r>
    </w:p>
    <w:p w14:paraId="40FAD75D">
      <w:pPr>
        <w:pStyle w:val="14"/>
        <w:spacing w:line="360" w:lineRule="auto"/>
        <w:ind w:firstLine="440" w:firstLineChars="200"/>
        <w:jc w:val="both"/>
        <w:rPr>
          <w:rFonts w:ascii="Times New Roman" w:hAnsi="Times New Roman" w:cs="Times New Roman"/>
          <w:color w:val="auto"/>
          <w:highlight w:val="none"/>
          <w:u w:val="single"/>
          <w:lang w:eastAsia="zh-CN" w:bidi="zh-CN"/>
        </w:rPr>
      </w:pPr>
      <w:r>
        <w:rPr>
          <w:rFonts w:ascii="Times New Roman" w:hAnsi="Times New Roman" w:cs="Times New Roman"/>
          <w:color w:val="auto"/>
          <w:highlight w:val="none"/>
          <w:lang w:eastAsia="zh-CN" w:bidi="zh-CN"/>
        </w:rPr>
        <w:t xml:space="preserve"> （2）</w:t>
      </w:r>
      <w:r>
        <w:rPr>
          <w:rFonts w:ascii="Times New Roman" w:hAnsi="Times New Roman" w:cs="Times New Roman"/>
          <w:color w:val="auto"/>
          <w:highlight w:val="none"/>
          <w:u w:val="single"/>
          <w:lang w:eastAsia="zh-CN" w:bidi="zh-CN"/>
        </w:rPr>
        <w:t>发包人方超过合同规定的日期支付费用的，则每延期15天（超过7天不足15天按15天计），发包人将按相应勘察（测）设计阶段合同价格的3‰支付违约金。</w:t>
      </w:r>
    </w:p>
    <w:p w14:paraId="485AE3C9">
      <w:pPr>
        <w:pStyle w:val="14"/>
        <w:spacing w:line="360" w:lineRule="auto"/>
        <w:ind w:firstLine="440" w:firstLineChars="200"/>
        <w:jc w:val="both"/>
        <w:rPr>
          <w:rFonts w:ascii="Times New Roman" w:hAnsi="Times New Roman" w:cs="Times New Roman"/>
          <w:color w:val="auto"/>
          <w:highlight w:val="none"/>
          <w:lang w:eastAsia="zh-CN" w:bidi="zh-CN"/>
        </w:rPr>
      </w:pPr>
      <w:r>
        <w:rPr>
          <w:rFonts w:ascii="Times New Roman" w:hAnsi="Times New Roman" w:cs="Times New Roman"/>
          <w:color w:val="auto"/>
          <w:highlight w:val="none"/>
          <w:lang w:eastAsia="zh-CN" w:bidi="zh-CN"/>
        </w:rPr>
        <w:t xml:space="preserve">  （3）</w:t>
      </w:r>
      <w:r>
        <w:rPr>
          <w:rFonts w:ascii="Times New Roman" w:hAnsi="Times New Roman" w:cs="Times New Roman"/>
          <w:color w:val="auto"/>
          <w:highlight w:val="none"/>
          <w:u w:val="single"/>
          <w:lang w:eastAsia="zh-CN" w:bidi="zh-CN"/>
        </w:rPr>
        <w:t>在合同履行期间，发包人要求终止或解除合同的（但并非设计人原因造成），发包人除应按设计人完成的实际工作量支付费用外，还应按剩余合同价的3‰向设计人支付违约金。</w:t>
      </w:r>
    </w:p>
    <w:p w14:paraId="67618542">
      <w:pPr>
        <w:pStyle w:val="13"/>
        <w:spacing w:line="360" w:lineRule="auto"/>
        <w:ind w:left="0"/>
        <w:rPr>
          <w:rFonts w:ascii="Times New Roman" w:hAnsi="Times New Roman"/>
          <w:color w:val="auto"/>
          <w:highlight w:val="none"/>
          <w:lang w:eastAsia="zh-CN"/>
        </w:rPr>
      </w:pPr>
      <w:bookmarkStart w:id="540" w:name="_Toc9089"/>
      <w:bookmarkStart w:id="541" w:name="_Toc256000244"/>
      <w:bookmarkStart w:id="542" w:name="_Toc256000410"/>
      <w:r>
        <w:rPr>
          <w:rFonts w:ascii="Times New Roman" w:hAnsi="Times New Roman"/>
          <w:color w:val="auto"/>
          <w:highlight w:val="none"/>
          <w:lang w:eastAsia="zh-CN"/>
        </w:rPr>
        <w:t>15. 争议的解决</w:t>
      </w:r>
      <w:bookmarkEnd w:id="540"/>
      <w:bookmarkEnd w:id="541"/>
      <w:bookmarkEnd w:id="542"/>
    </w:p>
    <w:p w14:paraId="14925687">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发包人和</w:t>
      </w:r>
      <w:r>
        <w:rPr>
          <w:rFonts w:ascii="Times New Roman" w:hAnsi="Times New Roman" w:cs="Times New Roman"/>
          <w:color w:val="auto"/>
          <w:szCs w:val="21"/>
          <w:highlight w:val="none"/>
          <w:lang w:eastAsia="zh-CN"/>
        </w:rPr>
        <w:t>勘察设计</w:t>
      </w:r>
      <w:r>
        <w:rPr>
          <w:rFonts w:ascii="Times New Roman" w:hAnsi="Times New Roman" w:cs="Times New Roman"/>
          <w:color w:val="auto"/>
          <w:szCs w:val="21"/>
          <w:highlight w:val="none"/>
          <w:lang w:val="zh-CN" w:eastAsia="zh-CN" w:bidi="zh-CN"/>
        </w:rPr>
        <w:t>人在履行合同中发生争议的，可以友好协商解决。合同当事人友好协商解决不成的，约定下列</w:t>
      </w:r>
      <w:r>
        <w:rPr>
          <w:rFonts w:ascii="Times New Roman" w:hAnsi="Times New Roman" w:cs="Times New Roman"/>
          <w:color w:val="auto"/>
          <w:szCs w:val="21"/>
          <w:highlight w:val="none"/>
          <w:u w:val="single"/>
          <w:lang w:eastAsia="zh-CN" w:bidi="zh-CN"/>
        </w:rPr>
        <w:t xml:space="preserve"> 1 </w:t>
      </w:r>
      <w:r>
        <w:rPr>
          <w:rFonts w:ascii="Times New Roman" w:hAnsi="Times New Roman" w:cs="Times New Roman"/>
          <w:color w:val="auto"/>
          <w:szCs w:val="21"/>
          <w:highlight w:val="none"/>
          <w:lang w:val="zh-CN" w:eastAsia="zh-CN" w:bidi="zh-CN"/>
        </w:rPr>
        <w:t>种方式解决：</w:t>
      </w:r>
    </w:p>
    <w:p w14:paraId="702DE591">
      <w:pPr>
        <w:pStyle w:val="14"/>
        <w:spacing w:after="100"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（1）向</w:t>
      </w:r>
      <w:r>
        <w:rPr>
          <w:rFonts w:ascii="Times New Roman" w:hAnsi="Times New Roman" w:cs="Times New Roman"/>
          <w:color w:val="auto"/>
          <w:szCs w:val="21"/>
          <w:highlight w:val="none"/>
          <w:u w:val="single"/>
          <w:lang w:eastAsia="zh-CN" w:bidi="zh-CN"/>
        </w:rPr>
        <w:t xml:space="preserve">   </w:t>
      </w:r>
      <w:r>
        <w:rPr>
          <w:rFonts w:hint="eastAsia"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u w:val="single"/>
          <w:lang w:eastAsia="zh-CN" w:bidi="zh-CN"/>
        </w:rPr>
        <w:t xml:space="preserve">  </w:t>
      </w:r>
      <w:r>
        <w:rPr>
          <w:rFonts w:ascii="Times New Roman" w:hAnsi="Times New Roman" w:cs="Times New Roman"/>
          <w:color w:val="auto"/>
          <w:szCs w:val="21"/>
          <w:highlight w:val="none"/>
          <w:lang w:val="zh-CN" w:eastAsia="zh-CN" w:bidi="zh-CN"/>
        </w:rPr>
        <w:t>仲裁委员会申请仲裁；</w:t>
      </w:r>
    </w:p>
    <w:p w14:paraId="165B3E1B">
      <w:pPr>
        <w:pStyle w:val="14"/>
        <w:spacing w:line="360" w:lineRule="auto"/>
        <w:ind w:firstLine="440" w:firstLineChars="200"/>
        <w:jc w:val="both"/>
        <w:rPr>
          <w:rFonts w:ascii="Times New Roman" w:hAnsi="Times New Roman" w:cs="Times New Roman"/>
          <w:color w:val="auto"/>
          <w:szCs w:val="21"/>
          <w:highlight w:val="none"/>
          <w:lang w:val="zh-CN" w:eastAsia="zh-CN" w:bidi="zh-CN"/>
        </w:rPr>
      </w:pPr>
      <w:r>
        <w:rPr>
          <w:rFonts w:ascii="Times New Roman" w:hAnsi="Times New Roman" w:cs="Times New Roman"/>
          <w:color w:val="auto"/>
          <w:szCs w:val="21"/>
          <w:highlight w:val="none"/>
          <w:lang w:val="zh-CN" w:eastAsia="zh-CN" w:bidi="zh-CN"/>
        </w:rPr>
        <w:t>（2）向</w:t>
      </w:r>
      <w:r>
        <w:rPr>
          <w:rFonts w:ascii="Times New Roman" w:hAnsi="Times New Roman" w:cs="Times New Roman"/>
          <w:color w:val="auto"/>
          <w:szCs w:val="21"/>
          <w:highlight w:val="none"/>
          <w:u w:val="single"/>
          <w:lang w:val="zh-CN" w:eastAsia="zh-CN" w:bidi="zh-CN"/>
        </w:rPr>
        <w:t xml:space="preserve">  </w:t>
      </w:r>
      <w:r>
        <w:rPr>
          <w:rFonts w:hint="eastAsia" w:ascii="Times New Roman" w:hAnsi="Times New Roman" w:cs="Times New Roman"/>
          <w:color w:val="auto"/>
          <w:szCs w:val="21"/>
          <w:highlight w:val="none"/>
          <w:u w:val="single"/>
          <w:lang w:eastAsia="zh-CN" w:bidi="zh-CN"/>
        </w:rPr>
        <w:t>项目所在地</w:t>
      </w:r>
      <w:r>
        <w:rPr>
          <w:rFonts w:ascii="Times New Roman" w:hAnsi="Times New Roman" w:cs="Times New Roman"/>
          <w:color w:val="auto"/>
          <w:szCs w:val="21"/>
          <w:highlight w:val="none"/>
          <w:u w:val="single"/>
          <w:lang w:val="zh-CN" w:eastAsia="zh-CN" w:bidi="zh-CN"/>
        </w:rPr>
        <w:t xml:space="preserve">  </w:t>
      </w:r>
      <w:r>
        <w:rPr>
          <w:rFonts w:ascii="Times New Roman" w:hAnsi="Times New Roman" w:cs="Times New Roman"/>
          <w:color w:val="auto"/>
          <w:szCs w:val="21"/>
          <w:highlight w:val="none"/>
          <w:lang w:val="zh-CN" w:eastAsia="zh-CN" w:bidi="zh-CN"/>
        </w:rPr>
        <w:t>人民法院提起诉讼。</w:t>
      </w:r>
    </w:p>
    <w:p w14:paraId="05BEBB8C">
      <w:pPr>
        <w:spacing w:before="183" w:line="219" w:lineRule="auto"/>
        <w:ind w:left="301"/>
        <w:rPr>
          <w:rFonts w:ascii="宋体" w:hAnsi="宋体" w:eastAsia="宋体" w:cs="宋体"/>
          <w:color w:val="auto"/>
          <w:sz w:val="24"/>
          <w:szCs w:val="24"/>
          <w:highlight w:val="none"/>
        </w:rPr>
      </w:pPr>
    </w:p>
    <w:sectPr>
      <w:footerReference r:id="rId40" w:type="default"/>
      <w:pgSz w:w="11906" w:h="16839"/>
      <w:pgMar w:top="1431" w:right="1785" w:bottom="1362" w:left="1785"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UI Gothic">
    <w:panose1 w:val="020B0600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BD62">
    <w:pPr>
      <w:spacing w:line="176" w:lineRule="auto"/>
      <w:ind w:left="44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AD84A">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FAD84A">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4914">
    <w:pPr>
      <w:spacing w:line="176" w:lineRule="auto"/>
      <w:ind w:left="43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68D1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968D1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847D">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1AE0F">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151AE0F">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48BC3">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30B47">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0730B47">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AB56">
    <w:pPr>
      <w:spacing w:line="17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2DB24">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92DB24">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6BE7">
    <w:pPr>
      <w:pStyle w:val="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BE92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65BE92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30CD">
    <w:pPr>
      <w:spacing w:line="176" w:lineRule="auto"/>
      <w:ind w:left="44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87770">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D987770">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04B4">
    <w:pPr>
      <w:spacing w:line="176" w:lineRule="auto"/>
      <w:ind w:left="44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887F9">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9C887F9">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A79F">
    <w:pPr>
      <w:spacing w:line="176" w:lineRule="auto"/>
      <w:ind w:left="43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4680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764680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7333">
    <w:pPr>
      <w:spacing w:line="176" w:lineRule="auto"/>
      <w:ind w:left="43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85C4E">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9685C4E">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DFAA">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BF6DE">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C4BF6DE">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F5EE">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1DF36">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21DF36">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A94F">
    <w:pPr>
      <w:spacing w:line="176" w:lineRule="auto"/>
      <w:ind w:left="43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4D445">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6C4D445">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18C5">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5DD05">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6E5DD05">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2479">
    <w:pPr>
      <w:spacing w:line="176"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71D01">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2A71D01">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4E11A">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10873">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2910873">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1652">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F38F5">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A7F38F5">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D73C">
    <w:pPr>
      <w:spacing w:line="176"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1988C">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381988C">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47E9">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0B26C">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610B26C">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6734">
    <w:pPr>
      <w:spacing w:line="176" w:lineRule="auto"/>
      <w:ind w:left="44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C26C6">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2AC26C6">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69E34">
    <w:pPr>
      <w:spacing w:line="176" w:lineRule="auto"/>
      <w:ind w:left="43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47467">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F147467">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43</w:t>
                    </w:r>
                    <w:r>
                      <w:rPr>
                        <w:rFonts w:hint="eastAsia" w:eastAsia="宋体"/>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A4359">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88BB7">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188BB7">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BA40">
    <w:pPr>
      <w:spacing w:line="176" w:lineRule="auto"/>
      <w:ind w:left="43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99996">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699996">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1617">
    <w:pPr>
      <w:spacing w:line="176"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F6C98">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9EF6C98">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3CDA2">
    <w:pPr>
      <w:spacing w:line="176" w:lineRule="auto"/>
      <w:ind w:left="44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334CC">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D7334CC">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054D8">
    <w:pPr>
      <w:spacing w:line="176" w:lineRule="auto"/>
      <w:ind w:left="44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7755A">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FB7755A">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02AEF">
    <w:pPr>
      <w:spacing w:line="172" w:lineRule="auto"/>
      <w:ind w:left="4602"/>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52E6C">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15</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oMx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woMxMzAgAAZQQAAA4AAAAAAAAAAQAgAAAAHwEAAGRycy9lMm9Eb2MueG1sUEsF&#10;BgAAAAAGAAYAWQEAAMQFAAAAAA==&#10;">
              <v:fill on="f" focussize="0,0"/>
              <v:stroke on="f" weight="0.5pt"/>
              <v:imagedata o:title=""/>
              <o:lock v:ext="edit" aspectratio="f"/>
              <v:textbox inset="0mm,0mm,0mm,0mm" style="mso-fit-shape-to-text:t;">
                <w:txbxContent>
                  <w:p w14:paraId="3D952E6C">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15</w:t>
                    </w:r>
                    <w:r>
                      <w:rPr>
                        <w:rFonts w:hint="eastAsia" w:eastAsia="宋体"/>
                        <w:sz w:val="18"/>
                        <w:lang w:eastAsia="zh-CN"/>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9E72">
    <w:pPr>
      <w:spacing w:line="176"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9CA2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A59CA2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CD5A">
    <w:pPr>
      <w:spacing w:line="176"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A724F">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23A724F">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DDD7">
    <w:pPr>
      <w:spacing w:line="176" w:lineRule="auto"/>
      <w:ind w:left="41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5E07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545E07D">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9AD8">
    <w:pPr>
      <w:spacing w:line="176" w:lineRule="auto"/>
      <w:ind w:left="43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4766B">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54766B">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CA03">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A2121">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8A2121">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5EA7">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5FE44">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65FE44">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575F8">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A1CE0">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9A1CE0">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4055">
    <w:pPr>
      <w:spacing w:line="176" w:lineRule="auto"/>
      <w:ind w:left="43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A3145">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3A3145">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FC507">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86043">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E86043">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9A7A0"/>
    <w:multiLevelType w:val="singleLevel"/>
    <w:tmpl w:val="C9A9A7A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pPr>
        <w:ind w:left="105"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A16BE5"/>
    <w:rsid w:val="00C435F8"/>
    <w:rsid w:val="01160EA3"/>
    <w:rsid w:val="01633E9B"/>
    <w:rsid w:val="01717CDE"/>
    <w:rsid w:val="031713E0"/>
    <w:rsid w:val="03832FDE"/>
    <w:rsid w:val="03DF1EFE"/>
    <w:rsid w:val="04DA26C6"/>
    <w:rsid w:val="061D2A82"/>
    <w:rsid w:val="06675366"/>
    <w:rsid w:val="06EB6E0C"/>
    <w:rsid w:val="0721282E"/>
    <w:rsid w:val="081C4DA3"/>
    <w:rsid w:val="084379D7"/>
    <w:rsid w:val="087D7F38"/>
    <w:rsid w:val="08A454C4"/>
    <w:rsid w:val="08D57674"/>
    <w:rsid w:val="0A2E773B"/>
    <w:rsid w:val="0A6854E5"/>
    <w:rsid w:val="0BCF0AAA"/>
    <w:rsid w:val="0CCA74C4"/>
    <w:rsid w:val="0D63116A"/>
    <w:rsid w:val="0D7907C0"/>
    <w:rsid w:val="0DC337DB"/>
    <w:rsid w:val="0DD30BCF"/>
    <w:rsid w:val="0E0802A4"/>
    <w:rsid w:val="0E0B0B24"/>
    <w:rsid w:val="0ED2440E"/>
    <w:rsid w:val="0EF645A0"/>
    <w:rsid w:val="0F2033CB"/>
    <w:rsid w:val="100B407B"/>
    <w:rsid w:val="1032785A"/>
    <w:rsid w:val="1081433D"/>
    <w:rsid w:val="108F6A5A"/>
    <w:rsid w:val="115832F0"/>
    <w:rsid w:val="116947D6"/>
    <w:rsid w:val="12A25030"/>
    <w:rsid w:val="147D5F25"/>
    <w:rsid w:val="148D505F"/>
    <w:rsid w:val="15304C47"/>
    <w:rsid w:val="1606156C"/>
    <w:rsid w:val="16726C02"/>
    <w:rsid w:val="167504A0"/>
    <w:rsid w:val="169F4056"/>
    <w:rsid w:val="170A2A2E"/>
    <w:rsid w:val="17824C23"/>
    <w:rsid w:val="17F81389"/>
    <w:rsid w:val="17F825AF"/>
    <w:rsid w:val="18BC4164"/>
    <w:rsid w:val="192166BD"/>
    <w:rsid w:val="1997072D"/>
    <w:rsid w:val="1A07140F"/>
    <w:rsid w:val="1A0F4768"/>
    <w:rsid w:val="1A765520"/>
    <w:rsid w:val="1A9A6727"/>
    <w:rsid w:val="1B2304CB"/>
    <w:rsid w:val="1C9A6126"/>
    <w:rsid w:val="1CC730D8"/>
    <w:rsid w:val="1CDB4547"/>
    <w:rsid w:val="1D6B7F07"/>
    <w:rsid w:val="1D9E208B"/>
    <w:rsid w:val="1DC022FE"/>
    <w:rsid w:val="1DCB543A"/>
    <w:rsid w:val="1ED67043"/>
    <w:rsid w:val="1EE91A2B"/>
    <w:rsid w:val="1FE43FA1"/>
    <w:rsid w:val="209C6368"/>
    <w:rsid w:val="20D64231"/>
    <w:rsid w:val="21513311"/>
    <w:rsid w:val="22A31EF1"/>
    <w:rsid w:val="22F95FB5"/>
    <w:rsid w:val="230E7CB2"/>
    <w:rsid w:val="23580F2E"/>
    <w:rsid w:val="236E23C5"/>
    <w:rsid w:val="23A91789"/>
    <w:rsid w:val="23F17D7C"/>
    <w:rsid w:val="251D5F8B"/>
    <w:rsid w:val="256C0CC0"/>
    <w:rsid w:val="25AC1D69"/>
    <w:rsid w:val="269E26FC"/>
    <w:rsid w:val="26A06E73"/>
    <w:rsid w:val="26FA7105"/>
    <w:rsid w:val="27133AE9"/>
    <w:rsid w:val="28550131"/>
    <w:rsid w:val="29C25353"/>
    <w:rsid w:val="2A5D3412"/>
    <w:rsid w:val="2B34402E"/>
    <w:rsid w:val="2BE772F2"/>
    <w:rsid w:val="2C35005E"/>
    <w:rsid w:val="2C770676"/>
    <w:rsid w:val="2D1B19F8"/>
    <w:rsid w:val="2DA21723"/>
    <w:rsid w:val="2E0B60C9"/>
    <w:rsid w:val="2F59587C"/>
    <w:rsid w:val="2F965451"/>
    <w:rsid w:val="2FAA2B11"/>
    <w:rsid w:val="2FAA62A2"/>
    <w:rsid w:val="2FD63906"/>
    <w:rsid w:val="300761B5"/>
    <w:rsid w:val="30085A89"/>
    <w:rsid w:val="300F7BA2"/>
    <w:rsid w:val="305A62E5"/>
    <w:rsid w:val="30E65DCB"/>
    <w:rsid w:val="31411253"/>
    <w:rsid w:val="317B29B7"/>
    <w:rsid w:val="318D26EA"/>
    <w:rsid w:val="31CD6F8B"/>
    <w:rsid w:val="322D7B7E"/>
    <w:rsid w:val="32B8724C"/>
    <w:rsid w:val="33D740F0"/>
    <w:rsid w:val="34F5482E"/>
    <w:rsid w:val="351C625F"/>
    <w:rsid w:val="35610116"/>
    <w:rsid w:val="35A617E1"/>
    <w:rsid w:val="36AA5AEC"/>
    <w:rsid w:val="36EC7EB3"/>
    <w:rsid w:val="3801798E"/>
    <w:rsid w:val="3805122C"/>
    <w:rsid w:val="384A4E91"/>
    <w:rsid w:val="387C7195"/>
    <w:rsid w:val="393618B9"/>
    <w:rsid w:val="39584AF1"/>
    <w:rsid w:val="3968323B"/>
    <w:rsid w:val="396E0C96"/>
    <w:rsid w:val="39F23469"/>
    <w:rsid w:val="3A2160C5"/>
    <w:rsid w:val="3A6A35C8"/>
    <w:rsid w:val="3A856EDC"/>
    <w:rsid w:val="3BA174BE"/>
    <w:rsid w:val="3BB03343"/>
    <w:rsid w:val="3C487939"/>
    <w:rsid w:val="3CE24113"/>
    <w:rsid w:val="3D6F7148"/>
    <w:rsid w:val="3F09592B"/>
    <w:rsid w:val="3F19380F"/>
    <w:rsid w:val="3F850EA5"/>
    <w:rsid w:val="3FB105CC"/>
    <w:rsid w:val="3FB157F6"/>
    <w:rsid w:val="403326AF"/>
    <w:rsid w:val="40550877"/>
    <w:rsid w:val="40A7277C"/>
    <w:rsid w:val="41E974C9"/>
    <w:rsid w:val="423170C2"/>
    <w:rsid w:val="423A41C8"/>
    <w:rsid w:val="42AE5061"/>
    <w:rsid w:val="43D9356D"/>
    <w:rsid w:val="44AE67A8"/>
    <w:rsid w:val="45352A25"/>
    <w:rsid w:val="46143D0C"/>
    <w:rsid w:val="4662784A"/>
    <w:rsid w:val="46821C9A"/>
    <w:rsid w:val="47863A0C"/>
    <w:rsid w:val="47A10846"/>
    <w:rsid w:val="47A813D2"/>
    <w:rsid w:val="47E524E0"/>
    <w:rsid w:val="48166B3E"/>
    <w:rsid w:val="48480CC1"/>
    <w:rsid w:val="485B09F4"/>
    <w:rsid w:val="48AC1250"/>
    <w:rsid w:val="48AF26B1"/>
    <w:rsid w:val="48F826E7"/>
    <w:rsid w:val="490F075E"/>
    <w:rsid w:val="4B3043BA"/>
    <w:rsid w:val="4B55797D"/>
    <w:rsid w:val="4D3B0DF4"/>
    <w:rsid w:val="4DCE3A17"/>
    <w:rsid w:val="4DFE42FC"/>
    <w:rsid w:val="4E197388"/>
    <w:rsid w:val="4EA51A86"/>
    <w:rsid w:val="4F082F58"/>
    <w:rsid w:val="501F7520"/>
    <w:rsid w:val="50487AB0"/>
    <w:rsid w:val="508D7BB9"/>
    <w:rsid w:val="51654692"/>
    <w:rsid w:val="51835813"/>
    <w:rsid w:val="518E6914"/>
    <w:rsid w:val="51D8432B"/>
    <w:rsid w:val="51EE0B2B"/>
    <w:rsid w:val="524B479B"/>
    <w:rsid w:val="52A03EBA"/>
    <w:rsid w:val="53226CDE"/>
    <w:rsid w:val="53E775E0"/>
    <w:rsid w:val="54A454D1"/>
    <w:rsid w:val="54B84329"/>
    <w:rsid w:val="5539030F"/>
    <w:rsid w:val="55BE6ECE"/>
    <w:rsid w:val="56A4383D"/>
    <w:rsid w:val="578A30A4"/>
    <w:rsid w:val="57BB325E"/>
    <w:rsid w:val="57DF7D9D"/>
    <w:rsid w:val="59A61A49"/>
    <w:rsid w:val="5A7871E4"/>
    <w:rsid w:val="5AA224B3"/>
    <w:rsid w:val="5AC42429"/>
    <w:rsid w:val="5AD14B46"/>
    <w:rsid w:val="5BF22ACD"/>
    <w:rsid w:val="5C2869E8"/>
    <w:rsid w:val="5C5D7BBD"/>
    <w:rsid w:val="5C8A658A"/>
    <w:rsid w:val="5D1D22C5"/>
    <w:rsid w:val="5D966BA0"/>
    <w:rsid w:val="5DA12EF6"/>
    <w:rsid w:val="5E5D0BCB"/>
    <w:rsid w:val="5F942D12"/>
    <w:rsid w:val="5F960151"/>
    <w:rsid w:val="5F97635E"/>
    <w:rsid w:val="5F99046C"/>
    <w:rsid w:val="5FDE59AD"/>
    <w:rsid w:val="602C4CF9"/>
    <w:rsid w:val="608C3D39"/>
    <w:rsid w:val="60BA063C"/>
    <w:rsid w:val="614E6EF1"/>
    <w:rsid w:val="61700C15"/>
    <w:rsid w:val="62595B4D"/>
    <w:rsid w:val="62CC631F"/>
    <w:rsid w:val="63F96811"/>
    <w:rsid w:val="6445282D"/>
    <w:rsid w:val="644B5359"/>
    <w:rsid w:val="65031DA0"/>
    <w:rsid w:val="65466306"/>
    <w:rsid w:val="6562740E"/>
    <w:rsid w:val="65DF45BB"/>
    <w:rsid w:val="662B7800"/>
    <w:rsid w:val="663861B6"/>
    <w:rsid w:val="68737C27"/>
    <w:rsid w:val="68754A42"/>
    <w:rsid w:val="68815DFE"/>
    <w:rsid w:val="68A5389A"/>
    <w:rsid w:val="69AF6047"/>
    <w:rsid w:val="69F820EF"/>
    <w:rsid w:val="6A791EB6"/>
    <w:rsid w:val="6BEB78CD"/>
    <w:rsid w:val="6CB00A5F"/>
    <w:rsid w:val="6D6D252B"/>
    <w:rsid w:val="6D745F31"/>
    <w:rsid w:val="6DF9057E"/>
    <w:rsid w:val="6E55366C"/>
    <w:rsid w:val="6E7321E8"/>
    <w:rsid w:val="6E7C32EF"/>
    <w:rsid w:val="6E82467D"/>
    <w:rsid w:val="70980188"/>
    <w:rsid w:val="71F94B5C"/>
    <w:rsid w:val="72C47013"/>
    <w:rsid w:val="72FD0776"/>
    <w:rsid w:val="73942E89"/>
    <w:rsid w:val="7395275D"/>
    <w:rsid w:val="73A62BBC"/>
    <w:rsid w:val="73CD0149"/>
    <w:rsid w:val="7431611F"/>
    <w:rsid w:val="750556C0"/>
    <w:rsid w:val="75263FB5"/>
    <w:rsid w:val="75AD1FE0"/>
    <w:rsid w:val="7601232C"/>
    <w:rsid w:val="76613C53"/>
    <w:rsid w:val="767E1BCE"/>
    <w:rsid w:val="77400C32"/>
    <w:rsid w:val="7775192F"/>
    <w:rsid w:val="779A6594"/>
    <w:rsid w:val="77C047CE"/>
    <w:rsid w:val="77EB36F8"/>
    <w:rsid w:val="78850FF2"/>
    <w:rsid w:val="788C5F62"/>
    <w:rsid w:val="791E4FA3"/>
    <w:rsid w:val="7A4E4ABA"/>
    <w:rsid w:val="7A9842BC"/>
    <w:rsid w:val="7AAF67FA"/>
    <w:rsid w:val="7AE53FCA"/>
    <w:rsid w:val="7B364826"/>
    <w:rsid w:val="7B93023A"/>
    <w:rsid w:val="7BAB0D70"/>
    <w:rsid w:val="7CAC4E84"/>
    <w:rsid w:val="7CCA791B"/>
    <w:rsid w:val="7CD272F6"/>
    <w:rsid w:val="7CE704CD"/>
    <w:rsid w:val="7D142945"/>
    <w:rsid w:val="7D755AD9"/>
    <w:rsid w:val="7DC46119"/>
    <w:rsid w:val="7E1150D6"/>
    <w:rsid w:val="7F906A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No Spacing"/>
    <w:qFormat/>
    <w:uiPriority w:val="1"/>
    <w:pPr>
      <w:widowControl w:val="0"/>
    </w:pPr>
    <w:rPr>
      <w:rFonts w:ascii="宋体" w:hAnsi="宋体" w:eastAsia="宋体" w:cs="Times New Roman"/>
      <w:kern w:val="2"/>
      <w:sz w:val="21"/>
      <w:szCs w:val="22"/>
      <w:lang w:val="en-US" w:eastAsia="zh-CN" w:bidi="ar-SA"/>
    </w:rPr>
  </w:style>
  <w:style w:type="paragraph" w:customStyle="1" w:styleId="12">
    <w:name w:val="Normal_0"/>
    <w:qFormat/>
    <w:uiPriority w:val="0"/>
    <w:rPr>
      <w:rFonts w:ascii="Times New Roman" w:hAnsi="Times New Roman" w:eastAsia="Times New Roman" w:cs="Times New Roman"/>
      <w:sz w:val="24"/>
      <w:szCs w:val="24"/>
      <w:lang w:bidi="ar-SA"/>
    </w:rPr>
  </w:style>
  <w:style w:type="paragraph" w:customStyle="1" w:styleId="13">
    <w:name w:val="标题 3_0"/>
    <w:basedOn w:val="14"/>
    <w:next w:val="14"/>
    <w:qFormat/>
    <w:uiPriority w:val="1"/>
    <w:pPr>
      <w:ind w:left="237" w:right="108"/>
      <w:outlineLvl w:val="2"/>
    </w:pPr>
    <w:rPr>
      <w:rFonts w:cs="Times New Roman"/>
      <w:b/>
      <w:sz w:val="30"/>
      <w:szCs w:val="28"/>
    </w:rPr>
  </w:style>
  <w:style w:type="paragraph" w:customStyle="1" w:styleId="14">
    <w:name w:val="正文_0_0"/>
    <w:qFormat/>
    <w:uiPriority w:val="1"/>
    <w:pPr>
      <w:widowControl w:val="0"/>
    </w:pPr>
    <w:rPr>
      <w:rFonts w:ascii="宋体" w:hAnsi="宋体" w:eastAsia="宋体" w:cs="宋体"/>
      <w:sz w:val="22"/>
      <w:szCs w:val="22"/>
      <w:lang w:val="en-US" w:eastAsia="en-US" w:bidi="ar-SA"/>
    </w:rPr>
  </w:style>
  <w:style w:type="paragraph" w:customStyle="1" w:styleId="15">
    <w:name w:val="标题 4_0"/>
    <w:basedOn w:val="14"/>
    <w:next w:val="14"/>
    <w:qFormat/>
    <w:uiPriority w:val="1"/>
    <w:pPr>
      <w:ind w:left="513" w:right="108"/>
      <w:outlineLvl w:val="3"/>
    </w:pPr>
    <w:rPr>
      <w:rFonts w:ascii="Times New Roman" w:hAnsi="Times New Roman" w:eastAsia="Times New Roman" w:cs="Times New Roman"/>
      <w:b/>
      <w:bCs/>
      <w:sz w:val="21"/>
      <w:szCs w:val="21"/>
    </w:rPr>
  </w:style>
  <w:style w:type="paragraph" w:customStyle="1" w:styleId="16">
    <w:name w:val="标题_0"/>
    <w:basedOn w:val="14"/>
    <w:next w:val="14"/>
    <w:qFormat/>
    <w:uiPriority w:val="0"/>
    <w:pPr>
      <w:spacing w:before="240" w:after="60"/>
      <w:jc w:val="center"/>
      <w:outlineLvl w:val="0"/>
    </w:pPr>
    <w:rPr>
      <w:rFonts w:ascii="Cambria" w:hAnsi="Cambria" w:cs="Times New Roman"/>
      <w:b/>
      <w:bCs/>
      <w:sz w:val="32"/>
      <w:szCs w:val="32"/>
    </w:rPr>
  </w:style>
  <w:style w:type="paragraph" w:customStyle="1" w:styleId="17">
    <w:name w:val="正文_0"/>
    <w:qFormat/>
    <w:uiPriority w:val="1"/>
    <w:pPr>
      <w:widowControl w:val="0"/>
    </w:pPr>
    <w:rPr>
      <w:rFonts w:ascii="宋体" w:hAnsi="宋体" w:eastAsia="宋体" w:cs="宋体"/>
      <w:sz w:val="22"/>
      <w:szCs w:val="22"/>
      <w:lang w:val="en-US" w:eastAsia="en-US" w:bidi="ar-SA"/>
    </w:rPr>
  </w:style>
  <w:style w:type="paragraph" w:customStyle="1" w:styleId="18">
    <w:name w:val="标题 4_1"/>
    <w:basedOn w:val="17"/>
    <w:next w:val="17"/>
    <w:qFormat/>
    <w:uiPriority w:val="1"/>
    <w:pPr>
      <w:ind w:left="513" w:right="108"/>
      <w:outlineLvl w:val="3"/>
    </w:pPr>
    <w:rPr>
      <w:rFonts w:ascii="Times New Roman" w:hAnsi="Times New Roman" w:eastAsia="Times New Roman" w:cs="Times New Roman"/>
      <w:b/>
      <w:bCs/>
      <w:sz w:val="21"/>
      <w:szCs w:val="21"/>
    </w:rPr>
  </w:style>
  <w:style w:type="paragraph" w:customStyle="1" w:styleId="19">
    <w:name w:val="正文文本_1"/>
    <w:basedOn w:val="17"/>
    <w:qFormat/>
    <w:uiPriority w:val="1"/>
    <w:rPr>
      <w:sz w:val="21"/>
      <w:szCs w:val="21"/>
    </w:rPr>
  </w:style>
  <w:style w:type="paragraph" w:customStyle="1" w:styleId="2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1">
    <w:name w:val="无间隔1"/>
    <w:qFormat/>
    <w:uiPriority w:val="1"/>
    <w:pPr>
      <w:widowControl w:val="0"/>
    </w:pPr>
    <w:rPr>
      <w:rFonts w:ascii="宋体" w:hAnsi="宋体" w:eastAsia="宋体" w:cstheme="minorBidi"/>
      <w:kern w:val="2"/>
      <w:sz w:val="21"/>
      <w:szCs w:val="22"/>
      <w:lang w:val="en-US" w:eastAsia="zh-CN" w:bidi="ar-SA"/>
    </w:rPr>
  </w:style>
  <w:style w:type="paragraph" w:customStyle="1" w:styleId="22">
    <w:name w:val="Normal_0_0"/>
    <w:qFormat/>
    <w:uiPriority w:val="0"/>
    <w:pPr>
      <w:widowControl w:val="0"/>
      <w:ind w:firstLine="420" w:firstLineChars="200"/>
      <w:jc w:val="both"/>
    </w:pPr>
    <w:rPr>
      <w:rFonts w:ascii="Times New Roman" w:hAnsi="Times New Roman" w:eastAsia="Times New Roman" w:cs="Times New Roman"/>
      <w:sz w:val="21"/>
      <w:szCs w:val="22"/>
      <w:lang w:val="en-US" w:eastAsia="zh-CN" w:bidi="ar-SA"/>
    </w:rPr>
  </w:style>
  <w:style w:type="paragraph" w:customStyle="1" w:styleId="23">
    <w:name w:val="正文文本_0"/>
    <w:basedOn w:val="14"/>
    <w:qFormat/>
    <w:uiPriority w:val="1"/>
    <w:rPr>
      <w:sz w:val="21"/>
      <w:szCs w:val="21"/>
    </w:rPr>
  </w:style>
  <w:style w:type="paragraph" w:customStyle="1" w:styleId="24">
    <w:name w:val="正文文本 3_0"/>
    <w:basedOn w:val="14"/>
    <w:qFormat/>
    <w:uiPriority w:val="0"/>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15109</Words>
  <Characters>16158</Characters>
  <Lines>0</Lines>
  <Paragraphs>0</Paragraphs>
  <TotalTime>217</TotalTime>
  <ScaleCrop>false</ScaleCrop>
  <LinksUpToDate>false</LinksUpToDate>
  <CharactersWithSpaces>16685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2024-10-30T19:02:00Z</dcterms:created>
  <dc:creator>Administrator</dc:creator>
  <cp:lastModifiedBy>Autism.</cp:lastModifiedBy>
  <dcterms:modified xsi:type="dcterms:W3CDTF">2025-04-15T08:16:18Z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wqlLaW5nc29mdCBQREYgdG8gV1BTIDEwNQ</vt:lpwstr>
  </property>
  <property fmtid="{D5CDD505-2E9C-101B-9397-08002B2CF9AE}" pid="3" name="Created">
    <vt:filetime>2024-12-03T16:00:11Z</vt:filetime>
  </property>
  <property fmtid="{D5CDD505-2E9C-101B-9397-08002B2CF9AE}" pid="4" name="KSOProductBuildVer">
    <vt:lpwstr>2052-12.1.0.20784</vt:lpwstr>
  </property>
  <property fmtid="{D5CDD505-2E9C-101B-9397-08002B2CF9AE}" pid="5" name="ICV">
    <vt:lpwstr>0774EA02F7574703BC9ECDF17744A8D8_12</vt:lpwstr>
  </property>
  <property fmtid="{D5CDD505-2E9C-101B-9397-08002B2CF9AE}" pid="6" name="KSOTemplateDocerSaveRecord">
    <vt:lpwstr>eyJoZGlkIjoiMWJjODMxNTc3ODM1ZjNiY2U5NzY1MDY3MWRmNDA1ZjIiLCJ1c2VySWQiOiIxMjEyNTgyMTAxIn0=</vt:lpwstr>
  </property>
</Properties>
</file>