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7959">
      <w:pPr>
        <w:spacing w:before="156" w:beforeLines="50"/>
        <w:jc w:val="center"/>
        <w:rPr>
          <w:rFonts w:ascii="宋体" w:hAnsi="宋体" w:cs="宋体"/>
          <w:b/>
          <w:bCs/>
          <w:color w:val="auto"/>
          <w:sz w:val="52"/>
          <w:szCs w:val="52"/>
          <w:highlight w:val="none"/>
        </w:rPr>
      </w:pPr>
      <w:bookmarkStart w:id="173" w:name="_GoBack"/>
      <w:bookmarkEnd w:id="173"/>
      <w:r>
        <w:rPr>
          <w:rFonts w:hint="eastAsia" w:ascii="宋体" w:hAnsi="宋体" w:cs="宋体"/>
          <w:b/>
          <w:bCs/>
          <w:color w:val="auto"/>
          <w:sz w:val="52"/>
          <w:szCs w:val="52"/>
          <w:highlight w:val="none"/>
        </w:rPr>
        <w:t>广西壮族自治区政府采购</w:t>
      </w:r>
    </w:p>
    <w:p w14:paraId="330D4551">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服务类</w:t>
      </w:r>
    </w:p>
    <w:p w14:paraId="1F29032E">
      <w:pPr>
        <w:snapToGrid w:val="0"/>
        <w:spacing w:before="156" w:beforeLines="50" w:line="360" w:lineRule="auto"/>
        <w:jc w:val="center"/>
        <w:rPr>
          <w:rFonts w:ascii="宋体" w:hAnsi="宋体" w:cs="宋体"/>
          <w:color w:val="auto"/>
          <w:sz w:val="28"/>
          <w:szCs w:val="72"/>
          <w:highlight w:val="none"/>
        </w:rPr>
      </w:pPr>
    </w:p>
    <w:p w14:paraId="036BAB85">
      <w:pPr>
        <w:pStyle w:val="41"/>
        <w:rPr>
          <w:color w:val="auto"/>
          <w:highlight w:val="none"/>
        </w:rPr>
      </w:pPr>
    </w:p>
    <w:p w14:paraId="549FBC72">
      <w:pPr>
        <w:pStyle w:val="18"/>
        <w:snapToGrid w:val="0"/>
        <w:spacing w:before="120" w:after="120" w:line="360" w:lineRule="auto"/>
        <w:jc w:val="center"/>
        <w:rPr>
          <w:rFonts w:hAnsi="宋体" w:cs="宋体"/>
          <w:b/>
          <w:bCs/>
          <w:color w:val="auto"/>
          <w:sz w:val="40"/>
          <w:szCs w:val="40"/>
          <w:highlight w:val="none"/>
        </w:rPr>
      </w:pPr>
      <w:r>
        <w:rPr>
          <w:rFonts w:hint="eastAsia"/>
          <w:b/>
          <w:color w:val="auto"/>
          <w:spacing w:val="20"/>
          <w:sz w:val="52"/>
          <w:szCs w:val="52"/>
          <w:highlight w:val="none"/>
          <w:lang w:bidi="ar"/>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1174750</wp:posOffset>
            </wp:positionV>
            <wp:extent cx="2174875" cy="1631315"/>
            <wp:effectExtent l="0" t="0" r="15875" b="6985"/>
            <wp:wrapNone/>
            <wp:docPr id="5" name="图片 4" descr="a08df6e229dc7e5739d766740e5e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a08df6e229dc7e5739d766740e5e61c"/>
                    <pic:cNvPicPr>
                      <a:picLocks noChangeAspect="1"/>
                    </pic:cNvPicPr>
                  </pic:nvPicPr>
                  <pic:blipFill>
                    <a:blip r:embed="rId8"/>
                    <a:stretch>
                      <a:fillRect/>
                    </a:stretch>
                  </pic:blipFill>
                  <pic:spPr>
                    <a:xfrm>
                      <a:off x="0" y="0"/>
                      <a:ext cx="2174875" cy="1631315"/>
                    </a:xfrm>
                    <a:prstGeom prst="rect">
                      <a:avLst/>
                    </a:prstGeom>
                    <a:noFill/>
                    <a:ln>
                      <a:noFill/>
                    </a:ln>
                  </pic:spPr>
                </pic:pic>
              </a:graphicData>
            </a:graphic>
          </wp:anchor>
        </w:drawing>
      </w:r>
      <w:r>
        <w:rPr>
          <w:rFonts w:hint="eastAsia" w:hAnsi="宋体" w:cs="宋体"/>
          <w:b/>
          <w:bCs/>
          <w:color w:val="auto"/>
          <w:sz w:val="96"/>
          <w:szCs w:val="96"/>
          <w:highlight w:val="none"/>
        </w:rPr>
        <w:t>竞争性磋商文件</w:t>
      </w:r>
    </w:p>
    <w:p w14:paraId="0F0D44EC">
      <w:pPr>
        <w:pStyle w:val="18"/>
        <w:snapToGrid w:val="0"/>
        <w:spacing w:before="120" w:after="120" w:line="360" w:lineRule="auto"/>
        <w:ind w:firstLine="1593" w:firstLineChars="496"/>
        <w:rPr>
          <w:rFonts w:hAnsi="宋体" w:cs="宋体"/>
          <w:b/>
          <w:bCs/>
          <w:color w:val="auto"/>
          <w:sz w:val="32"/>
          <w:szCs w:val="32"/>
          <w:highlight w:val="none"/>
        </w:rPr>
      </w:pPr>
    </w:p>
    <w:p w14:paraId="0B19CD9B">
      <w:pPr>
        <w:tabs>
          <w:tab w:val="left" w:pos="4122"/>
        </w:tabs>
        <w:snapToGrid w:val="0"/>
        <w:spacing w:before="156" w:beforeLines="50" w:line="360" w:lineRule="auto"/>
        <w:rPr>
          <w:rFonts w:ascii="宋体" w:hAnsi="宋体" w:cs="宋体"/>
          <w:b/>
          <w:color w:val="auto"/>
          <w:sz w:val="32"/>
          <w:szCs w:val="96"/>
          <w:highlight w:val="none"/>
        </w:rPr>
      </w:pPr>
      <w:r>
        <w:rPr>
          <w:rFonts w:hint="eastAsia" w:ascii="宋体" w:hAnsi="宋体" w:cs="宋体"/>
          <w:b/>
          <w:color w:val="auto"/>
          <w:sz w:val="32"/>
          <w:szCs w:val="96"/>
          <w:highlight w:val="none"/>
        </w:rPr>
        <w:tab/>
      </w:r>
    </w:p>
    <w:p w14:paraId="77F16BCD">
      <w:pPr>
        <w:snapToGrid w:val="0"/>
        <w:spacing w:before="156" w:beforeLines="50" w:line="360" w:lineRule="auto"/>
        <w:rPr>
          <w:rFonts w:ascii="宋体" w:hAnsi="宋体" w:cs="宋体"/>
          <w:b/>
          <w:color w:val="auto"/>
          <w:sz w:val="32"/>
          <w:szCs w:val="96"/>
          <w:highlight w:val="none"/>
        </w:rPr>
      </w:pPr>
    </w:p>
    <w:p w14:paraId="03C19608">
      <w:pPr>
        <w:snapToGrid w:val="0"/>
        <w:spacing w:before="156" w:beforeLines="50" w:line="360" w:lineRule="auto"/>
        <w:rPr>
          <w:rFonts w:ascii="宋体" w:hAnsi="宋体" w:cs="宋体"/>
          <w:b/>
          <w:color w:val="auto"/>
          <w:sz w:val="32"/>
          <w:szCs w:val="96"/>
          <w:highlight w:val="none"/>
        </w:rPr>
      </w:pPr>
    </w:p>
    <w:p w14:paraId="34A55C71">
      <w:pPr>
        <w:snapToGrid w:val="0"/>
        <w:spacing w:before="156" w:beforeLines="50" w:line="360" w:lineRule="auto"/>
        <w:jc w:val="center"/>
        <w:rPr>
          <w:rFonts w:hint="eastAsia" w:ascii="宋体" w:hAnsi="宋体" w:eastAsia="宋体" w:cs="宋体"/>
          <w:b/>
          <w:color w:val="auto"/>
          <w:sz w:val="28"/>
          <w:szCs w:val="72"/>
          <w:highlight w:val="none"/>
          <w:lang w:eastAsia="zh-CN"/>
        </w:rPr>
      </w:pPr>
      <w:r>
        <w:rPr>
          <w:rFonts w:hint="eastAsia" w:ascii="宋体" w:hAnsi="宋体" w:cs="宋体"/>
          <w:b/>
          <w:color w:val="auto"/>
          <w:sz w:val="28"/>
          <w:szCs w:val="72"/>
          <w:highlight w:val="none"/>
        </w:rPr>
        <w:t>项目名称：</w:t>
      </w:r>
      <w:r>
        <w:rPr>
          <w:rFonts w:hint="eastAsia" w:ascii="宋体" w:hAnsi="宋体" w:cs="宋体"/>
          <w:b/>
          <w:color w:val="auto"/>
          <w:sz w:val="28"/>
          <w:szCs w:val="72"/>
          <w:highlight w:val="none"/>
          <w:lang w:eastAsia="zh-CN"/>
        </w:rPr>
        <w:t>德保县国营黄连山林场森林资源规划设计调查补充调查工作服务</w:t>
      </w:r>
    </w:p>
    <w:p w14:paraId="46D822FB">
      <w:pPr>
        <w:snapToGrid w:val="0"/>
        <w:spacing w:before="156" w:beforeLines="50" w:line="360" w:lineRule="auto"/>
        <w:jc w:val="center"/>
        <w:rPr>
          <w:rFonts w:hint="eastAsia" w:ascii="宋体" w:hAnsi="宋体" w:eastAsia="宋体" w:cs="宋体"/>
          <w:b/>
          <w:color w:val="auto"/>
          <w:sz w:val="28"/>
          <w:szCs w:val="72"/>
          <w:highlight w:val="none"/>
          <w:lang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BSZC2025-C3-240023-DXGS</w:t>
      </w:r>
    </w:p>
    <w:p w14:paraId="6CC2DF68">
      <w:pPr>
        <w:snapToGrid w:val="0"/>
        <w:spacing w:before="156" w:beforeLines="50" w:line="360" w:lineRule="auto"/>
        <w:jc w:val="center"/>
        <w:rPr>
          <w:rFonts w:ascii="宋体" w:hAnsi="宋体" w:cs="宋体"/>
          <w:b/>
          <w:color w:val="auto"/>
          <w:sz w:val="32"/>
          <w:szCs w:val="96"/>
          <w:highlight w:val="none"/>
        </w:rPr>
      </w:pPr>
    </w:p>
    <w:p w14:paraId="0B018C06">
      <w:pPr>
        <w:snapToGrid w:val="0"/>
        <w:spacing w:before="156" w:beforeLines="50" w:line="360" w:lineRule="auto"/>
        <w:ind w:firstLine="1285" w:firstLineChars="400"/>
        <w:rPr>
          <w:rFonts w:ascii="宋体" w:hAnsi="宋体" w:cs="宋体"/>
          <w:b/>
          <w:color w:val="auto"/>
          <w:sz w:val="32"/>
          <w:szCs w:val="96"/>
          <w:highlight w:val="none"/>
        </w:rPr>
      </w:pPr>
    </w:p>
    <w:p w14:paraId="556583BE">
      <w:pPr>
        <w:snapToGrid w:val="0"/>
        <w:spacing w:before="156" w:beforeLines="50" w:line="360" w:lineRule="auto"/>
        <w:jc w:val="center"/>
        <w:rPr>
          <w:rFonts w:hint="eastAsia" w:ascii="宋体" w:hAnsi="宋体" w:eastAsia="宋体" w:cs="宋体"/>
          <w:b/>
          <w:color w:val="auto"/>
          <w:sz w:val="28"/>
          <w:szCs w:val="72"/>
          <w:highlight w:val="none"/>
          <w:lang w:eastAsia="zh-CN"/>
        </w:rPr>
      </w:pPr>
      <w:r>
        <w:rPr>
          <w:rFonts w:hint="eastAsia" w:ascii="宋体" w:hAnsi="宋体" w:cs="宋体"/>
          <w:b/>
          <w:color w:val="auto"/>
          <w:sz w:val="28"/>
          <w:szCs w:val="72"/>
          <w:highlight w:val="none"/>
        </w:rPr>
        <w:t>采 购 人：</w:t>
      </w:r>
      <w:r>
        <w:rPr>
          <w:rFonts w:hint="eastAsia" w:ascii="宋体" w:hAnsi="宋体" w:cs="宋体"/>
          <w:b/>
          <w:color w:val="auto"/>
          <w:sz w:val="28"/>
          <w:szCs w:val="72"/>
          <w:highlight w:val="none"/>
          <w:lang w:eastAsia="zh-CN"/>
        </w:rPr>
        <w:t>德保县国营黄连山林场</w:t>
      </w:r>
    </w:p>
    <w:p w14:paraId="327BE764">
      <w:pPr>
        <w:snapToGrid w:val="0"/>
        <w:spacing w:before="156" w:beforeLines="50" w:line="360" w:lineRule="auto"/>
        <w:jc w:val="center"/>
        <w:rPr>
          <w:rFonts w:ascii="宋体" w:hAnsi="宋体" w:cs="宋体"/>
          <w:b/>
          <w:color w:val="auto"/>
          <w:sz w:val="28"/>
          <w:szCs w:val="72"/>
          <w:highlight w:val="none"/>
        </w:rPr>
      </w:pPr>
      <w:r>
        <w:rPr>
          <w:rFonts w:hint="eastAsia" w:ascii="宋体" w:hAnsi="宋体" w:cs="宋体"/>
          <w:b/>
          <w:color w:val="auto"/>
          <w:sz w:val="28"/>
          <w:szCs w:val="72"/>
          <w:highlight w:val="none"/>
        </w:rPr>
        <w:t>采购代理机构：东信工程项目管理有限公司</w:t>
      </w:r>
    </w:p>
    <w:p w14:paraId="5668B939">
      <w:pPr>
        <w:spacing w:line="360" w:lineRule="auto"/>
        <w:jc w:val="center"/>
        <w:rPr>
          <w:rFonts w:hint="eastAsia" w:ascii="宋体" w:hAnsi="宋体" w:cs="宋体"/>
          <w:b/>
          <w:color w:val="auto"/>
          <w:sz w:val="28"/>
          <w:szCs w:val="72"/>
          <w:highlight w:val="none"/>
        </w:rPr>
      </w:pPr>
      <w:r>
        <w:rPr>
          <w:rFonts w:hint="eastAsia" w:ascii="宋体" w:hAnsi="宋体" w:cs="宋体"/>
          <w:b/>
          <w:color w:val="auto"/>
          <w:sz w:val="28"/>
          <w:szCs w:val="72"/>
          <w:highlight w:val="none"/>
        </w:rPr>
        <w:t>2025年4月</w:t>
      </w:r>
    </w:p>
    <w:p w14:paraId="3A8BC149">
      <w:pPr>
        <w:pStyle w:val="2"/>
        <w:rPr>
          <w:rFonts w:ascii="Times New Roman" w:hAnsi="Times New Roman" w:cs="Times New Roman"/>
          <w:b w:val="0"/>
          <w:color w:val="auto"/>
          <w:sz w:val="21"/>
          <w:szCs w:val="20"/>
          <w:highlight w:val="none"/>
        </w:rPr>
      </w:pPr>
    </w:p>
    <w:p w14:paraId="0A96AE01">
      <w:pPr>
        <w:jc w:val="center"/>
        <w:rPr>
          <w:rStyle w:val="44"/>
          <w:color w:val="auto"/>
          <w:highlight w:val="none"/>
        </w:rPr>
      </w:pPr>
      <w:r>
        <w:rPr>
          <w:rStyle w:val="44"/>
          <w:rFonts w:hint="eastAsia"/>
          <w:color w:val="auto"/>
          <w:highlight w:val="none"/>
        </w:rPr>
        <w:t>目录</w:t>
      </w:r>
    </w:p>
    <w:p w14:paraId="519E1E39">
      <w:pPr>
        <w:pStyle w:val="24"/>
        <w:tabs>
          <w:tab w:val="right" w:leader="dot" w:pos="9522"/>
        </w:tabs>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"_Toc9953"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_Toc9953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9FA63F3">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"_Toc28251" </w:instrText>
      </w:r>
      <w:r>
        <w:rPr>
          <w:color w:val="auto"/>
          <w:highlight w:val="none"/>
        </w:rPr>
        <w:fldChar w:fldCharType="separate"/>
      </w:r>
      <w:r>
        <w:rPr>
          <w:rFonts w:hint="eastAsia" w:ascii="宋体" w:hAnsi="宋体" w:cs="宋体"/>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_Toc28251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D922B0">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"_Toc30239" </w:instrText>
      </w:r>
      <w:r>
        <w:rPr>
          <w:color w:val="auto"/>
          <w:highlight w:val="none"/>
        </w:rPr>
        <w:fldChar w:fldCharType="separate"/>
      </w:r>
      <w:r>
        <w:rPr>
          <w:rFonts w:hint="eastAsia" w:ascii="宋体" w:hAnsi="宋体" w:cs="宋体"/>
          <w:color w:val="auto"/>
          <w:sz w:val="28"/>
          <w:szCs w:val="28"/>
          <w:highlight w:val="none"/>
        </w:rPr>
        <w:t>第三章 项目需求和说明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_Toc30239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14A9BC">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"_Toc489" </w:instrText>
      </w:r>
      <w:r>
        <w:rPr>
          <w:color w:val="auto"/>
          <w:highlight w:val="none"/>
        </w:rPr>
        <w:fldChar w:fldCharType="separate"/>
      </w:r>
      <w:r>
        <w:rPr>
          <w:rFonts w:hint="eastAsia" w:ascii="宋体" w:hAnsi="宋体" w:cs="宋体"/>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_Toc489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1C04512">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"_Toc31802" </w:instrText>
      </w:r>
      <w:r>
        <w:rPr>
          <w:color w:val="auto"/>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_Toc31802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26B116">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"_Toc24421" </w:instrText>
      </w:r>
      <w:r>
        <w:rPr>
          <w:color w:val="auto"/>
          <w:highlight w:val="none"/>
        </w:rPr>
        <w:fldChar w:fldCharType="separate"/>
      </w:r>
      <w:r>
        <w:rPr>
          <w:rFonts w:hint="eastAsia" w:ascii="宋体" w:hAnsi="宋体" w:cs="宋体"/>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_Toc24421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F6461E5">
      <w:pPr>
        <w:spacing w:line="480" w:lineRule="auto"/>
        <w:jc w:val="center"/>
        <w:rPr>
          <w:rFonts w:ascii="宋体" w:hAnsi="宋体" w:cs="宋体"/>
          <w:b/>
          <w:color w:val="auto"/>
          <w:sz w:val="44"/>
          <w:szCs w:val="44"/>
          <w:highlight w:val="none"/>
        </w:rPr>
      </w:pPr>
      <w:r>
        <w:rPr>
          <w:rFonts w:hint="eastAsia" w:ascii="宋体" w:hAnsi="宋体" w:cs="宋体"/>
          <w:color w:val="auto"/>
          <w:sz w:val="28"/>
          <w:szCs w:val="28"/>
          <w:highlight w:val="none"/>
        </w:rPr>
        <w:fldChar w:fldCharType="end"/>
      </w:r>
    </w:p>
    <w:p w14:paraId="790C8446">
      <w:pPr>
        <w:pStyle w:val="25"/>
        <w:tabs>
          <w:tab w:val="left" w:pos="7199"/>
          <w:tab w:val="clear" w:pos="8296"/>
        </w:tabs>
        <w:spacing w:line="360" w:lineRule="auto"/>
        <w:rPr>
          <w:rFonts w:ascii="宋体" w:hAnsi="宋体" w:cs="宋体"/>
          <w:color w:val="auto"/>
          <w:sz w:val="32"/>
          <w:szCs w:val="40"/>
          <w:highlight w:val="none"/>
        </w:rPr>
      </w:pPr>
      <w:r>
        <w:rPr>
          <w:rFonts w:hint="eastAsia" w:ascii="宋体" w:hAnsi="宋体" w:cs="宋体"/>
          <w:b/>
          <w:color w:val="auto"/>
          <w:sz w:val="44"/>
          <w:szCs w:val="44"/>
          <w:highlight w:val="none"/>
        </w:rPr>
        <w:tab/>
      </w:r>
      <w:r>
        <w:rPr>
          <w:rFonts w:hint="eastAsia" w:ascii="宋体" w:hAnsi="宋体" w:cs="宋体"/>
          <w:b/>
          <w:color w:val="auto"/>
          <w:sz w:val="44"/>
          <w:szCs w:val="44"/>
          <w:highlight w:val="none"/>
        </w:rPr>
        <w:fldChar w:fldCharType="begin"/>
      </w:r>
      <w:r>
        <w:rPr>
          <w:rFonts w:hint="eastAsia" w:ascii="宋体" w:hAnsi="宋体" w:cs="宋体"/>
          <w:b/>
          <w:color w:val="auto"/>
          <w:sz w:val="44"/>
          <w:szCs w:val="44"/>
          <w:highlight w:val="none"/>
        </w:rPr>
        <w:instrText xml:space="preserve"> TOC \o "1-3" \h \z \u </w:instrText>
      </w:r>
      <w:r>
        <w:rPr>
          <w:rFonts w:hint="eastAsia" w:ascii="宋体" w:hAnsi="宋体" w:cs="宋体"/>
          <w:b/>
          <w:color w:val="auto"/>
          <w:sz w:val="44"/>
          <w:szCs w:val="44"/>
          <w:highlight w:val="none"/>
        </w:rPr>
        <w:fldChar w:fldCharType="separate"/>
      </w:r>
    </w:p>
    <w:p w14:paraId="703B7BD2">
      <w:pPr>
        <w:pStyle w:val="25"/>
        <w:spacing w:line="360" w:lineRule="auto"/>
        <w:rPr>
          <w:rFonts w:ascii="宋体" w:hAnsi="宋体" w:cs="宋体"/>
          <w:color w:val="auto"/>
          <w:sz w:val="28"/>
          <w:szCs w:val="28"/>
          <w:highlight w:val="none"/>
        </w:rPr>
      </w:pPr>
      <w:r>
        <w:rPr>
          <w:rFonts w:hint="eastAsia" w:ascii="宋体" w:hAnsi="宋体" w:cs="宋体"/>
          <w:color w:val="auto"/>
          <w:sz w:val="32"/>
          <w:szCs w:val="44"/>
          <w:highlight w:val="none"/>
        </w:rPr>
        <w:fldChar w:fldCharType="end"/>
      </w:r>
    </w:p>
    <w:p w14:paraId="350A1403">
      <w:pPr>
        <w:spacing w:line="400" w:lineRule="exact"/>
        <w:jc w:val="left"/>
        <w:rPr>
          <w:rFonts w:ascii="宋体" w:hAnsi="宋体" w:cs="宋体"/>
          <w:b/>
          <w:color w:val="auto"/>
          <w:sz w:val="32"/>
          <w:szCs w:val="32"/>
          <w:highlight w:val="none"/>
        </w:rPr>
      </w:pPr>
    </w:p>
    <w:p w14:paraId="5EAE8025">
      <w:pPr>
        <w:spacing w:line="400" w:lineRule="exact"/>
        <w:jc w:val="center"/>
        <w:rPr>
          <w:rFonts w:ascii="宋体" w:hAnsi="宋体" w:cs="宋体"/>
          <w:b/>
          <w:color w:val="auto"/>
          <w:sz w:val="32"/>
          <w:szCs w:val="32"/>
          <w:highlight w:val="none"/>
        </w:rPr>
      </w:pPr>
    </w:p>
    <w:p w14:paraId="6776E91A">
      <w:pPr>
        <w:spacing w:line="400" w:lineRule="exact"/>
        <w:jc w:val="center"/>
        <w:rPr>
          <w:rFonts w:ascii="宋体" w:hAnsi="宋体" w:cs="宋体"/>
          <w:b/>
          <w:color w:val="auto"/>
          <w:sz w:val="32"/>
          <w:szCs w:val="32"/>
          <w:highlight w:val="none"/>
        </w:rPr>
      </w:pPr>
    </w:p>
    <w:p w14:paraId="57D9663B">
      <w:pPr>
        <w:spacing w:line="400" w:lineRule="exact"/>
        <w:jc w:val="center"/>
        <w:rPr>
          <w:rFonts w:ascii="宋体" w:hAnsi="宋体" w:cs="宋体"/>
          <w:b/>
          <w:color w:val="auto"/>
          <w:sz w:val="32"/>
          <w:szCs w:val="32"/>
          <w:highlight w:val="none"/>
        </w:rPr>
      </w:pPr>
    </w:p>
    <w:p w14:paraId="4A33D2D4">
      <w:pPr>
        <w:spacing w:line="400" w:lineRule="exact"/>
        <w:jc w:val="center"/>
        <w:rPr>
          <w:rFonts w:ascii="宋体" w:hAnsi="宋体" w:cs="宋体"/>
          <w:b/>
          <w:color w:val="auto"/>
          <w:sz w:val="32"/>
          <w:szCs w:val="32"/>
          <w:highlight w:val="none"/>
        </w:rPr>
      </w:pPr>
    </w:p>
    <w:p w14:paraId="412BF059">
      <w:pPr>
        <w:spacing w:line="400" w:lineRule="exact"/>
        <w:rPr>
          <w:rFonts w:ascii="宋体" w:hAnsi="宋体" w:cs="宋体"/>
          <w:b/>
          <w:color w:val="auto"/>
          <w:sz w:val="32"/>
          <w:szCs w:val="32"/>
          <w:highlight w:val="none"/>
        </w:rPr>
        <w:sectPr>
          <w:headerReference r:id="rId4" w:type="first"/>
          <w:headerReference r:id="rId3" w:type="default"/>
          <w:pgSz w:w="11906" w:h="16838"/>
          <w:pgMar w:top="1440" w:right="1080" w:bottom="1440" w:left="1304" w:header="851" w:footer="992" w:gutter="0"/>
          <w:cols w:space="720" w:num="1"/>
          <w:titlePg/>
          <w:docGrid w:type="lines" w:linePitch="312" w:charSpace="0"/>
        </w:sectPr>
      </w:pPr>
    </w:p>
    <w:p w14:paraId="4DB05E4C">
      <w:pPr>
        <w:pStyle w:val="4"/>
        <w:numPr>
          <w:ilvl w:val="0"/>
          <w:numId w:val="1"/>
        </w:numPr>
        <w:spacing w:before="0" w:after="0" w:line="240" w:lineRule="auto"/>
        <w:jc w:val="center"/>
        <w:rPr>
          <w:rFonts w:ascii="宋体" w:hAnsi="宋体" w:cs="宋体"/>
          <w:color w:val="auto"/>
          <w:highlight w:val="none"/>
        </w:rPr>
      </w:pPr>
      <w:bookmarkStart w:id="0" w:name="_Toc20756"/>
      <w:bookmarkStart w:id="1" w:name="_Toc9953"/>
      <w:r>
        <w:rPr>
          <w:rFonts w:hint="eastAsia" w:ascii="宋体" w:hAnsi="宋体" w:cs="宋体"/>
          <w:color w:val="auto"/>
          <w:highlight w:val="none"/>
        </w:rPr>
        <w:t>竞争性磋商公告</w:t>
      </w:r>
      <w:bookmarkEnd w:id="0"/>
      <w:bookmarkEnd w:id="1"/>
    </w:p>
    <w:p w14:paraId="021E6CE5">
      <w:pPr>
        <w:spacing w:line="40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东信工程项目管理有限公司关于</w:t>
      </w:r>
      <w:r>
        <w:rPr>
          <w:rFonts w:hint="eastAsia" w:ascii="宋体" w:hAnsi="宋体" w:cs="宋体"/>
          <w:b/>
          <w:bCs/>
          <w:color w:val="auto"/>
          <w:sz w:val="28"/>
          <w:szCs w:val="36"/>
          <w:highlight w:val="none"/>
          <w:lang w:eastAsia="zh-CN"/>
        </w:rPr>
        <w:t>德保县国营黄连山林场森林资源规划设计调查补充调查工作服务</w:t>
      </w:r>
      <w:r>
        <w:rPr>
          <w:rFonts w:hint="eastAsia" w:ascii="宋体" w:hAnsi="宋体" w:cs="宋体"/>
          <w:b/>
          <w:bCs/>
          <w:color w:val="auto"/>
          <w:sz w:val="28"/>
          <w:szCs w:val="36"/>
          <w:highlight w:val="none"/>
        </w:rPr>
        <w:t>竞争性磋商公告（远程异地评标）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14:paraId="19CF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8" w:type="dxa"/>
          </w:tcPr>
          <w:p w14:paraId="64443427">
            <w:pPr>
              <w:spacing w:line="380" w:lineRule="exact"/>
              <w:rPr>
                <w:rFonts w:ascii="宋体" w:hAnsi="宋体" w:cs="宋体"/>
                <w:b/>
                <w:color w:val="auto"/>
                <w:sz w:val="24"/>
                <w:highlight w:val="none"/>
              </w:rPr>
            </w:pPr>
            <w:r>
              <w:rPr>
                <w:rFonts w:hint="eastAsia" w:ascii="宋体" w:hAnsi="宋体" w:cs="宋体"/>
                <w:b/>
                <w:color w:val="auto"/>
                <w:sz w:val="24"/>
                <w:highlight w:val="none"/>
              </w:rPr>
              <w:t>项目概况</w:t>
            </w:r>
          </w:p>
          <w:p w14:paraId="2791A765">
            <w:pPr>
              <w:spacing w:line="3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u w:val="single"/>
                <w:lang w:eastAsia="zh-CN"/>
              </w:rPr>
              <w:t>德保县国营黄连山林场森林资源规划设计调查补充调查工作服务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采购的潜在供应商应在</w:t>
            </w:r>
            <w:r>
              <w:rPr>
                <w:rFonts w:hint="eastAsia" w:ascii="宋体" w:hAnsi="宋体" w:cs="宋体"/>
                <w:color w:val="auto"/>
                <w:sz w:val="24"/>
                <w:highlight w:val="none"/>
                <w:u w:val="single"/>
              </w:rPr>
              <w:t>广西政府采购云平台系统（https://www.gcy.zfcg.gxzf.gov.cn/）</w:t>
            </w:r>
            <w:r>
              <w:rPr>
                <w:rFonts w:hint="eastAsia" w:ascii="宋体" w:hAnsi="宋体" w:cs="宋体"/>
                <w:bCs/>
                <w:color w:val="auto"/>
                <w:sz w:val="24"/>
                <w:highlight w:val="none"/>
              </w:rPr>
              <w:t>获取采购文件，并于</w:t>
            </w:r>
            <w:r>
              <w:rPr>
                <w:rFonts w:hint="eastAsia" w:ascii="宋体" w:hAnsi="宋体" w:cs="宋体"/>
                <w:bCs/>
                <w:color w:val="auto"/>
                <w:sz w:val="24"/>
                <w:highlight w:val="none"/>
                <w:u w:val="single"/>
                <w:lang w:eastAsia="zh-CN"/>
              </w:rPr>
              <w:t>2025年05月08日09时30分</w:t>
            </w:r>
            <w:r>
              <w:rPr>
                <w:rFonts w:hint="eastAsia" w:ascii="宋体" w:hAnsi="宋体" w:cs="宋体"/>
                <w:bCs/>
                <w:color w:val="auto"/>
                <w:sz w:val="24"/>
                <w:highlight w:val="none"/>
              </w:rPr>
              <w:t>（北京时间）前提交响应文件。</w:t>
            </w:r>
          </w:p>
        </w:tc>
      </w:tr>
    </w:tbl>
    <w:p w14:paraId="4BA33D60">
      <w:pPr>
        <w:pStyle w:val="4"/>
        <w:spacing w:before="0" w:after="0" w:line="380" w:lineRule="exact"/>
        <w:ind w:firstLine="482" w:firstLineChars="200"/>
        <w:rPr>
          <w:rFonts w:ascii="宋体" w:hAnsi="宋体" w:cs="宋体"/>
          <w:bCs w:val="0"/>
          <w:color w:val="auto"/>
          <w:sz w:val="24"/>
          <w:szCs w:val="24"/>
          <w:highlight w:val="none"/>
        </w:rPr>
      </w:pPr>
      <w:bookmarkStart w:id="2" w:name="_Toc10597"/>
      <w:bookmarkStart w:id="3" w:name="_Toc35393798"/>
      <w:bookmarkStart w:id="4" w:name="_Toc35393629"/>
      <w:bookmarkStart w:id="5" w:name="_Toc28359089"/>
      <w:bookmarkStart w:id="6" w:name="_Toc44229878"/>
      <w:bookmarkStart w:id="7" w:name="_Toc28359012"/>
      <w:bookmarkStart w:id="8" w:name="_Hlk37430271"/>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p>
    <w:p w14:paraId="5076651D">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BSZC2025-C3-240023-DXGS</w:t>
      </w:r>
    </w:p>
    <w:p w14:paraId="6911F02F">
      <w:pPr>
        <w:spacing w:line="38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德保县国营黄连山林场森林资源规划设计调查补充调查工作服务</w:t>
      </w:r>
    </w:p>
    <w:p w14:paraId="7038356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采购方式：竞争性磋商</w:t>
      </w:r>
    </w:p>
    <w:p w14:paraId="3766AE8E">
      <w:pPr>
        <w:spacing w:line="38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预算总金额（元）：</w:t>
      </w:r>
      <w:r>
        <w:rPr>
          <w:rFonts w:hint="eastAsia" w:ascii="宋体" w:hAnsi="宋体" w:cs="宋体"/>
          <w:color w:val="auto"/>
          <w:sz w:val="24"/>
          <w:highlight w:val="none"/>
          <w:lang w:val="en-US" w:eastAsia="zh-CN"/>
        </w:rPr>
        <w:t>582400.00</w:t>
      </w:r>
    </w:p>
    <w:p w14:paraId="79433F2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德保县国营黄连山林场森林资源规划设计调查补充调查工作服务</w:t>
      </w:r>
      <w:r>
        <w:rPr>
          <w:rFonts w:hint="eastAsia" w:ascii="宋体" w:hAnsi="宋体" w:cs="宋体"/>
          <w:color w:val="auto"/>
          <w:sz w:val="24"/>
          <w:highlight w:val="none"/>
        </w:rPr>
        <w:t>,具体内容详见竞争性磋商文件。</w:t>
      </w:r>
    </w:p>
    <w:p w14:paraId="23DA6C2C">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最高限价（如有）：</w:t>
      </w:r>
      <w:r>
        <w:rPr>
          <w:rFonts w:hint="eastAsia" w:ascii="宋体" w:hAnsi="宋体" w:cs="宋体"/>
          <w:color w:val="auto"/>
          <w:sz w:val="24"/>
          <w:highlight w:val="none"/>
          <w:lang w:eastAsia="zh-CN"/>
        </w:rPr>
        <w:t>582400.00</w:t>
      </w:r>
    </w:p>
    <w:p w14:paraId="0D74A60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合同签订之日起至60天内提交成果（如自治区林业局另有规定的，从其规定）</w:t>
      </w:r>
      <w:r>
        <w:rPr>
          <w:rFonts w:hint="eastAsia" w:ascii="宋体" w:hAnsi="宋体" w:cs="宋体"/>
          <w:color w:val="auto"/>
          <w:sz w:val="24"/>
          <w:highlight w:val="none"/>
        </w:rPr>
        <w:t>。</w:t>
      </w:r>
    </w:p>
    <w:p w14:paraId="4F1256C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本标项（否）接受联合体投标</w:t>
      </w:r>
    </w:p>
    <w:p w14:paraId="0D97C9EB">
      <w:pPr>
        <w:pStyle w:val="4"/>
        <w:spacing w:before="0" w:after="0" w:line="380" w:lineRule="exact"/>
        <w:ind w:firstLine="482" w:firstLineChars="200"/>
        <w:rPr>
          <w:rFonts w:ascii="宋体" w:hAnsi="宋体" w:cs="宋体"/>
          <w:bCs w:val="0"/>
          <w:color w:val="auto"/>
          <w:sz w:val="24"/>
          <w:szCs w:val="24"/>
          <w:highlight w:val="none"/>
        </w:rPr>
      </w:pPr>
      <w:bookmarkStart w:id="9" w:name="_Toc28359013"/>
      <w:bookmarkStart w:id="10" w:name="_Toc35393630"/>
      <w:bookmarkStart w:id="11" w:name="_Toc8917"/>
      <w:bookmarkStart w:id="12" w:name="_Toc28359090"/>
      <w:bookmarkStart w:id="13" w:name="_Toc35393799"/>
      <w:bookmarkStart w:id="14" w:name="_Toc44229879"/>
      <w:r>
        <w:rPr>
          <w:rFonts w:hint="eastAsia" w:ascii="宋体" w:hAnsi="宋体" w:cs="宋体"/>
          <w:bCs w:val="0"/>
          <w:color w:val="auto"/>
          <w:sz w:val="24"/>
          <w:szCs w:val="24"/>
          <w:highlight w:val="none"/>
        </w:rPr>
        <w:t>二、供应商的资格条件</w:t>
      </w:r>
      <w:bookmarkEnd w:id="9"/>
      <w:bookmarkEnd w:id="10"/>
      <w:bookmarkEnd w:id="11"/>
      <w:bookmarkEnd w:id="12"/>
      <w:bookmarkEnd w:id="13"/>
      <w:bookmarkEnd w:id="14"/>
    </w:p>
    <w:p w14:paraId="1329E3A3">
      <w:pPr>
        <w:spacing w:line="380" w:lineRule="exact"/>
        <w:ind w:firstLine="480" w:firstLineChars="200"/>
        <w:rPr>
          <w:rFonts w:ascii="宋体" w:hAnsi="宋体" w:cs="宋体"/>
          <w:color w:val="auto"/>
          <w:sz w:val="24"/>
          <w:highlight w:val="none"/>
        </w:rPr>
      </w:pPr>
      <w:bookmarkStart w:id="15" w:name="_Toc35393800"/>
      <w:bookmarkStart w:id="16" w:name="_Toc28359091"/>
      <w:bookmarkStart w:id="17" w:name="_Toc35393631"/>
      <w:bookmarkStart w:id="18" w:name="_Toc44229880"/>
      <w:bookmarkStart w:id="19" w:name="_Toc28359014"/>
      <w:r>
        <w:rPr>
          <w:rFonts w:hint="eastAsia" w:ascii="宋体" w:hAnsi="宋体" w:cs="宋体"/>
          <w:color w:val="auto"/>
          <w:sz w:val="24"/>
          <w:highlight w:val="none"/>
        </w:rPr>
        <w:t>1.满足《中华人民共和国政府采购法》第二十二条规定。</w:t>
      </w:r>
    </w:p>
    <w:p w14:paraId="490E9E9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50E6A71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3.本项目的特定资格要求：具备林业调查规划设计丙级及以上资质。</w:t>
      </w:r>
    </w:p>
    <w:p w14:paraId="3BA461CA">
      <w:pPr>
        <w:pStyle w:val="4"/>
        <w:spacing w:before="0" w:after="0" w:line="380" w:lineRule="exact"/>
        <w:ind w:firstLine="482" w:firstLineChars="200"/>
        <w:rPr>
          <w:rFonts w:ascii="宋体" w:hAnsi="宋体" w:cs="宋体"/>
          <w:bCs w:val="0"/>
          <w:color w:val="auto"/>
          <w:sz w:val="24"/>
          <w:szCs w:val="24"/>
          <w:highlight w:val="none"/>
        </w:rPr>
      </w:pPr>
      <w:bookmarkStart w:id="20" w:name="_Toc16902"/>
      <w:r>
        <w:rPr>
          <w:rFonts w:hint="eastAsia" w:ascii="宋体" w:hAnsi="宋体" w:cs="宋体"/>
          <w:bCs w:val="0"/>
          <w:color w:val="auto"/>
          <w:sz w:val="24"/>
          <w:szCs w:val="24"/>
          <w:highlight w:val="none"/>
        </w:rPr>
        <w:t>三、获取竞争性磋商文件</w:t>
      </w:r>
      <w:bookmarkEnd w:id="15"/>
      <w:bookmarkEnd w:id="16"/>
      <w:bookmarkEnd w:id="17"/>
      <w:bookmarkEnd w:id="18"/>
      <w:bookmarkEnd w:id="19"/>
      <w:bookmarkEnd w:id="20"/>
    </w:p>
    <w:p w14:paraId="2C484CB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日至2025年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，每天上午08:00至12:00，下午15:00至18:00（北京时间，法定节假日除外）。</w:t>
      </w:r>
    </w:p>
    <w:p w14:paraId="6CB3C32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地点：广西政府采购云平台系统（https://www.gcy.zfcg.gxzf.gov.cn/）。</w:t>
      </w:r>
    </w:p>
    <w:p w14:paraId="47526B4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方式：供应商登录广西政府采购云平台系统https://www.gcy.zfcg.gxzf.gov.cn/在线申请获取采购文件（进入“项目采购”应用，在获取采购文件菜单中选择项目，申请获取采购文件）。</w:t>
      </w:r>
    </w:p>
    <w:p w14:paraId="3FE9B6E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售价：0元</w:t>
      </w:r>
    </w:p>
    <w:p w14:paraId="041A2299">
      <w:pPr>
        <w:pStyle w:val="4"/>
        <w:spacing w:before="0" w:after="0" w:line="380" w:lineRule="exact"/>
        <w:ind w:firstLine="482" w:firstLineChars="200"/>
        <w:rPr>
          <w:rFonts w:ascii="宋体" w:hAnsi="宋体" w:cs="宋体"/>
          <w:bCs w:val="0"/>
          <w:color w:val="auto"/>
          <w:sz w:val="24"/>
          <w:szCs w:val="24"/>
          <w:highlight w:val="none"/>
        </w:rPr>
      </w:pPr>
      <w:bookmarkStart w:id="21" w:name="_Toc35393801"/>
      <w:bookmarkStart w:id="22" w:name="_Toc18912"/>
      <w:bookmarkStart w:id="23" w:name="_Toc44229881"/>
      <w:bookmarkStart w:id="24" w:name="_Toc35393632"/>
      <w:bookmarkStart w:id="25" w:name="_Toc28359092"/>
      <w:bookmarkStart w:id="26" w:name="_Toc28359015"/>
      <w:r>
        <w:rPr>
          <w:rFonts w:hint="eastAsia" w:ascii="宋体" w:hAnsi="宋体" w:cs="宋体"/>
          <w:bCs w:val="0"/>
          <w:color w:val="auto"/>
          <w:sz w:val="24"/>
          <w:szCs w:val="24"/>
          <w:highlight w:val="none"/>
        </w:rPr>
        <w:t>四、响应文件提交</w:t>
      </w:r>
      <w:bookmarkEnd w:id="21"/>
      <w:bookmarkEnd w:id="22"/>
      <w:bookmarkEnd w:id="23"/>
      <w:bookmarkEnd w:id="24"/>
      <w:bookmarkEnd w:id="25"/>
      <w:bookmarkEnd w:id="26"/>
    </w:p>
    <w:p w14:paraId="79ADEBE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2025年05月08日09时30分</w:t>
      </w:r>
      <w:r>
        <w:rPr>
          <w:rFonts w:hint="eastAsia" w:ascii="宋体" w:hAnsi="宋体" w:cs="宋体"/>
          <w:color w:val="auto"/>
          <w:sz w:val="24"/>
          <w:highlight w:val="none"/>
        </w:rPr>
        <w:t>（北京时间）</w:t>
      </w:r>
    </w:p>
    <w:p w14:paraId="20409A3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地点：请登录广西政府采购云平台投标客户端竞标。</w:t>
      </w:r>
    </w:p>
    <w:p w14:paraId="696A30BC">
      <w:pPr>
        <w:pStyle w:val="4"/>
        <w:spacing w:before="0" w:after="0" w:line="380" w:lineRule="exact"/>
        <w:ind w:firstLine="482" w:firstLineChars="200"/>
        <w:rPr>
          <w:rFonts w:ascii="宋体" w:hAnsi="宋体" w:cs="宋体"/>
          <w:bCs w:val="0"/>
          <w:color w:val="auto"/>
          <w:sz w:val="24"/>
          <w:szCs w:val="24"/>
          <w:highlight w:val="none"/>
        </w:rPr>
      </w:pPr>
      <w:bookmarkStart w:id="27" w:name="_Toc44229882"/>
      <w:bookmarkStart w:id="28" w:name="_Toc28359016"/>
      <w:bookmarkStart w:id="29" w:name="_Toc28359093"/>
      <w:bookmarkStart w:id="30" w:name="_Toc10815"/>
      <w:bookmarkStart w:id="31" w:name="_Toc35393633"/>
      <w:bookmarkStart w:id="32" w:name="_Toc35393802"/>
      <w:r>
        <w:rPr>
          <w:rFonts w:hint="eastAsia" w:ascii="宋体" w:hAnsi="宋体" w:cs="宋体"/>
          <w:bCs w:val="0"/>
          <w:color w:val="auto"/>
          <w:sz w:val="24"/>
          <w:szCs w:val="24"/>
          <w:highlight w:val="none"/>
        </w:rPr>
        <w:t>五、</w:t>
      </w:r>
      <w:bookmarkEnd w:id="27"/>
      <w:bookmarkEnd w:id="28"/>
      <w:bookmarkEnd w:id="29"/>
      <w:bookmarkEnd w:id="30"/>
      <w:bookmarkEnd w:id="31"/>
      <w:bookmarkEnd w:id="32"/>
      <w:r>
        <w:rPr>
          <w:rFonts w:hint="eastAsia" w:ascii="宋体" w:hAnsi="宋体" w:cs="宋体"/>
          <w:bCs w:val="0"/>
          <w:color w:val="auto"/>
          <w:sz w:val="24"/>
          <w:szCs w:val="24"/>
          <w:highlight w:val="none"/>
        </w:rPr>
        <w:t>响应文件开启</w:t>
      </w:r>
    </w:p>
    <w:p w14:paraId="29DC91F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2025年05月08日09时30分</w:t>
      </w:r>
      <w:r>
        <w:rPr>
          <w:rFonts w:hint="eastAsia" w:ascii="宋体" w:hAnsi="宋体" w:cs="宋体"/>
          <w:color w:val="auto"/>
          <w:sz w:val="24"/>
          <w:highlight w:val="none"/>
        </w:rPr>
        <w:t>（北京时间）</w:t>
      </w:r>
    </w:p>
    <w:p w14:paraId="0DD75E69">
      <w:pPr>
        <w:spacing w:line="38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地点：广西政府采购云平台电子开标大厅在线解密开启。</w:t>
      </w:r>
    </w:p>
    <w:p w14:paraId="1A4D9ACB">
      <w:pPr>
        <w:pStyle w:val="4"/>
        <w:spacing w:before="0" w:after="0" w:line="380" w:lineRule="exact"/>
        <w:ind w:firstLine="482" w:firstLineChars="200"/>
        <w:rPr>
          <w:rFonts w:ascii="宋体" w:hAnsi="宋体" w:cs="宋体"/>
          <w:bCs w:val="0"/>
          <w:color w:val="auto"/>
          <w:sz w:val="24"/>
          <w:szCs w:val="24"/>
          <w:highlight w:val="none"/>
        </w:rPr>
      </w:pPr>
      <w:bookmarkStart w:id="33" w:name="_Toc26833"/>
      <w:bookmarkStart w:id="34" w:name="_Toc35393803"/>
      <w:bookmarkStart w:id="35" w:name="_Toc44229883"/>
      <w:bookmarkStart w:id="36" w:name="_Toc28359017"/>
      <w:bookmarkStart w:id="37" w:name="_Toc35393634"/>
      <w:bookmarkStart w:id="38" w:name="_Toc28359094"/>
      <w:r>
        <w:rPr>
          <w:rFonts w:hint="eastAsia" w:ascii="宋体" w:hAnsi="宋体" w:cs="宋体"/>
          <w:bCs w:val="0"/>
          <w:color w:val="auto"/>
          <w:sz w:val="24"/>
          <w:szCs w:val="24"/>
          <w:highlight w:val="none"/>
        </w:rPr>
        <w:t>六、公告期限</w:t>
      </w:r>
      <w:bookmarkEnd w:id="33"/>
      <w:bookmarkEnd w:id="34"/>
      <w:bookmarkEnd w:id="35"/>
      <w:bookmarkEnd w:id="36"/>
      <w:bookmarkEnd w:id="37"/>
      <w:bookmarkEnd w:id="38"/>
    </w:p>
    <w:p w14:paraId="2E381D83">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14:paraId="39D0F42C">
      <w:pPr>
        <w:pStyle w:val="4"/>
        <w:numPr>
          <w:ilvl w:val="0"/>
          <w:numId w:val="2"/>
        </w:numPr>
        <w:spacing w:before="0" w:after="0" w:line="380" w:lineRule="exact"/>
        <w:ind w:firstLine="482" w:firstLineChars="200"/>
        <w:rPr>
          <w:rFonts w:ascii="宋体" w:hAnsi="宋体" w:cs="宋体"/>
          <w:bCs w:val="0"/>
          <w:color w:val="auto"/>
          <w:sz w:val="24"/>
          <w:szCs w:val="24"/>
          <w:highlight w:val="none"/>
        </w:rPr>
      </w:pPr>
      <w:bookmarkStart w:id="39" w:name="_Toc35393635"/>
      <w:bookmarkStart w:id="40" w:name="_Toc30655"/>
      <w:bookmarkStart w:id="41" w:name="_Toc44229884"/>
      <w:bookmarkStart w:id="42" w:name="_Toc35393804"/>
      <w:r>
        <w:rPr>
          <w:rFonts w:hint="eastAsia" w:ascii="宋体" w:hAnsi="宋体" w:cs="宋体"/>
          <w:bCs w:val="0"/>
          <w:color w:val="auto"/>
          <w:sz w:val="24"/>
          <w:szCs w:val="24"/>
          <w:highlight w:val="none"/>
        </w:rPr>
        <w:t>其他补充事宜</w:t>
      </w:r>
      <w:bookmarkEnd w:id="39"/>
      <w:bookmarkEnd w:id="40"/>
      <w:bookmarkEnd w:id="41"/>
      <w:bookmarkEnd w:id="42"/>
    </w:p>
    <w:p w14:paraId="2033FDB3">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1.竞标保证金：本项目不收取竞标保证金。</w:t>
      </w:r>
    </w:p>
    <w:p w14:paraId="05987AF9">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B245C0">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32A9F6E">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4.网上查询地址：中国政府采购网( http://www.ccgp.gov.cn )、广西壮族自治区政府采购网（http://zfcg.gxzf.gov.cn）。</w:t>
      </w:r>
    </w:p>
    <w:p w14:paraId="75332024">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需要落实的政府采购政策：《关于进一步加大政府采购支持中小企业力度的通知》财政部财库〔2022〕19号、财政部工业和信息化部关于印发《政府采购促进中小企业发展管理办法》的通知（财库〔2020〕46号）、财政部司法部《关于政府采购支持监狱企业发展有关问题的通知》（财库〔2014〕68号）、财政部民政部中国残疾人联合会三部门联合发布《关于促进残疾人就业政府采购政策的通知》（财库〔2017〕141号）。</w:t>
      </w:r>
    </w:p>
    <w:p w14:paraId="4564F578">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6.在线投标响应（电子投标）说明：</w:t>
      </w:r>
    </w:p>
    <w:p w14:paraId="4D29E81E">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本项目通过广西政府采购云平台实行在线投标响应（电子投标），竞标人需要下载客户端进行电子投标，客户端下载路径：广西政府采购网（访问地址http://zfcg.gxzf.gov.cn/）—办事服务—下载专区，并按照本采购文件和广西政府采购云平台的要求，通过“广西政府采购云电子交易客户端”编制并加密响应文件。竞标人未按规定编制并加密的响应文件，广西政府采购云平台将予以拒收。</w:t>
      </w:r>
    </w:p>
    <w:p w14:paraId="5BBA9379">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为确保网上操作合法、有效和安全，竞标人应当在响应文件递交截止时间前完成在“政府采购云平台”的身份认证，确保在电子投标过程中能够对相关数据电文进行加密和使用电子签章。使用“广西政府采购云电子交易客户端”需要提前申领CA数字证书；</w:t>
      </w:r>
    </w:p>
    <w:p w14:paraId="1FB87B3A">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3）竞标人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035C13A0">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4）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我公司开启响应文件；供应商超过解密时限的，系统默认自动放弃竞标。</w:t>
      </w:r>
    </w:p>
    <w:p w14:paraId="7E699366">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若对项目采购电子交易系统操作有疑问，可登录广西政府采购云平台，点击右侧咨询小采获取采小蜜智能服务管家帮助或点击右侧帮助文档查看供应商指南或拨打广西政府采购云平台服务热线获取热线服务帮助。</w:t>
      </w:r>
    </w:p>
    <w:p w14:paraId="3348ABB0">
      <w:pPr>
        <w:pStyle w:val="4"/>
        <w:spacing w:before="0" w:after="0" w:line="380" w:lineRule="exact"/>
        <w:ind w:firstLine="482" w:firstLineChars="200"/>
        <w:rPr>
          <w:rFonts w:ascii="宋体" w:hAnsi="宋体" w:cs="宋体"/>
          <w:bCs w:val="0"/>
          <w:color w:val="auto"/>
          <w:sz w:val="24"/>
          <w:szCs w:val="24"/>
          <w:highlight w:val="none"/>
        </w:rPr>
      </w:pPr>
      <w:bookmarkStart w:id="43" w:name="_Toc44229885"/>
      <w:bookmarkStart w:id="44" w:name="_Toc28153"/>
      <w:bookmarkStart w:id="45" w:name="_Toc28359095"/>
      <w:bookmarkStart w:id="46" w:name="_Toc35393805"/>
      <w:bookmarkStart w:id="47" w:name="_Toc28359018"/>
      <w:bookmarkStart w:id="48" w:name="_Toc35393636"/>
      <w:r>
        <w:rPr>
          <w:rFonts w:hint="eastAsia" w:ascii="宋体" w:hAnsi="宋体" w:cs="宋体"/>
          <w:bCs w:val="0"/>
          <w:color w:val="auto"/>
          <w:sz w:val="24"/>
          <w:szCs w:val="24"/>
          <w:highlight w:val="none"/>
        </w:rPr>
        <w:t>八、</w:t>
      </w:r>
      <w:bookmarkEnd w:id="43"/>
      <w:bookmarkEnd w:id="44"/>
      <w:bookmarkEnd w:id="45"/>
      <w:bookmarkEnd w:id="46"/>
      <w:bookmarkEnd w:id="47"/>
      <w:bookmarkEnd w:id="48"/>
      <w:bookmarkStart w:id="49" w:name="_Toc35393637"/>
      <w:bookmarkStart w:id="50" w:name="_Toc28359097"/>
      <w:bookmarkStart w:id="51" w:name="_Toc35393807"/>
      <w:bookmarkStart w:id="52" w:name="_Toc35393638"/>
      <w:bookmarkStart w:id="53" w:name="_Toc28359020"/>
      <w:bookmarkStart w:id="54" w:name="_Toc28359096"/>
      <w:bookmarkStart w:id="55" w:name="_Toc28359019"/>
      <w:bookmarkStart w:id="56" w:name="_Toc35393806"/>
      <w:r>
        <w:rPr>
          <w:rFonts w:hint="eastAsia" w:ascii="宋体" w:hAnsi="宋体" w:cs="宋体"/>
          <w:bCs w:val="0"/>
          <w:color w:val="auto"/>
          <w:sz w:val="24"/>
          <w:szCs w:val="24"/>
          <w:highlight w:val="none"/>
        </w:rPr>
        <w:t>凡对本次采购提出询问，请按以下方式联系。</w:t>
      </w:r>
    </w:p>
    <w:bookmarkEnd w:id="8"/>
    <w:bookmarkEnd w:id="49"/>
    <w:bookmarkEnd w:id="50"/>
    <w:bookmarkEnd w:id="51"/>
    <w:bookmarkEnd w:id="52"/>
    <w:bookmarkEnd w:id="53"/>
    <w:bookmarkEnd w:id="54"/>
    <w:bookmarkEnd w:id="55"/>
    <w:bookmarkEnd w:id="56"/>
    <w:p w14:paraId="05EF4DB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8842F1B">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德保县国营黄连山林场</w:t>
      </w:r>
    </w:p>
    <w:p w14:paraId="120FF44E">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广西百色市德保县东凌镇那么村</w:t>
      </w:r>
    </w:p>
    <w:p w14:paraId="091C117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陆建尖</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0776-3826256</w:t>
      </w:r>
      <w:r>
        <w:rPr>
          <w:rFonts w:hint="eastAsia" w:ascii="宋体" w:hAnsi="宋体" w:cs="宋体"/>
          <w:color w:val="auto"/>
          <w:sz w:val="24"/>
          <w:highlight w:val="none"/>
        </w:rPr>
        <w:t xml:space="preserve"> </w:t>
      </w:r>
    </w:p>
    <w:p w14:paraId="14D7578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2.招标代理机构信息</w:t>
      </w:r>
    </w:p>
    <w:p w14:paraId="24469B1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名称：东信工程项目管理有限公司</w:t>
      </w:r>
    </w:p>
    <w:p w14:paraId="43B84CD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地址：百色市右江区大湾社区第十四组“家和花园”2#公寓楼一单元510号 </w:t>
      </w:r>
    </w:p>
    <w:p w14:paraId="1067E61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联系方式：陈巧玲  0776-2847001</w:t>
      </w:r>
    </w:p>
    <w:p w14:paraId="7CF3A77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3.监督部门:德保县政府采购管理中心</w:t>
      </w:r>
    </w:p>
    <w:p w14:paraId="2A6D9F7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联系电话：0776-3821171</w:t>
      </w:r>
    </w:p>
    <w:p w14:paraId="4A8C24B3">
      <w:pPr>
        <w:spacing w:line="380" w:lineRule="exact"/>
        <w:ind w:firstLine="720" w:firstLineChars="300"/>
        <w:jc w:val="right"/>
        <w:rPr>
          <w:rFonts w:ascii="宋体" w:hAnsi="宋体" w:cs="宋体"/>
          <w:color w:val="auto"/>
          <w:sz w:val="24"/>
          <w:highlight w:val="none"/>
        </w:rPr>
      </w:pPr>
    </w:p>
    <w:p w14:paraId="7D68B9E5">
      <w:pPr>
        <w:spacing w:line="380" w:lineRule="exact"/>
        <w:ind w:firstLine="720" w:firstLineChars="300"/>
        <w:jc w:val="right"/>
        <w:rPr>
          <w:rFonts w:ascii="宋体" w:hAnsi="宋体" w:cs="宋体"/>
          <w:color w:val="auto"/>
          <w:sz w:val="24"/>
          <w:highlight w:val="none"/>
        </w:rPr>
      </w:pPr>
    </w:p>
    <w:p w14:paraId="35B08259">
      <w:pPr>
        <w:spacing w:line="380" w:lineRule="exact"/>
        <w:ind w:firstLine="720" w:firstLineChars="300"/>
        <w:jc w:val="right"/>
        <w:rPr>
          <w:rFonts w:ascii="宋体" w:hAnsi="宋体" w:cs="宋体"/>
          <w:color w:val="auto"/>
          <w:sz w:val="24"/>
          <w:highlight w:val="none"/>
        </w:rPr>
      </w:pPr>
    </w:p>
    <w:p w14:paraId="4F85696C">
      <w:pPr>
        <w:spacing w:line="38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东信工程项目管理有限公司</w:t>
      </w:r>
    </w:p>
    <w:p w14:paraId="4C2A2CF3">
      <w:pPr>
        <w:spacing w:line="380" w:lineRule="exact"/>
        <w:ind w:firstLine="480" w:firstLineChars="200"/>
        <w:jc w:val="right"/>
        <w:rPr>
          <w:rFonts w:ascii="宋体" w:hAnsi="宋体" w:cs="宋体"/>
          <w:b/>
          <w:color w:val="auto"/>
          <w:sz w:val="24"/>
          <w:highlight w:val="none"/>
        </w:rPr>
      </w:pPr>
      <w:r>
        <w:rPr>
          <w:rFonts w:hint="eastAsia" w:ascii="宋体" w:hAnsi="宋体" w:cs="宋体"/>
          <w:color w:val="auto"/>
          <w:sz w:val="24"/>
          <w:highlight w:val="none"/>
        </w:rPr>
        <w:t xml:space="preserve">                             2025年04月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14:paraId="090B4285">
      <w:pPr>
        <w:pStyle w:val="4"/>
        <w:spacing w:before="0" w:after="0" w:line="240" w:lineRule="auto"/>
        <w:jc w:val="center"/>
        <w:rPr>
          <w:rFonts w:ascii="宋体" w:hAnsi="宋体" w:cs="宋体"/>
          <w:color w:val="auto"/>
          <w:highlight w:val="none"/>
        </w:rPr>
      </w:pPr>
      <w:r>
        <w:rPr>
          <w:rFonts w:hint="eastAsia" w:ascii="宋体" w:hAnsi="宋体" w:cs="宋体"/>
          <w:color w:val="auto"/>
          <w:highlight w:val="none"/>
        </w:rPr>
        <w:br w:type="page"/>
      </w:r>
      <w:bookmarkStart w:id="57" w:name="_Toc28251"/>
      <w:bookmarkStart w:id="58" w:name="_Toc22894"/>
      <w:r>
        <w:rPr>
          <w:rFonts w:hint="eastAsia" w:ascii="宋体" w:hAnsi="宋体" w:cs="宋体"/>
          <w:color w:val="auto"/>
          <w:highlight w:val="none"/>
        </w:rPr>
        <w:t>第二章 供应商须知</w:t>
      </w:r>
      <w:bookmarkEnd w:id="57"/>
      <w:bookmarkEnd w:id="58"/>
    </w:p>
    <w:p w14:paraId="10038C6F">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32"/>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8754"/>
      </w:tblGrid>
      <w:tr w14:paraId="402A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0" w:type="dxa"/>
          </w:tcPr>
          <w:p w14:paraId="732F46ED">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754" w:type="dxa"/>
          </w:tcPr>
          <w:p w14:paraId="77C0F2AC">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3DE1B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F08B5D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54" w:type="dxa"/>
            <w:vAlign w:val="center"/>
          </w:tcPr>
          <w:p w14:paraId="4C358FFD">
            <w:pPr>
              <w:spacing w:line="460" w:lineRule="exact"/>
              <w:rPr>
                <w:rFonts w:ascii="宋体" w:hAnsi="宋体" w:cs="宋体"/>
                <w:color w:val="auto"/>
                <w:sz w:val="24"/>
                <w:highlight w:val="none"/>
              </w:rPr>
            </w:pPr>
            <w:r>
              <w:rPr>
                <w:rFonts w:hint="eastAsia" w:ascii="宋体" w:hAnsi="宋体" w:cs="宋体"/>
                <w:bCs/>
                <w:color w:val="auto"/>
                <w:sz w:val="24"/>
                <w:highlight w:val="none"/>
              </w:rPr>
              <w:t>供应商的资格条件</w:t>
            </w:r>
            <w:r>
              <w:rPr>
                <w:rFonts w:hint="eastAsia" w:ascii="宋体" w:hAnsi="宋体" w:cs="宋体"/>
                <w:color w:val="auto"/>
                <w:sz w:val="24"/>
                <w:highlight w:val="none"/>
              </w:rPr>
              <w:t>：详见竞争性磋商公告</w:t>
            </w:r>
          </w:p>
        </w:tc>
      </w:tr>
      <w:tr w14:paraId="72BE7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78E710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8754" w:type="dxa"/>
            <w:vAlign w:val="center"/>
          </w:tcPr>
          <w:p w14:paraId="4E92D9E8">
            <w:pPr>
              <w:spacing w:line="460" w:lineRule="exact"/>
              <w:rPr>
                <w:rFonts w:ascii="宋体" w:hAnsi="宋体" w:cs="宋体"/>
                <w:color w:val="auto"/>
                <w:sz w:val="24"/>
                <w:highlight w:val="none"/>
              </w:rPr>
            </w:pPr>
            <w:r>
              <w:rPr>
                <w:rFonts w:hint="eastAsia" w:ascii="宋体" w:hAnsi="宋体" w:cs="宋体"/>
                <w:color w:val="auto"/>
                <w:sz w:val="24"/>
                <w:highlight w:val="none"/>
              </w:rPr>
              <w:t>本项目不接受联合体竞标。</w:t>
            </w:r>
          </w:p>
        </w:tc>
      </w:tr>
      <w:tr w14:paraId="5DE8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F7E5BF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6.2</w:t>
            </w:r>
          </w:p>
        </w:tc>
        <w:tc>
          <w:tcPr>
            <w:tcW w:w="8754" w:type="dxa"/>
            <w:vAlign w:val="center"/>
          </w:tcPr>
          <w:p w14:paraId="7D9C07A5">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☑不允许分包</w:t>
            </w:r>
          </w:p>
          <w:p w14:paraId="65DE461E">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□允许分包</w:t>
            </w:r>
          </w:p>
          <w:p w14:paraId="1B34CC6F">
            <w:pPr>
              <w:pStyle w:val="13"/>
              <w:spacing w:line="460" w:lineRule="exact"/>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 xml:space="preserve">   / 。</w:t>
            </w:r>
          </w:p>
          <w:p w14:paraId="53938881">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 xml:space="preserve">   /  。</w:t>
            </w:r>
          </w:p>
        </w:tc>
      </w:tr>
      <w:tr w14:paraId="4ED1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DE794B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12.1.1</w:t>
            </w:r>
          </w:p>
        </w:tc>
        <w:tc>
          <w:tcPr>
            <w:tcW w:w="8754" w:type="dxa"/>
            <w:vAlign w:val="center"/>
          </w:tcPr>
          <w:p w14:paraId="78408A0A">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资格证明文件</w:t>
            </w:r>
          </w:p>
          <w:p w14:paraId="5EFC9ADE">
            <w:pPr>
              <w:spacing w:line="4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1.本项目的特定资格要求：</w:t>
            </w:r>
            <w:r>
              <w:rPr>
                <w:rFonts w:hint="eastAsia" w:ascii="宋体" w:hAnsi="宋体" w:cs="宋体"/>
                <w:color w:val="auto"/>
                <w:sz w:val="24"/>
                <w:highlight w:val="none"/>
              </w:rPr>
              <w:t>具备林业调查规划设计丙级及以上资质</w:t>
            </w:r>
            <w:r>
              <w:rPr>
                <w:rFonts w:hint="eastAsia" w:ascii="宋体" w:hAnsi="宋体" w:cs="宋体"/>
                <w:bCs/>
                <w:color w:val="auto"/>
                <w:sz w:val="24"/>
                <w:highlight w:val="none"/>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BCE0C98">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4AC5E3C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3.供应商依法缴纳税收的相关材料（</w:t>
            </w:r>
            <w:r>
              <w:rPr>
                <w:rFonts w:hint="eastAsia" w:ascii="宋体" w:hAnsi="宋体" w:cs="宋体"/>
                <w:color w:val="auto"/>
                <w:sz w:val="24"/>
                <w:highlight w:val="none"/>
                <w:u w:val="single"/>
              </w:rPr>
              <w:t>2025年1月至2025年3月</w:t>
            </w:r>
            <w:r>
              <w:rPr>
                <w:rFonts w:hint="eastAsia" w:ascii="宋体" w:hAnsi="宋体" w:cs="宋体"/>
                <w:color w:val="auto"/>
                <w:sz w:val="24"/>
                <w:highlight w:val="none"/>
              </w:rPr>
              <w:t>内任意</w:t>
            </w:r>
            <w:r>
              <w:rPr>
                <w:rFonts w:hint="eastAsia" w:ascii="宋体" w:hAnsi="宋体" w:cs="宋体"/>
                <w:color w:val="auto"/>
                <w:sz w:val="24"/>
                <w:highlight w:val="none"/>
                <w:u w:val="single"/>
              </w:rPr>
              <w:t>1</w:t>
            </w:r>
            <w:r>
              <w:rPr>
                <w:rFonts w:hint="eastAsia" w:ascii="宋体" w:hAnsi="宋体" w:cs="宋体"/>
                <w:color w:val="auto"/>
                <w:sz w:val="24"/>
                <w:highlight w:val="none"/>
              </w:rPr>
              <w:t>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24C145B5">
            <w:pPr>
              <w:spacing w:line="46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4.供应商依法缴纳社会保障资金的相关材料[</w:t>
            </w:r>
            <w:r>
              <w:rPr>
                <w:rFonts w:hint="eastAsia" w:ascii="宋体" w:hAnsi="宋体" w:cs="宋体"/>
                <w:color w:val="auto"/>
                <w:sz w:val="24"/>
                <w:highlight w:val="none"/>
                <w:u w:val="single"/>
              </w:rPr>
              <w:t>2025年1月至2025年3月</w:t>
            </w:r>
            <w:r>
              <w:rPr>
                <w:rFonts w:hint="eastAsia" w:ascii="宋体" w:hAnsi="宋体" w:cs="宋体"/>
                <w:color w:val="auto"/>
                <w:sz w:val="24"/>
                <w:highlight w:val="none"/>
              </w:rPr>
              <w:t>内任意</w:t>
            </w:r>
            <w:r>
              <w:rPr>
                <w:rFonts w:hint="eastAsia" w:ascii="宋体" w:hAnsi="宋体" w:cs="宋体"/>
                <w:color w:val="auto"/>
                <w:sz w:val="24"/>
                <w:highlight w:val="none"/>
                <w:u w:val="single"/>
              </w:rPr>
              <w:t>1</w:t>
            </w:r>
            <w:r>
              <w:rPr>
                <w:rFonts w:hint="eastAsia" w:ascii="宋体" w:hAnsi="宋体" w:cs="宋体"/>
                <w:color w:val="auto"/>
                <w:sz w:val="24"/>
                <w:highlight w:val="none"/>
              </w:rPr>
              <w:t>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r>
              <w:rPr>
                <w:rFonts w:hint="eastAsia" w:ascii="宋体" w:hAnsi="宋体" w:cs="宋体"/>
                <w:b/>
                <w:bCs/>
                <w:color w:val="auto"/>
                <w:sz w:val="24"/>
                <w:highlight w:val="none"/>
              </w:rPr>
              <w:t>；</w:t>
            </w:r>
          </w:p>
          <w:p w14:paraId="259BEB80">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5.供应商提供202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年度的财务审计报告或近季度财务报表（新注册单位按实际情况提供）</w:t>
            </w:r>
            <w:r>
              <w:rPr>
                <w:rFonts w:hint="eastAsia" w:ascii="宋体" w:hAnsi="宋体" w:cs="宋体"/>
                <w:bCs/>
                <w:color w:val="auto"/>
                <w:sz w:val="24"/>
                <w:highlight w:val="none"/>
              </w:rPr>
              <w:t>（必须提供，否则响应文件按无效响应处理）</w:t>
            </w:r>
            <w:r>
              <w:rPr>
                <w:rFonts w:hint="eastAsia" w:ascii="宋体" w:hAnsi="宋体" w:cs="宋体"/>
                <w:color w:val="auto"/>
                <w:sz w:val="24"/>
                <w:highlight w:val="none"/>
              </w:rPr>
              <w:t>；</w:t>
            </w:r>
          </w:p>
          <w:p w14:paraId="69A6508F">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6.供应商直接控股、管理关系信息表（格式后附）（必须提供，否则响应文件按无效响应处理）；</w:t>
            </w:r>
          </w:p>
          <w:p w14:paraId="2C6D6D98">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7.竞标声明（格式后附）（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7D122C6B">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8.除磋商文件规定必须提供以外，供应商认为需要提供的其他证明材料。</w:t>
            </w:r>
          </w:p>
          <w:p w14:paraId="3D3EFAA9">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注：（1）以上标明“必须提供”的材料属于复印件的，必须加盖供应商电子公章，否则响应文件按无效响应处理。</w:t>
            </w:r>
          </w:p>
          <w:p w14:paraId="3422ED8D">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（2）竞标声明必须由法定代表人在规定签章处签字或签章并加盖供应商公章，否则响应文件按无效响应处理。</w:t>
            </w:r>
          </w:p>
          <w:p w14:paraId="3B0010FE">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（3）磋商文件标注“▲”或要求“必须提供”的证明等材料，磋商供应商必须全部提供，缺一不可，否则磋商无效。</w:t>
            </w:r>
          </w:p>
          <w:p w14:paraId="0C98A0CA">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（4）所有材料均以经有效的CA认证电子文件为评审依据，供应商须对所提供材料的真实性和一致性负责。</w:t>
            </w:r>
          </w:p>
          <w:p w14:paraId="565D27EB">
            <w:pPr>
              <w:pStyle w:val="30"/>
              <w:ind w:firstLine="482"/>
              <w:rPr>
                <w:color w:val="auto"/>
                <w:highlight w:val="none"/>
              </w:rPr>
            </w:pPr>
            <w:r>
              <w:rPr>
                <w:rFonts w:hint="eastAsia" w:ascii="宋体" w:hAnsi="宋体" w:cs="宋体"/>
                <w:b/>
                <w:color w:val="auto"/>
                <w:sz w:val="24"/>
                <w:highlight w:val="none"/>
              </w:rPr>
              <w:t>（5）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w:t>
            </w:r>
            <w:r>
              <w:rPr>
                <w:rFonts w:ascii="宋体" w:hAnsi="宋体" w:cs="宋体"/>
                <w:b/>
                <w:color w:val="auto"/>
                <w:sz w:val="24"/>
                <w:highlight w:val="none"/>
              </w:rPr>
              <w:t>1-5项的资格证明材料。</w:t>
            </w:r>
            <w:r>
              <w:rPr>
                <w:rFonts w:hint="eastAsia" w:ascii="宋体" w:hAnsi="宋体" w:cs="宋体"/>
                <w:b/>
                <w:color w:val="auto"/>
                <w:sz w:val="24"/>
                <w:highlight w:val="none"/>
              </w:rPr>
              <w:t>（备注：供应商对其信用承诺内容的真实性、合法性、有效性负责。 经调查核实为虚假承诺的，属于“提供虚假材料谋取中标、成交”的违法行为，依照《中华人民共和国政府采购法》等法律法规追究相应责任。）</w:t>
            </w:r>
          </w:p>
        </w:tc>
      </w:tr>
      <w:tr w14:paraId="4390C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4DB4A1A2">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12.1.2</w:t>
            </w:r>
          </w:p>
        </w:tc>
        <w:tc>
          <w:tcPr>
            <w:tcW w:w="8754" w:type="dxa"/>
            <w:vAlign w:val="center"/>
          </w:tcPr>
          <w:p w14:paraId="25A990A8">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报价文件</w:t>
            </w:r>
          </w:p>
          <w:p w14:paraId="751F3779">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1.竞标报价表（格式后附）（必须提供，否则响应文件按无效响应处理）；</w:t>
            </w:r>
          </w:p>
          <w:p w14:paraId="49A010DF">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2.中小企业声明函（格式后附）（如有）。</w:t>
            </w:r>
          </w:p>
          <w:p w14:paraId="1CB414DA">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注：以上标明“必须提供”的材料属于复印件的，必须加盖供应商公章，否则响应文件按无效响应处理。</w:t>
            </w:r>
          </w:p>
        </w:tc>
      </w:tr>
      <w:tr w14:paraId="5371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343DE0A">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12.2</w:t>
            </w:r>
          </w:p>
        </w:tc>
        <w:tc>
          <w:tcPr>
            <w:tcW w:w="8754" w:type="dxa"/>
            <w:vAlign w:val="center"/>
          </w:tcPr>
          <w:p w14:paraId="7DA9F3DB">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商务技术文件</w:t>
            </w:r>
          </w:p>
          <w:p w14:paraId="7BFD0AAC">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1.无串通竞标行为的承诺函（格式后附）（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358F5AE7">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2.法定代表人身份证明书及法定代表人有效身份证正反面复印件（格式后附）（</w:t>
            </w:r>
            <w:r>
              <w:rPr>
                <w:rFonts w:hint="eastAsia" w:ascii="宋体" w:hAnsi="宋体" w:cs="宋体"/>
                <w:b/>
                <w:bCs/>
                <w:color w:val="auto"/>
                <w:sz w:val="24"/>
                <w:highlight w:val="none"/>
              </w:rPr>
              <w:t>除自然人竞标外</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579F117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3.法定代表人授权委托书及委托代理人有效身份证正反面复印件（格式后附）（</w:t>
            </w:r>
            <w:r>
              <w:rPr>
                <w:rFonts w:hint="eastAsia" w:ascii="宋体" w:hAnsi="宋体" w:cs="宋体"/>
                <w:b/>
                <w:color w:val="auto"/>
                <w:sz w:val="24"/>
                <w:highlight w:val="none"/>
              </w:rPr>
              <w:t>委托时必须提供，否则响应文件按无效响应处理</w:t>
            </w:r>
            <w:r>
              <w:rPr>
                <w:rFonts w:hint="eastAsia" w:ascii="宋体" w:hAnsi="宋体" w:cs="宋体"/>
                <w:color w:val="auto"/>
                <w:sz w:val="24"/>
                <w:highlight w:val="none"/>
              </w:rPr>
              <w:t>）；</w:t>
            </w:r>
          </w:p>
          <w:p w14:paraId="0C6E730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4.商务条款偏离表（格式后附）（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04408BA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5.技术需求偏离表（格式后附）（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3B391AB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6.项目技术方案（格式自拟）（</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8C1E08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7.项目实施人员一览表</w:t>
            </w:r>
            <w:r>
              <w:rPr>
                <w:rFonts w:hint="eastAsia" w:ascii="宋体" w:hAnsi="宋体" w:cs="宋体"/>
                <w:b/>
                <w:bCs/>
                <w:color w:val="auto"/>
                <w:sz w:val="24"/>
                <w:highlight w:val="none"/>
              </w:rPr>
              <w:t>（必须提供，否则响应文件按无效响应处理）</w:t>
            </w:r>
            <w:r>
              <w:rPr>
                <w:rFonts w:hint="eastAsia" w:ascii="宋体" w:hAnsi="宋体" w:cs="宋体"/>
                <w:color w:val="auto"/>
                <w:sz w:val="24"/>
                <w:highlight w:val="none"/>
              </w:rPr>
              <w:t>；</w:t>
            </w:r>
          </w:p>
          <w:p w14:paraId="60CF67E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pacing w:val="-1"/>
                <w:sz w:val="24"/>
                <w:highlight w:val="none"/>
              </w:rPr>
              <w:t>近年供应商的业绩证明</w:t>
            </w:r>
            <w:r>
              <w:rPr>
                <w:rFonts w:hint="eastAsia" w:ascii="宋体" w:hAnsi="宋体" w:cs="宋体"/>
                <w:color w:val="auto"/>
                <w:sz w:val="24"/>
                <w:highlight w:val="none"/>
              </w:rPr>
              <w:t>（格式自拟、如有请提供）；</w:t>
            </w:r>
          </w:p>
          <w:p w14:paraId="0FD28A26">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9.对应采购需求的技术需求、商务条款提供的其他文件资料（格式自拟、如有请提供）。</w:t>
            </w:r>
          </w:p>
          <w:p w14:paraId="1B0A9D3D">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注：（1）以上标明“必须提供”的材料属于复印件的，必须加盖供应商公章，否则响应文件按无效响应处理。</w:t>
            </w:r>
          </w:p>
          <w:p w14:paraId="013EE0F1">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（2）以上材料未附格式的，由供应商自行拟定。</w:t>
            </w:r>
          </w:p>
          <w:p w14:paraId="64481E5E">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（3）磋商文件标注“▲”或要求“必须提供”的证明等材料，磋商供应商必须全部提供，缺一不可，否则磋商无效。</w:t>
            </w:r>
          </w:p>
          <w:p w14:paraId="3DC1EB6B">
            <w:pPr>
              <w:spacing w:line="460" w:lineRule="exact"/>
              <w:ind w:firstLine="482" w:firstLineChars="200"/>
              <w:rPr>
                <w:rFonts w:ascii="宋体" w:hAnsi="宋体" w:cs="宋体"/>
                <w:color w:val="auto"/>
                <w:highlight w:val="none"/>
              </w:rPr>
            </w:pPr>
            <w:r>
              <w:rPr>
                <w:rFonts w:hint="eastAsia" w:ascii="宋体" w:hAnsi="宋体" w:cs="宋体"/>
                <w:b/>
                <w:color w:val="auto"/>
                <w:sz w:val="24"/>
                <w:highlight w:val="none"/>
              </w:rPr>
              <w:t>（4）所有材料均以经有效的CA认证电子文件为评审依据，供应商须对所提供材料的真实性和一致性负责。</w:t>
            </w:r>
          </w:p>
        </w:tc>
      </w:tr>
      <w:tr w14:paraId="5F19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B267276">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15.2</w:t>
            </w:r>
          </w:p>
        </w:tc>
        <w:tc>
          <w:tcPr>
            <w:tcW w:w="8754" w:type="dxa"/>
            <w:vAlign w:val="center"/>
          </w:tcPr>
          <w:p w14:paraId="4D01F4CE">
            <w:pPr>
              <w:spacing w:line="460" w:lineRule="exact"/>
              <w:jc w:val="left"/>
              <w:rPr>
                <w:rFonts w:ascii="宋体" w:hAnsi="宋体" w:cs="宋体"/>
                <w:color w:val="auto"/>
                <w:sz w:val="24"/>
                <w:highlight w:val="none"/>
              </w:rPr>
            </w:pPr>
            <w:r>
              <w:rPr>
                <w:rFonts w:hint="eastAsia" w:ascii="宋体" w:hAnsi="宋体" w:cs="宋体"/>
                <w:color w:val="auto"/>
                <w:sz w:val="24"/>
                <w:highlight w:val="none"/>
              </w:rPr>
              <w:t>竞标报价必须包含满足本次竞标全部采购需求所应提供的服务，以及伴随的货物和工程（如有）的价格；包含竞标服务、货物、工程的成本、运输（含保险）、安装（如有）、调试、检验、技术服务、培训、税费等所有费用。</w:t>
            </w:r>
          </w:p>
        </w:tc>
      </w:tr>
      <w:tr w14:paraId="2A49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6A4A52E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16.2</w:t>
            </w:r>
          </w:p>
        </w:tc>
        <w:tc>
          <w:tcPr>
            <w:tcW w:w="8754" w:type="dxa"/>
            <w:vAlign w:val="center"/>
          </w:tcPr>
          <w:p w14:paraId="405C26D0">
            <w:pPr>
              <w:pStyle w:val="11"/>
              <w:widowControl w:val="0"/>
              <w:tabs>
                <w:tab w:val="clear" w:pos="454"/>
              </w:tabs>
              <w:spacing w:after="0" w:afterLines="0" w:line="460" w:lineRule="exact"/>
              <w:ind w:left="324" w:hanging="324" w:hangingChars="135"/>
              <w:rPr>
                <w:rFonts w:ascii="宋体" w:hAnsi="宋体" w:cs="宋体"/>
                <w:color w:val="auto"/>
                <w:kern w:val="2"/>
                <w:szCs w:val="24"/>
                <w:highlight w:val="none"/>
              </w:rPr>
            </w:pPr>
            <w:r>
              <w:rPr>
                <w:rFonts w:hint="eastAsia" w:ascii="宋体" w:hAnsi="宋体" w:cs="宋体"/>
                <w:color w:val="auto"/>
                <w:kern w:val="2"/>
                <w:szCs w:val="24"/>
                <w:highlight w:val="none"/>
              </w:rPr>
              <w:t>竞标有效期：自首次响应文件提交截止之日起</w:t>
            </w:r>
            <w:r>
              <w:rPr>
                <w:rFonts w:hint="eastAsia" w:ascii="宋体" w:hAnsi="宋体" w:cs="宋体"/>
                <w:color w:val="auto"/>
                <w:kern w:val="2"/>
                <w:szCs w:val="24"/>
                <w:highlight w:val="none"/>
                <w:u w:val="single"/>
              </w:rPr>
              <w:t>60</w:t>
            </w:r>
            <w:r>
              <w:rPr>
                <w:rFonts w:hint="eastAsia" w:ascii="宋体" w:hAnsi="宋体" w:cs="宋体"/>
                <w:color w:val="auto"/>
                <w:kern w:val="2"/>
                <w:szCs w:val="24"/>
                <w:highlight w:val="none"/>
              </w:rPr>
              <w:t>日。</w:t>
            </w:r>
          </w:p>
        </w:tc>
      </w:tr>
      <w:tr w14:paraId="5235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6D9BE3F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17.1</w:t>
            </w:r>
          </w:p>
        </w:tc>
        <w:tc>
          <w:tcPr>
            <w:tcW w:w="8754" w:type="dxa"/>
            <w:vAlign w:val="center"/>
          </w:tcPr>
          <w:p w14:paraId="1084D040">
            <w:pPr>
              <w:spacing w:line="460" w:lineRule="exact"/>
              <w:rPr>
                <w:rFonts w:ascii="宋体" w:hAnsi="宋体" w:cs="宋体"/>
                <w:color w:val="auto"/>
                <w:sz w:val="24"/>
                <w:highlight w:val="none"/>
              </w:rPr>
            </w:pPr>
            <w:r>
              <w:rPr>
                <w:rFonts w:hint="eastAsia" w:ascii="宋体" w:hAnsi="宋体" w:cs="宋体"/>
                <w:color w:val="auto"/>
                <w:kern w:val="0"/>
                <w:sz w:val="24"/>
                <w:highlight w:val="none"/>
              </w:rPr>
              <w:t>磋商保证金：本项目无需缴纳竞标保证金。</w:t>
            </w:r>
          </w:p>
        </w:tc>
      </w:tr>
      <w:tr w14:paraId="1733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726227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18.2</w:t>
            </w:r>
          </w:p>
        </w:tc>
        <w:tc>
          <w:tcPr>
            <w:tcW w:w="8754" w:type="dxa"/>
            <w:vAlign w:val="center"/>
          </w:tcPr>
          <w:p w14:paraId="0D051643">
            <w:pPr>
              <w:spacing w:line="460" w:lineRule="exact"/>
              <w:rPr>
                <w:rFonts w:ascii="宋体" w:hAnsi="宋体" w:cs="宋体"/>
                <w:color w:val="auto"/>
                <w:sz w:val="24"/>
                <w:highlight w:val="none"/>
              </w:rPr>
            </w:pPr>
            <w:r>
              <w:rPr>
                <w:rFonts w:hint="eastAsia" w:ascii="宋体" w:hAnsi="宋体" w:cs="宋体"/>
                <w:color w:val="auto"/>
                <w:sz w:val="24"/>
                <w:highlight w:val="none"/>
              </w:rPr>
              <w:t>响应文件格式：资格审查部分、报价部分、商务技术部分三部分组成，分别对应上传至广西政府采购云平台系统。</w:t>
            </w:r>
          </w:p>
        </w:tc>
      </w:tr>
      <w:tr w14:paraId="26D9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554A2A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20.1</w:t>
            </w:r>
          </w:p>
        </w:tc>
        <w:tc>
          <w:tcPr>
            <w:tcW w:w="8754" w:type="dxa"/>
            <w:vAlign w:val="center"/>
          </w:tcPr>
          <w:p w14:paraId="0AF00688">
            <w:pPr>
              <w:spacing w:line="440" w:lineRule="exact"/>
              <w:ind w:firstLine="468" w:firstLineChars="195"/>
              <w:rPr>
                <w:rFonts w:ascii="宋体" w:hAnsi="宋体" w:cs="宋体"/>
                <w:color w:val="auto"/>
                <w:spacing w:val="2"/>
                <w:sz w:val="24"/>
                <w:highlight w:val="none"/>
              </w:rPr>
            </w:pPr>
            <w:r>
              <w:rPr>
                <w:rFonts w:hint="eastAsia" w:ascii="宋体" w:hAnsi="宋体" w:cs="宋体"/>
                <w:color w:val="auto"/>
                <w:sz w:val="24"/>
                <w:highlight w:val="none"/>
              </w:rPr>
              <w:t>本项目为全流程电子化项目，没有现场递交投标文件及现场开标环节，通过广西政府采购云平台系统实行在线电子投标，供应商应先安装“广西政府采购云平台系统投标客户端”（请自行前往广西政府采购云平台系统进行下载），并按照本项目招标文件和广西政府采购云平台系统的要求使用CA认证编制、加密投标文件后在投标截止时间前上传至广西政府采购云平台系统，供应商在广西政府采购云平台系统提交电子版投标文件时，请填写参加远程开标活动经办人联系方式。</w:t>
            </w:r>
          </w:p>
          <w:p w14:paraId="3537558A">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注：所有材料均以经有效的CA认证电子文件为评审依据，供应商须对所提供材料的真实性和一致性负责。</w:t>
            </w:r>
          </w:p>
        </w:tc>
      </w:tr>
      <w:tr w14:paraId="3E0C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DB3E91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24.1</w:t>
            </w:r>
          </w:p>
        </w:tc>
        <w:tc>
          <w:tcPr>
            <w:tcW w:w="8754" w:type="dxa"/>
            <w:vAlign w:val="center"/>
          </w:tcPr>
          <w:p w14:paraId="7A021C80">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rPr>
              <w:t>磋商小组的人数：</w:t>
            </w:r>
            <w:r>
              <w:rPr>
                <w:rFonts w:hint="eastAsia" w:ascii="宋体" w:hAnsi="宋体" w:cs="宋体"/>
                <w:color w:val="auto"/>
                <w:sz w:val="24"/>
                <w:highlight w:val="none"/>
                <w:u w:val="single"/>
              </w:rPr>
              <w:t>3</w:t>
            </w:r>
            <w:r>
              <w:rPr>
                <w:rFonts w:hint="eastAsia" w:ascii="宋体" w:hAnsi="宋体" w:cs="宋体"/>
                <w:color w:val="auto"/>
                <w:sz w:val="24"/>
                <w:highlight w:val="none"/>
              </w:rPr>
              <w:t>人。</w:t>
            </w:r>
          </w:p>
        </w:tc>
      </w:tr>
      <w:tr w14:paraId="6115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0" w:type="dxa"/>
            <w:vMerge w:val="restart"/>
            <w:vAlign w:val="center"/>
          </w:tcPr>
          <w:p w14:paraId="79B8CBE1">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26.2</w:t>
            </w:r>
          </w:p>
        </w:tc>
        <w:tc>
          <w:tcPr>
            <w:tcW w:w="8754" w:type="dxa"/>
            <w:vAlign w:val="center"/>
          </w:tcPr>
          <w:p w14:paraId="4172608A">
            <w:pPr>
              <w:spacing w:line="460" w:lineRule="exact"/>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p w14:paraId="5BEE53E4">
            <w:pPr>
              <w:spacing w:line="460" w:lineRule="exact"/>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tc>
      </w:tr>
      <w:tr w14:paraId="7D0A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Merge w:val="continue"/>
            <w:vAlign w:val="center"/>
          </w:tcPr>
          <w:p w14:paraId="04D729AF">
            <w:pPr>
              <w:spacing w:line="460" w:lineRule="exact"/>
              <w:jc w:val="center"/>
              <w:rPr>
                <w:rFonts w:ascii="宋体" w:hAnsi="宋体" w:cs="宋体"/>
                <w:color w:val="auto"/>
                <w:sz w:val="24"/>
                <w:highlight w:val="none"/>
              </w:rPr>
            </w:pPr>
          </w:p>
        </w:tc>
        <w:tc>
          <w:tcPr>
            <w:tcW w:w="8754" w:type="dxa"/>
            <w:vAlign w:val="center"/>
          </w:tcPr>
          <w:p w14:paraId="4D66D51F">
            <w:pPr>
              <w:pStyle w:val="13"/>
              <w:spacing w:line="460" w:lineRule="exact"/>
              <w:rPr>
                <w:rFonts w:ascii="宋体" w:hAnsi="宋体" w:cs="宋体"/>
                <w:b/>
                <w:color w:val="auto"/>
                <w:sz w:val="24"/>
                <w:highlight w:val="none"/>
              </w:rPr>
            </w:pPr>
            <w:r>
              <w:rPr>
                <w:rFonts w:hint="eastAsia" w:ascii="宋体" w:hAnsi="宋体" w:cs="宋体"/>
                <w:b/>
                <w:bCs/>
                <w:color w:val="auto"/>
                <w:sz w:val="24"/>
                <w:highlight w:val="none"/>
              </w:rPr>
              <w:t>磋商时间：</w:t>
            </w:r>
            <w:r>
              <w:rPr>
                <w:rFonts w:hint="eastAsia" w:ascii="宋体" w:hAnsi="宋体" w:cs="宋体"/>
                <w:color w:val="auto"/>
                <w:sz w:val="24"/>
                <w:highlight w:val="none"/>
              </w:rPr>
              <w:t>本项目不要求供应商到达开标现场，供应商应派法定代表人或委托代理人</w:t>
            </w:r>
            <w:r>
              <w:rPr>
                <w:rFonts w:hint="eastAsia" w:ascii="宋体" w:hAnsi="宋体" w:cs="宋体"/>
                <w:color w:val="auto"/>
                <w:sz w:val="24"/>
                <w:highlight w:val="none"/>
                <w:u w:val="single"/>
                <w:lang w:eastAsia="zh-CN"/>
              </w:rPr>
              <w:t>2025年05月08日09时30分</w:t>
            </w:r>
            <w:r>
              <w:rPr>
                <w:rFonts w:hint="eastAsia" w:ascii="宋体" w:hAnsi="宋体" w:cs="宋体"/>
                <w:color w:val="auto"/>
                <w:sz w:val="24"/>
                <w:highlight w:val="none"/>
              </w:rPr>
              <w:t>准时在线“政府采购云平台”出席电子开评标会议，随时关注开评标进度，如在开评标过程中有电子询标，应在规定的时间内对电子询标函进行澄清回复）</w:t>
            </w:r>
          </w:p>
        </w:tc>
      </w:tr>
      <w:tr w14:paraId="3FB1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69D079A">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28.1</w:t>
            </w:r>
          </w:p>
        </w:tc>
        <w:tc>
          <w:tcPr>
            <w:tcW w:w="8754" w:type="dxa"/>
            <w:vAlign w:val="center"/>
          </w:tcPr>
          <w:p w14:paraId="71395651">
            <w:pPr>
              <w:spacing w:line="460" w:lineRule="exact"/>
              <w:rPr>
                <w:rFonts w:ascii="宋体" w:hAnsi="宋体" w:cs="宋体"/>
                <w:color w:val="auto"/>
                <w:sz w:val="24"/>
                <w:highlight w:val="none"/>
              </w:rPr>
            </w:pPr>
            <w:r>
              <w:rPr>
                <w:rFonts w:hint="eastAsia" w:ascii="宋体" w:hAnsi="宋体" w:cs="宋体"/>
                <w:color w:val="auto"/>
                <w:sz w:val="24"/>
                <w:highlight w:val="none"/>
              </w:rPr>
              <w:t>履约保证金金额：</w:t>
            </w:r>
            <w:r>
              <w:rPr>
                <w:rFonts w:hint="eastAsia" w:ascii="宋体" w:hAnsi="宋体" w:cs="宋体"/>
                <w:b/>
                <w:bCs/>
                <w:color w:val="auto"/>
                <w:sz w:val="24"/>
                <w:highlight w:val="none"/>
              </w:rPr>
              <w:t>本项目无需缴纳履约保证金。</w:t>
            </w:r>
          </w:p>
        </w:tc>
      </w:tr>
      <w:tr w14:paraId="3CFB6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E91822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29.1</w:t>
            </w:r>
          </w:p>
        </w:tc>
        <w:tc>
          <w:tcPr>
            <w:tcW w:w="8754" w:type="dxa"/>
            <w:vAlign w:val="center"/>
          </w:tcPr>
          <w:p w14:paraId="7F3A41FE">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79029FD6">
            <w:pPr>
              <w:spacing w:line="460" w:lineRule="exact"/>
              <w:rPr>
                <w:rFonts w:ascii="宋体" w:hAnsi="宋体" w:cs="宋体"/>
                <w:color w:val="auto"/>
                <w:sz w:val="24"/>
                <w:highlight w:val="none"/>
              </w:rPr>
            </w:pPr>
            <w:r>
              <w:rPr>
                <w:rFonts w:hint="eastAsia" w:ascii="宋体" w:hAnsi="宋体" w:cs="宋体"/>
                <w:color w:val="auto"/>
                <w:sz w:val="24"/>
                <w:highlight w:val="none"/>
              </w:rPr>
              <w:t>（1）委托代理人负责签订合同的，须携带授权委托书及委托代理人身份证原件等其他资格证件。</w:t>
            </w:r>
          </w:p>
          <w:p w14:paraId="74BACA9A">
            <w:pPr>
              <w:spacing w:line="460" w:lineRule="exact"/>
              <w:rPr>
                <w:rFonts w:ascii="宋体" w:hAnsi="宋体" w:cs="宋体"/>
                <w:color w:val="auto"/>
                <w:sz w:val="24"/>
                <w:highlight w:val="none"/>
              </w:rPr>
            </w:pPr>
            <w:r>
              <w:rPr>
                <w:rFonts w:hint="eastAsia" w:ascii="宋体" w:hAnsi="宋体" w:cs="宋体"/>
                <w:color w:val="auto"/>
                <w:sz w:val="24"/>
                <w:highlight w:val="none"/>
              </w:rPr>
              <w:t>（2）法定代表人负责签订合同的，须携带法定代表人身份证明原件及身份证原件等其他证明材料。</w:t>
            </w:r>
          </w:p>
        </w:tc>
      </w:tr>
      <w:tr w14:paraId="1D02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45833EB">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31.2</w:t>
            </w:r>
          </w:p>
        </w:tc>
        <w:tc>
          <w:tcPr>
            <w:tcW w:w="8754" w:type="dxa"/>
            <w:vAlign w:val="center"/>
          </w:tcPr>
          <w:p w14:paraId="16CC821C">
            <w:pPr>
              <w:spacing w:line="460" w:lineRule="exact"/>
              <w:rPr>
                <w:rFonts w:ascii="宋体" w:hAnsi="宋体" w:cs="宋体"/>
                <w:color w:val="auto"/>
                <w:sz w:val="24"/>
                <w:highlight w:val="none"/>
              </w:rPr>
            </w:pPr>
            <w:r>
              <w:rPr>
                <w:rFonts w:hint="eastAsia" w:ascii="宋体" w:hAnsi="宋体" w:cs="宋体"/>
                <w:color w:val="auto"/>
                <w:sz w:val="24"/>
                <w:highlight w:val="none"/>
              </w:rPr>
              <w:t>接收质疑函方式：以书面形式。</w:t>
            </w:r>
          </w:p>
          <w:p w14:paraId="3EA82771">
            <w:pPr>
              <w:pStyle w:val="18"/>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质疑联系部门及联系方式：东信工程项目管理有限公司，联系电话：0776-2847001，</w:t>
            </w:r>
          </w:p>
          <w:p w14:paraId="53FDE787">
            <w:pPr>
              <w:pStyle w:val="18"/>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通讯地址：百色市右江区大湾社区第十四组“家和花园”2#公寓楼一单元510号。</w:t>
            </w:r>
          </w:p>
          <w:p w14:paraId="4EA7F8D7">
            <w:pPr>
              <w:spacing w:line="460" w:lineRule="exact"/>
              <w:rPr>
                <w:rFonts w:ascii="宋体" w:hAnsi="宋体" w:cs="宋体"/>
                <w:color w:val="auto"/>
                <w:sz w:val="24"/>
                <w:highlight w:val="none"/>
              </w:rPr>
            </w:pPr>
            <w:r>
              <w:rPr>
                <w:rFonts w:hint="eastAsia" w:ascii="宋体" w:hAnsi="宋体" w:cs="宋体"/>
                <w:color w:val="auto"/>
                <w:sz w:val="24"/>
                <w:highlight w:val="none"/>
              </w:rPr>
              <w:t>业务时间：上午8时00分到12时00分，下午15时00分到18时00分，业务时间以外、双休日和法定节假日不办理业务。</w:t>
            </w:r>
          </w:p>
        </w:tc>
      </w:tr>
      <w:tr w14:paraId="7661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5696D9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32.1</w:t>
            </w:r>
          </w:p>
        </w:tc>
        <w:tc>
          <w:tcPr>
            <w:tcW w:w="8754" w:type="dxa"/>
            <w:vAlign w:val="center"/>
          </w:tcPr>
          <w:p w14:paraId="689E57F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1.采购代理费支付方式：</w:t>
            </w:r>
          </w:p>
          <w:p w14:paraId="1DA10FAC">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成交供应商</w:t>
            </w:r>
            <w:r>
              <w:rPr>
                <w:rFonts w:hint="eastAsia" w:hAnsi="宋体" w:cs="宋体"/>
                <w:color w:val="auto"/>
                <w:sz w:val="24"/>
                <w:szCs w:val="24"/>
                <w:highlight w:val="none"/>
              </w:rPr>
              <w:t>领取成交通知书前，一次性向采购代理机构支付。</w:t>
            </w:r>
          </w:p>
          <w:p w14:paraId="46E2FFC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□采购人支付。</w:t>
            </w:r>
          </w:p>
          <w:p w14:paraId="0D7AEA95">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2.采购代理费收取标准：按国家发改委计价格[2002]1980号（服务类）规定累进计取。</w:t>
            </w:r>
          </w:p>
          <w:p w14:paraId="3F860A9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☑以项目（☑成交金额/□采购预算/□暂定成交金额/□其他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）为计费额，按本须知正文第31.2条规定的收费计算标准（□货物类/☑服务类/□工程类）采用差额定率累进法计算出收费基准价格，采购代理收费以（☑收费基准价格/□收费基准价格下浮</w:t>
            </w:r>
            <w:r>
              <w:rPr>
                <w:rFonts w:hint="eastAsia" w:hAnsi="宋体" w:cs="宋体"/>
                <w:color w:val="auto"/>
                <w:sz w:val="24"/>
                <w:szCs w:val="24"/>
                <w:highlight w:val="none"/>
                <w:u w:val="single"/>
              </w:rPr>
              <w:t>/%</w:t>
            </w:r>
            <w:r>
              <w:rPr>
                <w:rFonts w:hint="eastAsia" w:hAnsi="宋体" w:cs="宋体"/>
                <w:color w:val="auto"/>
                <w:sz w:val="24"/>
                <w:szCs w:val="24"/>
                <w:highlight w:val="none"/>
              </w:rPr>
              <w:t>/□收费基准价格上浮</w:t>
            </w:r>
            <w:r>
              <w:rPr>
                <w:rFonts w:hint="eastAsia" w:hAnsi="宋体" w:cs="宋体"/>
                <w:color w:val="auto"/>
                <w:sz w:val="24"/>
                <w:szCs w:val="24"/>
                <w:highlight w:val="none"/>
                <w:u w:val="single"/>
              </w:rPr>
              <w:t>/%</w:t>
            </w:r>
            <w:r>
              <w:rPr>
                <w:rFonts w:hint="eastAsia" w:hAnsi="宋体" w:cs="宋体"/>
                <w:color w:val="auto"/>
                <w:sz w:val="24"/>
                <w:szCs w:val="24"/>
                <w:highlight w:val="none"/>
              </w:rPr>
              <w:t>）收取。</w:t>
            </w:r>
          </w:p>
          <w:p w14:paraId="1450AF4D">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□固定采购代理收费</w:t>
            </w:r>
            <w:r>
              <w:rPr>
                <w:rFonts w:hint="eastAsia" w:hAnsi="宋体" w:cs="宋体"/>
                <w:color w:val="auto"/>
                <w:sz w:val="24"/>
                <w:szCs w:val="24"/>
                <w:highlight w:val="none"/>
                <w:u w:val="single"/>
              </w:rPr>
              <w:t xml:space="preserve">  / 。</w:t>
            </w:r>
          </w:p>
        </w:tc>
      </w:tr>
      <w:tr w14:paraId="2B0E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4ED964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8754" w:type="dxa"/>
            <w:vAlign w:val="center"/>
          </w:tcPr>
          <w:p w14:paraId="49AA731D">
            <w:pPr>
              <w:pStyle w:val="18"/>
              <w:spacing w:line="460" w:lineRule="exact"/>
              <w:rPr>
                <w:rFonts w:hAnsi="宋体" w:cs="宋体"/>
                <w:color w:val="auto"/>
                <w:kern w:val="2"/>
                <w:sz w:val="24"/>
                <w:szCs w:val="24"/>
                <w:highlight w:val="none"/>
              </w:rPr>
            </w:pPr>
            <w:r>
              <w:rPr>
                <w:rFonts w:hint="eastAsia" w:hAnsi="宋体" w:cs="宋体"/>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3C3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793144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33.2</w:t>
            </w:r>
          </w:p>
        </w:tc>
        <w:tc>
          <w:tcPr>
            <w:tcW w:w="8754" w:type="dxa"/>
            <w:vAlign w:val="center"/>
          </w:tcPr>
          <w:p w14:paraId="607DE452">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14:paraId="58AD19CB">
            <w:pPr>
              <w:pStyle w:val="18"/>
              <w:spacing w:line="460" w:lineRule="exact"/>
              <w:rPr>
                <w:rFonts w:hAnsi="宋体" w:cs="宋体"/>
                <w:color w:val="auto"/>
                <w:sz w:val="24"/>
                <w:szCs w:val="24"/>
                <w:highlight w:val="none"/>
              </w:rPr>
            </w:pPr>
            <w:r>
              <w:rPr>
                <w:rFonts w:hint="eastAsia" w:hAnsi="宋体" w:cs="宋体"/>
                <w:b/>
                <w:bCs/>
                <w:color w:val="auto"/>
                <w:sz w:val="24"/>
                <w:highlight w:val="none"/>
              </w:rPr>
              <w:t>法定代表人或其授权代表签字或盖章：</w:t>
            </w:r>
            <w:r>
              <w:rPr>
                <w:rFonts w:hint="eastAsia" w:hAnsi="宋体" w:cs="宋体"/>
                <w:color w:val="auto"/>
                <w:sz w:val="24"/>
                <w:highlight w:val="none"/>
              </w:rPr>
              <w:t>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14:paraId="484B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C00756C">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其他</w:t>
            </w:r>
          </w:p>
        </w:tc>
        <w:tc>
          <w:tcPr>
            <w:tcW w:w="8754" w:type="dxa"/>
            <w:vAlign w:val="center"/>
          </w:tcPr>
          <w:p w14:paraId="38A5B635">
            <w:pPr>
              <w:pStyle w:val="18"/>
              <w:spacing w:line="460" w:lineRule="exact"/>
              <w:rPr>
                <w:rFonts w:hAnsi="宋体" w:cs="宋体"/>
                <w:b/>
                <w:bCs/>
                <w:color w:val="auto"/>
                <w:sz w:val="24"/>
                <w:highlight w:val="none"/>
              </w:rPr>
            </w:pPr>
            <w:r>
              <w:rPr>
                <w:rFonts w:hint="eastAsia" w:hAnsi="宋体" w:cs="宋体"/>
                <w:b/>
                <w:bCs/>
                <w:color w:val="auto"/>
                <w:sz w:val="24"/>
                <w:highlight w:val="none"/>
              </w:rPr>
              <w:t>本项目所属行业：其他未列明行业</w:t>
            </w:r>
          </w:p>
        </w:tc>
      </w:tr>
    </w:tbl>
    <w:p w14:paraId="21EC9E65">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0D854D67">
      <w:pPr>
        <w:spacing w:line="400" w:lineRule="exact"/>
        <w:jc w:val="center"/>
        <w:rPr>
          <w:rFonts w:ascii="宋体" w:hAnsi="宋体" w:cs="宋体"/>
          <w:b/>
          <w:color w:val="auto"/>
          <w:sz w:val="32"/>
          <w:szCs w:val="32"/>
          <w:highlight w:val="none"/>
        </w:rPr>
      </w:pPr>
    </w:p>
    <w:p w14:paraId="4DF7318C">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1F34AC7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2CA0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CB13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1.2本竞争性磋商文件（以下简称磋商文件）适用于本项目的所有采购程序和环节（法律、法规另有规定的，从其规定）。</w:t>
      </w:r>
    </w:p>
    <w:p w14:paraId="15FE59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59B47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2.1“采购人”是指依法进行政府采购的国家机关、事业单位、团体组织。</w:t>
      </w:r>
    </w:p>
    <w:p w14:paraId="7C04BE3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2.2“采购代理机构”是指政府采购代理机构（以下简称采购代理机构）是指集中采购机构以外、受采购人委托从事政府采购代理业务的社会中介机构。</w:t>
      </w:r>
    </w:p>
    <w:p w14:paraId="5D035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2.3“供应商”是指向采购人提供货物、工程或者服务的法人、其他组织或者自然人。</w:t>
      </w:r>
    </w:p>
    <w:p w14:paraId="6478F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2.4“服务”是指除货物和工程以外的其他政府采购对象。</w:t>
      </w:r>
    </w:p>
    <w:p w14:paraId="0F12A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2.5“竞标”是指供应商按照本项目竞争性磋商公告或者邀请函规定的方式获取磋商文件、提交响应文件并希望获得标的的行为。</w:t>
      </w:r>
    </w:p>
    <w:p w14:paraId="58ADF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2.6“响应文件”是指：供应商根据本磋商文件要求，编制包含资格证明、报价商务技术等所有内容的文件。</w:t>
      </w:r>
    </w:p>
    <w:p w14:paraId="262CE7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2.7“实质性要求”是指磋商文件中已经指明不满足则响应文件按无效响应处理的条款，或者不能负偏离的条款，或者采购需求中带“▲”的条款。</w:t>
      </w:r>
    </w:p>
    <w:p w14:paraId="23B3E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2.8“正偏离”，是指响应文件对磋商文件“采购需求”中有关条款作出的响应优于条款要求并有利于采购人的情形。</w:t>
      </w:r>
    </w:p>
    <w:p w14:paraId="46AFD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2.9“负偏离”，是指响应文件对磋商文件“采购需求”中有关条款作出的响应不满足条款要求，导致采购人要求不能得到满足的情形。</w:t>
      </w:r>
    </w:p>
    <w:p w14:paraId="63F040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2.10“允许负偏离的条款”是指采购需求中的不属于“实质性要求”的条款。</w:t>
      </w:r>
    </w:p>
    <w:p w14:paraId="12E1E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2.11“书面形式”是指合同书、信件和数据电文（包括电报、电传、传真、电子数据交换和电子邮件）等可以有形地表现所载内容的形式。</w:t>
      </w:r>
    </w:p>
    <w:p w14:paraId="7EF7F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2.12“首次报价”是指供应商提交的首次响应文件中的报价。</w:t>
      </w:r>
    </w:p>
    <w:p w14:paraId="08FC0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2.13“评审价”是指供应商提交的最后报价并经修正（如有）和政策功能价格扣除（如有）后的价格。</w:t>
      </w:r>
    </w:p>
    <w:p w14:paraId="46A376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07F80E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供应商的资格条件详见“供应商须知前附表”。</w:t>
      </w:r>
    </w:p>
    <w:p w14:paraId="524F6E0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4C3BE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供应商应承担参与本次采购活动有关的所有费用，包括但不限于获取磋商文件、勘查现场、编制和提交响应文件、参加磋商与应答、签订合同等，不论竞标结果如何，均应自行承担。</w:t>
      </w:r>
    </w:p>
    <w:p w14:paraId="31C5ED0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11241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5.1本项目是否接受联合体竞标，详见“供应商须知前附表”。</w:t>
      </w:r>
    </w:p>
    <w:p w14:paraId="30ECD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5.2如接受联合体竞标，联合体竞标要求详见“供应商须知前附表”。</w:t>
      </w:r>
    </w:p>
    <w:p w14:paraId="09FE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w:t>
      </w:r>
      <w:bookmarkStart w:id="59" w:name="_Hlk66782192"/>
      <w:r>
        <w:rPr>
          <w:rFonts w:hint="eastAsia" w:ascii="宋体" w:hAnsi="宋体" w:cs="宋体"/>
          <w:color w:val="auto"/>
          <w:sz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9"/>
    </w:p>
    <w:p w14:paraId="13E5B38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6E24FD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6.1本项目不允许转包。</w:t>
      </w:r>
    </w:p>
    <w:p w14:paraId="1C13D3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6.2本项目是否允许分包详见“供应商须知前附表”，本项目不允许违法分包。</w:t>
      </w:r>
    </w:p>
    <w:p w14:paraId="3FAC1E1D">
      <w:pPr>
        <w:spacing w:line="360" w:lineRule="auto"/>
        <w:ind w:firstLine="482" w:firstLineChars="200"/>
        <w:rPr>
          <w:rFonts w:ascii="宋体" w:hAnsi="宋体" w:cs="宋体"/>
          <w:b/>
          <w:bCs/>
          <w:color w:val="auto"/>
          <w:sz w:val="24"/>
          <w:highlight w:val="none"/>
        </w:rPr>
      </w:pPr>
      <w:bookmarkStart w:id="60" w:name="_Toc254970673"/>
      <w:bookmarkStart w:id="61" w:name="_Toc254970532"/>
      <w:r>
        <w:rPr>
          <w:rFonts w:hint="eastAsia" w:ascii="宋体" w:hAnsi="宋体" w:cs="宋体"/>
          <w:b/>
          <w:bCs/>
          <w:color w:val="auto"/>
          <w:sz w:val="24"/>
          <w:highlight w:val="none"/>
        </w:rPr>
        <w:t>7.特别说明</w:t>
      </w:r>
      <w:bookmarkEnd w:id="60"/>
      <w:bookmarkEnd w:id="61"/>
    </w:p>
    <w:p w14:paraId="490C13F4">
      <w:pPr>
        <w:spacing w:line="360" w:lineRule="auto"/>
        <w:ind w:firstLine="480" w:firstLineChars="200"/>
        <w:rPr>
          <w:rFonts w:ascii="宋体" w:hAnsi="宋体" w:cs="宋体"/>
          <w:color w:val="auto"/>
          <w:sz w:val="24"/>
          <w:highlight w:val="none"/>
        </w:rPr>
      </w:pPr>
      <w:bookmarkStart w:id="62" w:name="_8.1提供相同品牌产品且通过资格审查、符合性审查的不同投标人参加同一合"/>
      <w:bookmarkEnd w:id="62"/>
      <w:r>
        <w:rPr>
          <w:rFonts w:hint="eastAsia" w:ascii="宋体" w:hAnsi="宋体" w:cs="宋体"/>
          <w:color w:val="auto"/>
          <w:sz w:val="24"/>
          <w:highlight w:val="none"/>
        </w:rPr>
        <w:t>7.1如果本磋商文件要求供应商提供资格、信誉、荣誉、业绩与企业认证等材料的，则供应商所提供的以上材料必须为供应商所拥有。</w:t>
      </w:r>
    </w:p>
    <w:p w14:paraId="6F665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7.2供应商应仔细阅读磋商文件的所有内容，按照磋商文件的要求提交响应文件，并对所提供的全部资料的真实性承担法律责任。</w:t>
      </w:r>
    </w:p>
    <w:p w14:paraId="43B82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FE3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7.4在政府采购活动中，采购人员及相关人员与供应商有下列利害关系之一的，应当回避：</w:t>
      </w:r>
    </w:p>
    <w:p w14:paraId="55F6F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14:paraId="7DB06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14:paraId="747FC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14:paraId="6418A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（4）与供应商的法定代表人或者负责人有夫妻、直系血亲、三代以内旁系血亲或者近姻亲关系；</w:t>
      </w:r>
    </w:p>
    <w:p w14:paraId="1FFAA8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14:paraId="6E237B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4CA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7.5有下列情形之一的视为供应商相互串通竞标，响应文件将被视为无效：</w:t>
      </w:r>
    </w:p>
    <w:p w14:paraId="32391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5342C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4468A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（3）不同的供应商的响应文件载明的项目管理员为同一个人；</w:t>
      </w:r>
    </w:p>
    <w:p w14:paraId="7CF87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（4）不同供应商的响应文件异常一致或者报价呈规律性差异；</w:t>
      </w:r>
    </w:p>
    <w:p w14:paraId="62D78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r>
        <w:rPr>
          <w:rFonts w:hint="eastAsia" w:ascii="宋体" w:hAnsi="宋体" w:cs="宋体"/>
          <w:color w:val="auto"/>
          <w:sz w:val="24"/>
          <w:highlight w:val="none"/>
        </w:rPr>
        <w:tab/>
      </w:r>
    </w:p>
    <w:p w14:paraId="00F9B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7.6供应商有下列情形之一的，属于恶意串通行为，将报同级监督管理部门：</w:t>
      </w:r>
    </w:p>
    <w:p w14:paraId="06D9A8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7251C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5B77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（3）供应商之间协商报价、技术方案等响应文件或者响应文件的实质性内容；</w:t>
      </w:r>
    </w:p>
    <w:p w14:paraId="3A06F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8245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（5）供应商之间事先约定一致抬高或者压低报价，或者在政府采购活动中事先约定轮流以高价位或者低价位成交，或者事先约定由某一特定供应商成交，然后再参加竞标；</w:t>
      </w:r>
    </w:p>
    <w:p w14:paraId="6469A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3621ED3">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26454ACA">
      <w:pPr>
        <w:rPr>
          <w:color w:val="auto"/>
          <w:highlight w:val="none"/>
        </w:rPr>
      </w:pPr>
      <w:bookmarkStart w:id="63" w:name="_Toc254970675"/>
      <w:bookmarkStart w:id="64" w:name="_Toc254970534"/>
    </w:p>
    <w:p w14:paraId="4B52DB75">
      <w:pPr>
        <w:spacing w:line="360" w:lineRule="auto"/>
        <w:ind w:left="1" w:firstLine="639" w:firstLineChars="19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63"/>
      <w:bookmarkEnd w:id="64"/>
    </w:p>
    <w:p w14:paraId="44B9FA8F">
      <w:pPr>
        <w:spacing w:line="360" w:lineRule="auto"/>
        <w:jc w:val="center"/>
        <w:rPr>
          <w:rFonts w:ascii="宋体" w:hAnsi="宋体" w:cs="宋体"/>
          <w:color w:val="auto"/>
          <w:szCs w:val="21"/>
          <w:highlight w:val="none"/>
        </w:rPr>
      </w:pPr>
    </w:p>
    <w:p w14:paraId="2DCE1E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77DE3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（1）竞争性磋商公告或者邀请函；</w:t>
      </w:r>
    </w:p>
    <w:p w14:paraId="138E3B4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（2）供应商须知； </w:t>
      </w:r>
    </w:p>
    <w:p w14:paraId="528439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（3）采购需求；</w:t>
      </w:r>
    </w:p>
    <w:p w14:paraId="35AF28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（4）评审程序、评审方法和评审标准；</w:t>
      </w:r>
    </w:p>
    <w:p w14:paraId="1BC36C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（5）响应文件格式；</w:t>
      </w:r>
    </w:p>
    <w:p w14:paraId="333337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（6）合同文本。</w:t>
      </w:r>
    </w:p>
    <w:p w14:paraId="4ED835E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5798A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6E993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9D38F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6425627C">
      <w:pPr>
        <w:spacing w:line="360" w:lineRule="auto"/>
        <w:rPr>
          <w:rFonts w:ascii="宋体" w:hAnsi="宋体" w:cs="宋体"/>
          <w:color w:val="auto"/>
          <w:szCs w:val="21"/>
          <w:highlight w:val="none"/>
        </w:rPr>
      </w:pPr>
    </w:p>
    <w:p w14:paraId="094015ED">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7A95E7A1">
      <w:pPr>
        <w:spacing w:line="360" w:lineRule="auto"/>
        <w:rPr>
          <w:rFonts w:ascii="宋体" w:hAnsi="宋体" w:cs="宋体"/>
          <w:color w:val="auto"/>
          <w:sz w:val="24"/>
          <w:highlight w:val="none"/>
        </w:rPr>
      </w:pPr>
    </w:p>
    <w:p w14:paraId="63E4171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0564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供应商必须按照磋商文件的要求编制响应文件，并对其提交的响应文件的真实性、合法性承担法律责任。响应文件必须对磋商文件作出实质性响应。</w:t>
      </w:r>
    </w:p>
    <w:p w14:paraId="4864271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w:t>
      </w:r>
      <w:r>
        <w:rPr>
          <w:rFonts w:ascii="宋体" w:hAnsi="宋体" w:cs="宋体"/>
          <w:b/>
          <w:bCs/>
          <w:color w:val="auto"/>
          <w:sz w:val="24"/>
          <w:highlight w:val="none"/>
        </w:rPr>
        <w:t>.响应文件的组成</w:t>
      </w:r>
    </w:p>
    <w:p w14:paraId="453CC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12.1响应文件由资格证明文件、报价、商务技术文件三部分组成。</w:t>
      </w:r>
    </w:p>
    <w:p w14:paraId="47A2417E">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12.1.1资格证明文件：详见须知前附表</w:t>
      </w:r>
    </w:p>
    <w:p w14:paraId="36B75504">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12.1.2报价文件：详见须知前附表</w:t>
      </w:r>
    </w:p>
    <w:p w14:paraId="324556EA">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12.2商务技术文件：详见须知前附表</w:t>
      </w:r>
    </w:p>
    <w:p w14:paraId="29242E65">
      <w:pPr>
        <w:pStyle w:val="2"/>
        <w:rPr>
          <w:rFonts w:ascii="宋体" w:hAnsi="宋体" w:cs="宋体"/>
          <w:color w:val="auto"/>
          <w:highlight w:val="none"/>
        </w:rPr>
      </w:pPr>
      <w:r>
        <w:rPr>
          <w:rFonts w:hint="eastAsia" w:ascii="宋体" w:hAnsi="宋体" w:cs="宋体"/>
          <w:color w:val="auto"/>
          <w:sz w:val="24"/>
          <w:highlight w:val="none"/>
        </w:rPr>
        <w:t>12.3</w:t>
      </w:r>
      <w:r>
        <w:rPr>
          <w:rFonts w:hint="eastAsia" w:ascii="宋体" w:hAnsi="宋体" w:cs="宋体"/>
          <w:b/>
          <w:color w:val="auto"/>
          <w:sz w:val="24"/>
          <w:szCs w:val="24"/>
          <w:highlight w:val="none"/>
        </w:rPr>
        <w:t>所有材料均以经有效的CA认证电子文件为评审依据，供应商须对所提供材料的真实性和一致性负责。</w:t>
      </w:r>
    </w:p>
    <w:p w14:paraId="6C1494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CA27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磋商文件已有明确规定的，使用磋商文件规定的计量单位；磋商文件没有规定的，应采用中华人民共和国法定计量单位，货币种类为人民币，否则视同未响应。</w:t>
      </w:r>
    </w:p>
    <w:p w14:paraId="2EB5BE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D6A1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供应商没有按照磋商文件要求提供全部资料，或者供应商没有对磋商文件在各方面作出实质性响应可能导致其响应无效，是供应商应当考虑的风险。</w:t>
      </w:r>
    </w:p>
    <w:p w14:paraId="3A2BC2B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3BDA9AF6">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15.1竞标报价应按磋商文件中“竞标报价表”格式填写。</w:t>
      </w:r>
    </w:p>
    <w:p w14:paraId="4C77A216">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15.2竞标报价的价格构成见“供应商须知前附表”。</w:t>
      </w:r>
    </w:p>
    <w:p w14:paraId="24921437">
      <w:pPr>
        <w:spacing w:line="360" w:lineRule="auto"/>
        <w:ind w:left="426" w:leftChars="203"/>
        <w:rPr>
          <w:rFonts w:ascii="宋体" w:hAnsi="宋体" w:cs="宋体"/>
          <w:color w:val="auto"/>
          <w:sz w:val="24"/>
          <w:highlight w:val="none"/>
        </w:rPr>
      </w:pPr>
      <w:r>
        <w:rPr>
          <w:rFonts w:hint="eastAsia" w:ascii="宋体" w:hAnsi="宋体" w:cs="宋体"/>
          <w:color w:val="auto"/>
          <w:sz w:val="24"/>
          <w:highlight w:val="none"/>
        </w:rPr>
        <w:t>15.3竞标报价要求</w:t>
      </w:r>
    </w:p>
    <w:p w14:paraId="131E3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15.3.1供应商的竞标报价应符合以下要求，否则响应文件按无效响应处理：</w:t>
      </w:r>
    </w:p>
    <w:p w14:paraId="0A122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（1）供应商必须就“采购需求”中所竞标的每个分标的全部内容分别作完整唯一总价报价，不得存在漏项报价；</w:t>
      </w:r>
    </w:p>
    <w:p w14:paraId="7689D9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（2）供应商必须就所竞标的分标的单项内容作唯一报价。</w:t>
      </w:r>
    </w:p>
    <w:p w14:paraId="2179B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15.3.2竞标报价（包含首次报价、最后报价）超过所竞标分标规定的采购预算金额或者最高限价的，其响应文件将作无效处理。</w:t>
      </w:r>
    </w:p>
    <w:p w14:paraId="54D34F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15.3.3</w:t>
      </w:r>
      <w:bookmarkStart w:id="65" w:name="_Hlk42592874"/>
      <w:r>
        <w:rPr>
          <w:rFonts w:hint="eastAsia" w:ascii="宋体" w:hAnsi="宋体" w:cs="宋体"/>
          <w:color w:val="auto"/>
          <w:sz w:val="24"/>
          <w:highlight w:val="none"/>
        </w:rPr>
        <w:t>竞标报价（包含首次报价、最后报价）超过分项采购预算金额或者最高限价的，其响应文件将作无效处理。</w:t>
      </w:r>
    </w:p>
    <w:bookmarkEnd w:id="65"/>
    <w:p w14:paraId="49AA1D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E4B09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16.1竞标有效期是指为保证采购人有足够的时间在提交响应文件后完成评审、确定成交供应商、合同签订等工作而要求供应商提交的响应文件在一定时间内保持有效的期限。</w:t>
      </w:r>
    </w:p>
    <w:p w14:paraId="3FC5DA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竞标有效期应由供应商按“供应商须知前附表”规定的期限作出响应。</w:t>
      </w:r>
    </w:p>
    <w:p w14:paraId="245FD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16.3供应商的响应文件在竞标有效期内均保持有效。</w:t>
      </w:r>
    </w:p>
    <w:p w14:paraId="0AC93CC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652D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本项目无需缴纳竞标保证金。</w:t>
      </w:r>
    </w:p>
    <w:p w14:paraId="1B91CB99">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18.响应文件编制的要求</w:t>
      </w:r>
    </w:p>
    <w:p w14:paraId="433C5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18.1供应商应按本磋商文件规定的格式和顺序编制，响应文件并标注页码，响应文件内容不完整、编排混乱导致响应文件被误读、漏读或者查找不到相关内容的，由此引发的后果由供应商承担。</w:t>
      </w:r>
    </w:p>
    <w:p w14:paraId="7DE1F5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18.2响应文件应按资格证明文件、报价、商务技术文件分别编制，资格证明文件、报价、商务技术文件对应上传至广西政府采购云平台系统。</w:t>
      </w:r>
    </w:p>
    <w:p w14:paraId="608AC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p w14:paraId="4839CD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18.4响应文件中标注的供应商名称应与营业执照（事业单位法人证书、执业许可证、自然人身份证）及公章一致，否则其响应文件按无效响应处理。</w:t>
      </w:r>
    </w:p>
    <w:p w14:paraId="6C8CB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D7BF3C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19.响应文件的形式</w:t>
      </w:r>
    </w:p>
    <w:p w14:paraId="4743E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19.1磋商供应商应准备电子响应文件。</w:t>
      </w:r>
    </w:p>
    <w:p w14:paraId="12B6C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电子响应文件是指通过“广西政府采购云平台电子交易客户端”完成响应文件编制后生成并加密的数据电文形式的电子加密响应文件。</w:t>
      </w:r>
    </w:p>
    <w:p w14:paraId="0959A9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FB50F09">
      <w:pPr>
        <w:spacing w:line="440" w:lineRule="exact"/>
        <w:ind w:firstLine="468" w:firstLineChars="195"/>
        <w:rPr>
          <w:rFonts w:ascii="宋体" w:hAnsi="宋体" w:cs="宋体"/>
          <w:color w:val="auto"/>
          <w:spacing w:val="2"/>
          <w:sz w:val="24"/>
          <w:highlight w:val="none"/>
        </w:rPr>
      </w:pPr>
      <w:r>
        <w:rPr>
          <w:rFonts w:hint="eastAsia" w:ascii="宋体" w:hAnsi="宋体" w:cs="宋体"/>
          <w:color w:val="auto"/>
          <w:sz w:val="24"/>
          <w:highlight w:val="none"/>
        </w:rPr>
        <w:t>20.1本项目为全流程电子化项目，没有现场递交投标文件及现场开标环节，通过广西政府采购云平台系统实行在线电子投标，供应商应先安装“广西政府采购云平台系统投标客户端”（请自行前往广西政府采购云平台系统进行下载），并按照本项目招标文件和广西政府采购云平台系统的要求使用CA认证编制、加密投标文件后在投标截止时间前上传至广西政府采购云平台系统，供应商在广西政府采购云平台系统提交电子版投标文件时，请填写参加远程开标活动经办人联系方式。</w:t>
      </w:r>
    </w:p>
    <w:p w14:paraId="700EA249">
      <w:pPr>
        <w:spacing w:line="440" w:lineRule="exact"/>
        <w:ind w:firstLine="475" w:firstLineChars="195"/>
        <w:rPr>
          <w:rFonts w:ascii="宋体" w:hAnsi="宋体" w:cs="宋体"/>
          <w:color w:val="auto"/>
          <w:sz w:val="24"/>
          <w:highlight w:val="none"/>
        </w:rPr>
      </w:pPr>
      <w:r>
        <w:rPr>
          <w:rFonts w:hint="eastAsia" w:ascii="宋体" w:hAnsi="宋体" w:cs="宋体"/>
          <w:color w:val="auto"/>
          <w:spacing w:val="2"/>
          <w:sz w:val="24"/>
          <w:highlight w:val="none"/>
        </w:rPr>
        <w:t>20.2供应商进行电子投标应安装客户端软件，并按照采购文件和电子交易平台的要求编制并加密磋商响应文件。供应商未按规定加密的磋商响应文件，电子交易平台将拒收。</w:t>
      </w:r>
    </w:p>
    <w:p w14:paraId="7C74B8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4D48C83">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w:t>
      </w:r>
    </w:p>
    <w:p w14:paraId="091F3FC1">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22.首次响应文件的退回</w:t>
      </w:r>
    </w:p>
    <w:p w14:paraId="0EDD9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在首次响应文件提交截止时间止提交响应文件的供应商不足3家时，应当由供应商签字领回响应文件，除此之外采购人和采购代理机构对已提交的响应文件概不退回。</w:t>
      </w:r>
    </w:p>
    <w:p w14:paraId="6523B2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258EE0AD">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截止时间后，供应商不得撤回、修改响应文件。</w:t>
      </w:r>
    </w:p>
    <w:bookmarkEnd w:id="66"/>
    <w:p w14:paraId="754E18E6">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501E17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D74C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32997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A4BC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3D78F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首次响应文件由磋商小组或者采购代理机构在“供应商须知前附表”规定的时间开启。</w:t>
      </w:r>
    </w:p>
    <w:p w14:paraId="0FAE41A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B184FB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26.1本项目的评审方法为</w:t>
      </w:r>
      <w:r>
        <w:rPr>
          <w:rFonts w:hint="eastAsia" w:ascii="宋体" w:hAnsi="宋体" w:cs="宋体"/>
          <w:b/>
          <w:bCs/>
          <w:color w:val="auto"/>
          <w:sz w:val="24"/>
          <w:highlight w:val="none"/>
        </w:rPr>
        <w:t>综合评分法。</w:t>
      </w:r>
    </w:p>
    <w:p w14:paraId="5EB63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26.2磋商小组按照“第四章评审程序、评审方法和评审标准”规定的方法、评审因素、标准和程序对响应文件进行评审。</w:t>
      </w:r>
    </w:p>
    <w:p w14:paraId="1094F25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D224E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266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27.2采购代理机构应当在</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2377E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9547BCA">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91DC0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157AA988">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1DC682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37DB66B">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29.1成交供应商在收到成交通知书后，应当在签订合同时向采购人出示相关证明材料，具体内容详见 “供应商须知前附表”，经采购人核验合格后方可签订合同。</w:t>
      </w:r>
    </w:p>
    <w:p w14:paraId="68CC032E">
      <w:pPr>
        <w:spacing w:line="360" w:lineRule="auto"/>
        <w:ind w:firstLine="487" w:firstLineChars="202"/>
        <w:rPr>
          <w:rFonts w:ascii="宋体" w:hAnsi="宋体" w:cs="宋体"/>
          <w:b/>
          <w:bCs/>
          <w:color w:val="auto"/>
          <w:sz w:val="24"/>
          <w:highlight w:val="none"/>
        </w:rPr>
      </w:pPr>
      <w:r>
        <w:rPr>
          <w:rFonts w:hint="eastAsia" w:ascii="宋体" w:hAnsi="宋体" w:cs="宋体"/>
          <w:b/>
          <w:bCs/>
          <w:color w:val="auto"/>
          <w:sz w:val="24"/>
          <w:highlight w:val="none"/>
        </w:rPr>
        <w:t>29.2 签订合同时间：成交人在收到成交通知书后25个自然日内与与采购人签订合同。</w:t>
      </w:r>
    </w:p>
    <w:p w14:paraId="75A2F385">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76520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4D8FC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FABA0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162DB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p>
    <w:p w14:paraId="73265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 w:val="24"/>
          <w:highlight w:val="none"/>
          <w:shd w:val="clear" w:color="auto" w:fill="FFFFFF"/>
        </w:rPr>
        <w:t>接收质疑函的方式、联系部门、联系电话和通讯地址等信息详见</w:t>
      </w:r>
      <w:r>
        <w:rPr>
          <w:rFonts w:hint="eastAsia" w:ascii="宋体" w:hAnsi="宋体" w:cs="宋体"/>
          <w:color w:val="auto"/>
          <w:sz w:val="24"/>
          <w:highlight w:val="none"/>
        </w:rPr>
        <w:t>“供应商须知前附表”。具体质疑起算时间如下：</w:t>
      </w:r>
    </w:p>
    <w:p w14:paraId="222B5F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（1）对可以质疑的磋商文件提出质疑的，为收到磋商文件之日或者竞争性磋商公告期限届满之日；</w:t>
      </w:r>
    </w:p>
    <w:p w14:paraId="74FCEC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25FA7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14:paraId="15109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820A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highlight w:val="none"/>
        </w:rPr>
        <w:t>（质疑函格式后附）</w:t>
      </w:r>
      <w:r>
        <w:rPr>
          <w:rFonts w:hint="eastAsia" w:ascii="宋体" w:hAnsi="宋体" w:cs="宋体"/>
          <w:color w:val="auto"/>
          <w:sz w:val="24"/>
          <w:highlight w:val="none"/>
        </w:rPr>
        <w:t>：</w:t>
      </w:r>
    </w:p>
    <w:p w14:paraId="57A6A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（1）供应商的姓名或者名称、地址、邮编、联系人及联系电话；</w:t>
      </w:r>
    </w:p>
    <w:p w14:paraId="2FF0E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（2）质疑项目的名称、编号；</w:t>
      </w:r>
    </w:p>
    <w:p w14:paraId="48ACD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14:paraId="2A272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（4）事实依据；</w:t>
      </w:r>
    </w:p>
    <w:p w14:paraId="3AA96E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（5）必要的法律依据；</w:t>
      </w:r>
    </w:p>
    <w:p w14:paraId="1105C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（6）提出质疑的日期。</w:t>
      </w:r>
    </w:p>
    <w:p w14:paraId="26C5B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供应商为自然人的，应当由本人签字；供应商为法人或者其他组织的，应当由法定代表人、主要负责人，或者其委托代理人签字或者盖章，并加盖公章。</w:t>
      </w:r>
    </w:p>
    <w:p w14:paraId="09720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77A60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368086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7BB03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质疑答复导致成交结果改变的，采购人或者采购代理机构应当将有关情况书面报告本级财政部门。</w:t>
      </w:r>
    </w:p>
    <w:p w14:paraId="326E3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9BA78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1AB1AFC">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32.1代理服务收费标准及缴费账户详见“供应商须知前附表”，供应商为联合体的，可以由联合体中的一方或者多方共同交纳代理服务费。</w:t>
      </w:r>
    </w:p>
    <w:p w14:paraId="6C36F529">
      <w:pPr>
        <w:tabs>
          <w:tab w:val="left" w:pos="2835"/>
        </w:tabs>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32.2代理服务费收费计算标准：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5C4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36807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14:paraId="1903F2E0">
            <w:pPr>
              <w:spacing w:line="360" w:lineRule="auto"/>
              <w:rPr>
                <w:rFonts w:ascii="宋体" w:hAnsi="宋体" w:cs="宋体"/>
                <w:color w:val="auto"/>
                <w:sz w:val="24"/>
                <w:highlight w:val="none"/>
              </w:rPr>
            </w:pPr>
            <w:r>
              <w:rPr>
                <w:rFonts w:hint="eastAsia" w:ascii="宋体" w:hAnsi="宋体" w:cs="宋体"/>
                <w:color w:val="auto"/>
                <w:sz w:val="24"/>
                <w:highlight w:val="none"/>
              </w:rPr>
              <w:t>金额</w:t>
            </w:r>
          </w:p>
        </w:tc>
        <w:tc>
          <w:tcPr>
            <w:tcW w:w="1659" w:type="dxa"/>
            <w:vAlign w:val="center"/>
          </w:tcPr>
          <w:p w14:paraId="47893991">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货物类</w:t>
            </w:r>
          </w:p>
        </w:tc>
        <w:tc>
          <w:tcPr>
            <w:tcW w:w="1532" w:type="dxa"/>
            <w:vAlign w:val="center"/>
          </w:tcPr>
          <w:p w14:paraId="767240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c>
          <w:tcPr>
            <w:tcW w:w="1546" w:type="dxa"/>
            <w:vAlign w:val="center"/>
          </w:tcPr>
          <w:p w14:paraId="181C6E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工程类</w:t>
            </w:r>
          </w:p>
        </w:tc>
      </w:tr>
      <w:tr w14:paraId="7687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459271">
            <w:pPr>
              <w:spacing w:line="360" w:lineRule="auto"/>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tcPr>
          <w:p w14:paraId="790FCC71">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1.5%                </w:t>
            </w:r>
          </w:p>
        </w:tc>
        <w:tc>
          <w:tcPr>
            <w:tcW w:w="1532" w:type="dxa"/>
          </w:tcPr>
          <w:p w14:paraId="6E23119F">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1.5%</w:t>
            </w:r>
          </w:p>
        </w:tc>
        <w:tc>
          <w:tcPr>
            <w:tcW w:w="1546" w:type="dxa"/>
          </w:tcPr>
          <w:p w14:paraId="5267E34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1.0% </w:t>
            </w:r>
          </w:p>
        </w:tc>
      </w:tr>
      <w:tr w14:paraId="77FC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93BCFA">
            <w:pPr>
              <w:spacing w:line="360" w:lineRule="auto"/>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tcPr>
          <w:p w14:paraId="66C5922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1.1%                 </w:t>
            </w:r>
          </w:p>
        </w:tc>
        <w:tc>
          <w:tcPr>
            <w:tcW w:w="1532" w:type="dxa"/>
          </w:tcPr>
          <w:p w14:paraId="4485632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0.8%</w:t>
            </w:r>
          </w:p>
        </w:tc>
        <w:tc>
          <w:tcPr>
            <w:tcW w:w="1546" w:type="dxa"/>
          </w:tcPr>
          <w:p w14:paraId="4C3A69DF">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0.7% </w:t>
            </w:r>
          </w:p>
        </w:tc>
      </w:tr>
      <w:tr w14:paraId="6AC6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B5B6C03">
            <w:pPr>
              <w:spacing w:line="360" w:lineRule="auto"/>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tcPr>
          <w:p w14:paraId="6D4B82A2">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0.8%                </w:t>
            </w:r>
          </w:p>
        </w:tc>
        <w:tc>
          <w:tcPr>
            <w:tcW w:w="1532" w:type="dxa"/>
          </w:tcPr>
          <w:p w14:paraId="04DF6F0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0.45%</w:t>
            </w:r>
          </w:p>
        </w:tc>
        <w:tc>
          <w:tcPr>
            <w:tcW w:w="1546" w:type="dxa"/>
          </w:tcPr>
          <w:p w14:paraId="0AB20714">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0.55%</w:t>
            </w:r>
          </w:p>
        </w:tc>
      </w:tr>
      <w:tr w14:paraId="4DC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9D03CA">
            <w:pPr>
              <w:spacing w:line="360" w:lineRule="auto"/>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tcPr>
          <w:p w14:paraId="49A72DAE">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0.5%                </w:t>
            </w:r>
          </w:p>
        </w:tc>
        <w:tc>
          <w:tcPr>
            <w:tcW w:w="1532" w:type="dxa"/>
          </w:tcPr>
          <w:p w14:paraId="2D90492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0.25%</w:t>
            </w:r>
          </w:p>
        </w:tc>
        <w:tc>
          <w:tcPr>
            <w:tcW w:w="1546" w:type="dxa"/>
          </w:tcPr>
          <w:p w14:paraId="13520D1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0.35% </w:t>
            </w:r>
          </w:p>
        </w:tc>
      </w:tr>
      <w:tr w14:paraId="3D69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A89A2B">
            <w:pPr>
              <w:spacing w:line="360" w:lineRule="auto"/>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tcPr>
          <w:p w14:paraId="6F2F387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0.25%                 </w:t>
            </w:r>
          </w:p>
        </w:tc>
        <w:tc>
          <w:tcPr>
            <w:tcW w:w="1532" w:type="dxa"/>
          </w:tcPr>
          <w:p w14:paraId="0195123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0.1%</w:t>
            </w:r>
          </w:p>
        </w:tc>
        <w:tc>
          <w:tcPr>
            <w:tcW w:w="1546" w:type="dxa"/>
          </w:tcPr>
          <w:p w14:paraId="4EE835E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w:t>
            </w:r>
          </w:p>
        </w:tc>
      </w:tr>
      <w:tr w14:paraId="6F87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8E0DAB">
            <w:pPr>
              <w:spacing w:line="360" w:lineRule="auto"/>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tcPr>
          <w:p w14:paraId="4BAF1C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0.05%</w:t>
            </w:r>
          </w:p>
        </w:tc>
        <w:tc>
          <w:tcPr>
            <w:tcW w:w="1532" w:type="dxa"/>
          </w:tcPr>
          <w:p w14:paraId="17F5BF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c>
          <w:tcPr>
            <w:tcW w:w="1546" w:type="dxa"/>
          </w:tcPr>
          <w:p w14:paraId="49AF92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r>
      <w:tr w14:paraId="645B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E68D0D">
            <w:pPr>
              <w:spacing w:line="360" w:lineRule="auto"/>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tcPr>
          <w:p w14:paraId="0BBDF455">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c>
          <w:tcPr>
            <w:tcW w:w="1532" w:type="dxa"/>
          </w:tcPr>
          <w:p w14:paraId="115314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0.035%</w:t>
            </w:r>
          </w:p>
        </w:tc>
        <w:tc>
          <w:tcPr>
            <w:tcW w:w="1546" w:type="dxa"/>
          </w:tcPr>
          <w:p w14:paraId="3B4F181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r>
      <w:tr w14:paraId="20D7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0324A65">
            <w:pPr>
              <w:spacing w:line="360" w:lineRule="auto"/>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tcPr>
          <w:p w14:paraId="145CBED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c>
          <w:tcPr>
            <w:tcW w:w="1532" w:type="dxa"/>
          </w:tcPr>
          <w:p w14:paraId="4511EF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0.008%</w:t>
            </w:r>
          </w:p>
        </w:tc>
        <w:tc>
          <w:tcPr>
            <w:tcW w:w="1546" w:type="dxa"/>
          </w:tcPr>
          <w:p w14:paraId="5C28B5E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r>
      <w:tr w14:paraId="1A4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EAD6A4">
            <w:pPr>
              <w:spacing w:line="360" w:lineRule="auto"/>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tcPr>
          <w:p w14:paraId="12394B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0.006%</w:t>
            </w:r>
          </w:p>
        </w:tc>
        <w:tc>
          <w:tcPr>
            <w:tcW w:w="1532" w:type="dxa"/>
          </w:tcPr>
          <w:p w14:paraId="3B11C2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0.006%</w:t>
            </w:r>
          </w:p>
        </w:tc>
        <w:tc>
          <w:tcPr>
            <w:tcW w:w="1546" w:type="dxa"/>
          </w:tcPr>
          <w:p w14:paraId="33568BF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0.006%</w:t>
            </w:r>
          </w:p>
        </w:tc>
      </w:tr>
      <w:tr w14:paraId="3439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8D3030">
            <w:pPr>
              <w:spacing w:line="360" w:lineRule="auto"/>
              <w:rPr>
                <w:rFonts w:ascii="宋体" w:hAnsi="宋体" w:cs="宋体"/>
                <w:color w:val="auto"/>
                <w:sz w:val="24"/>
                <w:highlight w:val="none"/>
              </w:rPr>
            </w:pPr>
            <w:r>
              <w:rPr>
                <w:rFonts w:hint="eastAsia" w:ascii="宋体" w:hAnsi="宋体" w:cs="宋体"/>
                <w:color w:val="auto"/>
                <w:sz w:val="24"/>
                <w:highlight w:val="none"/>
              </w:rPr>
              <w:t>100亿以上</w:t>
            </w:r>
          </w:p>
        </w:tc>
        <w:tc>
          <w:tcPr>
            <w:tcW w:w="1659" w:type="dxa"/>
          </w:tcPr>
          <w:p w14:paraId="777E6E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0.004%</w:t>
            </w:r>
          </w:p>
        </w:tc>
        <w:tc>
          <w:tcPr>
            <w:tcW w:w="1532" w:type="dxa"/>
          </w:tcPr>
          <w:p w14:paraId="485DBA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0.004%</w:t>
            </w:r>
          </w:p>
        </w:tc>
        <w:tc>
          <w:tcPr>
            <w:tcW w:w="1546" w:type="dxa"/>
          </w:tcPr>
          <w:p w14:paraId="4ED09D93">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0.004%</w:t>
            </w:r>
          </w:p>
        </w:tc>
      </w:tr>
    </w:tbl>
    <w:p w14:paraId="2F0CA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321E6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168A5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541F8A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例如：某服务采购代理业务成交金额或者暂定价为150万元，计算采购代理收费额如下：</w:t>
      </w:r>
    </w:p>
    <w:p w14:paraId="59084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100万元×l.5％＝ 1.5万元</w:t>
      </w:r>
    </w:p>
    <w:p w14:paraId="2ED1A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（150－100）万元×0.8％＝0.4万元</w:t>
      </w:r>
    </w:p>
    <w:p w14:paraId="3BEA3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 ＋0.4＝ 1.9万元</w:t>
      </w:r>
    </w:p>
    <w:p w14:paraId="246C6FF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33.验收要求</w:t>
      </w:r>
    </w:p>
    <w:p w14:paraId="6F1145A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w:t>
      </w:r>
    </w:p>
    <w:p w14:paraId="04AA04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097A1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34.1本磋商文件解释规则详见“供应商须知前附表”。</w:t>
      </w:r>
    </w:p>
    <w:p w14:paraId="2C24CC49">
      <w:pPr>
        <w:pStyle w:val="18"/>
        <w:spacing w:line="360" w:lineRule="auto"/>
        <w:ind w:firstLine="480" w:firstLineChars="200"/>
        <w:contextualSpacing/>
        <w:rPr>
          <w:rFonts w:hAnsi="宋体" w:cs="宋体"/>
          <w:color w:val="auto"/>
          <w:sz w:val="24"/>
          <w:highlight w:val="none"/>
        </w:rPr>
      </w:pPr>
      <w:r>
        <w:rPr>
          <w:rFonts w:hint="eastAsia" w:hAnsi="宋体" w:cs="宋体"/>
          <w:color w:val="auto"/>
          <w:sz w:val="24"/>
          <w:highlight w:val="none"/>
        </w:rPr>
        <w:t>34.2 其他事项详见“供应商须知前附表”。</w:t>
      </w:r>
    </w:p>
    <w:p w14:paraId="1ABDC671">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7D72A02F">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17821B0">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依据本文件规定享受扶持政策获得政府采购合同的，小微企业不得将合同分包给大中型企业，中型企业不得将合同分包给大型企业。</w:t>
      </w:r>
      <w:r>
        <w:rPr>
          <w:rFonts w:hint="eastAsia" w:ascii="宋体" w:hAnsi="宋体" w:cs="宋体"/>
          <w:b/>
          <w:color w:val="auto"/>
          <w:sz w:val="24"/>
          <w:highlight w:val="none"/>
        </w:rPr>
        <w:br w:type="page"/>
      </w:r>
      <w:r>
        <w:rPr>
          <w:rFonts w:hint="eastAsia" w:ascii="宋体" w:hAnsi="宋体" w:cs="宋体"/>
          <w:bCs/>
          <w:color w:val="auto"/>
          <w:sz w:val="32"/>
          <w:szCs w:val="32"/>
          <w:highlight w:val="none"/>
        </w:rPr>
        <w:t>附件1：</w:t>
      </w:r>
    </w:p>
    <w:p w14:paraId="68B12517">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6EE8E07C">
      <w:pPr>
        <w:widowControl/>
        <w:shd w:val="clear" w:color="auto" w:fill="FFFFFF"/>
        <w:spacing w:line="480" w:lineRule="atLeast"/>
        <w:jc w:val="center"/>
        <w:rPr>
          <w:rFonts w:ascii="宋体" w:hAnsi="宋体" w:cs="宋体"/>
          <w:color w:val="auto"/>
          <w:kern w:val="0"/>
          <w:sz w:val="32"/>
          <w:szCs w:val="32"/>
          <w:highlight w:val="none"/>
        </w:rPr>
      </w:pPr>
    </w:p>
    <w:p w14:paraId="76F8DBEC">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FEB6B1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419D5B6">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E286D0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5C44AF0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577A7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A5AD27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948619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8D3BEB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6E48071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7529C5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1FBB03B">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FA4979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858FCC9">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8E67EF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DA0A7D0">
            <w:pPr>
              <w:widowControl/>
              <w:spacing w:before="100" w:beforeAutospacing="1" w:after="100" w:afterAutospacing="1" w:line="240" w:lineRule="atLeast"/>
              <w:jc w:val="center"/>
              <w:rPr>
                <w:rFonts w:ascii="宋体" w:hAnsi="宋体" w:cs="宋体"/>
                <w:color w:val="auto"/>
                <w:kern w:val="0"/>
                <w:szCs w:val="21"/>
                <w:highlight w:val="none"/>
              </w:rPr>
            </w:pPr>
          </w:p>
        </w:tc>
      </w:tr>
      <w:tr w14:paraId="4203C8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743D3C0">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01F3E0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9C2F45">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7CE4CE6">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068DD6F">
            <w:pPr>
              <w:widowControl/>
              <w:spacing w:before="100" w:beforeAutospacing="1" w:after="100" w:afterAutospacing="1" w:line="240" w:lineRule="atLeast"/>
              <w:jc w:val="center"/>
              <w:rPr>
                <w:rFonts w:ascii="宋体" w:hAnsi="宋体" w:cs="宋体"/>
                <w:color w:val="auto"/>
                <w:kern w:val="0"/>
                <w:szCs w:val="21"/>
                <w:highlight w:val="none"/>
              </w:rPr>
            </w:pPr>
          </w:p>
        </w:tc>
      </w:tr>
      <w:tr w14:paraId="1F42F11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3F677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9710B62">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0CE8F8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F663C6F">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0296636">
            <w:pPr>
              <w:widowControl/>
              <w:spacing w:before="100" w:beforeAutospacing="1" w:after="100" w:afterAutospacing="1" w:line="240" w:lineRule="atLeast"/>
              <w:jc w:val="center"/>
              <w:rPr>
                <w:rFonts w:ascii="宋体" w:hAnsi="宋体" w:cs="宋体"/>
                <w:color w:val="auto"/>
                <w:kern w:val="0"/>
                <w:szCs w:val="21"/>
                <w:highlight w:val="none"/>
              </w:rPr>
            </w:pPr>
          </w:p>
        </w:tc>
      </w:tr>
      <w:tr w14:paraId="434D695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6271601">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48415B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A4279F4">
            <w:pPr>
              <w:widowControl/>
              <w:spacing w:before="100" w:beforeAutospacing="1" w:after="100" w:afterAutospacing="1" w:line="240" w:lineRule="atLeast"/>
              <w:jc w:val="center"/>
              <w:rPr>
                <w:rFonts w:ascii="宋体" w:hAnsi="宋体" w:cs="宋体"/>
                <w:color w:val="auto"/>
                <w:kern w:val="0"/>
                <w:szCs w:val="21"/>
                <w:highlight w:val="none"/>
              </w:rPr>
            </w:pPr>
          </w:p>
        </w:tc>
      </w:tr>
      <w:tr w14:paraId="4D25ED0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BD0324A">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455216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3028BC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3B8CBD3">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3702D86">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18F5FA6">
            <w:pPr>
              <w:widowControl/>
              <w:spacing w:before="100" w:beforeAutospacing="1" w:after="100" w:afterAutospacing="1" w:line="240" w:lineRule="atLeast"/>
              <w:jc w:val="center"/>
              <w:rPr>
                <w:rFonts w:ascii="宋体" w:hAnsi="宋体" w:cs="宋体"/>
                <w:color w:val="auto"/>
                <w:kern w:val="0"/>
                <w:szCs w:val="21"/>
                <w:highlight w:val="none"/>
              </w:rPr>
            </w:pPr>
          </w:p>
        </w:tc>
      </w:tr>
      <w:tr w14:paraId="40CF6A4D">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EFF5F7">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0BBD462">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7C7240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2DD66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986145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5123ADC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DBCD809">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0B8A86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2721A78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6D1FB4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CF2BD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1AF897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A1854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F83786C">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19D63448">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639B05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6E2DC03B">
            <w:pPr>
              <w:widowControl/>
              <w:spacing w:before="100" w:beforeAutospacing="1" w:after="100" w:afterAutospacing="1" w:line="320" w:lineRule="atLeast"/>
              <w:jc w:val="left"/>
              <w:rPr>
                <w:rFonts w:ascii="宋体" w:hAnsi="宋体" w:cs="宋体"/>
                <w:color w:val="auto"/>
                <w:kern w:val="0"/>
                <w:szCs w:val="21"/>
                <w:highlight w:val="none"/>
              </w:rPr>
            </w:pPr>
          </w:p>
          <w:p w14:paraId="6C34891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367C730D">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5F56940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17790C3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9A07EA1">
      <w:pPr>
        <w:pStyle w:val="4"/>
        <w:numPr>
          <w:ilvl w:val="0"/>
          <w:numId w:val="3"/>
        </w:numPr>
        <w:jc w:val="center"/>
        <w:rPr>
          <w:rFonts w:ascii="宋体" w:hAnsi="宋体" w:cs="宋体"/>
          <w:color w:val="auto"/>
          <w:highlight w:val="none"/>
        </w:rPr>
      </w:pPr>
      <w:r>
        <w:rPr>
          <w:rFonts w:hint="eastAsia" w:ascii="宋体" w:hAnsi="宋体" w:cs="宋体"/>
          <w:color w:val="auto"/>
          <w:highlight w:val="none"/>
        </w:rPr>
        <w:br w:type="page"/>
      </w:r>
      <w:bookmarkStart w:id="67" w:name="_Toc30239"/>
      <w:r>
        <w:rPr>
          <w:rFonts w:hint="eastAsia" w:ascii="宋体" w:hAnsi="宋体" w:cs="宋体"/>
          <w:color w:val="auto"/>
          <w:highlight w:val="none"/>
        </w:rPr>
        <w:t>项目需求和说明</w:t>
      </w:r>
      <w:bookmarkEnd w:id="67"/>
    </w:p>
    <w:p w14:paraId="2D26C37A">
      <w:pPr>
        <w:spacing w:line="440" w:lineRule="exact"/>
        <w:jc w:val="left"/>
        <w:rPr>
          <w:rFonts w:ascii="宋体" w:hAnsi="宋体" w:cs="宋体"/>
          <w:color w:val="auto"/>
          <w:sz w:val="24"/>
          <w:highlight w:val="none"/>
        </w:rPr>
      </w:pPr>
      <w:r>
        <w:rPr>
          <w:rFonts w:hint="eastAsia" w:ascii="宋体" w:hAnsi="宋体" w:cs="宋体"/>
          <w:color w:val="auto"/>
          <w:sz w:val="24"/>
          <w:highlight w:val="none"/>
        </w:rPr>
        <w:t>说明：</w:t>
      </w:r>
    </w:p>
    <w:p w14:paraId="4325E2C2">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1.为落实政府采购政策需满足的要求（根据项目实际情况填写内容）</w:t>
      </w:r>
    </w:p>
    <w:p w14:paraId="1F78F23D">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（1）本竞争性磋商采购文件所称中小企业必须符合《政府采购促进中小企业发展管理办法》（财库〔2020〕46号）的规定。</w:t>
      </w:r>
    </w:p>
    <w:p w14:paraId="7DF1C5C1">
      <w:pPr>
        <w:tabs>
          <w:tab w:val="left" w:pos="180"/>
          <w:tab w:val="left" w:pos="1620"/>
        </w:tabs>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F3C74C6">
      <w:pPr>
        <w:spacing w:line="44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2.“实质性要求”是指采购需求中带“▲”的条款或者不能负偏离的条款或者已经指明不满足按响应文件作无效处理的条款。</w:t>
      </w:r>
    </w:p>
    <w:p w14:paraId="0D58ACEB">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3.采购需求中如出现的品牌、型号或者生产供应商仅起参考作用，不属于指定品牌、型号或者生产供应商的情形。供应商可参照或者选用其他相当的品牌、型号或者生产供应商替代。</w:t>
      </w:r>
    </w:p>
    <w:p w14:paraId="1DEE76CF">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4.供应商必须自行为其竞标产品侵犯他人的知识产权或者专利成果的行为承担相应法律责任。</w:t>
      </w:r>
    </w:p>
    <w:p w14:paraId="6050A8F5">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5.“采购文件”等同于“招标文件”。</w:t>
      </w:r>
    </w:p>
    <w:p w14:paraId="116E9CF8">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6.本项目对应的中小企业划分标准所属行业名称：</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w:t>
      </w:r>
    </w:p>
    <w:p w14:paraId="5B888107">
      <w:pPr>
        <w:tabs>
          <w:tab w:val="left" w:pos="180"/>
          <w:tab w:val="left" w:pos="1620"/>
        </w:tabs>
        <w:spacing w:line="360" w:lineRule="auto"/>
        <w:ind w:firstLine="422" w:firstLineChars="200"/>
        <w:jc w:val="center"/>
        <w:rPr>
          <w:rFonts w:ascii="宋体" w:hAnsi="宋体" w:cs="宋体"/>
          <w:b/>
          <w:bCs/>
          <w:color w:val="auto"/>
          <w:sz w:val="24"/>
          <w:highlight w:val="none"/>
        </w:rPr>
      </w:pPr>
      <w:r>
        <w:rPr>
          <w:rFonts w:hint="eastAsia" w:ascii="宋体" w:hAnsi="宋体" w:cs="宋体"/>
          <w:b/>
          <w:bCs/>
          <w:color w:val="auto"/>
          <w:szCs w:val="21"/>
          <w:highlight w:val="none"/>
        </w:rPr>
        <w:br w:type="page"/>
      </w:r>
    </w:p>
    <w:tbl>
      <w:tblPr>
        <w:tblStyle w:val="3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98"/>
        <w:gridCol w:w="576"/>
        <w:gridCol w:w="624"/>
        <w:gridCol w:w="6023"/>
        <w:gridCol w:w="710"/>
      </w:tblGrid>
      <w:tr w14:paraId="642C3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vAlign w:val="center"/>
          </w:tcPr>
          <w:p w14:paraId="1ECAC675">
            <w:pPr>
              <w:spacing w:line="40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0E8F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0EAC44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C674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357CBDD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576" w:type="dxa"/>
            <w:tcBorders>
              <w:top w:val="single" w:color="auto" w:sz="4" w:space="0"/>
              <w:left w:val="single" w:color="auto" w:sz="4" w:space="0"/>
              <w:bottom w:val="single" w:color="auto" w:sz="4" w:space="0"/>
              <w:right w:val="single" w:color="auto" w:sz="4" w:space="0"/>
            </w:tcBorders>
            <w:vAlign w:val="center"/>
          </w:tcPr>
          <w:p w14:paraId="0D8B85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24" w:type="dxa"/>
            <w:tcBorders>
              <w:top w:val="single" w:color="auto" w:sz="4" w:space="0"/>
              <w:left w:val="single" w:color="auto" w:sz="4" w:space="0"/>
              <w:bottom w:val="single" w:color="auto" w:sz="4" w:space="0"/>
              <w:right w:val="single" w:color="auto" w:sz="4" w:space="0"/>
            </w:tcBorders>
            <w:vAlign w:val="center"/>
          </w:tcPr>
          <w:p w14:paraId="3C9C9A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023" w:type="dxa"/>
            <w:tcBorders>
              <w:top w:val="single" w:color="auto" w:sz="4" w:space="0"/>
              <w:left w:val="single" w:color="auto" w:sz="4" w:space="0"/>
              <w:bottom w:val="single" w:color="auto" w:sz="4" w:space="0"/>
              <w:right w:val="single" w:color="auto" w:sz="4" w:space="0"/>
            </w:tcBorders>
            <w:vAlign w:val="center"/>
          </w:tcPr>
          <w:p w14:paraId="5ED29C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10" w:type="dxa"/>
            <w:tcBorders>
              <w:top w:val="single" w:color="auto" w:sz="4" w:space="0"/>
              <w:left w:val="single" w:color="auto" w:sz="4" w:space="0"/>
              <w:bottom w:val="single" w:color="auto" w:sz="4" w:space="0"/>
              <w:right w:val="single" w:color="auto" w:sz="4" w:space="0"/>
            </w:tcBorders>
            <w:vAlign w:val="center"/>
          </w:tcPr>
          <w:p w14:paraId="50CE1F3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8F32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F8EFB91">
            <w:pPr>
              <w:widowControl/>
              <w:spacing w:line="400" w:lineRule="exact"/>
              <w:jc w:val="left"/>
              <w:rPr>
                <w:rFonts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B55B8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vAlign w:val="center"/>
          </w:tcPr>
          <w:p w14:paraId="529F631E">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德保县国营黄连山林场森林资源规划设计调查补充调查工作服务</w:t>
            </w:r>
          </w:p>
        </w:tc>
        <w:tc>
          <w:tcPr>
            <w:tcW w:w="576" w:type="dxa"/>
            <w:tcBorders>
              <w:top w:val="single" w:color="auto" w:sz="4" w:space="0"/>
              <w:left w:val="single" w:color="auto" w:sz="4" w:space="0"/>
              <w:bottom w:val="single" w:color="auto" w:sz="4" w:space="0"/>
              <w:right w:val="single" w:color="auto" w:sz="4" w:space="0"/>
            </w:tcBorders>
            <w:vAlign w:val="center"/>
          </w:tcPr>
          <w:p w14:paraId="47AA5D3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24" w:type="dxa"/>
            <w:tcBorders>
              <w:top w:val="single" w:color="auto" w:sz="4" w:space="0"/>
              <w:left w:val="single" w:color="auto" w:sz="4" w:space="0"/>
              <w:bottom w:val="single" w:color="auto" w:sz="4" w:space="0"/>
              <w:right w:val="single" w:color="auto" w:sz="4" w:space="0"/>
            </w:tcBorders>
            <w:vAlign w:val="center"/>
          </w:tcPr>
          <w:p w14:paraId="6DC7400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023" w:type="dxa"/>
            <w:tcBorders>
              <w:top w:val="single" w:color="auto" w:sz="4" w:space="0"/>
              <w:left w:val="single" w:color="auto" w:sz="4" w:space="0"/>
              <w:bottom w:val="single" w:color="auto" w:sz="4" w:space="0"/>
              <w:right w:val="single" w:color="auto" w:sz="4" w:space="0"/>
            </w:tcBorders>
          </w:tcPr>
          <w:p w14:paraId="42AF1C05">
            <w:pPr>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一、工作目标</w:t>
            </w:r>
          </w:p>
          <w:p w14:paraId="30EB73B8">
            <w:pPr>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以县级行政区域和森林经营单位为调查主体，国有森林经营单位采用二类调查、集体林区及其他森林经营单位采用补充调查和数据更新的方式，全面准确摸清2024年森林资源状况，为编制“十五五”期间年森林采伐限额提供基础数据，并为制定全县生态文明建设规划和林业发展规划、建立全民所有制自然资源资产清查制度等提供科学依据。根据森林资源本底数据，科学测算“十五五”期间森林合理年伐量。按照生态建设优先、可持续经营原则，编制“十五五”期间年森林采伐限额。</w:t>
            </w:r>
          </w:p>
          <w:p w14:paraId="50C896CA">
            <w:pPr>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二、主要任务</w:t>
            </w:r>
          </w:p>
          <w:p w14:paraId="53BE1C46">
            <w:pPr>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（一）森林资源规划设计调查</w:t>
            </w:r>
          </w:p>
          <w:p w14:paraId="72082B58">
            <w:pPr>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1.国有森林经营单位</w:t>
            </w:r>
          </w:p>
          <w:p w14:paraId="1CC5AD85">
            <w:pPr>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采用全面调查更新方式，通过以无人机激光雷达为核心的多源遥感调查方法或以地面调查为主的传统调查方法，全面摸清2024年森林、林地和林木资源种类、数量、质量和分布情况，建立森林资源数据库。综合分析森林资源数量、质量和结构的变化情况，评估森林经营成效，提出森林资源培育、保护与利用意见。</w:t>
            </w:r>
          </w:p>
          <w:p w14:paraId="0B2770C6">
            <w:pPr>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集体林区和其他森林经营单位</w:t>
            </w:r>
          </w:p>
          <w:p w14:paraId="34FBD0FD">
            <w:pPr>
              <w:spacing w:line="400" w:lineRule="exact"/>
              <w:ind w:firstLine="420"/>
              <w:rPr>
                <w:color w:val="auto"/>
                <w:highlight w:val="none"/>
              </w:rPr>
            </w:pPr>
            <w:r>
              <w:rPr>
                <w:rFonts w:hint="eastAsia" w:ascii="宋体" w:hAnsi="宋体" w:cs="宋体"/>
                <w:b w:val="0"/>
                <w:bCs w:val="0"/>
                <w:color w:val="auto"/>
                <w:szCs w:val="21"/>
                <w:highlight w:val="none"/>
              </w:rPr>
              <w:t>采用补充调查方式，结合模型更新方法，全面摸清森林资源数量、质量、结构和空间分布、生长变化情况，将资源数据更新至 2024 年底。补充调查主要对造林抚育、采伐、规划调整、建设项目使用等人为经营活动以及灾害等因素导致地类、林分结构和蓄积量发生变化的地块进行。利用 2024 年度卫星遥感影像数据，结合林业经营档案材料，开展变化图斑区划、判读、填写相关属性因子，并对内业无法确定林分因子等信息的变化图斑进行外业补充调查。模型更新主要用于自然生长状态下的乔木林小班，采用林分生长模型，测算小班的平均胸径、平均树高、每公顷断面积、每公顷蓄积量等因子，并更新至 2024 年底。</w:t>
            </w:r>
          </w:p>
        </w:tc>
        <w:tc>
          <w:tcPr>
            <w:tcW w:w="710" w:type="dxa"/>
            <w:tcBorders>
              <w:top w:val="single" w:color="auto" w:sz="4" w:space="0"/>
              <w:left w:val="single" w:color="auto" w:sz="4" w:space="0"/>
              <w:bottom w:val="single" w:color="auto" w:sz="4" w:space="0"/>
              <w:right w:val="single" w:color="auto" w:sz="4" w:space="0"/>
            </w:tcBorders>
            <w:vAlign w:val="center"/>
          </w:tcPr>
          <w:p w14:paraId="372B734D">
            <w:pPr>
              <w:spacing w:line="400" w:lineRule="exact"/>
              <w:jc w:val="center"/>
              <w:rPr>
                <w:rFonts w:ascii="宋体" w:hAnsi="宋体" w:cs="宋体"/>
                <w:b/>
                <w:bCs/>
                <w:color w:val="auto"/>
                <w:szCs w:val="21"/>
                <w:highlight w:val="none"/>
              </w:rPr>
            </w:pPr>
          </w:p>
        </w:tc>
      </w:tr>
      <w:tr w14:paraId="72A5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121" w:type="dxa"/>
            <w:gridSpan w:val="7"/>
            <w:tcBorders>
              <w:left w:val="single" w:color="auto" w:sz="4" w:space="0"/>
              <w:bottom w:val="single" w:color="auto" w:sz="4" w:space="0"/>
              <w:right w:val="single" w:color="auto" w:sz="4" w:space="0"/>
            </w:tcBorders>
            <w:vAlign w:val="center"/>
          </w:tcPr>
          <w:p w14:paraId="4356C3E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商务条款（标项一、标项二、标项三）</w:t>
            </w:r>
          </w:p>
        </w:tc>
      </w:tr>
      <w:tr w14:paraId="30BB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0121" w:type="dxa"/>
            <w:gridSpan w:val="7"/>
            <w:tcBorders>
              <w:top w:val="single" w:color="auto" w:sz="4" w:space="0"/>
              <w:left w:val="single" w:color="auto" w:sz="4" w:space="0"/>
              <w:bottom w:val="single" w:color="auto" w:sz="4" w:space="0"/>
              <w:right w:val="single" w:color="auto" w:sz="4" w:space="0"/>
            </w:tcBorders>
          </w:tcPr>
          <w:p w14:paraId="5F144A5D">
            <w:pPr>
              <w:spacing w:line="400" w:lineRule="exact"/>
              <w:rPr>
                <w:rFonts w:ascii="宋体" w:hAnsi="宋体" w:cs="宋体"/>
                <w:color w:val="auto"/>
                <w:highlight w:val="none"/>
              </w:rPr>
            </w:pPr>
            <w:r>
              <w:rPr>
                <w:rFonts w:hint="eastAsia"/>
                <w:color w:val="auto"/>
                <w:highlight w:val="none"/>
              </w:rPr>
              <w:t>一、▲合同签订期：自中标通知书发出之</w:t>
            </w:r>
            <w:r>
              <w:rPr>
                <w:rFonts w:hint="eastAsia" w:ascii="宋体" w:hAnsi="宋体" w:cs="宋体"/>
                <w:color w:val="auto"/>
                <w:highlight w:val="none"/>
              </w:rPr>
              <w:t>日起25日内</w:t>
            </w:r>
          </w:p>
          <w:p w14:paraId="2875A93A">
            <w:pPr>
              <w:spacing w:line="400" w:lineRule="exact"/>
              <w:rPr>
                <w:rFonts w:ascii="宋体" w:hAnsi="宋体" w:cs="宋体"/>
                <w:color w:val="auto"/>
                <w:highlight w:val="none"/>
              </w:rPr>
            </w:pPr>
            <w:r>
              <w:rPr>
                <w:rFonts w:hint="eastAsia" w:ascii="宋体" w:hAnsi="宋体" w:cs="宋体"/>
                <w:color w:val="auto"/>
                <w:highlight w:val="none"/>
              </w:rPr>
              <w:t>二、▲提供服务时间：</w:t>
            </w:r>
            <w:r>
              <w:rPr>
                <w:rFonts w:hint="eastAsia" w:ascii="宋体" w:hAnsi="宋体" w:cs="宋体"/>
                <w:color w:val="auto"/>
                <w:szCs w:val="21"/>
                <w:highlight w:val="none"/>
                <w:lang w:eastAsia="zh-CN"/>
              </w:rPr>
              <w:t>合同签订之日起至60天内提交成果（如自治区林业局另有规定的，从其规定）</w:t>
            </w:r>
            <w:r>
              <w:rPr>
                <w:rFonts w:hint="eastAsia" w:ascii="宋体" w:hAnsi="宋体" w:cs="宋体"/>
                <w:color w:val="auto"/>
                <w:szCs w:val="21"/>
                <w:highlight w:val="none"/>
              </w:rPr>
              <w:t>。</w:t>
            </w:r>
          </w:p>
          <w:p w14:paraId="44E9EEEF">
            <w:pPr>
              <w:spacing w:line="400" w:lineRule="exact"/>
              <w:rPr>
                <w:rFonts w:ascii="宋体" w:hAnsi="宋体" w:cs="宋体"/>
                <w:color w:val="auto"/>
                <w:highlight w:val="none"/>
              </w:rPr>
            </w:pPr>
            <w:r>
              <w:rPr>
                <w:rFonts w:hint="eastAsia" w:ascii="宋体" w:hAnsi="宋体" w:cs="宋体"/>
                <w:color w:val="auto"/>
                <w:highlight w:val="none"/>
              </w:rPr>
              <w:t>三、▲服务地点：采购人指定地点。</w:t>
            </w:r>
          </w:p>
          <w:p w14:paraId="5D8030FF">
            <w:pPr>
              <w:spacing w:line="400" w:lineRule="exact"/>
              <w:rPr>
                <w:color w:val="auto"/>
                <w:highlight w:val="none"/>
              </w:rPr>
            </w:pPr>
            <w:r>
              <w:rPr>
                <w:rFonts w:hint="eastAsia"/>
                <w:color w:val="auto"/>
                <w:highlight w:val="none"/>
              </w:rPr>
              <w:t>四、▲服务质量：服务质量确保符合国家或专业的现行质量检验评定标准的规定及合同约定服务质量标准，并达到约定质量的验评标准。</w:t>
            </w:r>
          </w:p>
          <w:p w14:paraId="19E48F3D">
            <w:pPr>
              <w:numPr>
                <w:ilvl w:val="0"/>
                <w:numId w:val="4"/>
              </w:numPr>
              <w:spacing w:line="400" w:lineRule="exact"/>
              <w:rPr>
                <w:color w:val="auto"/>
                <w:highlight w:val="none"/>
              </w:rPr>
            </w:pPr>
            <w:r>
              <w:rPr>
                <w:rFonts w:hint="eastAsia"/>
                <w:color w:val="auto"/>
                <w:highlight w:val="none"/>
              </w:rPr>
              <w:t>▲保密要求：工作过程中所使用到的相关数据、图表等资料及工作完成后提交的成果资料涉及保密要求的，均要按照《中华人民共和国保密法》及其相关条例中的保密规定进行使用。成果所有权归采购方所有，成交供应商有义务对成果保密，不得擅自截留使用和转卖或提供他人使用，违反本规定的将追还一切合同款项，情节严重按有关法律处理。</w:t>
            </w:r>
          </w:p>
          <w:p w14:paraId="7057E083">
            <w:pPr>
              <w:numPr>
                <w:ilvl w:val="0"/>
                <w:numId w:val="4"/>
              </w:numPr>
              <w:spacing w:line="400" w:lineRule="exact"/>
              <w:rPr>
                <w:color w:val="auto"/>
                <w:highlight w:val="none"/>
              </w:rPr>
            </w:pPr>
            <w:r>
              <w:rPr>
                <w:rFonts w:hint="eastAsia"/>
                <w:color w:val="auto"/>
                <w:highlight w:val="none"/>
              </w:rPr>
              <w:t>▲报价要求：</w:t>
            </w:r>
          </w:p>
          <w:p w14:paraId="764CFB1F">
            <w:pPr>
              <w:widowControl/>
              <w:shd w:val="clear" w:color="auto" w:fill="FFFFFF"/>
              <w:spacing w:line="400" w:lineRule="exact"/>
              <w:ind w:firstLine="420" w:firstLineChars="200"/>
              <w:rPr>
                <w:color w:val="auto"/>
                <w:highlight w:val="none"/>
              </w:rPr>
            </w:pPr>
            <w:r>
              <w:rPr>
                <w:rFonts w:hint="eastAsia"/>
                <w:color w:val="auto"/>
                <w:highlight w:val="none"/>
              </w:rPr>
              <w:t>1、本项目采用固定报价的方式进行报价，磋商供应商须就《第三章 项目采购需求》中全部的服务内容作完整唯一报价。</w:t>
            </w:r>
          </w:p>
          <w:p w14:paraId="024AC615">
            <w:pPr>
              <w:widowControl/>
              <w:shd w:val="clear" w:color="auto" w:fill="FFFFFF"/>
              <w:spacing w:line="400" w:lineRule="exact"/>
              <w:ind w:firstLine="420" w:firstLineChars="200"/>
              <w:rPr>
                <w:color w:val="auto"/>
                <w:highlight w:val="none"/>
              </w:rPr>
            </w:pPr>
            <w:r>
              <w:rPr>
                <w:rFonts w:hint="eastAsia"/>
                <w:color w:val="auto"/>
                <w:highlight w:val="none"/>
              </w:rPr>
              <w:t>2、报价必须含以下部分，包括：</w:t>
            </w:r>
          </w:p>
          <w:p w14:paraId="099DC3D0">
            <w:pPr>
              <w:widowControl/>
              <w:shd w:val="clear" w:color="auto" w:fill="FFFFFF"/>
              <w:spacing w:line="400" w:lineRule="exact"/>
              <w:ind w:firstLine="420" w:firstLineChars="200"/>
              <w:rPr>
                <w:color w:val="auto"/>
                <w:highlight w:val="none"/>
              </w:rPr>
            </w:pPr>
            <w:r>
              <w:rPr>
                <w:rFonts w:hint="eastAsia"/>
                <w:color w:val="auto"/>
                <w:highlight w:val="none"/>
              </w:rPr>
              <w:t>（1）服务的价格；</w:t>
            </w:r>
          </w:p>
          <w:p w14:paraId="046DAE2D">
            <w:pPr>
              <w:widowControl/>
              <w:shd w:val="clear" w:color="auto" w:fill="FFFFFF"/>
              <w:spacing w:line="400" w:lineRule="exact"/>
              <w:ind w:firstLine="420" w:firstLineChars="200"/>
              <w:rPr>
                <w:color w:val="auto"/>
                <w:highlight w:val="none"/>
              </w:rPr>
            </w:pPr>
            <w:r>
              <w:rPr>
                <w:rFonts w:hint="eastAsia"/>
                <w:color w:val="auto"/>
                <w:highlight w:val="none"/>
              </w:rPr>
              <w:t>（2）必要的保险费用和各项税金；</w:t>
            </w:r>
          </w:p>
          <w:p w14:paraId="7EBFB3E0">
            <w:pPr>
              <w:widowControl/>
              <w:shd w:val="clear" w:color="auto" w:fill="FFFFFF"/>
              <w:spacing w:line="400" w:lineRule="exact"/>
              <w:ind w:firstLine="420" w:firstLineChars="200"/>
              <w:rPr>
                <w:color w:val="auto"/>
                <w:highlight w:val="none"/>
              </w:rPr>
            </w:pPr>
            <w:r>
              <w:rPr>
                <w:rFonts w:hint="eastAsia"/>
                <w:color w:val="auto"/>
                <w:highlight w:val="none"/>
              </w:rPr>
              <w:t>（3）项目验收、评审相关的专家评审费用；</w:t>
            </w:r>
          </w:p>
          <w:p w14:paraId="1B648A85">
            <w:pPr>
              <w:widowControl/>
              <w:shd w:val="clear" w:color="auto" w:fill="FFFFFF"/>
              <w:spacing w:line="400" w:lineRule="exact"/>
              <w:ind w:firstLine="420" w:firstLineChars="200"/>
              <w:rPr>
                <w:color w:val="auto"/>
                <w:highlight w:val="none"/>
              </w:rPr>
            </w:pPr>
            <w:r>
              <w:rPr>
                <w:rFonts w:hint="eastAsia"/>
                <w:color w:val="auto"/>
                <w:highlight w:val="none"/>
              </w:rPr>
              <w:t>（4）技术支持、售后服务费用；</w:t>
            </w:r>
          </w:p>
          <w:p w14:paraId="7B22E3B5">
            <w:pPr>
              <w:widowControl/>
              <w:shd w:val="clear" w:color="auto" w:fill="FFFFFF"/>
              <w:spacing w:line="400" w:lineRule="exact"/>
              <w:ind w:firstLine="420" w:firstLineChars="200"/>
              <w:rPr>
                <w:color w:val="auto"/>
                <w:highlight w:val="none"/>
              </w:rPr>
            </w:pPr>
            <w:r>
              <w:rPr>
                <w:rFonts w:hint="eastAsia"/>
                <w:color w:val="auto"/>
                <w:highlight w:val="none"/>
              </w:rPr>
              <w:t>（5）实施和完成服务工作所需的设备、劳务、技术服务费、交通、维护、保险、办公场地、管理费、税费、利润、交通、损耗及人员劳务等费用和政策性文件规定及合同包含的所有风险、责任等各项应有的费用。</w:t>
            </w:r>
          </w:p>
          <w:p w14:paraId="04869D54">
            <w:pPr>
              <w:spacing w:line="400" w:lineRule="exact"/>
              <w:rPr>
                <w:color w:val="auto"/>
                <w:highlight w:val="none"/>
              </w:rPr>
            </w:pPr>
            <w:r>
              <w:rPr>
                <w:rFonts w:hint="eastAsia"/>
                <w:color w:val="auto"/>
                <w:highlight w:val="none"/>
              </w:rPr>
              <w:t>七、▲售后服务要求：</w:t>
            </w:r>
          </w:p>
          <w:p w14:paraId="3B4E5BAF">
            <w:pPr>
              <w:widowControl/>
              <w:shd w:val="clear" w:color="auto" w:fill="FFFFFF"/>
              <w:spacing w:line="400" w:lineRule="exact"/>
              <w:ind w:firstLine="420" w:firstLineChars="200"/>
              <w:rPr>
                <w:color w:val="auto"/>
                <w:highlight w:val="none"/>
              </w:rPr>
            </w:pPr>
            <w:r>
              <w:rPr>
                <w:rFonts w:hint="eastAsia"/>
                <w:color w:val="auto"/>
                <w:highlight w:val="none"/>
              </w:rPr>
              <w:t>1、质量保证期 1 年(自提交服务成果并验收合格之日起计) 。在质保期内，当国家标准、技术规范发生改变或出现质量问题时，中标供应商须免费修改相关内容。</w:t>
            </w:r>
          </w:p>
          <w:p w14:paraId="48201CF1">
            <w:pPr>
              <w:widowControl/>
              <w:shd w:val="clear" w:color="auto" w:fill="FFFFFF"/>
              <w:spacing w:line="400" w:lineRule="exact"/>
              <w:ind w:firstLine="420" w:firstLineChars="200"/>
              <w:rPr>
                <w:color w:val="auto"/>
                <w:highlight w:val="none"/>
              </w:rPr>
            </w:pPr>
            <w:r>
              <w:rPr>
                <w:rFonts w:hint="eastAsia"/>
                <w:color w:val="auto"/>
                <w:highlight w:val="none"/>
              </w:rPr>
              <w:t>2、处理问题响应时间：接到采购人处理问题通知后 5 小时内到达采购人指定现场，24 小时内提出解决方案，3个工作日内完成问题处理。</w:t>
            </w:r>
          </w:p>
          <w:p w14:paraId="130337A0">
            <w:pPr>
              <w:spacing w:line="400" w:lineRule="exact"/>
              <w:rPr>
                <w:color w:val="auto"/>
                <w:highlight w:val="none"/>
              </w:rPr>
            </w:pPr>
            <w:r>
              <w:rPr>
                <w:rFonts w:hint="eastAsia"/>
                <w:color w:val="auto"/>
                <w:highlight w:val="none"/>
              </w:rPr>
              <w:t>八、▲付款方式：</w:t>
            </w:r>
          </w:p>
          <w:p w14:paraId="375D770F">
            <w:pPr>
              <w:spacing w:line="400" w:lineRule="exact"/>
              <w:ind w:firstLine="420" w:firstLineChars="200"/>
              <w:rPr>
                <w:rFonts w:hint="eastAsia"/>
                <w:color w:val="auto"/>
                <w:highlight w:val="none"/>
              </w:rPr>
            </w:pPr>
            <w:r>
              <w:rPr>
                <w:rFonts w:hint="eastAsia"/>
                <w:color w:val="auto"/>
                <w:highlight w:val="none"/>
              </w:rPr>
              <w:t>（1）合同签订后10个工作日内，采购人向成交供应商支付合同总价30%作为预付款；</w:t>
            </w:r>
          </w:p>
          <w:p w14:paraId="5555E66D">
            <w:pPr>
              <w:spacing w:line="400" w:lineRule="exact"/>
              <w:ind w:firstLine="420" w:firstLineChars="200"/>
              <w:rPr>
                <w:rFonts w:hint="eastAsia"/>
                <w:color w:val="auto"/>
                <w:highlight w:val="none"/>
              </w:rPr>
            </w:pPr>
            <w:r>
              <w:rPr>
                <w:rFonts w:hint="eastAsia"/>
                <w:color w:val="auto"/>
                <w:highlight w:val="none"/>
              </w:rPr>
              <w:t>（2）完成项目总工作量的70%后，采购人向成交供应商支付合同总价的30%；</w:t>
            </w:r>
          </w:p>
          <w:p w14:paraId="6C4C8FA9">
            <w:pPr>
              <w:spacing w:line="400" w:lineRule="exact"/>
              <w:ind w:firstLine="420" w:firstLineChars="200"/>
              <w:rPr>
                <w:rFonts w:hint="eastAsia"/>
                <w:color w:val="auto"/>
                <w:highlight w:val="none"/>
              </w:rPr>
            </w:pPr>
            <w:r>
              <w:rPr>
                <w:rFonts w:hint="eastAsia"/>
                <w:color w:val="auto"/>
                <w:highlight w:val="none"/>
              </w:rPr>
              <w:t>（3）成交供应商完成成果，并通过市级论证后10个工作日内，采购人向成交供应商支付合同总价的30%；</w:t>
            </w:r>
          </w:p>
          <w:p w14:paraId="3975FDD0">
            <w:pPr>
              <w:spacing w:line="400" w:lineRule="exact"/>
              <w:ind w:firstLine="420" w:firstLineChars="200"/>
              <w:rPr>
                <w:rFonts w:hint="eastAsia"/>
                <w:color w:val="auto"/>
                <w:highlight w:val="none"/>
              </w:rPr>
            </w:pPr>
            <w:r>
              <w:rPr>
                <w:rFonts w:hint="eastAsia"/>
                <w:color w:val="auto"/>
                <w:highlight w:val="none"/>
              </w:rPr>
              <w:t>（4）最终通过各级部门评审合格后支付尾款；</w:t>
            </w:r>
          </w:p>
          <w:p w14:paraId="015A235E">
            <w:pPr>
              <w:spacing w:line="400" w:lineRule="exact"/>
              <w:ind w:firstLine="420" w:firstLineChars="200"/>
              <w:rPr>
                <w:color w:val="auto"/>
                <w:highlight w:val="none"/>
              </w:rPr>
            </w:pPr>
            <w:r>
              <w:rPr>
                <w:rFonts w:hint="eastAsia"/>
                <w:color w:val="auto"/>
                <w:highlight w:val="none"/>
              </w:rPr>
              <w:t>（5）成交供应商按规定向采购人开具正式发票。</w:t>
            </w:r>
          </w:p>
          <w:p w14:paraId="7A0B76A8">
            <w:pPr>
              <w:pStyle w:val="41"/>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九、▲验收要求：</w:t>
            </w:r>
          </w:p>
          <w:p w14:paraId="5FCA7B87">
            <w:pPr>
              <w:pStyle w:val="41"/>
              <w:ind w:firstLine="420" w:firstLineChars="200"/>
              <w:rPr>
                <w:rFonts w:hint="eastAsia"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1.采购人或委托的第三方根据签定的合同和国家或所属地区有关政策标准对成交供应商提供的服务进行验收。</w:t>
            </w:r>
          </w:p>
          <w:p w14:paraId="4CA07CB3">
            <w:pPr>
              <w:pStyle w:val="41"/>
              <w:ind w:firstLine="420" w:firstLineChars="200"/>
              <w:rPr>
                <w:rFonts w:hint="eastAsia"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2.成交供应商在验收前应对所提供的服务作出全面检查和对验收文件进行整理，并列出清单，作为采购人验收的依据之一。成交供应商不能按规定交付相关材料，导致采购人无法确认成交供应商服务结果的，必须负责补齐，否则视为未按合同约定交付服务。</w:t>
            </w:r>
          </w:p>
          <w:p w14:paraId="2C1659BF">
            <w:pPr>
              <w:pStyle w:val="41"/>
              <w:ind w:firstLine="420" w:firstLineChars="200"/>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3.未尽事宜严格按照《关于印发广西壮族自治区政府采购项目履约验收管理办法的通知》[桂财采〔2015〕22号]以及《财政部关于进一步加强政府采购需求和履约验收管理的指导意见》[财库〔2016〕205 号]规定执行。</w:t>
            </w:r>
          </w:p>
          <w:p w14:paraId="739DB2A7">
            <w:pPr>
              <w:spacing w:line="400" w:lineRule="exact"/>
              <w:rPr>
                <w:color w:val="auto"/>
                <w:highlight w:val="none"/>
              </w:rPr>
            </w:pPr>
            <w:r>
              <w:rPr>
                <w:rFonts w:hint="eastAsia"/>
                <w:color w:val="auto"/>
                <w:highlight w:val="none"/>
              </w:rPr>
              <w:t>十、其他要求：</w:t>
            </w:r>
          </w:p>
          <w:p w14:paraId="03DB9FB7">
            <w:pPr>
              <w:spacing w:line="400" w:lineRule="exact"/>
              <w:ind w:firstLine="420" w:firstLineChars="200"/>
              <w:rPr>
                <w:color w:val="auto"/>
                <w:highlight w:val="none"/>
              </w:rPr>
            </w:pPr>
            <w:r>
              <w:rPr>
                <w:rFonts w:hint="eastAsia"/>
                <w:color w:val="auto"/>
                <w:highlight w:val="none"/>
              </w:rPr>
              <w:t>1.采购人在中华人民共和国境内使用供应商提供的成果时免受第三方提出的侵犯其专利权或其它知识产权的起诉。如果第三方提出侵权指控，成交供应商应承担由此而引起的一切法律责任和费用。</w:t>
            </w:r>
          </w:p>
          <w:p w14:paraId="1B8AEA74">
            <w:pPr>
              <w:spacing w:line="400" w:lineRule="exact"/>
              <w:ind w:firstLine="420" w:firstLineChars="200"/>
              <w:rPr>
                <w:color w:val="auto"/>
                <w:highlight w:val="none"/>
              </w:rPr>
            </w:pPr>
            <w:r>
              <w:rPr>
                <w:rFonts w:hint="eastAsia"/>
                <w:color w:val="auto"/>
                <w:highlight w:val="none"/>
              </w:rPr>
              <w:t>2.成交后，若成交供应商所供产品及售后服务不按竞争性磋商文件要求履约的，将按照《中华人民共和国政府采购法》及其实施条例等有关规定严肃处理。</w:t>
            </w:r>
          </w:p>
          <w:p w14:paraId="3B5115BE">
            <w:pPr>
              <w:spacing w:line="400" w:lineRule="exact"/>
              <w:ind w:firstLine="420" w:firstLineChars="200"/>
              <w:rPr>
                <w:color w:val="auto"/>
                <w:highlight w:val="none"/>
              </w:rPr>
            </w:pPr>
            <w:r>
              <w:rPr>
                <w:rFonts w:hint="eastAsia"/>
                <w:color w:val="auto"/>
                <w:highlight w:val="none"/>
              </w:rPr>
              <w:t>3. 供应商须对业主提供的资料及完成的成果进行保密，不经业主同意，不对外公布和透露项目相关信息和资料。</w:t>
            </w:r>
          </w:p>
        </w:tc>
      </w:tr>
    </w:tbl>
    <w:p w14:paraId="36F166AA">
      <w:pPr>
        <w:pStyle w:val="18"/>
        <w:jc w:val="left"/>
        <w:rPr>
          <w:rFonts w:hAnsi="宋体" w:cs="宋体"/>
          <w:color w:val="auto"/>
          <w:sz w:val="32"/>
          <w:szCs w:val="32"/>
          <w:highlight w:val="none"/>
        </w:rPr>
      </w:pPr>
    </w:p>
    <w:p w14:paraId="65FC4C9D">
      <w:pPr>
        <w:pStyle w:val="18"/>
        <w:jc w:val="left"/>
        <w:rPr>
          <w:rFonts w:hAnsi="宋体" w:cs="宋体"/>
          <w:color w:val="auto"/>
          <w:sz w:val="32"/>
          <w:szCs w:val="32"/>
          <w:highlight w:val="none"/>
        </w:rPr>
      </w:pPr>
    </w:p>
    <w:p w14:paraId="1B142078">
      <w:pPr>
        <w:pStyle w:val="18"/>
        <w:jc w:val="left"/>
        <w:rPr>
          <w:rFonts w:hAnsi="宋体" w:cs="宋体"/>
          <w:color w:val="auto"/>
          <w:sz w:val="32"/>
          <w:szCs w:val="32"/>
          <w:highlight w:val="none"/>
        </w:rPr>
      </w:pPr>
    </w:p>
    <w:p w14:paraId="6E2E519D">
      <w:pPr>
        <w:pStyle w:val="18"/>
        <w:jc w:val="left"/>
        <w:rPr>
          <w:rFonts w:hAnsi="宋体" w:cs="宋体"/>
          <w:color w:val="auto"/>
          <w:sz w:val="32"/>
          <w:szCs w:val="32"/>
          <w:highlight w:val="none"/>
        </w:rPr>
      </w:pPr>
    </w:p>
    <w:p w14:paraId="01FDF2D1">
      <w:pPr>
        <w:pStyle w:val="18"/>
        <w:jc w:val="left"/>
        <w:rPr>
          <w:rFonts w:hAnsi="宋体" w:cs="宋体"/>
          <w:color w:val="auto"/>
          <w:sz w:val="32"/>
          <w:szCs w:val="32"/>
          <w:highlight w:val="none"/>
        </w:rPr>
      </w:pPr>
    </w:p>
    <w:p w14:paraId="0658FC4B">
      <w:pPr>
        <w:pStyle w:val="18"/>
        <w:jc w:val="left"/>
        <w:rPr>
          <w:rFonts w:hAnsi="宋体" w:cs="宋体"/>
          <w:color w:val="auto"/>
          <w:sz w:val="32"/>
          <w:szCs w:val="32"/>
          <w:highlight w:val="none"/>
        </w:rPr>
      </w:pPr>
    </w:p>
    <w:p w14:paraId="1ED37DDA">
      <w:pPr>
        <w:pStyle w:val="18"/>
        <w:jc w:val="left"/>
        <w:rPr>
          <w:rFonts w:hAnsi="宋体" w:cs="宋体"/>
          <w:color w:val="auto"/>
          <w:sz w:val="32"/>
          <w:szCs w:val="32"/>
          <w:highlight w:val="none"/>
        </w:rPr>
      </w:pPr>
    </w:p>
    <w:p w14:paraId="3898D85D">
      <w:pPr>
        <w:rPr>
          <w:rFonts w:hAnsi="宋体" w:cs="宋体"/>
          <w:color w:val="auto"/>
          <w:sz w:val="32"/>
          <w:szCs w:val="32"/>
          <w:highlight w:val="none"/>
        </w:rPr>
      </w:pPr>
    </w:p>
    <w:p w14:paraId="350D2BDC">
      <w:pPr>
        <w:pStyle w:val="2"/>
        <w:rPr>
          <w:rFonts w:hAnsi="宋体" w:cs="宋体"/>
          <w:color w:val="auto"/>
          <w:sz w:val="32"/>
          <w:szCs w:val="32"/>
          <w:highlight w:val="none"/>
        </w:rPr>
      </w:pPr>
    </w:p>
    <w:p w14:paraId="32CCB4C9">
      <w:pPr>
        <w:pStyle w:val="2"/>
        <w:rPr>
          <w:rFonts w:hAnsi="宋体" w:cs="宋体"/>
          <w:color w:val="auto"/>
          <w:sz w:val="32"/>
          <w:szCs w:val="32"/>
          <w:highlight w:val="none"/>
        </w:rPr>
      </w:pPr>
    </w:p>
    <w:p w14:paraId="02F210A8">
      <w:pPr>
        <w:pStyle w:val="2"/>
        <w:rPr>
          <w:rFonts w:hAnsi="宋体" w:cs="宋体"/>
          <w:color w:val="auto"/>
          <w:sz w:val="32"/>
          <w:szCs w:val="32"/>
          <w:highlight w:val="none"/>
        </w:rPr>
      </w:pPr>
    </w:p>
    <w:p w14:paraId="73625B71">
      <w:pPr>
        <w:pStyle w:val="2"/>
        <w:rPr>
          <w:rFonts w:hAnsi="宋体" w:cs="宋体"/>
          <w:color w:val="auto"/>
          <w:sz w:val="32"/>
          <w:szCs w:val="32"/>
          <w:highlight w:val="none"/>
        </w:rPr>
      </w:pPr>
    </w:p>
    <w:p w14:paraId="13312F8C">
      <w:pPr>
        <w:pStyle w:val="2"/>
        <w:rPr>
          <w:rFonts w:hAnsi="宋体" w:cs="宋体"/>
          <w:color w:val="auto"/>
          <w:sz w:val="32"/>
          <w:szCs w:val="32"/>
          <w:highlight w:val="none"/>
        </w:rPr>
      </w:pPr>
    </w:p>
    <w:p w14:paraId="4EEB82E3">
      <w:pPr>
        <w:pStyle w:val="2"/>
        <w:rPr>
          <w:rFonts w:hAnsi="宋体" w:cs="宋体"/>
          <w:color w:val="auto"/>
          <w:sz w:val="32"/>
          <w:szCs w:val="32"/>
          <w:highlight w:val="none"/>
        </w:rPr>
      </w:pPr>
    </w:p>
    <w:p w14:paraId="080A074D">
      <w:pPr>
        <w:pStyle w:val="2"/>
        <w:rPr>
          <w:rFonts w:hAnsi="宋体" w:cs="宋体"/>
          <w:color w:val="auto"/>
          <w:sz w:val="32"/>
          <w:szCs w:val="32"/>
          <w:highlight w:val="none"/>
        </w:rPr>
      </w:pPr>
    </w:p>
    <w:p w14:paraId="3F51261B">
      <w:pPr>
        <w:pStyle w:val="2"/>
        <w:ind w:firstLine="0"/>
        <w:rPr>
          <w:rFonts w:hAnsi="宋体" w:cs="宋体"/>
          <w:color w:val="auto"/>
          <w:sz w:val="32"/>
          <w:szCs w:val="32"/>
          <w:highlight w:val="none"/>
        </w:rPr>
      </w:pPr>
    </w:p>
    <w:p w14:paraId="328FCBEF">
      <w:pPr>
        <w:pStyle w:val="18"/>
        <w:jc w:val="left"/>
        <w:rPr>
          <w:rFonts w:hAnsi="宋体" w:cs="宋体"/>
          <w:color w:val="auto"/>
          <w:sz w:val="32"/>
          <w:szCs w:val="32"/>
          <w:highlight w:val="none"/>
        </w:rPr>
      </w:pPr>
    </w:p>
    <w:p w14:paraId="518F5FCF">
      <w:pPr>
        <w:pStyle w:val="18"/>
        <w:jc w:val="left"/>
        <w:rPr>
          <w:rFonts w:hAnsi="宋体" w:cs="宋体"/>
          <w:color w:val="auto"/>
          <w:sz w:val="32"/>
          <w:szCs w:val="32"/>
          <w:highlight w:val="none"/>
        </w:rPr>
      </w:pPr>
      <w:r>
        <w:rPr>
          <w:rFonts w:hint="eastAsia" w:hAnsi="宋体" w:cs="宋体"/>
          <w:color w:val="auto"/>
          <w:sz w:val="32"/>
          <w:szCs w:val="32"/>
          <w:highlight w:val="none"/>
        </w:rPr>
        <w:t>附件1：</w:t>
      </w:r>
    </w:p>
    <w:p w14:paraId="045B7171">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2"/>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464FFE00">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31BA0C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15F3593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33B18C6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3D64694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5028313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0F51C6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163EA7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05D02AA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1E003A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C3D7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93FF0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4E6F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0B12F5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E4D8C2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12767F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7FCC75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1C58D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2C380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1146F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813E5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CC368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0079DB3">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F399F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A75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CD90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2C3B8C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03828F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29464E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F53BCB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3A7CA2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770F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9A1F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47C7A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5186FC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074B0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1F0A38D">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7BF2E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C6F07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A780E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1ACB9C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04AC2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915E51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5D624D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3350D3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EC25B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14334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4A53C8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0B2D04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08F39D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80304E4">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6DF6E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4A3DB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D1A1C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2DCF33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0101E3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593E3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1AB2C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2ECD60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F073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E8309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041972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5F3DEC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28F07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58744EC">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16C0A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8DC62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9C1DF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D9A1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4A933A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78B6C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69D79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1246D6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A7AE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5DC63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2E874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ACC58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412D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E08AA24">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D73E3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E1BC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FFF7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25CDC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627D55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16BF02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8768C1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06EA6F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CF22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76870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6CA1CB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15FB36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89422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4E8889F">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7CDF2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E402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4F73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6317F9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9BCDD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4921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5BC7C4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4AF9B2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84FFC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F961B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1CA350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0463A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EE369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A3BDCC">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DB517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758FB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BAD4A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0218C3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B1677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E17E5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8B1A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216850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D224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DE0A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EB63D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05EF4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EE03C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6B98A3B">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6F8C8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121A9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6B7B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5D5F5D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E9C9A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B8956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E12B31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5E6C76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20EF3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2A5EA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23100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EE01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7FA28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14857BF">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F5B37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7089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5F7C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343D0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BA03E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FA5BB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48B6A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238D8F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8D51D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2D8A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7C4DBF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DB95B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4C36E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19E0C85">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75320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B096A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357F5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6083E5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F152C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B72C1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8E3081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48BB5C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6DF94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A4133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26102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EBA00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7BFE9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22E45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B9DC4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E7DC5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A1FF6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073358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57D87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4181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0E35FE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4DE38B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D6C3C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C51CD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5956F9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8A071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8B2742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21F4FC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64364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2733D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A157C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154484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00A72E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E3C214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11FB3B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183E89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2233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CEBEF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25A7D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748430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149A06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3D67232">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4E7BF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A016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D984E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371036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3F8F7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C86FD3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09B04A2">
            <w:pPr>
              <w:widowControl/>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560D68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B6874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1383E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5CC6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DE02F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DE9A5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1AE45A2">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5B239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14E57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58A6E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4AC570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1382E6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43A13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39D3424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78A2C6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95EC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D9028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E7505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A7165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C8D104E">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color w:val="auto"/>
          <w:szCs w:val="21"/>
          <w:highlight w:val="none"/>
        </w:rPr>
        <w:tab/>
      </w:r>
      <w:r>
        <w:rPr>
          <w:rFonts w:hint="eastAsia" w:ascii="宋体" w:hAnsi="宋体" w:cs="宋体"/>
          <w:color w:val="auto"/>
          <w:szCs w:val="21"/>
          <w:highlight w:val="none"/>
        </w:rPr>
        <w:t>。</w:t>
      </w:r>
    </w:p>
    <w:p w14:paraId="6AB738E8">
      <w:pPr>
        <w:tabs>
          <w:tab w:val="left" w:pos="180"/>
          <w:tab w:val="left" w:pos="1620"/>
        </w:tabs>
        <w:spacing w:line="440" w:lineRule="exact"/>
        <w:ind w:firstLine="480" w:firstLineChars="200"/>
        <w:rPr>
          <w:rFonts w:ascii="宋体" w:hAnsi="宋体" w:cs="宋体"/>
          <w:color w:val="auto"/>
          <w:sz w:val="24"/>
          <w:highlight w:val="none"/>
        </w:rPr>
      </w:pPr>
    </w:p>
    <w:p w14:paraId="120EFB71">
      <w:pPr>
        <w:pStyle w:val="31"/>
        <w:ind w:firstLine="480"/>
        <w:rPr>
          <w:rFonts w:ascii="宋体" w:hAnsi="宋体" w:eastAsia="宋体" w:cs="宋体"/>
          <w:color w:val="auto"/>
          <w:sz w:val="24"/>
          <w:highlight w:val="none"/>
        </w:rPr>
      </w:pPr>
    </w:p>
    <w:p w14:paraId="63D0EBC0">
      <w:pPr>
        <w:pStyle w:val="4"/>
        <w:jc w:val="center"/>
        <w:rPr>
          <w:rFonts w:ascii="宋体" w:hAnsi="宋体" w:cs="宋体"/>
          <w:color w:val="auto"/>
          <w:highlight w:val="none"/>
        </w:rPr>
      </w:pPr>
      <w:bookmarkStart w:id="68" w:name="_Toc24265"/>
      <w:bookmarkStart w:id="69" w:name="_Toc489"/>
      <w:r>
        <w:rPr>
          <w:rFonts w:hint="eastAsia" w:ascii="宋体" w:hAnsi="宋体" w:cs="宋体"/>
          <w:color w:val="auto"/>
          <w:highlight w:val="none"/>
        </w:rPr>
        <w:t>第四章  评审程序、评审方法和评审标准</w:t>
      </w:r>
      <w:bookmarkEnd w:id="68"/>
      <w:bookmarkEnd w:id="69"/>
    </w:p>
    <w:p w14:paraId="60F10C7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1A7780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758D72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1.1响应文件开启后，磋商小组依法对供应商的资格证明文件进行审查。</w:t>
      </w:r>
    </w:p>
    <w:p w14:paraId="4E632210">
      <w:pPr>
        <w:spacing w:line="360" w:lineRule="auto"/>
        <w:rPr>
          <w:rFonts w:ascii="宋体" w:hAnsi="宋体" w:cs="宋体"/>
          <w:color w:val="auto"/>
          <w:sz w:val="24"/>
          <w:highlight w:val="none"/>
        </w:rPr>
      </w:pPr>
      <w:r>
        <w:rPr>
          <w:rFonts w:hint="eastAsia" w:ascii="宋体" w:hAnsi="宋体" w:cs="宋体"/>
          <w:color w:val="auto"/>
          <w:sz w:val="24"/>
          <w:highlight w:val="none"/>
        </w:rPr>
        <w:t>注：资格审查小组在资格审查结束前，对供应商进行信用查询。</w:t>
      </w:r>
    </w:p>
    <w:p w14:paraId="4C1E8C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（1）查询渠道：“广西政府采购云平台”平台“信用中国”网站(www.creditchina.gov.cn)、中国政府采购网(www.ccgp.gov.cn)链接入口。</w:t>
      </w:r>
    </w:p>
    <w:p w14:paraId="4AF9C4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（2）信用查询截止时点：资格审查结束前。</w:t>
      </w:r>
    </w:p>
    <w:p w14:paraId="6AEED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（3）查询记录和证据留存方式：在查询网站中直接查询，截图另存为电子文档作为评审资料保存。</w:t>
      </w:r>
    </w:p>
    <w:p w14:paraId="6865E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9AC3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1.2资格审查标准为本磋商文件中载明对供应商资格要求的条件。资格审查采用合格制，凡符合磋商文件规定的供应商资格要求的响应文件均通过资格审查。</w:t>
      </w:r>
    </w:p>
    <w:p w14:paraId="4DF41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1.3供应商有下列情形之一的，资格审查不通过，其响应文件按无效响应处理：</w:t>
      </w:r>
    </w:p>
    <w:p w14:paraId="2789F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（1）不具备磋商文件中规定的资格要求的；</w:t>
      </w:r>
    </w:p>
    <w:p w14:paraId="720FB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（2）响应文件未提供任一项“供应商须知前附表”资格证明文件规定的“必须提供”的文件资料的；</w:t>
      </w:r>
    </w:p>
    <w:p w14:paraId="5FA73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（3）响应文件提供的资格证明文件出现任一项不符合“供应商须知前附表”资格证明文件规定的“必须提供”的文件资料要求或者无效的。</w:t>
      </w:r>
    </w:p>
    <w:p w14:paraId="2CAFD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1.4通过资格审查的合格供应商不足3家的，不得进入符合性审查环节，采购人或者采购代理机构应当重新开展采购活动。</w:t>
      </w:r>
    </w:p>
    <w:p w14:paraId="71AA52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2E28B6C0">
      <w:pPr>
        <w:spacing w:line="360" w:lineRule="auto"/>
        <w:ind w:firstLine="480" w:firstLineChars="200"/>
        <w:rPr>
          <w:rFonts w:ascii="宋体" w:hAnsi="宋体" w:cs="宋体"/>
          <w:color w:val="auto"/>
          <w:sz w:val="24"/>
          <w:highlight w:val="none"/>
        </w:rPr>
      </w:pPr>
      <w:bookmarkStart w:id="70" w:name="_Hlk42528882"/>
      <w:r>
        <w:rPr>
          <w:rFonts w:hint="eastAsia" w:ascii="宋体" w:hAnsi="宋体" w:cs="宋体"/>
          <w:color w:val="auto"/>
          <w:sz w:val="24"/>
          <w:highlight w:val="none"/>
        </w:rPr>
        <w:t>2.1由磋商小组对通过资格审查的合格供应商的响应文件的竞标报价、商务、技术等实质性要求进行符合性审查，以确定其是否满足磋商文件的实质性要求。</w:t>
      </w:r>
    </w:p>
    <w:bookmarkEnd w:id="70"/>
    <w:p w14:paraId="6AF7C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EED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 w:val="24"/>
          <w:highlight w:val="none"/>
        </w:rPr>
        <w:t>若委托代理人不是响应文件中授权的委托代理人时，必须同时出示有效的法定代表人授权委托书原件</w:t>
      </w:r>
      <w:r>
        <w:rPr>
          <w:rFonts w:hint="eastAsia" w:ascii="宋体" w:hAnsi="宋体" w:cs="宋体"/>
          <w:color w:val="auto"/>
          <w:sz w:val="24"/>
          <w:highlight w:val="none"/>
        </w:rPr>
        <w:t>。供应商为自然人的，必须由本人签字并附身份证明。</w:t>
      </w:r>
    </w:p>
    <w:p w14:paraId="0E2130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2.4首次响应文件报价出现前后不一致的，按照下列规定修正： </w:t>
      </w:r>
    </w:p>
    <w:p w14:paraId="2A439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（1）响应文件中报价表内容与响应文件中相应内容不一致的，以报价表为准；</w:t>
      </w:r>
    </w:p>
    <w:p w14:paraId="7DB55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31F09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（3）单价金额小数点或者百分比有明显错位的，以报价表的总价为准，并修改单价；</w:t>
      </w:r>
    </w:p>
    <w:p w14:paraId="76DBC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84EE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同时出现两种以上不一致的，按照以上（1）-（4）规定的顺序逐条进行修正。修正后的报价经供应商确认后产生约束力，供应商不确认的，其响应文件按无效响应处理。</w:t>
      </w:r>
    </w:p>
    <w:p w14:paraId="3642A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2.5商务技术报价评审</w:t>
      </w:r>
    </w:p>
    <w:p w14:paraId="36150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在评审时，如发现下列情形之一的，将被视为响应文件无效处理：</w:t>
      </w:r>
    </w:p>
    <w:p w14:paraId="5FA82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（1）商务技术评审</w:t>
      </w:r>
    </w:p>
    <w:p w14:paraId="51381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1）响应文件未按磋商文件要求签署、盖章；</w:t>
      </w:r>
    </w:p>
    <w:p w14:paraId="6FC4C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6BD8B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3）商务条款中标“▲”的条款发生负偏离的或者允许负偏离的条款数超过“供应商须知前附表”规定项数的或者标明实质性的要求发生负偏离；</w:t>
      </w:r>
    </w:p>
    <w:p w14:paraId="7378C1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4）未对竞标有效期作出响应或者响应文件承诺的竞标有效期不满足磋商文件要求；</w:t>
      </w:r>
    </w:p>
    <w:p w14:paraId="7AAB2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5）响应文件的实质性内容未使用中文表述、使用计量单位不符合磋商文件要求；</w:t>
      </w:r>
    </w:p>
    <w:p w14:paraId="13872E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6）响应文件中的文件资料因填写不齐全或者内容虚假或者出现其他情形而导致被磋商小组认定无效；</w:t>
      </w:r>
    </w:p>
    <w:p w14:paraId="44139A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7）响应文件含有采购人不能接受的附加条件；</w:t>
      </w:r>
    </w:p>
    <w:p w14:paraId="3F263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8）属于“供应商须知正文”第7.5条情形；</w:t>
      </w:r>
    </w:p>
    <w:p w14:paraId="3820E7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9）明显不满足磋商文件要求的技术规格、安全、质量标准，或者与磋商文件中标“▲”的技术需求或者标明实质性的要求发生负偏离；</w:t>
      </w:r>
    </w:p>
    <w:p w14:paraId="6169DE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10）技术需求允许负偏离的条款数超过“供应商须知前附表”规定项数；</w:t>
      </w:r>
    </w:p>
    <w:p w14:paraId="357DF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11）竞标技术方案不明确，磋商文件未允许但响应文件中存在一个或者一个以上备选（替代）竞标方案；</w:t>
      </w:r>
    </w:p>
    <w:p w14:paraId="3B80D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12）未响应磋商文件实质性要求；</w:t>
      </w:r>
    </w:p>
    <w:p w14:paraId="58844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13）法律、法规和磋商文件规定的其他无效情形。</w:t>
      </w:r>
    </w:p>
    <w:p w14:paraId="653E95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（2）报价评审</w:t>
      </w:r>
    </w:p>
    <w:p w14:paraId="2CEBA6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响应文件未提供“供应商须知前附表” 报价商务技术文件中规定的“竞标报价表”；</w:t>
      </w:r>
    </w:p>
    <w:p w14:paraId="674FC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w:t>
      </w:r>
    </w:p>
    <w:p w14:paraId="7B6F8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122B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4）竞标报价（包含首次报价、最后报价）超过所竞标分标规定的采购预算金额或者最高限价的（如本项目公布了最高限价）；</w:t>
      </w:r>
      <w:bookmarkStart w:id="71" w:name="_Hlk42596405"/>
      <w:r>
        <w:rPr>
          <w:rFonts w:hint="eastAsia" w:ascii="宋体" w:hAnsi="宋体" w:cs="宋体"/>
          <w:color w:val="auto"/>
          <w:sz w:val="24"/>
          <w:highlight w:val="none"/>
        </w:rPr>
        <w:t>竞标报价（包含首次报价、最后报价）</w:t>
      </w:r>
      <w:bookmarkEnd w:id="71"/>
      <w:bookmarkStart w:id="72" w:name="_Hlk42596276"/>
      <w:r>
        <w:rPr>
          <w:rFonts w:hint="eastAsia" w:ascii="宋体" w:hAnsi="宋体" w:cs="宋体"/>
          <w:color w:val="auto"/>
          <w:sz w:val="24"/>
          <w:highlight w:val="none"/>
        </w:rPr>
        <w:t>超过磋商文件分项采购预算金额或者最高限价的</w:t>
      </w:r>
      <w:bookmarkEnd w:id="72"/>
      <w:r>
        <w:rPr>
          <w:rFonts w:hint="eastAsia" w:ascii="宋体" w:hAnsi="宋体" w:cs="宋体"/>
          <w:color w:val="auto"/>
          <w:sz w:val="24"/>
          <w:highlight w:val="none"/>
        </w:rPr>
        <w:t>（如本项目公布了最高限价）；</w:t>
      </w:r>
    </w:p>
    <w:p w14:paraId="2C9FC7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8B32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5CE8E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2.7通过符合性审查的合格供应商不足3家的，不得进入磋商环节，采购人或者采购代理机构应当重新开展采购活动。</w:t>
      </w:r>
    </w:p>
    <w:p w14:paraId="6D4B9B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089AB2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3.1磋商的程序</w:t>
      </w:r>
    </w:p>
    <w:p w14:paraId="31C97E9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（1）在磋商开始时间截止后30分钟内由各供应商自行对磋商响应文件进行解密；</w:t>
      </w:r>
    </w:p>
    <w:p w14:paraId="1A0A623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（2）由资格审查小组对供应商进行资格审查；</w:t>
      </w:r>
    </w:p>
    <w:p w14:paraId="1B65A48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（3）由磋商小组对通过资格审查的供应商进行符合性审查，审查结束后，在线通知无效磋商供应商磋商响应文件无效理由，有效磋商供应商进入磋商程序。</w:t>
      </w:r>
    </w:p>
    <w:p w14:paraId="2565A7C3">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（4）系统对各供应商的商务技术进行汇总；</w:t>
      </w:r>
    </w:p>
    <w:p w14:paraId="47E199B7">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（5）磋商小组所有成员应当集中与单一供应商分别进行在线磋商，并给予所有参加磋商的供应商平等的磋商机会。</w:t>
      </w:r>
    </w:p>
    <w:p w14:paraId="34D2CBF6">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6）当磋商小组一致确定供应商的竞争性磋商响应文件能够详细列明采购标的的技术、服务要求且符合竞争性磋商文件要求，无需再磋商的，磋商小组按磋商评审标准确定成交候选供应商。第一轮磋商后竞争性磋商文件有实质性变动或仍需磋商的，磋商小组对竞争性磋商文件变动或提出磋商意见后进行第二轮磋商。</w:t>
      </w:r>
    </w:p>
    <w:p w14:paraId="15E764F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3.2竞争性磋商文件变动</w:t>
      </w:r>
    </w:p>
    <w:p w14:paraId="69197EAB">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21D5AA3">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对竞争性磋商文件作出的实质性变动是竞争性磋商文件的有效组成部分，磋商小组应当在询标规定时间内及时通知所有参加磋商的供应商，并要求供应商做出响应（需盖 CA 电子签章）。</w:t>
      </w:r>
    </w:p>
    <w:p w14:paraId="0B2AE40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3.3第二轮磋商</w:t>
      </w:r>
    </w:p>
    <w:p w14:paraId="0779A41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3.3.1磋商小组集中就重新提交的响应材料或磋商小组提出的磋商意见与单一响应供应商分别进行在线磋商。</w:t>
      </w:r>
    </w:p>
    <w:p w14:paraId="60993397">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3.3.2磋商后，在询标规定时间内供应商根据磋商小组统一整理的磋商记录要求做出承诺（需盖 CA 电子签章）。</w:t>
      </w:r>
    </w:p>
    <w:p w14:paraId="705CFFE5">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3.3.3当磋商小组一致确定供应商的竞争性磋商响应文件能够详细列明采购标的的技术、服务要求且符合竞争性磋商文件要求，无需再磋商的，磋商小组按 磋商评审标准确定成交候选供应商。第二轮磋商后竞争性磋商文件仍有实质性变动的或仍需磋商的，磋商小组对竞争性磋商文件变动或提出磋商意见后进行第三轮磋商。以此类推。</w:t>
      </w:r>
    </w:p>
    <w:p w14:paraId="3AD1DE7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3.3.4特别说明</w:t>
      </w:r>
    </w:p>
    <w:p w14:paraId="204F5E6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（1）广西政府采购云平台公司如对电子化开标及评审程序有调整的，按调整后的程序操作。</w:t>
      </w:r>
    </w:p>
    <w:p w14:paraId="1FE58EF4">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（2）磋商评审在严格保密的情况下进行，磋商的任何一方不得透露与磋商有关的其他供应商的技术资料、价格和其他信息。</w:t>
      </w:r>
    </w:p>
    <w:p w14:paraId="44A9F1F2">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（3）电子磋商过程中需要供应商在线确认的所有内容，供应商不予确认的应说明理由，超过规定时间未确认的，将被视为放弃确认或者无异议。</w:t>
      </w:r>
    </w:p>
    <w:p w14:paraId="46B39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澄清问题的形式：对响应文件中含义不明确、同类问题表述不一致或者有明显文字和计算错误的内容，磋商小组可要求供应商作出必要的澄清、说明或者纠正，供应商应在询标规定时间内进行澄清或说明（需盖 CA 电子签章），并不得超出采购文件的范围或者改变磋商响应文件的实质性内容。</w:t>
      </w:r>
    </w:p>
    <w:p w14:paraId="73127DA8">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76B8EAB">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3.5对磋商过程提交的响应文件进行有效性、完整性和响应程度审查，通过审查的合格供应商不足3家的，除本章第3.4条的情形外，采购人或者采购代理机构应当重新开展采购活动。</w:t>
      </w:r>
    </w:p>
    <w:p w14:paraId="644CFAA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 最后报价</w:t>
      </w:r>
    </w:p>
    <w:p w14:paraId="7839C6C4">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4.1磋商文件能够详细列明采购标的的技术、服务要求的，磋商结束后，由磋商小组要求所有继续参加磋商的供应商在规定时间内在线提交最后报价，由其法定代表人(负责人)或授权代表 CA 电子签章后提交。提交最后报价的供应商不得少于3家，除本章第4.3条外，否则必须重新采购。</w:t>
      </w:r>
    </w:p>
    <w:p w14:paraId="5B8B3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73FC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3FE4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4.4供应商未在规定时间内提交最后报价的，视为退出磋商，其响应文件作无效处理。</w:t>
      </w:r>
    </w:p>
    <w:p w14:paraId="3C7494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4.5磋商小组收齐某一分标最后报价后统一开启，磋商小组对最后报价进行有效性、完整性和响应程度的审查。</w:t>
      </w:r>
    </w:p>
    <w:p w14:paraId="5F669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4.6响应文件最后报价出现前后不一致的，按照本章第2.4条的规定修正。 </w:t>
      </w:r>
    </w:p>
    <w:p w14:paraId="7E6C6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4.7修正后的报价出现下列情形的，按无效响应处理：</w:t>
      </w:r>
    </w:p>
    <w:p w14:paraId="1FD6B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（1）供应商不确认的；</w:t>
      </w:r>
    </w:p>
    <w:p w14:paraId="0A891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（2）经供应商确认修正后的竞标报价（包含首次报价、最后报价）超过所竞标分标规定的采购预算金额或者最高限价的（如本项目公布了最高限价）；</w:t>
      </w:r>
    </w:p>
    <w:p w14:paraId="488E4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（3）经供应商确认修正后的竞标报价（包含首次报价、最后报价）超过分项采购预算金额或者最高限价的（如本项目公布了最高限价）。</w:t>
      </w:r>
    </w:p>
    <w:p w14:paraId="1569B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4.8经供应商确认修正后的最后报价作为评审及签订合同的依据。</w:t>
      </w:r>
    </w:p>
    <w:p w14:paraId="131BD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4.9最后报价结束后，磋商小组不得再与供应商进行任何形式的商谈。</w:t>
      </w:r>
    </w:p>
    <w:p w14:paraId="2EBC20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0238EA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5.1评审方法：综合评分法。</w:t>
      </w:r>
    </w:p>
    <w:p w14:paraId="5C92D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5.2经磋商确定最终采购需求和提交最后报价的供应商后，由磋商小组采用综合评分法对提交最后报价的供应商的响应文件和最后报价进行综合评分。</w:t>
      </w:r>
    </w:p>
    <w:p w14:paraId="0846D3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5.3评审时，磋商小组各成员应当独立对每个有效响应的文件进行评价、打分，然后汇总每个供应商每项评分因素的得分。</w:t>
      </w:r>
    </w:p>
    <w:p w14:paraId="2034A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（1）磋商小组按照磋商文件中规定的评审标准计算各供应商的报价得分。项目评审过程中，不得去掉最后报价中的最高报价和最低报价。</w:t>
      </w:r>
    </w:p>
    <w:p w14:paraId="1FD643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（2）各供应商的得分为磋商小组所有成员的有效评分的算术平均数。</w:t>
      </w:r>
    </w:p>
    <w:p w14:paraId="79F44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5.4评审价为供应商的最后报价进行政策性扣除后的价格，评审价只是作为评审时使用。最终成交供应商的成交金额等于最后报价（如有修正，以确认修正后的最后报价为准）。</w:t>
      </w:r>
    </w:p>
    <w:p w14:paraId="2B8A2F9F">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5.5由磋商小组根据综合评分情况，按照评审得分由高到低顺序推荐3名以上成交候选供应商，并编写评</w:t>
      </w:r>
      <w:r>
        <w:rPr>
          <w:rFonts w:hint="eastAsia" w:ascii="宋体" w:hAnsi="宋体" w:cs="宋体"/>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6F51B403">
      <w:pPr>
        <w:spacing w:line="360" w:lineRule="auto"/>
        <w:ind w:firstLine="480" w:firstLineChars="200"/>
        <w:rPr>
          <w:rFonts w:ascii="宋体" w:hAnsi="宋体" w:cs="宋体"/>
          <w:color w:val="auto"/>
          <w:szCs w:val="21"/>
          <w:highlight w:val="none"/>
        </w:rPr>
      </w:pPr>
      <w:r>
        <w:rPr>
          <w:rFonts w:hint="eastAsia" w:ascii="宋体" w:hAnsi="宋体" w:cs="宋体"/>
          <w:color w:val="auto"/>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C73BB5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tbl>
      <w:tblPr>
        <w:tblStyle w:val="32"/>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59"/>
        <w:gridCol w:w="6772"/>
        <w:gridCol w:w="960"/>
      </w:tblGrid>
      <w:tr w14:paraId="637E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6" w:type="pct"/>
            <w:vAlign w:val="center"/>
          </w:tcPr>
          <w:p w14:paraId="6EE6FA4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902" w:type="pct"/>
            <w:vAlign w:val="center"/>
          </w:tcPr>
          <w:p w14:paraId="2E1D6C4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评审因素</w:t>
            </w:r>
          </w:p>
        </w:tc>
        <w:tc>
          <w:tcPr>
            <w:tcW w:w="3286" w:type="pct"/>
            <w:vAlign w:val="center"/>
          </w:tcPr>
          <w:p w14:paraId="39D0005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评审因素具体内容</w:t>
            </w:r>
          </w:p>
        </w:tc>
        <w:tc>
          <w:tcPr>
            <w:tcW w:w="463" w:type="pct"/>
            <w:vAlign w:val="center"/>
          </w:tcPr>
          <w:p w14:paraId="7BAAD37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3FC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346" w:type="pct"/>
            <w:vAlign w:val="center"/>
          </w:tcPr>
          <w:p w14:paraId="02302B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02" w:type="pct"/>
            <w:vAlign w:val="center"/>
          </w:tcPr>
          <w:p w14:paraId="0CF816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价格分</w:t>
            </w:r>
          </w:p>
          <w:p w14:paraId="2476E98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（满分10分）</w:t>
            </w:r>
          </w:p>
        </w:tc>
        <w:tc>
          <w:tcPr>
            <w:tcW w:w="3286" w:type="pct"/>
            <w:vAlign w:val="center"/>
          </w:tcPr>
          <w:p w14:paraId="00EAC213">
            <w:pPr>
              <w:rPr>
                <w:rFonts w:ascii="宋体" w:hAnsi="宋体" w:cs="宋体"/>
                <w:bCs/>
                <w:color w:val="auto"/>
                <w:sz w:val="24"/>
                <w:highlight w:val="none"/>
              </w:rPr>
            </w:pPr>
            <w:r>
              <w:rPr>
                <w:rFonts w:hint="eastAsia" w:ascii="宋体" w:hAnsi="宋体" w:cs="宋体"/>
                <w:bCs/>
                <w:color w:val="auto"/>
                <w:sz w:val="24"/>
                <w:highlight w:val="none"/>
              </w:rPr>
              <w:t>本项目属于非专门面向中小企业项目</w:t>
            </w:r>
          </w:p>
          <w:p w14:paraId="492400CC">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（1）评审价为供应商的最后报价进行政策性扣除后的价格，评审价只是作为评审时使用。最终成交供应商的成交金额等于最后报价（如有修正，以确认修正后的最后报价为准）。</w:t>
            </w:r>
          </w:p>
          <w:p w14:paraId="053F628D">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（2）价格评审优惠政策：</w:t>
            </w:r>
          </w:p>
          <w:p w14:paraId="6BB466AE">
            <w:pPr>
              <w:rPr>
                <w:rFonts w:ascii="宋体" w:hAnsi="宋体" w:cs="宋体"/>
                <w:bCs/>
                <w:color w:val="auto"/>
                <w:sz w:val="24"/>
                <w:highlight w:val="none"/>
              </w:rPr>
            </w:pPr>
            <w:r>
              <w:rPr>
                <w:rFonts w:hint="eastAsia" w:ascii="宋体" w:hAnsi="宋体" w:cs="宋体"/>
                <w:bCs/>
                <w:color w:val="auto"/>
                <w:sz w:val="24"/>
                <w:highlight w:val="none"/>
              </w:rPr>
              <w:t>根据《广西壮族自治区财政厅关于贯彻落实政府采购支持中小企业发展政策的通知》（桂财采〔2022〕31号）第三条第二、三款的规定，货物服务采购项目，给予小微企业20%的价格扣除，用扣除后的价格参加评审。大中型企业与小微企业组成联合体或者大中型企业向小微分包的采购项目，采购人、采购代理机构应当对联合体或者大中型企业的报价给予6%（货物服务项目为4%～6%）的扣除，用扣除后的价格（即评标报价）参加评审，即评标报价=投标报价×（1-价格扣除比例）；除上述情况外，评标报价=投标报价。</w:t>
            </w:r>
          </w:p>
          <w:p w14:paraId="02D4088B">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（2）按照《财政部、司法部关于政府采购支持监狱企业发展有关问题的通知》（财库〔2014〕68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B585C31">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 声明函》，并对声明的真实性负责。残疾人福利性单位属于小型、微型企业的，不重复享受政策。</w:t>
            </w:r>
          </w:p>
          <w:p w14:paraId="27D59746">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（4）以进入综合评分环节的最低的评标报价为基准价，基准价报价得分为10分。</w:t>
            </w:r>
          </w:p>
          <w:p w14:paraId="4819303F">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（5）价格分计算公式：</w:t>
            </w:r>
          </w:p>
          <w:p w14:paraId="095CB63C">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价格分=(评标基准价／评标报价)×10 分</w:t>
            </w:r>
          </w:p>
        </w:tc>
        <w:tc>
          <w:tcPr>
            <w:tcW w:w="463" w:type="pct"/>
            <w:vAlign w:val="center"/>
          </w:tcPr>
          <w:p w14:paraId="44C7CB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49C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46" w:type="pct"/>
            <w:vAlign w:val="center"/>
          </w:tcPr>
          <w:p w14:paraId="50496511">
            <w:pPr>
              <w:widowControl/>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2</w:t>
            </w:r>
          </w:p>
        </w:tc>
        <w:tc>
          <w:tcPr>
            <w:tcW w:w="902" w:type="pct"/>
            <w:vAlign w:val="center"/>
          </w:tcPr>
          <w:p w14:paraId="2AB71C69">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技术分</w:t>
            </w:r>
          </w:p>
          <w:p w14:paraId="4DC9BCD0">
            <w:pPr>
              <w:widowControl/>
              <w:spacing w:line="360" w:lineRule="auto"/>
              <w:jc w:val="center"/>
              <w:rPr>
                <w:rFonts w:ascii="宋体" w:hAnsi="宋体" w:cs="宋体"/>
                <w:color w:val="auto"/>
                <w:kern w:val="0"/>
                <w:sz w:val="24"/>
                <w:highlight w:val="none"/>
              </w:rPr>
            </w:pPr>
            <w:r>
              <w:rPr>
                <w:rFonts w:hint="eastAsia" w:ascii="宋体" w:hAnsi="宋体" w:cs="宋体"/>
                <w:bCs/>
                <w:color w:val="auto"/>
                <w:sz w:val="24"/>
                <w:highlight w:val="none"/>
              </w:rPr>
              <w:t>（满分70分）</w:t>
            </w:r>
          </w:p>
        </w:tc>
        <w:tc>
          <w:tcPr>
            <w:tcW w:w="3286" w:type="pct"/>
            <w:vAlign w:val="center"/>
          </w:tcPr>
          <w:p w14:paraId="4F5D5B2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评审因素</w:t>
            </w:r>
          </w:p>
        </w:tc>
        <w:tc>
          <w:tcPr>
            <w:tcW w:w="463" w:type="pct"/>
            <w:vAlign w:val="center"/>
          </w:tcPr>
          <w:p w14:paraId="4B7E5D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70分</w:t>
            </w:r>
          </w:p>
        </w:tc>
      </w:tr>
      <w:tr w14:paraId="4A54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vAlign w:val="center"/>
          </w:tcPr>
          <w:p w14:paraId="633E04F8">
            <w:pPr>
              <w:adjustRightInd w:val="0"/>
              <w:spacing w:line="360" w:lineRule="auto"/>
              <w:ind w:left="-105" w:leftChars="-50" w:right="-105" w:rightChars="-50"/>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2.1</w:t>
            </w:r>
          </w:p>
        </w:tc>
        <w:tc>
          <w:tcPr>
            <w:tcW w:w="902" w:type="pct"/>
            <w:vAlign w:val="center"/>
          </w:tcPr>
          <w:p w14:paraId="5D5192C1">
            <w:pPr>
              <w:adjustRightInd w:val="0"/>
              <w:spacing w:line="360" w:lineRule="auto"/>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对项目内容的分析理解</w:t>
            </w:r>
          </w:p>
          <w:p w14:paraId="1D77EF33">
            <w:pPr>
              <w:adjustRightInd w:val="0"/>
              <w:spacing w:line="360" w:lineRule="auto"/>
              <w:jc w:val="center"/>
              <w:textAlignment w:val="baseline"/>
              <w:rPr>
                <w:rFonts w:ascii="宋体" w:hAnsi="宋体" w:cs="宋体"/>
                <w:bCs/>
                <w:color w:val="auto"/>
                <w:kern w:val="0"/>
                <w:sz w:val="24"/>
                <w:highlight w:val="none"/>
              </w:rPr>
            </w:pPr>
          </w:p>
        </w:tc>
        <w:tc>
          <w:tcPr>
            <w:tcW w:w="3286" w:type="pct"/>
          </w:tcPr>
          <w:p w14:paraId="1D203F63">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一档（</w:t>
            </w:r>
            <w:r>
              <w:rPr>
                <w:rFonts w:hint="eastAsia" w:ascii="宋体" w:hAnsi="宋体" w:cs="宋体"/>
                <w:bCs/>
                <w:color w:val="auto"/>
                <w:kern w:val="0"/>
                <w:sz w:val="24"/>
                <w:highlight w:val="none"/>
              </w:rPr>
              <w:t>4</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w:t>
            </w:r>
            <w:r>
              <w:rPr>
                <w:rFonts w:ascii="宋体" w:hAnsi="宋体" w:cs="宋体"/>
                <w:bCs/>
                <w:color w:val="auto"/>
                <w:kern w:val="0"/>
                <w:sz w:val="24"/>
                <w:highlight w:val="none"/>
                <w:lang w:val="zh-CN"/>
              </w:rPr>
              <w:t>没有</w:t>
            </w:r>
            <w:r>
              <w:rPr>
                <w:rFonts w:hint="eastAsia" w:ascii="宋体" w:hAnsi="宋体" w:cs="宋体"/>
                <w:bCs/>
                <w:color w:val="auto"/>
                <w:kern w:val="0"/>
                <w:sz w:val="24"/>
                <w:highlight w:val="none"/>
                <w:lang w:val="zh-CN"/>
              </w:rPr>
              <w:t>提供项目情况分析内容，或提供的项目分析情况内容不符合相关技术标准及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p w14:paraId="792C73DB">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二档（</w:t>
            </w:r>
            <w:r>
              <w:rPr>
                <w:rFonts w:hint="eastAsia" w:ascii="宋体" w:hAnsi="宋体" w:cs="宋体"/>
                <w:bCs/>
                <w:color w:val="auto"/>
                <w:kern w:val="0"/>
                <w:sz w:val="24"/>
                <w:highlight w:val="none"/>
              </w:rPr>
              <w:t>8</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供应商有简单的项目情况分析内容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能简单</w:t>
            </w:r>
            <w:r>
              <w:rPr>
                <w:rFonts w:ascii="宋体" w:hAnsi="宋体" w:cs="宋体"/>
                <w:bCs/>
                <w:color w:val="auto"/>
                <w:kern w:val="0"/>
                <w:sz w:val="24"/>
                <w:highlight w:val="none"/>
                <w:lang w:val="zh-CN"/>
              </w:rPr>
              <w:t>描述项目的</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p>
          <w:p w14:paraId="39658FEC">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档（</w:t>
            </w:r>
            <w:r>
              <w:rPr>
                <w:rFonts w:hint="eastAsia" w:ascii="宋体" w:hAnsi="宋体" w:cs="宋体"/>
                <w:bCs/>
                <w:color w:val="auto"/>
                <w:kern w:val="0"/>
                <w:sz w:val="24"/>
                <w:highlight w:val="none"/>
              </w:rPr>
              <w:t>12</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供应商有详细的项目情况分析内容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能详细</w:t>
            </w:r>
            <w:r>
              <w:rPr>
                <w:rFonts w:ascii="宋体" w:hAnsi="宋体" w:cs="宋体"/>
                <w:bCs/>
                <w:color w:val="auto"/>
                <w:kern w:val="0"/>
                <w:sz w:val="24"/>
                <w:highlight w:val="none"/>
                <w:lang w:val="zh-CN"/>
              </w:rPr>
              <w:t>的描述项目</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内容可行，</w:t>
            </w:r>
            <w:r>
              <w:rPr>
                <w:rFonts w:hint="eastAsia" w:ascii="宋体" w:hAnsi="宋体" w:cs="宋体"/>
                <w:bCs/>
                <w:color w:val="auto"/>
                <w:kern w:val="0"/>
                <w:sz w:val="24"/>
                <w:highlight w:val="none"/>
                <w:lang w:val="zh-CN"/>
              </w:rPr>
              <w:t>项目建设目标明确，符合相关技术标准及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p w14:paraId="084F11DA">
            <w:pPr>
              <w:adjustRightInd w:val="0"/>
              <w:spacing w:line="360" w:lineRule="auto"/>
              <w:ind w:firstLine="480" w:firstLineChars="200"/>
              <w:jc w:val="left"/>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四</w:t>
            </w:r>
            <w:r>
              <w:rPr>
                <w:rFonts w:hint="eastAsia" w:ascii="宋体" w:hAnsi="宋体" w:cs="宋体"/>
                <w:bCs/>
                <w:color w:val="auto"/>
                <w:kern w:val="0"/>
                <w:sz w:val="24"/>
                <w:highlight w:val="none"/>
                <w:lang w:val="zh-CN"/>
              </w:rPr>
              <w:t>档（</w:t>
            </w:r>
            <w:r>
              <w:rPr>
                <w:rFonts w:hint="eastAsia" w:ascii="宋体" w:hAnsi="宋体" w:cs="宋体"/>
                <w:bCs/>
                <w:color w:val="auto"/>
                <w:kern w:val="0"/>
                <w:sz w:val="24"/>
                <w:highlight w:val="none"/>
              </w:rPr>
              <w:t>16</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供应商有详细、</w:t>
            </w:r>
            <w:r>
              <w:rPr>
                <w:rFonts w:hint="eastAsia" w:ascii="宋体" w:hAnsi="宋体" w:cs="宋体"/>
                <w:bCs/>
                <w:color w:val="auto"/>
                <w:kern w:val="0"/>
                <w:sz w:val="24"/>
                <w:highlight w:val="none"/>
              </w:rPr>
              <w:t>完善</w:t>
            </w:r>
            <w:r>
              <w:rPr>
                <w:rFonts w:hint="eastAsia" w:ascii="宋体" w:hAnsi="宋体" w:cs="宋体"/>
                <w:bCs/>
                <w:color w:val="auto"/>
                <w:kern w:val="0"/>
                <w:sz w:val="24"/>
                <w:highlight w:val="none"/>
                <w:lang w:val="zh-CN"/>
              </w:rPr>
              <w:t>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能详细、</w:t>
            </w:r>
            <w:r>
              <w:rPr>
                <w:rFonts w:hint="eastAsia" w:ascii="宋体" w:hAnsi="宋体" w:cs="宋体"/>
                <w:bCs/>
                <w:color w:val="auto"/>
                <w:kern w:val="0"/>
                <w:sz w:val="24"/>
                <w:highlight w:val="none"/>
              </w:rPr>
              <w:t>合理</w:t>
            </w:r>
            <w:r>
              <w:rPr>
                <w:rFonts w:ascii="宋体" w:hAnsi="宋体" w:cs="宋体"/>
                <w:bCs/>
                <w:color w:val="auto"/>
                <w:kern w:val="0"/>
                <w:sz w:val="24"/>
                <w:highlight w:val="none"/>
                <w:lang w:val="zh-CN"/>
              </w:rPr>
              <w:t>的描述项目</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内容完善可行，</w:t>
            </w:r>
            <w:r>
              <w:rPr>
                <w:rFonts w:hint="eastAsia" w:ascii="宋体" w:hAnsi="宋体" w:cs="宋体"/>
                <w:bCs/>
                <w:color w:val="auto"/>
                <w:kern w:val="0"/>
                <w:sz w:val="24"/>
                <w:highlight w:val="none"/>
                <w:lang w:val="zh-CN"/>
              </w:rPr>
              <w:t>项目建设目标明确，</w:t>
            </w:r>
            <w:r>
              <w:rPr>
                <w:rFonts w:hint="eastAsia" w:ascii="宋体" w:hAnsi="宋体" w:cs="宋体"/>
                <w:bCs/>
                <w:color w:val="auto"/>
                <w:kern w:val="0"/>
                <w:sz w:val="24"/>
                <w:highlight w:val="none"/>
              </w:rPr>
              <w:t>有重难点分析并有合理应对措施，有突发性事件预防及可见有效的应对措施；</w:t>
            </w:r>
            <w:r>
              <w:rPr>
                <w:rFonts w:hint="eastAsia" w:ascii="宋体" w:hAnsi="宋体" w:cs="宋体"/>
                <w:bCs/>
                <w:color w:val="auto"/>
                <w:kern w:val="0"/>
                <w:sz w:val="24"/>
                <w:highlight w:val="none"/>
                <w:lang w:val="zh-CN"/>
              </w:rPr>
              <w:t>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tc>
        <w:tc>
          <w:tcPr>
            <w:tcW w:w="463" w:type="pct"/>
            <w:vAlign w:val="center"/>
          </w:tcPr>
          <w:p w14:paraId="5C6C85C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16分</w:t>
            </w:r>
          </w:p>
        </w:tc>
      </w:tr>
      <w:tr w14:paraId="3E9C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vAlign w:val="center"/>
          </w:tcPr>
          <w:p w14:paraId="13C58590">
            <w:pPr>
              <w:adjustRightInd w:val="0"/>
              <w:spacing w:line="360" w:lineRule="auto"/>
              <w:ind w:left="-105" w:leftChars="-50" w:right="-105" w:rightChars="-50"/>
              <w:jc w:val="center"/>
              <w:textAlignment w:val="baseline"/>
              <w:rPr>
                <w:rFonts w:ascii="宋体" w:hAnsi="宋体" w:cs="宋体"/>
                <w:bCs/>
                <w:color w:val="auto"/>
                <w:kern w:val="0"/>
                <w:sz w:val="24"/>
                <w:highlight w:val="none"/>
              </w:rPr>
            </w:pPr>
          </w:p>
        </w:tc>
        <w:tc>
          <w:tcPr>
            <w:tcW w:w="902" w:type="pct"/>
            <w:vAlign w:val="center"/>
          </w:tcPr>
          <w:p w14:paraId="1BA195F2">
            <w:pPr>
              <w:adjustRightInd w:val="0"/>
              <w:spacing w:line="360" w:lineRule="auto"/>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实施方案</w:t>
            </w:r>
          </w:p>
        </w:tc>
        <w:tc>
          <w:tcPr>
            <w:tcW w:w="3286" w:type="pct"/>
            <w:vAlign w:val="center"/>
          </w:tcPr>
          <w:p w14:paraId="210213F9">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一档（6分）：项目实施方案基本满足项目采购需求。</w:t>
            </w:r>
          </w:p>
          <w:p w14:paraId="67C4EDA1">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二档（12分）：项目实施方案符合采购需求且包含有①项目组织计划②进度计划③人员安排④技术路线等，方案切实可行。</w:t>
            </w:r>
          </w:p>
          <w:p w14:paraId="08DD1FD8">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三档（18分）：项目实施方案符合采购需求且包含有①项目组织计划②进度计划③人员安排④技术路线⑤进度保障措施等，方案描述比较详细、考虑比较全面。</w:t>
            </w:r>
          </w:p>
          <w:p w14:paraId="261B5998">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档（24分）：项目实施方案符合采购需求且包含有①项目组织计划②进度计划③人员安排④技术路线⑤进度保障措施⑥项目保密措施等，方案中描述了进度保障措施的方法和实现方式并且考虑周全完整，有明确的工程进度和管理措施，完全满足本项目工作需要。</w:t>
            </w:r>
          </w:p>
        </w:tc>
        <w:tc>
          <w:tcPr>
            <w:tcW w:w="463" w:type="pct"/>
            <w:vAlign w:val="center"/>
          </w:tcPr>
          <w:p w14:paraId="0248D192">
            <w:pPr>
              <w:spacing w:line="360" w:lineRule="auto"/>
              <w:jc w:val="center"/>
              <w:rPr>
                <w:rFonts w:ascii="宋体" w:hAnsi="宋体" w:cs="宋体"/>
                <w:color w:val="auto"/>
                <w:kern w:val="0"/>
                <w:sz w:val="24"/>
                <w:highlight w:val="none"/>
              </w:rPr>
            </w:pPr>
            <w:r>
              <w:rPr>
                <w:rFonts w:hint="eastAsia" w:ascii="宋体" w:hAnsi="宋体" w:cs="宋体"/>
                <w:bCs/>
                <w:color w:val="auto"/>
                <w:sz w:val="24"/>
                <w:highlight w:val="none"/>
              </w:rPr>
              <w:t>24分</w:t>
            </w:r>
          </w:p>
        </w:tc>
      </w:tr>
      <w:tr w14:paraId="5E6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46" w:type="pct"/>
            <w:vAlign w:val="center"/>
          </w:tcPr>
          <w:p w14:paraId="170460E7">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2.2</w:t>
            </w:r>
          </w:p>
        </w:tc>
        <w:tc>
          <w:tcPr>
            <w:tcW w:w="902" w:type="pct"/>
            <w:vAlign w:val="center"/>
          </w:tcPr>
          <w:p w14:paraId="1E064627">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质量保</w:t>
            </w:r>
          </w:p>
          <w:p w14:paraId="71BDFD8A">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障措施</w:t>
            </w:r>
          </w:p>
        </w:tc>
        <w:tc>
          <w:tcPr>
            <w:tcW w:w="3286" w:type="pct"/>
            <w:vAlign w:val="center"/>
          </w:tcPr>
          <w:p w14:paraId="20B479E4">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一档（4分）：质量保证措施方案基本满足项目采购需求。</w:t>
            </w:r>
          </w:p>
          <w:p w14:paraId="46B4E2E4">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二档（8分）：质量保证措施方案满足项目采购需求且有质量保障措施，可行性与详细程度一般。</w:t>
            </w:r>
          </w:p>
          <w:p w14:paraId="24710E1C">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三档（12分）：质量保证措施方案符合采购需求且包含有①质量标准②质量保障措施，方案相对完整、 科学、具有可行性和可操作性。</w:t>
            </w:r>
          </w:p>
          <w:p w14:paraId="20371460">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四档（15分）：质量保证措施方案符合采购需求且包含有①质量标准②质量保障措施③质量保障程序 ④质量检查措施，方案完整、详细、全面、科学、有针对性、可行性和操作性强，能有效的对项目的所有环节进行质量控制。</w:t>
            </w:r>
          </w:p>
        </w:tc>
        <w:tc>
          <w:tcPr>
            <w:tcW w:w="463" w:type="pct"/>
            <w:vAlign w:val="center"/>
          </w:tcPr>
          <w:p w14:paraId="7C15764C">
            <w:pPr>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15分</w:t>
            </w:r>
          </w:p>
        </w:tc>
      </w:tr>
      <w:tr w14:paraId="002C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346" w:type="pct"/>
            <w:vAlign w:val="center"/>
          </w:tcPr>
          <w:p w14:paraId="5E0B38D4">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2.3</w:t>
            </w:r>
          </w:p>
        </w:tc>
        <w:tc>
          <w:tcPr>
            <w:tcW w:w="902" w:type="pct"/>
            <w:vAlign w:val="center"/>
          </w:tcPr>
          <w:p w14:paraId="6F900ADC">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售后服</w:t>
            </w:r>
          </w:p>
          <w:p w14:paraId="03FD7EB4">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务方案</w:t>
            </w:r>
          </w:p>
        </w:tc>
        <w:tc>
          <w:tcPr>
            <w:tcW w:w="3286" w:type="pct"/>
            <w:vAlign w:val="center"/>
          </w:tcPr>
          <w:p w14:paraId="2EF27EB5">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一档（4分）：后续服务能力、响应时间等方案满足要求；</w:t>
            </w:r>
          </w:p>
          <w:p w14:paraId="27F3ABE3">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二档（8分）：后续服务能力、响应时间等方案科学合理程度和完善度满足要求且包含人员保障；</w:t>
            </w:r>
          </w:p>
          <w:p w14:paraId="4A15FDE7">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三档（12分）：后续服务能力、响应时间等方案科学合理程度和完善度满足要求且包含人员保障、设备保障。</w:t>
            </w:r>
          </w:p>
          <w:p w14:paraId="48BA69F9">
            <w:pPr>
              <w:tabs>
                <w:tab w:val="left" w:pos="668"/>
                <w:tab w:val="left" w:pos="680"/>
                <w:tab w:val="left" w:pos="1190"/>
                <w:tab w:val="left" w:pos="1264"/>
              </w:tabs>
              <w:spacing w:line="400" w:lineRule="exact"/>
              <w:ind w:firstLine="480" w:firstLineChars="200"/>
              <w:rPr>
                <w:rFonts w:ascii="宋体" w:hAnsi="宋体" w:cs="宋体"/>
                <w:bCs/>
                <w:color w:val="auto"/>
                <w:kern w:val="0"/>
                <w:sz w:val="24"/>
                <w:highlight w:val="none"/>
              </w:rPr>
            </w:pPr>
            <w:r>
              <w:rPr>
                <w:rFonts w:hint="eastAsia" w:ascii="宋体" w:hAnsi="宋体" w:cs="宋体"/>
                <w:bCs/>
                <w:color w:val="auto"/>
                <w:sz w:val="24"/>
                <w:highlight w:val="none"/>
              </w:rPr>
              <w:t>四档（15分）：后续服务能力、响应时间等方案科学合理程度和完善度满足要求且包含人员保障、设备保障、能力优势保障。</w:t>
            </w:r>
          </w:p>
        </w:tc>
        <w:tc>
          <w:tcPr>
            <w:tcW w:w="463" w:type="pct"/>
            <w:vAlign w:val="center"/>
          </w:tcPr>
          <w:p w14:paraId="3280543E">
            <w:pPr>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15分</w:t>
            </w:r>
          </w:p>
        </w:tc>
      </w:tr>
      <w:tr w14:paraId="0D6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vAlign w:val="center"/>
          </w:tcPr>
          <w:p w14:paraId="4AF9385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02" w:type="pct"/>
            <w:vAlign w:val="center"/>
          </w:tcPr>
          <w:p w14:paraId="55F2D578">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商务分</w:t>
            </w:r>
          </w:p>
          <w:p w14:paraId="5FF4347C">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（满分20分）</w:t>
            </w:r>
          </w:p>
        </w:tc>
        <w:tc>
          <w:tcPr>
            <w:tcW w:w="3750" w:type="pct"/>
            <w:gridSpan w:val="2"/>
            <w:vAlign w:val="center"/>
          </w:tcPr>
          <w:p w14:paraId="368E555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评审因素</w:t>
            </w:r>
          </w:p>
        </w:tc>
      </w:tr>
      <w:tr w14:paraId="4561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vAlign w:val="center"/>
          </w:tcPr>
          <w:p w14:paraId="3C35DE7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902" w:type="pct"/>
            <w:vAlign w:val="center"/>
          </w:tcPr>
          <w:p w14:paraId="79A588B9">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拟投入本项目人员</w:t>
            </w:r>
          </w:p>
        </w:tc>
        <w:tc>
          <w:tcPr>
            <w:tcW w:w="3286" w:type="pct"/>
            <w:vAlign w:val="center"/>
          </w:tcPr>
          <w:p w14:paraId="5E7B123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①拟投入项目负责人具有中级及以上职称的得</w:t>
            </w: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 xml:space="preserve">分，满分4分； </w:t>
            </w:r>
          </w:p>
          <w:p w14:paraId="327605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②拟投入其他人员中具有中级及以上职称的，每人得2分，初级职称的，每人得1分，满分6；</w:t>
            </w:r>
          </w:p>
          <w:p w14:paraId="74AD55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注：拟投入人员必须提供投标人为拟投入人员缴纳</w:t>
            </w:r>
            <w:r>
              <w:rPr>
                <w:rFonts w:hint="eastAsia" w:ascii="宋体" w:hAnsi="宋体" w:cs="宋体"/>
                <w:color w:val="auto"/>
                <w:sz w:val="24"/>
                <w:highlight w:val="none"/>
              </w:rPr>
              <w:t>（2025年1月至2025年3月内任意1个月）的</w:t>
            </w:r>
            <w:r>
              <w:rPr>
                <w:rFonts w:hint="eastAsia" w:ascii="宋体" w:hAnsi="宋体" w:cs="宋体"/>
                <w:color w:val="auto"/>
                <w:kern w:val="0"/>
                <w:sz w:val="24"/>
                <w:highlight w:val="none"/>
              </w:rPr>
              <w:t>社保缴纳证明复印件，提供相应的职称证书复印件，退休聘用人员，提供退休证明复印件代替社保证明。则不按照上述要求提供资料者，不作为评分依据。（以上拟投入技术人员须提供证书复印件,否则不记分。）</w:t>
            </w:r>
          </w:p>
        </w:tc>
        <w:tc>
          <w:tcPr>
            <w:tcW w:w="463" w:type="pct"/>
            <w:vAlign w:val="center"/>
          </w:tcPr>
          <w:p w14:paraId="38B6517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510A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6" w:type="pct"/>
            <w:vAlign w:val="center"/>
          </w:tcPr>
          <w:p w14:paraId="372CD11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902" w:type="pct"/>
            <w:vAlign w:val="center"/>
          </w:tcPr>
          <w:p w14:paraId="4D5DA60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业绩</w:t>
            </w:r>
          </w:p>
        </w:tc>
        <w:tc>
          <w:tcPr>
            <w:tcW w:w="3286" w:type="pct"/>
            <w:vAlign w:val="center"/>
          </w:tcPr>
          <w:p w14:paraId="24721B58">
            <w:pPr>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供应商自 202</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年至今完成过的类似项目业绩（每项得 5 分，满分10分）（以有效合同书复印件或成交</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中标</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通知书复印件为准并加盖供应商公章，否则不得分）。</w:t>
            </w:r>
          </w:p>
        </w:tc>
        <w:tc>
          <w:tcPr>
            <w:tcW w:w="463" w:type="pct"/>
            <w:vAlign w:val="center"/>
          </w:tcPr>
          <w:p w14:paraId="488FD5C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050E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4"/>
            <w:vAlign w:val="center"/>
          </w:tcPr>
          <w:p w14:paraId="14470EC7">
            <w:pPr>
              <w:widowControl/>
              <w:spacing w:line="360" w:lineRule="auto"/>
              <w:rPr>
                <w:rFonts w:ascii="宋体" w:hAnsi="宋体" w:cs="宋体"/>
                <w:color w:val="auto"/>
                <w:kern w:val="0"/>
                <w:sz w:val="24"/>
                <w:highlight w:val="none"/>
              </w:rPr>
            </w:pPr>
            <w:r>
              <w:rPr>
                <w:rFonts w:hint="eastAsia" w:ascii="宋体" w:hAnsi="宋体" w:cs="宋体"/>
                <w:bCs/>
                <w:color w:val="auto"/>
                <w:sz w:val="24"/>
                <w:highlight w:val="none"/>
              </w:rPr>
              <w:t>总得分＝1＋2</w:t>
            </w:r>
          </w:p>
        </w:tc>
      </w:tr>
    </w:tbl>
    <w:p w14:paraId="1E3DF1F0">
      <w:pPr>
        <w:pStyle w:val="42"/>
        <w:ind w:firstLine="420"/>
        <w:rPr>
          <w:color w:val="auto"/>
          <w:highlight w:val="none"/>
        </w:rPr>
      </w:pPr>
    </w:p>
    <w:p w14:paraId="49773C6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6.评审依据：磋商小组将以磋商响应文件为评审依据，对供应商的报价、技术、商务等方面内容按百分制打分。（计分方法按四舍五入取至百分位）</w:t>
      </w:r>
    </w:p>
    <w:p w14:paraId="7E545E47">
      <w:pPr>
        <w:pStyle w:val="41"/>
        <w:rPr>
          <w:color w:val="auto"/>
          <w:highlight w:val="none"/>
        </w:rPr>
      </w:pPr>
    </w:p>
    <w:p w14:paraId="05B1D277">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11E3DEB3">
      <w:pPr>
        <w:spacing w:line="400" w:lineRule="exact"/>
        <w:ind w:firstLine="420" w:firstLineChars="200"/>
        <w:rPr>
          <w:rFonts w:ascii="宋体" w:hAnsi="宋体" w:cs="宋体"/>
          <w:color w:val="auto"/>
          <w:highlight w:val="none"/>
        </w:rPr>
      </w:pPr>
    </w:p>
    <w:p w14:paraId="6DE326BB">
      <w:pPr>
        <w:spacing w:line="400" w:lineRule="exact"/>
        <w:ind w:firstLine="420" w:firstLineChars="200"/>
        <w:rPr>
          <w:rFonts w:ascii="宋体" w:hAnsi="宋体" w:cs="宋体"/>
          <w:color w:val="auto"/>
          <w:highlight w:val="none"/>
        </w:rPr>
      </w:pPr>
    </w:p>
    <w:p w14:paraId="3E51CC7E">
      <w:pPr>
        <w:pStyle w:val="4"/>
        <w:jc w:val="center"/>
        <w:rPr>
          <w:rFonts w:ascii="宋体" w:hAnsi="宋体" w:cs="宋体"/>
          <w:color w:val="auto"/>
          <w:highlight w:val="none"/>
        </w:rPr>
      </w:pPr>
      <w:r>
        <w:rPr>
          <w:rFonts w:hint="eastAsia" w:ascii="宋体" w:hAnsi="宋体" w:cs="宋体"/>
          <w:color w:val="auto"/>
          <w:highlight w:val="none"/>
        </w:rPr>
        <w:br w:type="page"/>
      </w:r>
      <w:bookmarkStart w:id="73" w:name="_Toc31802"/>
      <w:bookmarkStart w:id="74" w:name="_Toc25516"/>
      <w:r>
        <w:rPr>
          <w:rFonts w:hint="eastAsia" w:ascii="宋体" w:hAnsi="宋体" w:cs="宋体"/>
          <w:color w:val="auto"/>
          <w:highlight w:val="none"/>
        </w:rPr>
        <w:t>第五章 响应文件格式</w:t>
      </w:r>
      <w:bookmarkEnd w:id="73"/>
      <w:bookmarkEnd w:id="74"/>
    </w:p>
    <w:p w14:paraId="631EE1A7">
      <w:pPr>
        <w:snapToGrid w:val="0"/>
        <w:spacing w:before="156" w:beforeLines="50" w:after="50"/>
        <w:jc w:val="center"/>
        <w:rPr>
          <w:rFonts w:ascii="宋体" w:hAnsi="宋体" w:cs="宋体"/>
          <w:bCs/>
          <w:color w:val="auto"/>
          <w:sz w:val="32"/>
          <w:szCs w:val="32"/>
          <w:highlight w:val="none"/>
        </w:rPr>
      </w:pPr>
    </w:p>
    <w:p w14:paraId="32C3A261">
      <w:pPr>
        <w:snapToGrid w:val="0"/>
        <w:spacing w:before="156" w:beforeLines="50" w:after="50" w:line="360" w:lineRule="auto"/>
        <w:jc w:val="center"/>
        <w:outlineLvl w:val="1"/>
        <w:rPr>
          <w:rFonts w:ascii="宋体" w:hAnsi="宋体" w:cs="宋体"/>
          <w:b/>
          <w:bCs/>
          <w:color w:val="auto"/>
          <w:sz w:val="32"/>
          <w:szCs w:val="32"/>
          <w:highlight w:val="none"/>
        </w:rPr>
      </w:pPr>
      <w:bookmarkStart w:id="75" w:name="_Toc35611438"/>
      <w:bookmarkStart w:id="76" w:name="_Toc31723070"/>
      <w:bookmarkStart w:id="77" w:name="_Toc44229899"/>
      <w:bookmarkStart w:id="78" w:name="_Toc35611516"/>
      <w:bookmarkStart w:id="79" w:name="_Toc1012"/>
      <w:bookmarkStart w:id="80" w:name="_Toc31728084"/>
      <w:r>
        <w:rPr>
          <w:rFonts w:hint="eastAsia" w:ascii="宋体" w:hAnsi="宋体" w:cs="宋体"/>
          <w:b/>
          <w:bCs/>
          <w:color w:val="auto"/>
          <w:sz w:val="32"/>
          <w:szCs w:val="32"/>
          <w:highlight w:val="none"/>
        </w:rPr>
        <w:t>一、资格证明文件格式</w:t>
      </w:r>
      <w:bookmarkEnd w:id="75"/>
      <w:bookmarkEnd w:id="76"/>
      <w:bookmarkEnd w:id="77"/>
      <w:bookmarkEnd w:id="78"/>
      <w:bookmarkEnd w:id="79"/>
      <w:bookmarkEnd w:id="80"/>
    </w:p>
    <w:p w14:paraId="16392D7F">
      <w:pPr>
        <w:snapToGrid w:val="0"/>
        <w:spacing w:before="156" w:beforeLines="50" w:after="50" w:line="360" w:lineRule="auto"/>
        <w:jc w:val="center"/>
        <w:rPr>
          <w:rFonts w:ascii="宋体" w:hAnsi="宋体" w:cs="宋体"/>
          <w:b/>
          <w:color w:val="auto"/>
          <w:sz w:val="24"/>
          <w:highlight w:val="none"/>
        </w:rPr>
      </w:pPr>
      <w:r>
        <w:rPr>
          <w:rFonts w:hint="eastAsia" w:ascii="宋体" w:hAnsi="宋体" w:cs="宋体"/>
          <w:b/>
          <w:color w:val="auto"/>
          <w:sz w:val="32"/>
          <w:szCs w:val="32"/>
          <w:highlight w:val="none"/>
        </w:rPr>
        <w:t>资格证明文件封面格式：</w:t>
      </w:r>
    </w:p>
    <w:p w14:paraId="2A9314D7">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67933C51">
      <w:pPr>
        <w:snapToGrid w:val="0"/>
        <w:spacing w:before="156" w:beforeLines="50" w:after="50"/>
        <w:rPr>
          <w:rFonts w:ascii="宋体" w:hAnsi="宋体" w:cs="宋体"/>
          <w:color w:val="auto"/>
          <w:sz w:val="24"/>
          <w:szCs w:val="20"/>
          <w:highlight w:val="none"/>
        </w:rPr>
      </w:pPr>
    </w:p>
    <w:p w14:paraId="167DE2D1">
      <w:pPr>
        <w:snapToGrid w:val="0"/>
        <w:spacing w:before="156" w:beforeLines="50" w:after="50"/>
        <w:rPr>
          <w:rFonts w:ascii="宋体" w:hAnsi="宋体" w:cs="宋体"/>
          <w:color w:val="auto"/>
          <w:sz w:val="24"/>
          <w:szCs w:val="20"/>
          <w:highlight w:val="none"/>
        </w:rPr>
      </w:pPr>
    </w:p>
    <w:p w14:paraId="76733B46">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3DB5D3FB">
      <w:pPr>
        <w:snapToGrid w:val="0"/>
        <w:spacing w:before="156" w:beforeLines="50" w:after="50"/>
        <w:rPr>
          <w:rFonts w:ascii="宋体" w:hAnsi="宋体" w:cs="宋体"/>
          <w:bCs/>
          <w:color w:val="auto"/>
          <w:sz w:val="24"/>
          <w:szCs w:val="20"/>
          <w:highlight w:val="none"/>
        </w:rPr>
      </w:pPr>
    </w:p>
    <w:p w14:paraId="03921F3A">
      <w:pPr>
        <w:snapToGrid w:val="0"/>
        <w:spacing w:before="156" w:beforeLines="50" w:after="50"/>
        <w:rPr>
          <w:rFonts w:ascii="宋体" w:hAnsi="宋体" w:cs="宋体"/>
          <w:bCs/>
          <w:color w:val="auto"/>
          <w:sz w:val="24"/>
          <w:szCs w:val="20"/>
          <w:highlight w:val="none"/>
        </w:rPr>
      </w:pPr>
    </w:p>
    <w:p w14:paraId="17C49BC9">
      <w:pPr>
        <w:snapToGrid w:val="0"/>
        <w:spacing w:before="156" w:beforeLines="50" w:after="50"/>
        <w:rPr>
          <w:rFonts w:ascii="宋体" w:hAnsi="宋体" w:cs="宋体"/>
          <w:bCs/>
          <w:color w:val="auto"/>
          <w:sz w:val="24"/>
          <w:szCs w:val="20"/>
          <w:highlight w:val="none"/>
        </w:rPr>
      </w:pPr>
    </w:p>
    <w:p w14:paraId="6C992BD5">
      <w:pPr>
        <w:snapToGrid w:val="0"/>
        <w:spacing w:before="156" w:beforeLines="50" w:after="50"/>
        <w:rPr>
          <w:rFonts w:ascii="宋体" w:hAnsi="宋体" w:cs="宋体"/>
          <w:bCs/>
          <w:color w:val="auto"/>
          <w:sz w:val="24"/>
          <w:szCs w:val="20"/>
          <w:highlight w:val="none"/>
        </w:rPr>
      </w:pPr>
    </w:p>
    <w:p w14:paraId="4B3384F6">
      <w:pPr>
        <w:snapToGrid w:val="0"/>
        <w:spacing w:before="156" w:beforeLines="50" w:after="50"/>
        <w:rPr>
          <w:rFonts w:ascii="宋体" w:hAnsi="宋体" w:cs="宋体"/>
          <w:bCs/>
          <w:color w:val="auto"/>
          <w:sz w:val="24"/>
          <w:szCs w:val="20"/>
          <w:highlight w:val="none"/>
        </w:rPr>
      </w:pPr>
    </w:p>
    <w:p w14:paraId="1280B181">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E26570F">
      <w:pPr>
        <w:snapToGrid w:val="0"/>
        <w:spacing w:before="156" w:beforeLines="50" w:after="50"/>
        <w:ind w:firstLine="720" w:firstLineChars="225"/>
        <w:rPr>
          <w:rFonts w:ascii="宋体" w:hAnsi="宋体" w:cs="宋体"/>
          <w:bCs/>
          <w:color w:val="auto"/>
          <w:sz w:val="32"/>
          <w:szCs w:val="32"/>
          <w:highlight w:val="none"/>
        </w:rPr>
      </w:pPr>
    </w:p>
    <w:p w14:paraId="4FE6D94D">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62B4CBE">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62BF2D6">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F0FBF19">
      <w:pPr>
        <w:snapToGrid w:val="0"/>
        <w:spacing w:before="156" w:beforeLines="50" w:after="50"/>
        <w:ind w:firstLine="720" w:firstLineChars="225"/>
        <w:rPr>
          <w:rFonts w:ascii="宋体" w:hAnsi="宋体" w:cs="宋体"/>
          <w:bCs/>
          <w:color w:val="auto"/>
          <w:sz w:val="32"/>
          <w:szCs w:val="32"/>
          <w:highlight w:val="none"/>
        </w:rPr>
      </w:pPr>
    </w:p>
    <w:p w14:paraId="1A232D9A">
      <w:pPr>
        <w:pStyle w:val="2"/>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29928D0">
      <w:pPr>
        <w:pStyle w:val="2"/>
        <w:snapToGrid w:val="0"/>
        <w:spacing w:before="50" w:after="50"/>
        <w:ind w:firstLine="720" w:firstLineChars="225"/>
        <w:rPr>
          <w:rFonts w:ascii="宋体" w:hAnsi="宋体" w:cs="宋体"/>
          <w:bCs/>
          <w:color w:val="auto"/>
          <w:sz w:val="32"/>
          <w:szCs w:val="32"/>
          <w:highlight w:val="none"/>
        </w:rPr>
      </w:pPr>
    </w:p>
    <w:p w14:paraId="58BF926C">
      <w:pPr>
        <w:pStyle w:val="2"/>
        <w:snapToGrid w:val="0"/>
        <w:spacing w:before="50" w:after="50"/>
        <w:ind w:firstLine="1280" w:firstLineChars="400"/>
        <w:rPr>
          <w:rFonts w:ascii="宋体" w:hAnsi="宋体" w:cs="宋体"/>
          <w:bCs/>
          <w:color w:val="auto"/>
          <w:sz w:val="32"/>
          <w:szCs w:val="32"/>
          <w:highlight w:val="none"/>
        </w:rPr>
      </w:pPr>
    </w:p>
    <w:p w14:paraId="4861116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EE6546B">
      <w:pPr>
        <w:snapToGrid w:val="0"/>
        <w:spacing w:before="156" w:beforeLines="50" w:after="50" w:line="360" w:lineRule="auto"/>
        <w:ind w:left="142"/>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资格证明文件目录</w:t>
      </w:r>
    </w:p>
    <w:p w14:paraId="75417432">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6B138E82">
      <w:pPr>
        <w:spacing w:before="312" w:beforeLines="100" w:after="156" w:afterLines="50" w:line="520" w:lineRule="exact"/>
        <w:ind w:left="540"/>
        <w:jc w:val="center"/>
        <w:rPr>
          <w:rFonts w:ascii="宋体" w:hAnsi="宋体" w:cs="宋体"/>
          <w:b/>
          <w:color w:val="auto"/>
          <w:sz w:val="24"/>
          <w:highlight w:val="none"/>
        </w:rPr>
      </w:pPr>
    </w:p>
    <w:p w14:paraId="684F043D">
      <w:pPr>
        <w:spacing w:before="312" w:beforeLines="100" w:after="156" w:afterLines="50" w:line="520" w:lineRule="exact"/>
        <w:ind w:left="540"/>
        <w:jc w:val="center"/>
        <w:rPr>
          <w:rFonts w:ascii="宋体" w:hAnsi="宋体" w:cs="宋体"/>
          <w:bCs/>
          <w:color w:val="auto"/>
          <w:sz w:val="44"/>
          <w:szCs w:val="44"/>
          <w:highlight w:val="none"/>
        </w:rPr>
      </w:pPr>
    </w:p>
    <w:p w14:paraId="3A629178">
      <w:pPr>
        <w:spacing w:before="312" w:beforeLines="100" w:after="156" w:afterLines="50" w:line="520" w:lineRule="exact"/>
        <w:ind w:left="540"/>
        <w:jc w:val="center"/>
        <w:rPr>
          <w:rFonts w:ascii="宋体" w:hAnsi="宋体" w:cs="宋体"/>
          <w:bCs/>
          <w:color w:val="auto"/>
          <w:sz w:val="44"/>
          <w:szCs w:val="44"/>
          <w:highlight w:val="none"/>
        </w:rPr>
      </w:pPr>
    </w:p>
    <w:p w14:paraId="7273855A">
      <w:pPr>
        <w:spacing w:before="312" w:beforeLines="100" w:after="156" w:afterLines="50" w:line="520" w:lineRule="exact"/>
        <w:ind w:left="540"/>
        <w:jc w:val="center"/>
        <w:rPr>
          <w:rFonts w:ascii="宋体" w:hAnsi="宋体" w:cs="宋体"/>
          <w:bCs/>
          <w:color w:val="auto"/>
          <w:sz w:val="44"/>
          <w:szCs w:val="44"/>
          <w:highlight w:val="none"/>
        </w:rPr>
      </w:pPr>
    </w:p>
    <w:p w14:paraId="54CFC8F4">
      <w:pPr>
        <w:spacing w:before="312" w:beforeLines="100" w:after="156" w:afterLines="50" w:line="520" w:lineRule="exact"/>
        <w:ind w:left="540"/>
        <w:jc w:val="center"/>
        <w:rPr>
          <w:rFonts w:ascii="宋体" w:hAnsi="宋体" w:cs="宋体"/>
          <w:bCs/>
          <w:color w:val="auto"/>
          <w:sz w:val="44"/>
          <w:szCs w:val="44"/>
          <w:highlight w:val="none"/>
        </w:rPr>
      </w:pPr>
    </w:p>
    <w:p w14:paraId="425D0AD6">
      <w:pPr>
        <w:spacing w:before="312" w:beforeLines="100" w:after="156" w:afterLines="50" w:line="520" w:lineRule="exact"/>
        <w:ind w:left="540"/>
        <w:jc w:val="center"/>
        <w:rPr>
          <w:rFonts w:ascii="宋体" w:hAnsi="宋体" w:cs="宋体"/>
          <w:bCs/>
          <w:color w:val="auto"/>
          <w:sz w:val="44"/>
          <w:szCs w:val="44"/>
          <w:highlight w:val="none"/>
        </w:rPr>
      </w:pPr>
    </w:p>
    <w:p w14:paraId="0675978D">
      <w:pPr>
        <w:spacing w:before="312" w:beforeLines="100" w:after="156" w:afterLines="50" w:line="520" w:lineRule="exact"/>
        <w:ind w:left="540"/>
        <w:jc w:val="center"/>
        <w:rPr>
          <w:rFonts w:ascii="宋体" w:hAnsi="宋体" w:cs="宋体"/>
          <w:bCs/>
          <w:color w:val="auto"/>
          <w:sz w:val="44"/>
          <w:szCs w:val="44"/>
          <w:highlight w:val="none"/>
        </w:rPr>
      </w:pPr>
    </w:p>
    <w:p w14:paraId="6843AD99">
      <w:pPr>
        <w:spacing w:before="312" w:beforeLines="100" w:after="156" w:afterLines="50" w:line="520" w:lineRule="exact"/>
        <w:ind w:left="540"/>
        <w:jc w:val="center"/>
        <w:rPr>
          <w:rFonts w:ascii="宋体" w:hAnsi="宋体" w:cs="宋体"/>
          <w:bCs/>
          <w:color w:val="auto"/>
          <w:sz w:val="44"/>
          <w:szCs w:val="44"/>
          <w:highlight w:val="none"/>
        </w:rPr>
      </w:pPr>
    </w:p>
    <w:p w14:paraId="0767BB53">
      <w:pPr>
        <w:spacing w:before="312" w:beforeLines="100" w:after="156" w:afterLines="50" w:line="520" w:lineRule="exact"/>
        <w:ind w:left="540"/>
        <w:jc w:val="center"/>
        <w:rPr>
          <w:rFonts w:ascii="宋体" w:hAnsi="宋体" w:cs="宋体"/>
          <w:bCs/>
          <w:color w:val="auto"/>
          <w:sz w:val="44"/>
          <w:szCs w:val="44"/>
          <w:highlight w:val="none"/>
        </w:rPr>
      </w:pPr>
    </w:p>
    <w:p w14:paraId="318A127B">
      <w:pPr>
        <w:spacing w:before="312" w:beforeLines="100" w:after="156" w:afterLines="50" w:line="520" w:lineRule="exact"/>
        <w:ind w:left="540"/>
        <w:jc w:val="center"/>
        <w:rPr>
          <w:rFonts w:ascii="宋体" w:hAnsi="宋体" w:cs="宋体"/>
          <w:bCs/>
          <w:color w:val="auto"/>
          <w:sz w:val="44"/>
          <w:szCs w:val="44"/>
          <w:highlight w:val="none"/>
        </w:rPr>
      </w:pPr>
    </w:p>
    <w:p w14:paraId="18F3BC6C">
      <w:pPr>
        <w:spacing w:before="312" w:beforeLines="100" w:after="156" w:afterLines="50" w:line="520" w:lineRule="exact"/>
        <w:ind w:left="540"/>
        <w:jc w:val="center"/>
        <w:rPr>
          <w:rFonts w:ascii="宋体" w:hAnsi="宋体" w:cs="宋体"/>
          <w:bCs/>
          <w:color w:val="auto"/>
          <w:sz w:val="44"/>
          <w:szCs w:val="44"/>
          <w:highlight w:val="none"/>
        </w:rPr>
      </w:pPr>
    </w:p>
    <w:p w14:paraId="59903680">
      <w:pPr>
        <w:spacing w:before="312" w:beforeLines="100" w:after="156" w:afterLines="50" w:line="520" w:lineRule="exact"/>
        <w:ind w:left="540"/>
        <w:jc w:val="center"/>
        <w:rPr>
          <w:rFonts w:ascii="宋体" w:hAnsi="宋体" w:cs="宋体"/>
          <w:bCs/>
          <w:color w:val="auto"/>
          <w:sz w:val="44"/>
          <w:szCs w:val="44"/>
          <w:highlight w:val="none"/>
        </w:rPr>
      </w:pPr>
    </w:p>
    <w:p w14:paraId="0C87C058">
      <w:pPr>
        <w:spacing w:line="360" w:lineRule="auto"/>
        <w:ind w:firstLine="420" w:firstLineChars="200"/>
        <w:jc w:val="left"/>
        <w:rPr>
          <w:rFonts w:ascii="宋体" w:hAnsi="宋体" w:cs="宋体"/>
          <w:color w:val="auto"/>
          <w:szCs w:val="21"/>
          <w:highlight w:val="none"/>
        </w:rPr>
      </w:pPr>
    </w:p>
    <w:p w14:paraId="4EEA9C67">
      <w:pPr>
        <w:spacing w:line="300" w:lineRule="auto"/>
        <w:rPr>
          <w:rFonts w:ascii="宋体" w:hAnsi="宋体" w:cs="宋体"/>
          <w:color w:val="auto"/>
          <w:szCs w:val="21"/>
          <w:highlight w:val="none"/>
        </w:rPr>
      </w:pPr>
      <w:r>
        <w:rPr>
          <w:rFonts w:hint="eastAsia" w:ascii="宋体" w:hAnsi="宋体" w:cs="宋体"/>
          <w:color w:val="auto"/>
          <w:szCs w:val="21"/>
          <w:highlight w:val="none"/>
        </w:rPr>
        <w:br w:type="page"/>
      </w:r>
    </w:p>
    <w:p w14:paraId="197EEA3F">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34ED29A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096409C5">
      <w:pPr>
        <w:snapToGrid w:val="0"/>
        <w:spacing w:before="156" w:beforeLines="50" w:after="50" w:line="360" w:lineRule="auto"/>
        <w:jc w:val="center"/>
        <w:rPr>
          <w:rFonts w:ascii="宋体" w:hAnsi="宋体" w:cs="宋体"/>
          <w:b/>
          <w:color w:val="auto"/>
          <w:sz w:val="24"/>
          <w:highlight w:val="none"/>
        </w:rPr>
      </w:pPr>
    </w:p>
    <w:p w14:paraId="5DD78815">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308C6C57">
      <w:pPr>
        <w:snapToGrid w:val="0"/>
        <w:spacing w:before="50" w:after="156" w:afterLines="50"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F376D0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250FD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DE44F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095E2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6CBEA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DADC0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774A2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5D9A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F36FC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13052C">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A3C7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1550">
            <w:pPr>
              <w:widowControl/>
              <w:spacing w:line="360" w:lineRule="auto"/>
              <w:jc w:val="center"/>
              <w:rPr>
                <w:rFonts w:ascii="宋体" w:hAnsi="宋体" w:cs="宋体"/>
                <w:color w:val="auto"/>
                <w:kern w:val="0"/>
                <w:sz w:val="24"/>
                <w:highlight w:val="none"/>
              </w:rPr>
            </w:pPr>
          </w:p>
        </w:tc>
      </w:tr>
      <w:tr w14:paraId="5AB45D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97C07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C03FAB">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576F2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509B9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6EAB74">
            <w:pPr>
              <w:widowControl/>
              <w:spacing w:line="360" w:lineRule="auto"/>
              <w:jc w:val="center"/>
              <w:rPr>
                <w:rFonts w:ascii="宋体" w:hAnsi="宋体" w:cs="宋体"/>
                <w:color w:val="auto"/>
                <w:kern w:val="0"/>
                <w:sz w:val="24"/>
                <w:highlight w:val="none"/>
              </w:rPr>
            </w:pPr>
          </w:p>
        </w:tc>
      </w:tr>
      <w:tr w14:paraId="28ADE0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A9C3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C72F02">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361CE">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ABDBE7">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FEC03">
            <w:pPr>
              <w:widowControl/>
              <w:spacing w:line="360" w:lineRule="auto"/>
              <w:jc w:val="center"/>
              <w:rPr>
                <w:rFonts w:ascii="宋体" w:hAnsi="宋体" w:cs="宋体"/>
                <w:color w:val="auto"/>
                <w:kern w:val="0"/>
                <w:sz w:val="24"/>
                <w:highlight w:val="none"/>
              </w:rPr>
            </w:pPr>
          </w:p>
        </w:tc>
      </w:tr>
      <w:tr w14:paraId="41CA73C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836A3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8F150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258A5A">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96102">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B5A0E">
            <w:pPr>
              <w:widowControl/>
              <w:spacing w:line="360" w:lineRule="auto"/>
              <w:jc w:val="center"/>
              <w:rPr>
                <w:rFonts w:ascii="宋体" w:hAnsi="宋体" w:cs="宋体"/>
                <w:color w:val="auto"/>
                <w:kern w:val="0"/>
                <w:sz w:val="24"/>
                <w:highlight w:val="none"/>
              </w:rPr>
            </w:pPr>
          </w:p>
        </w:tc>
      </w:tr>
    </w:tbl>
    <w:p w14:paraId="0EC83E9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316AB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C517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F186D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71F3DCA">
      <w:pPr>
        <w:snapToGrid w:val="0"/>
        <w:spacing w:line="360" w:lineRule="auto"/>
        <w:jc w:val="left"/>
        <w:rPr>
          <w:rFonts w:ascii="宋体" w:hAnsi="宋体" w:cs="宋体"/>
          <w:color w:val="auto"/>
          <w:sz w:val="24"/>
          <w:highlight w:val="none"/>
        </w:rPr>
      </w:pPr>
    </w:p>
    <w:p w14:paraId="64924E10">
      <w:pPr>
        <w:snapToGrid w:val="0"/>
        <w:spacing w:line="360" w:lineRule="auto"/>
        <w:jc w:val="left"/>
        <w:rPr>
          <w:rFonts w:ascii="宋体" w:hAnsi="宋体" w:cs="宋体"/>
          <w:color w:val="auto"/>
          <w:sz w:val="24"/>
          <w:highlight w:val="none"/>
        </w:rPr>
      </w:pPr>
    </w:p>
    <w:p w14:paraId="5BC9BA4A">
      <w:pPr>
        <w:snapToGrid w:val="0"/>
        <w:spacing w:line="360" w:lineRule="auto"/>
        <w:jc w:val="left"/>
        <w:rPr>
          <w:rFonts w:ascii="宋体" w:hAnsi="宋体" w:cs="宋体"/>
          <w:color w:val="auto"/>
          <w:sz w:val="24"/>
          <w:highlight w:val="none"/>
        </w:rPr>
      </w:pPr>
    </w:p>
    <w:p w14:paraId="64FC9A19">
      <w:pPr>
        <w:snapToGrid w:val="0"/>
        <w:spacing w:before="156" w:beforeLines="50" w:line="360" w:lineRule="auto"/>
        <w:ind w:right="480" w:firstLine="1920" w:firstLineChars="8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法定代表人或者委托代理人（签字或签章）：</w:t>
      </w:r>
      <w:r>
        <w:rPr>
          <w:rFonts w:hint="eastAsia" w:ascii="宋体" w:hAnsi="宋体" w:cs="宋体"/>
          <w:color w:val="auto"/>
          <w:sz w:val="24"/>
          <w:highlight w:val="none"/>
          <w:u w:val="single"/>
        </w:rPr>
        <w:t xml:space="preserve">                </w:t>
      </w:r>
    </w:p>
    <w:p w14:paraId="49B09C87">
      <w:pPr>
        <w:snapToGrid w:val="0"/>
        <w:spacing w:before="156" w:beforeLines="50" w:after="50" w:line="360" w:lineRule="auto"/>
        <w:ind w:right="480" w:firstLine="3000" w:firstLineChars="1250"/>
        <w:rPr>
          <w:rFonts w:ascii="宋体" w:hAnsi="宋体" w:cs="宋体"/>
          <w:color w:val="auto"/>
          <w:sz w:val="24"/>
          <w:highlight w:val="none"/>
          <w:u w:val="singl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1771D304">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04B9107B">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AB9F1D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5A806115">
      <w:pPr>
        <w:snapToGrid w:val="0"/>
        <w:spacing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BB6FDA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94C8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98BD9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AE23B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9C355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DDE06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2CFE2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EF0E4">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0C22B0">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9B74D6">
            <w:pPr>
              <w:widowControl/>
              <w:spacing w:line="360" w:lineRule="auto"/>
              <w:jc w:val="center"/>
              <w:rPr>
                <w:rFonts w:ascii="宋体" w:hAnsi="宋体" w:cs="宋体"/>
                <w:color w:val="auto"/>
                <w:kern w:val="0"/>
                <w:sz w:val="24"/>
                <w:highlight w:val="none"/>
              </w:rPr>
            </w:pPr>
          </w:p>
        </w:tc>
      </w:tr>
      <w:tr w14:paraId="7E9B15E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5AA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23E3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695DFB">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474126">
            <w:pPr>
              <w:widowControl/>
              <w:spacing w:line="360" w:lineRule="auto"/>
              <w:jc w:val="center"/>
              <w:rPr>
                <w:rFonts w:ascii="宋体" w:hAnsi="宋体" w:cs="宋体"/>
                <w:color w:val="auto"/>
                <w:kern w:val="0"/>
                <w:sz w:val="24"/>
                <w:highlight w:val="none"/>
              </w:rPr>
            </w:pPr>
          </w:p>
        </w:tc>
      </w:tr>
      <w:tr w14:paraId="56226B2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473F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00DEC3">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6E9C2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688E28">
            <w:pPr>
              <w:widowControl/>
              <w:spacing w:line="360" w:lineRule="auto"/>
              <w:jc w:val="center"/>
              <w:rPr>
                <w:rFonts w:ascii="宋体" w:hAnsi="宋体" w:cs="宋体"/>
                <w:color w:val="auto"/>
                <w:kern w:val="0"/>
                <w:sz w:val="24"/>
                <w:highlight w:val="none"/>
              </w:rPr>
            </w:pPr>
          </w:p>
        </w:tc>
      </w:tr>
      <w:tr w14:paraId="6067E6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7569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668F2B">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8F22BD">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3481E5">
            <w:pPr>
              <w:widowControl/>
              <w:spacing w:line="360" w:lineRule="auto"/>
              <w:jc w:val="center"/>
              <w:rPr>
                <w:rFonts w:ascii="宋体" w:hAnsi="宋体" w:cs="宋体"/>
                <w:color w:val="auto"/>
                <w:kern w:val="0"/>
                <w:sz w:val="24"/>
                <w:highlight w:val="none"/>
              </w:rPr>
            </w:pPr>
          </w:p>
        </w:tc>
      </w:tr>
    </w:tbl>
    <w:p w14:paraId="0CF2C72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8CF62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709B7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2.本表所指的管理关系仅限于直接管理关系，不包括间接的管理关系。</w:t>
      </w:r>
    </w:p>
    <w:p w14:paraId="3AE0FB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40CDFCB">
      <w:pPr>
        <w:snapToGrid w:val="0"/>
        <w:spacing w:line="360" w:lineRule="auto"/>
        <w:jc w:val="left"/>
        <w:rPr>
          <w:rFonts w:ascii="宋体" w:hAnsi="宋体" w:cs="宋体"/>
          <w:color w:val="auto"/>
          <w:sz w:val="24"/>
          <w:highlight w:val="none"/>
        </w:rPr>
      </w:pPr>
    </w:p>
    <w:p w14:paraId="5CF24B0E">
      <w:pPr>
        <w:snapToGrid w:val="0"/>
        <w:spacing w:line="360" w:lineRule="auto"/>
        <w:jc w:val="left"/>
        <w:rPr>
          <w:rFonts w:ascii="宋体" w:hAnsi="宋体" w:cs="宋体"/>
          <w:color w:val="auto"/>
          <w:sz w:val="24"/>
          <w:highlight w:val="none"/>
        </w:rPr>
      </w:pPr>
    </w:p>
    <w:p w14:paraId="56364FE5">
      <w:pPr>
        <w:snapToGrid w:val="0"/>
        <w:spacing w:line="360" w:lineRule="auto"/>
        <w:jc w:val="left"/>
        <w:rPr>
          <w:rFonts w:ascii="宋体" w:hAnsi="宋体" w:cs="宋体"/>
          <w:color w:val="auto"/>
          <w:sz w:val="24"/>
          <w:highlight w:val="none"/>
        </w:rPr>
      </w:pPr>
    </w:p>
    <w:p w14:paraId="7CA3EF09">
      <w:pPr>
        <w:snapToGrid w:val="0"/>
        <w:spacing w:line="360" w:lineRule="auto"/>
        <w:jc w:val="left"/>
        <w:rPr>
          <w:rFonts w:ascii="宋体" w:hAnsi="宋体" w:cs="宋体"/>
          <w:color w:val="auto"/>
          <w:sz w:val="24"/>
          <w:highlight w:val="none"/>
        </w:rPr>
      </w:pPr>
    </w:p>
    <w:p w14:paraId="38162D39">
      <w:pPr>
        <w:snapToGrid w:val="0"/>
        <w:spacing w:line="360" w:lineRule="auto"/>
        <w:jc w:val="left"/>
        <w:rPr>
          <w:rFonts w:ascii="宋体" w:hAnsi="宋体" w:cs="宋体"/>
          <w:color w:val="auto"/>
          <w:sz w:val="24"/>
          <w:highlight w:val="none"/>
        </w:rPr>
      </w:pPr>
    </w:p>
    <w:p w14:paraId="45D1AE69">
      <w:pPr>
        <w:snapToGrid w:val="0"/>
        <w:spacing w:line="360" w:lineRule="auto"/>
        <w:jc w:val="left"/>
        <w:rPr>
          <w:rFonts w:ascii="宋体" w:hAnsi="宋体" w:cs="宋体"/>
          <w:color w:val="auto"/>
          <w:sz w:val="24"/>
          <w:highlight w:val="none"/>
        </w:rPr>
      </w:pPr>
    </w:p>
    <w:p w14:paraId="181CCFA8">
      <w:pPr>
        <w:snapToGrid w:val="0"/>
        <w:spacing w:before="156" w:beforeLines="50" w:line="360" w:lineRule="auto"/>
        <w:ind w:right="480"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法定代表人或者委托代理人（签字或签章）：</w:t>
      </w:r>
      <w:r>
        <w:rPr>
          <w:rFonts w:hint="eastAsia" w:ascii="宋体" w:hAnsi="宋体" w:cs="宋体"/>
          <w:color w:val="auto"/>
          <w:sz w:val="24"/>
          <w:highlight w:val="none"/>
          <w:u w:val="single"/>
        </w:rPr>
        <w:t xml:space="preserve">               </w:t>
      </w:r>
    </w:p>
    <w:p w14:paraId="24572DE2">
      <w:pPr>
        <w:snapToGrid w:val="0"/>
        <w:spacing w:before="156" w:beforeLines="50" w:after="50"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3F880660">
      <w:pPr>
        <w:snapToGrid w:val="0"/>
        <w:spacing w:before="156" w:beforeLines="50" w:after="50"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60697175">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48327483">
      <w:pPr>
        <w:spacing w:line="320" w:lineRule="exact"/>
        <w:jc w:val="center"/>
        <w:rPr>
          <w:rFonts w:ascii="宋体" w:hAnsi="宋体" w:cs="宋体"/>
          <w:color w:val="auto"/>
          <w:sz w:val="24"/>
          <w:szCs w:val="20"/>
          <w:highlight w:val="none"/>
        </w:rPr>
      </w:pPr>
    </w:p>
    <w:p w14:paraId="52ACABB7">
      <w:pPr>
        <w:spacing w:before="156" w:beforeLines="50" w:after="5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p>
    <w:p w14:paraId="45447B6C">
      <w:pPr>
        <w:spacing w:before="156" w:beforeLines="50" w:after="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3FC64F">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（项目名称及项目编号）</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CA7AA0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731B20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887329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5ABF33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09D64B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12D5FA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4BB52B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16160F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FD0E06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3CD97C">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870214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0B928E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A62579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9C8295A">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EE7638C">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E2C3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w:t>
      </w:r>
    </w:p>
    <w:p w14:paraId="0F6E520F">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64EB98E">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5314796">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2E943EE1">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83CFB1C">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67A0B95">
      <w:pPr>
        <w:spacing w:line="360" w:lineRule="auto"/>
        <w:contextualSpacing/>
        <w:rPr>
          <w:rFonts w:ascii="宋体" w:hAnsi="宋体" w:cs="仿宋_GB2312"/>
          <w:color w:val="auto"/>
          <w:sz w:val="24"/>
          <w:highlight w:val="none"/>
        </w:rPr>
      </w:pPr>
    </w:p>
    <w:p w14:paraId="331B25A0">
      <w:pPr>
        <w:spacing w:line="360" w:lineRule="auto"/>
        <w:contextualSpacing/>
        <w:rPr>
          <w:color w:val="auto"/>
          <w:sz w:val="24"/>
          <w:highlight w:val="none"/>
          <w:u w:val="single"/>
        </w:rPr>
      </w:pPr>
      <w:r>
        <w:rPr>
          <w:rFonts w:hint="eastAsia" w:ascii="宋体" w:hAnsi="宋体" w:cs="宋体"/>
          <w:color w:val="auto"/>
          <w:sz w:val="24"/>
          <w:highlight w:val="none"/>
        </w:rPr>
        <w:t>供应商（盖公章或电子签章）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337F4471">
      <w:pPr>
        <w:spacing w:line="360" w:lineRule="auto"/>
        <w:contextualSpacing/>
        <w:rPr>
          <w:rFonts w:ascii="宋体" w:hAnsi="宋体" w:cs="宋体"/>
          <w:color w:val="auto"/>
          <w:sz w:val="24"/>
          <w:highlight w:val="none"/>
          <w:u w:val="single"/>
        </w:rPr>
      </w:pPr>
      <w:r>
        <w:rPr>
          <w:rFonts w:hint="eastAsia" w:ascii="宋体" w:hAnsi="宋体" w:cs="仿宋_GB2312"/>
          <w:color w:val="auto"/>
          <w:sz w:val="24"/>
          <w:highlight w:val="none"/>
        </w:rPr>
        <w:t>法定代表人（单位负责人）（</w:t>
      </w:r>
      <w:r>
        <w:rPr>
          <w:rFonts w:hint="eastAsia" w:ascii="宋体" w:hAnsi="宋体" w:cs="宋体"/>
          <w:color w:val="auto"/>
          <w:sz w:val="24"/>
          <w:highlight w:val="none"/>
        </w:rPr>
        <w:t>签字或签章</w:t>
      </w:r>
      <w:r>
        <w:rPr>
          <w:rFonts w:hint="eastAsia" w:ascii="宋体" w:hAnsi="宋体" w:cs="仿宋_GB2312"/>
          <w:color w:val="auto"/>
          <w:sz w:val="24"/>
          <w:highlight w:val="none"/>
        </w:rPr>
        <w:t>）：</w:t>
      </w:r>
      <w:r>
        <w:rPr>
          <w:rFonts w:hint="eastAsia"/>
          <w:color w:val="auto"/>
          <w:sz w:val="24"/>
          <w:highlight w:val="none"/>
          <w:u w:val="single"/>
        </w:rPr>
        <w:t xml:space="preserve">           </w:t>
      </w:r>
    </w:p>
    <w:p w14:paraId="34716A4F">
      <w:pPr>
        <w:spacing w:line="360" w:lineRule="auto"/>
        <w:ind w:right="482" w:firstLine="240" w:firstLineChars="100"/>
        <w:contextualSpacing/>
        <w:rPr>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color w:val="auto"/>
          <w:sz w:val="24"/>
          <w:highlight w:val="none"/>
        </w:rPr>
        <w:t xml:space="preserve">年    月    日 </w:t>
      </w:r>
    </w:p>
    <w:p w14:paraId="7E082892">
      <w:pPr>
        <w:pStyle w:val="2"/>
        <w:spacing w:line="360" w:lineRule="auto"/>
        <w:ind w:firstLine="0"/>
        <w:rPr>
          <w:color w:val="auto"/>
          <w:sz w:val="24"/>
          <w:highlight w:val="none"/>
        </w:rPr>
      </w:pPr>
    </w:p>
    <w:p w14:paraId="1A095B02">
      <w:pPr>
        <w:snapToGrid w:val="0"/>
        <w:spacing w:before="156" w:beforeLines="50" w:after="50" w:line="360" w:lineRule="auto"/>
        <w:ind w:right="480" w:firstLine="280" w:firstLineChars="100"/>
        <w:jc w:val="center"/>
        <w:rPr>
          <w:rFonts w:ascii="宋体" w:hAnsi="宋体" w:cs="宋体"/>
          <w:color w:val="auto"/>
          <w:sz w:val="28"/>
          <w:szCs w:val="28"/>
          <w:highlight w:val="none"/>
        </w:rPr>
      </w:pPr>
    </w:p>
    <w:p w14:paraId="73F519D7">
      <w:pPr>
        <w:pStyle w:val="2"/>
        <w:overflowPunct w:val="0"/>
        <w:ind w:firstLine="0"/>
        <w:rPr>
          <w:rFonts w:ascii="宋体" w:hAnsi="宋体" w:cs="宋体"/>
          <w:color w:val="auto"/>
          <w:sz w:val="30"/>
          <w:highlight w:val="none"/>
        </w:rPr>
      </w:pPr>
    </w:p>
    <w:p w14:paraId="1CED3D33">
      <w:pPr>
        <w:snapToGrid w:val="0"/>
        <w:spacing w:before="156" w:beforeLines="50" w:after="50" w:line="360" w:lineRule="auto"/>
        <w:ind w:right="480"/>
        <w:jc w:val="center"/>
        <w:rPr>
          <w:rFonts w:ascii="宋体" w:hAnsi="宋体" w:cs="宋体"/>
          <w:b/>
          <w:color w:val="auto"/>
          <w:sz w:val="32"/>
          <w:szCs w:val="32"/>
          <w:highlight w:val="none"/>
        </w:rPr>
      </w:pPr>
    </w:p>
    <w:p w14:paraId="54519D2D">
      <w:pPr>
        <w:snapToGrid w:val="0"/>
        <w:spacing w:before="156" w:beforeLines="50" w:after="50" w:line="360" w:lineRule="auto"/>
        <w:ind w:right="480"/>
        <w:jc w:val="center"/>
        <w:rPr>
          <w:rFonts w:ascii="宋体" w:hAnsi="宋体" w:cs="宋体"/>
          <w:b/>
          <w:color w:val="auto"/>
          <w:sz w:val="32"/>
          <w:szCs w:val="32"/>
          <w:highlight w:val="none"/>
        </w:rPr>
      </w:pPr>
    </w:p>
    <w:p w14:paraId="5A07A468">
      <w:pPr>
        <w:snapToGrid w:val="0"/>
        <w:spacing w:before="156" w:beforeLines="50" w:after="50" w:line="360" w:lineRule="auto"/>
        <w:ind w:right="480"/>
        <w:jc w:val="center"/>
        <w:rPr>
          <w:rFonts w:ascii="宋体" w:hAnsi="宋体" w:cs="宋体"/>
          <w:b/>
          <w:color w:val="auto"/>
          <w:sz w:val="32"/>
          <w:szCs w:val="32"/>
          <w:highlight w:val="none"/>
        </w:rPr>
      </w:pPr>
    </w:p>
    <w:p w14:paraId="723B1A8C">
      <w:pPr>
        <w:snapToGrid w:val="0"/>
        <w:spacing w:before="156" w:beforeLines="50" w:after="50" w:line="360" w:lineRule="auto"/>
        <w:ind w:right="480"/>
        <w:jc w:val="center"/>
        <w:rPr>
          <w:rFonts w:ascii="宋体" w:hAnsi="宋体" w:cs="宋体"/>
          <w:b/>
          <w:color w:val="auto"/>
          <w:sz w:val="32"/>
          <w:szCs w:val="32"/>
          <w:highlight w:val="none"/>
        </w:rPr>
      </w:pPr>
    </w:p>
    <w:p w14:paraId="607654DC">
      <w:pPr>
        <w:snapToGrid w:val="0"/>
        <w:spacing w:before="156" w:beforeLines="50" w:after="50" w:line="360" w:lineRule="auto"/>
        <w:ind w:right="480"/>
        <w:jc w:val="center"/>
        <w:rPr>
          <w:rFonts w:ascii="宋体" w:hAnsi="宋体" w:cs="宋体"/>
          <w:b/>
          <w:color w:val="auto"/>
          <w:sz w:val="32"/>
          <w:szCs w:val="32"/>
          <w:highlight w:val="none"/>
        </w:rPr>
      </w:pPr>
    </w:p>
    <w:p w14:paraId="36A25A42">
      <w:pPr>
        <w:snapToGrid w:val="0"/>
        <w:spacing w:before="156" w:beforeLines="50" w:after="50" w:line="360" w:lineRule="auto"/>
        <w:ind w:right="480"/>
        <w:jc w:val="center"/>
        <w:rPr>
          <w:rFonts w:ascii="宋体" w:hAnsi="宋体" w:cs="宋体"/>
          <w:b/>
          <w:color w:val="auto"/>
          <w:sz w:val="32"/>
          <w:szCs w:val="32"/>
          <w:highlight w:val="none"/>
        </w:rPr>
      </w:pPr>
    </w:p>
    <w:p w14:paraId="0D6D63C1">
      <w:pPr>
        <w:snapToGrid w:val="0"/>
        <w:spacing w:before="156" w:beforeLines="50" w:after="50" w:line="360" w:lineRule="auto"/>
        <w:ind w:right="480"/>
        <w:jc w:val="center"/>
        <w:rPr>
          <w:rFonts w:ascii="宋体" w:hAnsi="宋体" w:cs="宋体"/>
          <w:b/>
          <w:color w:val="auto"/>
          <w:sz w:val="32"/>
          <w:szCs w:val="32"/>
          <w:highlight w:val="none"/>
        </w:rPr>
      </w:pPr>
    </w:p>
    <w:p w14:paraId="3898AB6B">
      <w:pPr>
        <w:snapToGrid w:val="0"/>
        <w:spacing w:before="156" w:beforeLines="50" w:after="50" w:line="360" w:lineRule="auto"/>
        <w:ind w:right="480"/>
        <w:jc w:val="center"/>
        <w:rPr>
          <w:rFonts w:ascii="宋体" w:hAnsi="宋体" w:cs="宋体"/>
          <w:b/>
          <w:color w:val="auto"/>
          <w:sz w:val="32"/>
          <w:szCs w:val="32"/>
          <w:highlight w:val="none"/>
        </w:rPr>
      </w:pPr>
    </w:p>
    <w:p w14:paraId="53F50C93">
      <w:pPr>
        <w:snapToGrid w:val="0"/>
        <w:spacing w:before="156" w:beforeLines="50" w:after="50" w:line="360" w:lineRule="auto"/>
        <w:ind w:right="480"/>
        <w:jc w:val="center"/>
        <w:rPr>
          <w:rFonts w:ascii="宋体" w:hAnsi="宋体" w:cs="宋体"/>
          <w:b/>
          <w:color w:val="auto"/>
          <w:sz w:val="32"/>
          <w:szCs w:val="32"/>
          <w:highlight w:val="none"/>
        </w:rPr>
      </w:pPr>
    </w:p>
    <w:p w14:paraId="7AF04209">
      <w:pPr>
        <w:snapToGrid w:val="0"/>
        <w:spacing w:before="156" w:beforeLines="50" w:after="50" w:line="360" w:lineRule="auto"/>
        <w:ind w:right="480"/>
        <w:rPr>
          <w:rFonts w:ascii="宋体" w:hAnsi="宋体" w:cs="宋体"/>
          <w:b/>
          <w:color w:val="auto"/>
          <w:sz w:val="32"/>
          <w:szCs w:val="32"/>
          <w:highlight w:val="none"/>
        </w:rPr>
      </w:pPr>
    </w:p>
    <w:p w14:paraId="6E223CEA">
      <w:pPr>
        <w:snapToGrid w:val="0"/>
        <w:spacing w:before="156" w:beforeLines="50" w:after="50" w:line="360" w:lineRule="auto"/>
        <w:jc w:val="center"/>
        <w:outlineLvl w:val="1"/>
        <w:rPr>
          <w:rFonts w:ascii="宋体" w:hAnsi="宋体" w:cs="宋体"/>
          <w:b/>
          <w:bCs/>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2"/>
          <w:szCs w:val="32"/>
          <w:highlight w:val="none"/>
        </w:rPr>
        <w:t>二、报价文件格式</w:t>
      </w:r>
    </w:p>
    <w:p w14:paraId="3287E1B5">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报价文件封面格式</w:t>
      </w:r>
    </w:p>
    <w:p w14:paraId="21EAAA9B">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29FCB95">
      <w:pPr>
        <w:snapToGrid w:val="0"/>
        <w:spacing w:before="156" w:beforeLines="50" w:after="50"/>
        <w:rPr>
          <w:rFonts w:ascii="宋体" w:hAnsi="宋体" w:cs="宋体"/>
          <w:color w:val="auto"/>
          <w:sz w:val="24"/>
          <w:szCs w:val="20"/>
          <w:highlight w:val="none"/>
        </w:rPr>
      </w:pPr>
    </w:p>
    <w:p w14:paraId="0751F3B7">
      <w:pPr>
        <w:snapToGrid w:val="0"/>
        <w:spacing w:before="156" w:beforeLines="50" w:after="50"/>
        <w:rPr>
          <w:rFonts w:ascii="宋体" w:hAnsi="宋体" w:cs="宋体"/>
          <w:color w:val="auto"/>
          <w:sz w:val="24"/>
          <w:szCs w:val="20"/>
          <w:highlight w:val="none"/>
        </w:rPr>
      </w:pPr>
    </w:p>
    <w:p w14:paraId="6DFF6C20">
      <w:pPr>
        <w:snapToGrid w:val="0"/>
        <w:spacing w:before="156" w:beforeLines="50" w:after="50"/>
        <w:rPr>
          <w:rFonts w:ascii="宋体" w:hAnsi="宋体" w:cs="宋体"/>
          <w:color w:val="auto"/>
          <w:sz w:val="24"/>
          <w:szCs w:val="20"/>
          <w:highlight w:val="none"/>
        </w:rPr>
      </w:pPr>
    </w:p>
    <w:p w14:paraId="7AE3EDC0">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1524CEC5">
      <w:pPr>
        <w:snapToGrid w:val="0"/>
        <w:spacing w:before="156" w:beforeLines="50" w:after="50"/>
        <w:rPr>
          <w:rFonts w:ascii="宋体" w:hAnsi="宋体" w:cs="宋体"/>
          <w:bCs/>
          <w:color w:val="auto"/>
          <w:sz w:val="24"/>
          <w:szCs w:val="20"/>
          <w:highlight w:val="none"/>
        </w:rPr>
      </w:pPr>
    </w:p>
    <w:p w14:paraId="401D2452">
      <w:pPr>
        <w:snapToGrid w:val="0"/>
        <w:spacing w:before="156" w:beforeLines="50" w:after="50"/>
        <w:rPr>
          <w:rFonts w:ascii="宋体" w:hAnsi="宋体" w:cs="宋体"/>
          <w:bCs/>
          <w:color w:val="auto"/>
          <w:sz w:val="24"/>
          <w:szCs w:val="20"/>
          <w:highlight w:val="none"/>
        </w:rPr>
      </w:pPr>
    </w:p>
    <w:p w14:paraId="390745F1">
      <w:pPr>
        <w:snapToGrid w:val="0"/>
        <w:spacing w:before="156" w:beforeLines="50" w:after="50"/>
        <w:rPr>
          <w:rFonts w:ascii="宋体" w:hAnsi="宋体" w:cs="宋体"/>
          <w:bCs/>
          <w:color w:val="auto"/>
          <w:sz w:val="24"/>
          <w:szCs w:val="20"/>
          <w:highlight w:val="none"/>
        </w:rPr>
      </w:pPr>
    </w:p>
    <w:p w14:paraId="6712F475">
      <w:pPr>
        <w:snapToGrid w:val="0"/>
        <w:spacing w:before="156" w:beforeLines="50" w:after="50"/>
        <w:rPr>
          <w:rFonts w:ascii="宋体" w:hAnsi="宋体" w:cs="宋体"/>
          <w:bCs/>
          <w:color w:val="auto"/>
          <w:sz w:val="24"/>
          <w:szCs w:val="20"/>
          <w:highlight w:val="none"/>
        </w:rPr>
      </w:pPr>
    </w:p>
    <w:p w14:paraId="5D391866">
      <w:pPr>
        <w:snapToGrid w:val="0"/>
        <w:spacing w:before="156" w:beforeLines="50" w:after="50"/>
        <w:rPr>
          <w:rFonts w:ascii="宋体" w:hAnsi="宋体" w:cs="宋体"/>
          <w:bCs/>
          <w:color w:val="auto"/>
          <w:sz w:val="24"/>
          <w:szCs w:val="20"/>
          <w:highlight w:val="none"/>
        </w:rPr>
      </w:pPr>
    </w:p>
    <w:p w14:paraId="7269F078">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53B2F9E">
      <w:pPr>
        <w:snapToGrid w:val="0"/>
        <w:spacing w:before="156" w:beforeLines="50" w:after="50"/>
        <w:ind w:firstLine="720" w:firstLineChars="225"/>
        <w:rPr>
          <w:rFonts w:ascii="宋体" w:hAnsi="宋体" w:cs="宋体"/>
          <w:bCs/>
          <w:color w:val="auto"/>
          <w:sz w:val="32"/>
          <w:szCs w:val="32"/>
          <w:highlight w:val="none"/>
        </w:rPr>
      </w:pPr>
    </w:p>
    <w:p w14:paraId="2A9E9C5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1E06437">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87144B5">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C65AC77">
      <w:pPr>
        <w:snapToGrid w:val="0"/>
        <w:spacing w:before="156" w:beforeLines="50" w:after="50"/>
        <w:ind w:firstLine="720" w:firstLineChars="225"/>
        <w:rPr>
          <w:rFonts w:ascii="宋体" w:hAnsi="宋体" w:cs="宋体"/>
          <w:bCs/>
          <w:color w:val="auto"/>
          <w:sz w:val="32"/>
          <w:szCs w:val="32"/>
          <w:highlight w:val="none"/>
        </w:rPr>
      </w:pPr>
    </w:p>
    <w:p w14:paraId="139653D5">
      <w:pPr>
        <w:pStyle w:val="2"/>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91ADCF0">
      <w:pPr>
        <w:pStyle w:val="2"/>
        <w:snapToGrid w:val="0"/>
        <w:spacing w:before="50" w:after="50"/>
        <w:ind w:firstLine="720" w:firstLineChars="225"/>
        <w:rPr>
          <w:rFonts w:ascii="宋体" w:hAnsi="宋体" w:cs="宋体"/>
          <w:bCs/>
          <w:color w:val="auto"/>
          <w:sz w:val="32"/>
          <w:szCs w:val="32"/>
          <w:highlight w:val="none"/>
        </w:rPr>
      </w:pPr>
    </w:p>
    <w:p w14:paraId="669A8C65">
      <w:pPr>
        <w:pStyle w:val="2"/>
        <w:snapToGrid w:val="0"/>
        <w:spacing w:before="50" w:after="50"/>
        <w:ind w:firstLine="720" w:firstLineChars="225"/>
        <w:rPr>
          <w:rFonts w:ascii="宋体" w:hAnsi="宋体" w:cs="宋体"/>
          <w:bCs/>
          <w:color w:val="auto"/>
          <w:sz w:val="32"/>
          <w:szCs w:val="32"/>
          <w:highlight w:val="none"/>
        </w:rPr>
      </w:pPr>
    </w:p>
    <w:p w14:paraId="5208FB26">
      <w:pPr>
        <w:pStyle w:val="2"/>
        <w:snapToGrid w:val="0"/>
        <w:spacing w:before="50" w:after="50"/>
        <w:ind w:firstLine="1280" w:firstLineChars="400"/>
        <w:rPr>
          <w:rFonts w:ascii="宋体" w:hAnsi="宋体" w:cs="宋体"/>
          <w:bCs/>
          <w:color w:val="auto"/>
          <w:sz w:val="32"/>
          <w:szCs w:val="32"/>
          <w:highlight w:val="none"/>
        </w:rPr>
      </w:pPr>
    </w:p>
    <w:p w14:paraId="3D97AF54">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2E1123">
      <w:pPr>
        <w:snapToGrid w:val="0"/>
        <w:spacing w:before="156" w:beforeLines="50" w:after="50" w:line="360" w:lineRule="auto"/>
        <w:ind w:left="142"/>
        <w:jc w:val="cente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255473F0">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33F07A5B">
      <w:pPr>
        <w:spacing w:line="360" w:lineRule="auto"/>
        <w:ind w:firstLine="880" w:firstLineChars="200"/>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p>
    <w:p w14:paraId="2B92C96E">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394648AB">
      <w:pPr>
        <w:spacing w:line="440" w:lineRule="exact"/>
        <w:jc w:val="center"/>
        <w:rPr>
          <w:rFonts w:ascii="宋体" w:hAnsi="宋体" w:cs="宋体"/>
          <w:bCs/>
          <w:color w:val="auto"/>
          <w:sz w:val="32"/>
          <w:szCs w:val="32"/>
          <w:highlight w:val="none"/>
        </w:rPr>
      </w:pPr>
    </w:p>
    <w:p w14:paraId="585E9B7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7E174A">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0505889">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56153C3">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1D7516E">
      <w:pPr>
        <w:snapToGrid w:val="0"/>
        <w:spacing w:before="50" w:after="50"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997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C5BD0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9696B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C5A9C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B2A17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08DCFC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0CCFB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2CDBB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5759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09B01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58F5426">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169C2513">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7F4719B3">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5B1D306">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1F975B4">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A256325">
            <w:pPr>
              <w:spacing w:line="360" w:lineRule="auto"/>
              <w:rPr>
                <w:rFonts w:ascii="宋体" w:hAnsi="宋体" w:cs="宋体"/>
                <w:color w:val="auto"/>
                <w:sz w:val="24"/>
                <w:highlight w:val="none"/>
              </w:rPr>
            </w:pPr>
          </w:p>
        </w:tc>
      </w:tr>
      <w:tr w14:paraId="503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141A4E2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831DAB4">
      <w:pPr>
        <w:snapToGrid w:val="0"/>
        <w:spacing w:before="50" w:after="50" w:line="360" w:lineRule="auto"/>
        <w:jc w:val="left"/>
        <w:rPr>
          <w:rFonts w:ascii="宋体" w:hAnsi="宋体" w:cs="宋体"/>
          <w:color w:val="auto"/>
          <w:sz w:val="24"/>
          <w:highlight w:val="none"/>
        </w:rPr>
      </w:pPr>
    </w:p>
    <w:p w14:paraId="3B9FF4BF">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027D1690">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13D73741">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426F8125">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4ABA52B0">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4.如有多分标，分别列明各分标的报价表，</w:t>
      </w:r>
      <w:r>
        <w:rPr>
          <w:rFonts w:hint="eastAsia" w:ascii="宋体" w:hAnsi="宋体" w:cs="宋体"/>
          <w:b/>
          <w:color w:val="auto"/>
          <w:sz w:val="24"/>
          <w:highlight w:val="none"/>
        </w:rPr>
        <w:t>否则其响应文件按无效响应处理。</w:t>
      </w:r>
    </w:p>
    <w:p w14:paraId="69031981">
      <w:pPr>
        <w:snapToGrid w:val="0"/>
        <w:spacing w:before="50" w:after="50" w:line="360" w:lineRule="auto"/>
        <w:ind w:right="-817" w:rightChars="-389"/>
        <w:rPr>
          <w:rFonts w:ascii="宋体" w:hAnsi="宋体" w:cs="宋体"/>
          <w:color w:val="auto"/>
          <w:sz w:val="24"/>
          <w:highlight w:val="none"/>
        </w:rPr>
      </w:pPr>
    </w:p>
    <w:p w14:paraId="36F65576">
      <w:pPr>
        <w:snapToGrid w:val="0"/>
        <w:spacing w:before="50" w:after="50" w:line="360" w:lineRule="auto"/>
        <w:ind w:right="-817" w:rightChars="-389" w:firstLine="960" w:firstLineChars="400"/>
        <w:rPr>
          <w:rFonts w:ascii="宋体" w:hAnsi="宋体" w:cs="宋体"/>
          <w:color w:val="auto"/>
          <w:sz w:val="24"/>
          <w:highlight w:val="none"/>
        </w:rPr>
      </w:pPr>
    </w:p>
    <w:p w14:paraId="2339636A">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BA7A149">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18E36E2D">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6806632D">
      <w:pPr>
        <w:pStyle w:val="2"/>
        <w:rPr>
          <w:color w:val="auto"/>
          <w:highlight w:val="none"/>
        </w:rPr>
      </w:pPr>
    </w:p>
    <w:p w14:paraId="5817A357">
      <w:pPr>
        <w:spacing w:line="520" w:lineRule="exact"/>
        <w:ind w:firstLine="643" w:firstLineChars="200"/>
        <w:jc w:val="center"/>
        <w:rPr>
          <w:rFonts w:ascii="宋体" w:hAnsi="宋体" w:cs="宋体"/>
          <w:b/>
          <w:bCs/>
          <w:color w:val="auto"/>
          <w:sz w:val="36"/>
          <w:szCs w:val="36"/>
          <w:highlight w:val="none"/>
        </w:rPr>
      </w:pPr>
      <w:r>
        <w:rPr>
          <w:rFonts w:hint="eastAsia" w:ascii="宋体" w:hAnsi="宋体" w:cs="宋体"/>
          <w:b/>
          <w:bCs/>
          <w:color w:val="auto"/>
          <w:sz w:val="32"/>
          <w:szCs w:val="32"/>
          <w:highlight w:val="none"/>
        </w:rPr>
        <w:t>中小企业声明函（服务）</w:t>
      </w:r>
    </w:p>
    <w:p w14:paraId="1DE23353">
      <w:pPr>
        <w:pStyle w:val="15"/>
        <w:spacing w:line="500" w:lineRule="exact"/>
        <w:ind w:right="142"/>
        <w:rPr>
          <w:rFonts w:ascii="宋体" w:hAnsi="宋体"/>
          <w:color w:val="auto"/>
          <w:sz w:val="24"/>
          <w:highlight w:val="none"/>
        </w:rPr>
      </w:pPr>
    </w:p>
    <w:p w14:paraId="09D7AE27">
      <w:pPr>
        <w:pStyle w:val="15"/>
        <w:spacing w:line="500" w:lineRule="exact"/>
        <w:ind w:right="142"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本公司（联合体）郑重声明，根据《政府采购促进中小企业发展管理办法》（财库﹝2020﹞46号）的规定，本公司（联合体）参加</w:t>
      </w:r>
      <w:r>
        <w:rPr>
          <w:rFonts w:hint="eastAsia" w:ascii="宋体" w:hAnsi="宋体" w:cs="宋体"/>
          <w:color w:val="auto"/>
          <w:sz w:val="24"/>
          <w:szCs w:val="32"/>
          <w:highlight w:val="none"/>
          <w:u w:val="single"/>
        </w:rPr>
        <w:t>（采购单位）</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（项目名称）</w:t>
      </w:r>
      <w:r>
        <w:rPr>
          <w:rFonts w:hint="eastAsia" w:ascii="宋体" w:hAnsi="宋体" w:cs="宋体"/>
          <w:color w:val="auto"/>
          <w:sz w:val="24"/>
          <w:szCs w:val="32"/>
          <w:highlight w:val="none"/>
        </w:rPr>
        <w:t>采购活动，服务全部由符合政策要求的中小企业承接。相关企业（含联合体中的中小企业、签订分包意向协议的中小企业）的具体情况如下：</w:t>
      </w:r>
    </w:p>
    <w:p w14:paraId="3240CE15">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B2ED324">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E671246">
      <w:pPr>
        <w:pStyle w:val="15"/>
        <w:spacing w:before="34" w:line="500" w:lineRule="exact"/>
        <w:ind w:left="765" w:right="142" w:hanging="5"/>
        <w:rPr>
          <w:rFonts w:ascii="宋体" w:hAnsi="宋体" w:cs="宋体"/>
          <w:color w:val="auto"/>
          <w:sz w:val="24"/>
          <w:szCs w:val="32"/>
          <w:highlight w:val="none"/>
        </w:rPr>
      </w:pPr>
      <w:r>
        <w:rPr>
          <w:rFonts w:hint="eastAsia" w:ascii="宋体" w:hAnsi="宋体" w:cs="宋体"/>
          <w:color w:val="auto"/>
          <w:sz w:val="24"/>
          <w:szCs w:val="32"/>
          <w:highlight w:val="none"/>
        </w:rPr>
        <w:t xml:space="preserve">…… </w:t>
      </w:r>
    </w:p>
    <w:p w14:paraId="6334ED8E">
      <w:pPr>
        <w:pStyle w:val="15"/>
        <w:spacing w:before="34" w:line="500" w:lineRule="exact"/>
        <w:ind w:right="142"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008A5088">
      <w:pPr>
        <w:pStyle w:val="15"/>
        <w:spacing w:before="34" w:line="500" w:lineRule="exact"/>
        <w:ind w:right="142" w:firstLine="480" w:firstLineChars="200"/>
        <w:rPr>
          <w:rFonts w:ascii="宋体" w:hAnsi="宋体"/>
          <w:color w:val="auto"/>
          <w:sz w:val="24"/>
          <w:highlight w:val="none"/>
        </w:rPr>
      </w:pPr>
      <w:r>
        <w:rPr>
          <w:rFonts w:hint="eastAsia" w:ascii="宋体" w:hAnsi="宋体" w:cs="宋体"/>
          <w:color w:val="auto"/>
          <w:sz w:val="24"/>
          <w:szCs w:val="32"/>
          <w:highlight w:val="none"/>
        </w:rPr>
        <w:t>本企业对上述声明内容的真实性负责。如有虚假，将依法承担相应责任。</w:t>
      </w:r>
    </w:p>
    <w:p w14:paraId="5540331E">
      <w:pPr>
        <w:pStyle w:val="15"/>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1AF5EB35">
      <w:pPr>
        <w:spacing w:line="520" w:lineRule="exact"/>
        <w:ind w:firstLine="6960" w:firstLineChars="2900"/>
        <w:jc w:val="left"/>
        <w:rPr>
          <w:rFonts w:ascii="宋体" w:hAnsi="宋体" w:cs="宋体"/>
          <w:color w:val="auto"/>
          <w:szCs w:val="21"/>
          <w:highlight w:val="none"/>
        </w:rPr>
      </w:pPr>
      <w:r>
        <w:rPr>
          <w:rFonts w:ascii="宋体" w:hAnsi="宋体"/>
          <w:color w:val="auto"/>
          <w:sz w:val="24"/>
          <w:highlight w:val="none"/>
        </w:rPr>
        <w:t>日 期：</w:t>
      </w:r>
    </w:p>
    <w:p w14:paraId="674CFF02">
      <w:pPr>
        <w:pStyle w:val="13"/>
        <w:spacing w:line="300" w:lineRule="exact"/>
        <w:rPr>
          <w:rFonts w:ascii="宋体" w:hAnsi="宋体" w:cs="宋体"/>
          <w:color w:val="auto"/>
          <w:szCs w:val="21"/>
          <w:highlight w:val="none"/>
        </w:rPr>
      </w:pPr>
      <w:r>
        <w:rPr>
          <w:rFonts w:hint="eastAsia" w:ascii="宋体" w:hAnsi="宋体" w:cs="宋体"/>
          <w:color w:val="auto"/>
          <w:szCs w:val="21"/>
          <w:highlight w:val="none"/>
        </w:rPr>
        <w:t>备注：</w:t>
      </w:r>
    </w:p>
    <w:p w14:paraId="0FDFD6C2">
      <w:pPr>
        <w:pStyle w:val="13"/>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1.从业人员、营业收入、资产总额填报上一年度数据，无上一年度数据的新成立企业可不填报相关数据。</w:t>
      </w:r>
    </w:p>
    <w:p w14:paraId="193E7A97">
      <w:pPr>
        <w:pStyle w:val="13"/>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2.供应商须依据《采购需求》中明确的标的所属行业进行填报。</w:t>
      </w:r>
    </w:p>
    <w:p w14:paraId="0CF1A97B">
      <w:pPr>
        <w:pStyle w:val="26"/>
        <w:spacing w:line="3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3.填报依据：《政府采购促进中小企业发展管理办法》（财库〔2020</w:t>
      </w:r>
      <w:r>
        <w:rPr>
          <w:rFonts w:hint="eastAsia" w:ascii="宋体" w:hAnsi="宋体" w:cs="宋体"/>
          <w:color w:val="auto"/>
          <w:highlight w:val="none"/>
        </w:rPr>
        <w:t>〕</w:t>
      </w:r>
      <w:r>
        <w:rPr>
          <w:rFonts w:hint="eastAsia" w:ascii="宋体" w:hAnsi="宋体" w:cs="宋体"/>
          <w:color w:val="auto"/>
          <w:szCs w:val="21"/>
          <w:highlight w:val="none"/>
        </w:rPr>
        <w:t>46号）；《关于印发中小企业划型标准规定的通知》（工信部联企业〔2011〕300号）</w:t>
      </w:r>
    </w:p>
    <w:p w14:paraId="2DFF971F">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4.如填写虚假信息的，承担相关法律责任。</w:t>
      </w:r>
    </w:p>
    <w:p w14:paraId="41554605">
      <w:pPr>
        <w:pStyle w:val="15"/>
        <w:spacing w:after="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5.享受《政府采购促进中小企业发展管理办法》（财库〔2020〕46号）规定的中小企业扶持政策的，采购人、采购代理机构应当随成交结果公开成交供应商的《中小企业声明函》。</w:t>
      </w:r>
    </w:p>
    <w:p w14:paraId="7F6C0BC6">
      <w:pPr>
        <w:pStyle w:val="41"/>
        <w:rPr>
          <w:color w:val="auto"/>
          <w:highlight w:val="none"/>
        </w:rPr>
      </w:pPr>
    </w:p>
    <w:p w14:paraId="6F0CA296">
      <w:pPr>
        <w:spacing w:line="520" w:lineRule="exact"/>
        <w:jc w:val="center"/>
        <w:rPr>
          <w:rFonts w:ascii="宋体" w:hAnsi="宋体" w:cs="宋体"/>
          <w:color w:val="auto"/>
          <w:sz w:val="44"/>
          <w:szCs w:val="44"/>
          <w:highlight w:val="none"/>
        </w:rPr>
      </w:pPr>
    </w:p>
    <w:p w14:paraId="52C657D7">
      <w:pPr>
        <w:pStyle w:val="41"/>
        <w:rPr>
          <w:color w:val="auto"/>
          <w:highlight w:val="none"/>
        </w:rPr>
      </w:pPr>
    </w:p>
    <w:p w14:paraId="1E24BCFB">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残疾人福利性单位声明函</w:t>
      </w:r>
    </w:p>
    <w:p w14:paraId="0272B5EA">
      <w:pPr>
        <w:spacing w:line="520" w:lineRule="exact"/>
        <w:rPr>
          <w:rFonts w:ascii="宋体" w:hAnsi="宋体" w:cs="宋体"/>
          <w:color w:val="auto"/>
          <w:sz w:val="32"/>
          <w:szCs w:val="32"/>
          <w:highlight w:val="none"/>
        </w:rPr>
      </w:pPr>
    </w:p>
    <w:p w14:paraId="05B9857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942B7B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F8EFE3A">
      <w:pPr>
        <w:spacing w:line="360" w:lineRule="auto"/>
        <w:contextualSpacing/>
        <w:rPr>
          <w:rFonts w:ascii="宋体" w:hAnsi="宋体" w:cs="宋体"/>
          <w:color w:val="auto"/>
          <w:szCs w:val="21"/>
          <w:highlight w:val="none"/>
        </w:rPr>
      </w:pPr>
    </w:p>
    <w:p w14:paraId="3BBBD34F">
      <w:pPr>
        <w:spacing w:line="360" w:lineRule="auto"/>
        <w:contextualSpacing/>
        <w:rPr>
          <w:rFonts w:ascii="宋体" w:hAnsi="宋体" w:cs="宋体"/>
          <w:color w:val="auto"/>
          <w:szCs w:val="21"/>
          <w:highlight w:val="none"/>
        </w:rPr>
      </w:pPr>
    </w:p>
    <w:p w14:paraId="2FA6482E">
      <w:pPr>
        <w:spacing w:line="360" w:lineRule="auto"/>
        <w:ind w:firstLine="5040" w:firstLineChars="2400"/>
        <w:contextualSpacing/>
        <w:rPr>
          <w:rFonts w:ascii="宋体" w:hAnsi="宋体" w:cs="宋体"/>
          <w:color w:val="auto"/>
          <w:szCs w:val="21"/>
          <w:highlight w:val="none"/>
        </w:rPr>
      </w:pPr>
      <w:r>
        <w:rPr>
          <w:rFonts w:hint="eastAsia" w:ascii="宋体" w:hAnsi="宋体" w:cs="宋体"/>
          <w:color w:val="auto"/>
          <w:szCs w:val="21"/>
          <w:highlight w:val="none"/>
        </w:rPr>
        <w:t>单位名称（盖章）：</w:t>
      </w:r>
    </w:p>
    <w:p w14:paraId="192BD552">
      <w:pPr>
        <w:spacing w:line="360" w:lineRule="auto"/>
        <w:ind w:firstLine="5460" w:firstLineChars="2600"/>
        <w:contextualSpacing/>
        <w:rPr>
          <w:rFonts w:ascii="宋体" w:hAnsi="宋体" w:cs="宋体"/>
          <w:color w:val="auto"/>
          <w:szCs w:val="21"/>
          <w:highlight w:val="none"/>
        </w:rPr>
      </w:pPr>
      <w:r>
        <w:rPr>
          <w:rFonts w:hint="eastAsia" w:ascii="宋体" w:hAnsi="宋体" w:cs="宋体"/>
          <w:color w:val="auto"/>
          <w:szCs w:val="21"/>
          <w:highlight w:val="none"/>
        </w:rPr>
        <w:t>日  期：</w:t>
      </w:r>
    </w:p>
    <w:p w14:paraId="41A35EA4">
      <w:pPr>
        <w:spacing w:line="360" w:lineRule="auto"/>
        <w:contextualSpacing/>
        <w:rPr>
          <w:rFonts w:ascii="宋体" w:hAnsi="宋体" w:cs="宋体"/>
          <w:color w:val="auto"/>
          <w:sz w:val="24"/>
          <w:highlight w:val="none"/>
        </w:rPr>
      </w:pPr>
    </w:p>
    <w:p w14:paraId="337287BB">
      <w:pPr>
        <w:spacing w:line="360" w:lineRule="auto"/>
        <w:contextualSpacing/>
        <w:rPr>
          <w:rFonts w:ascii="宋体" w:hAnsi="宋体" w:cs="宋体"/>
          <w:color w:val="auto"/>
          <w:sz w:val="24"/>
          <w:highlight w:val="none"/>
        </w:rPr>
      </w:pPr>
    </w:p>
    <w:p w14:paraId="4BCDD5B8">
      <w:pPr>
        <w:spacing w:line="360" w:lineRule="auto"/>
        <w:contextualSpacing/>
        <w:rPr>
          <w:rFonts w:ascii="宋体" w:hAnsi="宋体" w:cs="宋体"/>
          <w:color w:val="auto"/>
          <w:sz w:val="24"/>
          <w:highlight w:val="none"/>
        </w:rPr>
      </w:pPr>
    </w:p>
    <w:p w14:paraId="328CC3F1">
      <w:pPr>
        <w:pStyle w:val="76"/>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D45D50F">
      <w:pPr>
        <w:pStyle w:val="76"/>
        <w:rPr>
          <w:rFonts w:ascii="宋体" w:hAnsi="宋体" w:cs="宋体"/>
          <w:color w:val="auto"/>
          <w:sz w:val="24"/>
          <w:highlight w:val="none"/>
        </w:rPr>
      </w:pPr>
    </w:p>
    <w:p w14:paraId="5B0B787D">
      <w:pPr>
        <w:pStyle w:val="76"/>
        <w:rPr>
          <w:rFonts w:ascii="宋体" w:hAnsi="宋体" w:cs="宋体"/>
          <w:color w:val="auto"/>
          <w:sz w:val="24"/>
          <w:highlight w:val="none"/>
        </w:rPr>
      </w:pPr>
    </w:p>
    <w:p w14:paraId="621A3DA8">
      <w:pPr>
        <w:pStyle w:val="76"/>
        <w:rPr>
          <w:rFonts w:ascii="宋体" w:hAnsi="宋体" w:cs="宋体"/>
          <w:color w:val="auto"/>
          <w:sz w:val="24"/>
          <w:highlight w:val="none"/>
        </w:rPr>
      </w:pPr>
    </w:p>
    <w:p w14:paraId="23BC459A">
      <w:pPr>
        <w:pStyle w:val="76"/>
        <w:rPr>
          <w:rFonts w:ascii="宋体" w:hAnsi="宋体" w:cs="宋体"/>
          <w:color w:val="auto"/>
          <w:sz w:val="24"/>
          <w:highlight w:val="none"/>
        </w:rPr>
      </w:pPr>
    </w:p>
    <w:p w14:paraId="08C6EA2F">
      <w:pPr>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监狱企业等法律法规规定的其他证明材料文件</w:t>
      </w:r>
    </w:p>
    <w:p w14:paraId="5212B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33803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狱企业参加采购活动时，应当提供由省级以上监狱管理局、戒毒管理局（含新疆生产建设兵团）出具的属于监狱企业的证明文件。（供应商如能够在线查询的材料，请提供查询网址链接，可以不用同时提供纸质材料，原件备查）</w:t>
      </w:r>
    </w:p>
    <w:p w14:paraId="59CE15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2.未按上述要求提供、填写的，评审时不予以考虑。</w:t>
      </w:r>
    </w:p>
    <w:p w14:paraId="5225D552">
      <w:pPr>
        <w:pStyle w:val="15"/>
        <w:rPr>
          <w:rFonts w:ascii="宋体" w:hAnsi="宋体" w:cs="宋体"/>
          <w:color w:val="auto"/>
          <w:sz w:val="24"/>
          <w:highlight w:val="none"/>
        </w:rPr>
      </w:pPr>
    </w:p>
    <w:p w14:paraId="107591D2">
      <w:pPr>
        <w:rPr>
          <w:rFonts w:ascii="宋体" w:hAnsi="宋体" w:cs="宋体"/>
          <w:color w:val="auto"/>
          <w:sz w:val="24"/>
          <w:highlight w:val="none"/>
        </w:rPr>
      </w:pPr>
    </w:p>
    <w:p w14:paraId="0967CF67">
      <w:pPr>
        <w:pStyle w:val="2"/>
        <w:rPr>
          <w:rFonts w:ascii="宋体" w:hAnsi="宋体" w:cs="宋体"/>
          <w:color w:val="auto"/>
          <w:sz w:val="24"/>
          <w:highlight w:val="none"/>
        </w:rPr>
      </w:pPr>
    </w:p>
    <w:p w14:paraId="6E8C590A">
      <w:pPr>
        <w:rPr>
          <w:color w:val="auto"/>
          <w:highlight w:val="none"/>
        </w:rPr>
      </w:pPr>
    </w:p>
    <w:p w14:paraId="1940BE6F">
      <w:pPr>
        <w:pStyle w:val="15"/>
        <w:rPr>
          <w:rFonts w:ascii="宋体" w:hAnsi="宋体" w:cs="宋体"/>
          <w:color w:val="auto"/>
          <w:sz w:val="24"/>
          <w:highlight w:val="none"/>
        </w:rPr>
      </w:pPr>
    </w:p>
    <w:p w14:paraId="63D66E15">
      <w:pPr>
        <w:snapToGrid w:val="0"/>
        <w:spacing w:before="156" w:beforeLines="50" w:after="50"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三、商务技术文件格式</w:t>
      </w:r>
    </w:p>
    <w:p w14:paraId="3449F997">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商务技术文件封面格式</w:t>
      </w:r>
    </w:p>
    <w:p w14:paraId="14F8E728">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BC8A015">
      <w:pPr>
        <w:snapToGrid w:val="0"/>
        <w:spacing w:before="156" w:beforeLines="50" w:after="50"/>
        <w:rPr>
          <w:rFonts w:ascii="宋体" w:hAnsi="宋体" w:cs="宋体"/>
          <w:color w:val="auto"/>
          <w:sz w:val="24"/>
          <w:szCs w:val="20"/>
          <w:highlight w:val="none"/>
        </w:rPr>
      </w:pPr>
    </w:p>
    <w:p w14:paraId="4AB20219">
      <w:pPr>
        <w:snapToGrid w:val="0"/>
        <w:spacing w:before="156" w:beforeLines="50" w:after="50"/>
        <w:rPr>
          <w:rFonts w:ascii="宋体" w:hAnsi="宋体" w:cs="宋体"/>
          <w:color w:val="auto"/>
          <w:sz w:val="24"/>
          <w:szCs w:val="20"/>
          <w:highlight w:val="none"/>
        </w:rPr>
      </w:pPr>
    </w:p>
    <w:p w14:paraId="2A0742F7">
      <w:pPr>
        <w:snapToGrid w:val="0"/>
        <w:spacing w:before="156" w:beforeLines="50" w:after="50"/>
        <w:rPr>
          <w:rFonts w:ascii="宋体" w:hAnsi="宋体" w:cs="宋体"/>
          <w:color w:val="auto"/>
          <w:sz w:val="24"/>
          <w:szCs w:val="20"/>
          <w:highlight w:val="none"/>
        </w:rPr>
      </w:pPr>
    </w:p>
    <w:p w14:paraId="73A0B4F3">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774AC975">
      <w:pPr>
        <w:snapToGrid w:val="0"/>
        <w:spacing w:before="156" w:beforeLines="50" w:after="50"/>
        <w:rPr>
          <w:rFonts w:ascii="宋体" w:hAnsi="宋体" w:cs="宋体"/>
          <w:bCs/>
          <w:color w:val="auto"/>
          <w:sz w:val="24"/>
          <w:szCs w:val="20"/>
          <w:highlight w:val="none"/>
        </w:rPr>
      </w:pPr>
    </w:p>
    <w:p w14:paraId="0B1F7F06">
      <w:pPr>
        <w:snapToGrid w:val="0"/>
        <w:spacing w:before="156" w:beforeLines="50" w:after="50"/>
        <w:rPr>
          <w:rFonts w:ascii="宋体" w:hAnsi="宋体" w:cs="宋体"/>
          <w:bCs/>
          <w:color w:val="auto"/>
          <w:sz w:val="24"/>
          <w:szCs w:val="20"/>
          <w:highlight w:val="none"/>
        </w:rPr>
      </w:pPr>
    </w:p>
    <w:p w14:paraId="5258C3D9">
      <w:pPr>
        <w:snapToGrid w:val="0"/>
        <w:spacing w:before="156" w:beforeLines="50" w:after="50"/>
        <w:rPr>
          <w:rFonts w:ascii="宋体" w:hAnsi="宋体" w:cs="宋体"/>
          <w:bCs/>
          <w:color w:val="auto"/>
          <w:sz w:val="24"/>
          <w:szCs w:val="20"/>
          <w:highlight w:val="none"/>
        </w:rPr>
      </w:pPr>
    </w:p>
    <w:p w14:paraId="325E3E4A">
      <w:pPr>
        <w:snapToGrid w:val="0"/>
        <w:spacing w:before="156" w:beforeLines="50" w:after="50"/>
        <w:rPr>
          <w:rFonts w:ascii="宋体" w:hAnsi="宋体" w:cs="宋体"/>
          <w:bCs/>
          <w:color w:val="auto"/>
          <w:sz w:val="24"/>
          <w:szCs w:val="20"/>
          <w:highlight w:val="none"/>
        </w:rPr>
      </w:pPr>
    </w:p>
    <w:p w14:paraId="64886A48">
      <w:pPr>
        <w:snapToGrid w:val="0"/>
        <w:spacing w:before="156" w:beforeLines="50" w:after="50"/>
        <w:rPr>
          <w:rFonts w:ascii="宋体" w:hAnsi="宋体" w:cs="宋体"/>
          <w:bCs/>
          <w:color w:val="auto"/>
          <w:sz w:val="24"/>
          <w:szCs w:val="20"/>
          <w:highlight w:val="none"/>
        </w:rPr>
      </w:pPr>
    </w:p>
    <w:p w14:paraId="60623E58">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3FEAF47">
      <w:pPr>
        <w:snapToGrid w:val="0"/>
        <w:spacing w:before="156" w:beforeLines="50" w:after="50"/>
        <w:ind w:firstLine="720" w:firstLineChars="225"/>
        <w:rPr>
          <w:rFonts w:ascii="宋体" w:hAnsi="宋体" w:cs="宋体"/>
          <w:bCs/>
          <w:color w:val="auto"/>
          <w:sz w:val="32"/>
          <w:szCs w:val="32"/>
          <w:highlight w:val="none"/>
        </w:rPr>
      </w:pPr>
    </w:p>
    <w:p w14:paraId="4C97138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AD6037A">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F5057C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84556AD">
      <w:pPr>
        <w:snapToGrid w:val="0"/>
        <w:spacing w:before="156" w:beforeLines="50" w:after="50"/>
        <w:ind w:firstLine="720" w:firstLineChars="225"/>
        <w:rPr>
          <w:rFonts w:ascii="宋体" w:hAnsi="宋体" w:cs="宋体"/>
          <w:bCs/>
          <w:color w:val="auto"/>
          <w:sz w:val="32"/>
          <w:szCs w:val="32"/>
          <w:highlight w:val="none"/>
        </w:rPr>
      </w:pPr>
    </w:p>
    <w:p w14:paraId="071AE05A">
      <w:pPr>
        <w:pStyle w:val="2"/>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D1D8455">
      <w:pPr>
        <w:pStyle w:val="2"/>
        <w:snapToGrid w:val="0"/>
        <w:spacing w:before="50" w:after="50"/>
        <w:ind w:firstLine="720" w:firstLineChars="225"/>
        <w:rPr>
          <w:rFonts w:ascii="宋体" w:hAnsi="宋体" w:cs="宋体"/>
          <w:bCs/>
          <w:color w:val="auto"/>
          <w:sz w:val="32"/>
          <w:szCs w:val="32"/>
          <w:highlight w:val="none"/>
        </w:rPr>
      </w:pPr>
    </w:p>
    <w:p w14:paraId="606A8E17">
      <w:pPr>
        <w:pStyle w:val="2"/>
        <w:snapToGrid w:val="0"/>
        <w:spacing w:before="50" w:after="50"/>
        <w:ind w:firstLine="720" w:firstLineChars="225"/>
        <w:rPr>
          <w:rFonts w:ascii="宋体" w:hAnsi="宋体" w:cs="宋体"/>
          <w:bCs/>
          <w:color w:val="auto"/>
          <w:sz w:val="32"/>
          <w:szCs w:val="32"/>
          <w:highlight w:val="none"/>
        </w:rPr>
      </w:pPr>
    </w:p>
    <w:p w14:paraId="72D9E0B1">
      <w:pPr>
        <w:pStyle w:val="2"/>
        <w:snapToGrid w:val="0"/>
        <w:spacing w:before="50" w:after="50"/>
        <w:ind w:firstLine="1280" w:firstLineChars="400"/>
        <w:rPr>
          <w:rFonts w:ascii="宋体" w:hAnsi="宋体" w:cs="宋体"/>
          <w:bCs/>
          <w:color w:val="auto"/>
          <w:sz w:val="32"/>
          <w:szCs w:val="32"/>
          <w:highlight w:val="none"/>
        </w:rPr>
      </w:pPr>
    </w:p>
    <w:p w14:paraId="2B8DEC6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EB3CA77">
      <w:pPr>
        <w:spacing w:before="312" w:beforeLines="100" w:after="156" w:afterLines="50" w:line="520" w:lineRule="exact"/>
        <w:ind w:left="540"/>
        <w:rPr>
          <w:rFonts w:ascii="宋体" w:hAnsi="宋体" w:cs="宋体"/>
          <w:b/>
          <w:color w:val="auto"/>
          <w:sz w:val="32"/>
          <w:szCs w:val="32"/>
          <w:highlight w:val="none"/>
        </w:rPr>
      </w:pPr>
    </w:p>
    <w:p w14:paraId="526B3243">
      <w:pPr>
        <w:spacing w:before="312" w:beforeLines="100" w:after="156" w:afterLines="50" w:line="520" w:lineRule="exact"/>
        <w:ind w:left="540"/>
        <w:rPr>
          <w:rFonts w:ascii="宋体" w:hAnsi="宋体" w:cs="宋体"/>
          <w:b/>
          <w:color w:val="auto"/>
          <w:sz w:val="32"/>
          <w:szCs w:val="32"/>
          <w:highlight w:val="none"/>
        </w:rPr>
      </w:pPr>
    </w:p>
    <w:p w14:paraId="75741811">
      <w:pPr>
        <w:spacing w:before="312" w:beforeLines="100" w:after="156" w:afterLines="50" w:line="360" w:lineRule="auto"/>
        <w:ind w:left="54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商务</w:t>
      </w:r>
      <w:r>
        <w:rPr>
          <w:rFonts w:hint="eastAsia" w:ascii="宋体" w:hAnsi="宋体" w:cs="宋体"/>
          <w:b/>
          <w:bCs/>
          <w:color w:val="auto"/>
          <w:sz w:val="32"/>
          <w:szCs w:val="32"/>
          <w:highlight w:val="none"/>
        </w:rPr>
        <w:t>技术文件目录</w:t>
      </w:r>
    </w:p>
    <w:p w14:paraId="01CC3B51">
      <w:pPr>
        <w:pStyle w:val="31"/>
        <w:spacing w:line="360" w:lineRule="auto"/>
        <w:ind w:firstLine="640"/>
        <w:rPr>
          <w:rFonts w:ascii="宋体" w:hAnsi="宋体" w:eastAsia="宋体" w:cs="宋体"/>
          <w:color w:val="auto"/>
          <w:sz w:val="24"/>
          <w:szCs w:val="16"/>
          <w:highlight w:val="none"/>
        </w:rPr>
      </w:pPr>
      <w:r>
        <w:rPr>
          <w:rFonts w:hint="eastAsia" w:ascii="宋体" w:hAnsi="宋体" w:eastAsia="宋体" w:cs="宋体"/>
          <w:color w:val="auto"/>
          <w:szCs w:val="32"/>
          <w:highlight w:val="none"/>
        </w:rPr>
        <w:t>根据磋商文件规定及供应商提供的材料自行编写目录（部分格式后附）。</w:t>
      </w:r>
    </w:p>
    <w:p w14:paraId="130C3EB6">
      <w:pPr>
        <w:spacing w:line="360" w:lineRule="auto"/>
        <w:ind w:firstLine="880" w:firstLineChars="200"/>
        <w:jc w:val="center"/>
        <w:rPr>
          <w:rFonts w:ascii="宋体" w:hAnsi="宋体" w:cs="宋体"/>
          <w:bCs/>
          <w:color w:val="auto"/>
          <w:sz w:val="44"/>
          <w:szCs w:val="44"/>
          <w:highlight w:val="none"/>
        </w:rPr>
      </w:pPr>
    </w:p>
    <w:p w14:paraId="57CE8D02">
      <w:pPr>
        <w:spacing w:line="360" w:lineRule="auto"/>
        <w:ind w:firstLine="880" w:firstLineChars="200"/>
        <w:jc w:val="center"/>
        <w:rPr>
          <w:rFonts w:ascii="宋体" w:hAnsi="宋体" w:cs="宋体"/>
          <w:bCs/>
          <w:color w:val="auto"/>
          <w:sz w:val="44"/>
          <w:szCs w:val="44"/>
          <w:highlight w:val="none"/>
        </w:rPr>
      </w:pPr>
    </w:p>
    <w:p w14:paraId="2A045BBF">
      <w:pPr>
        <w:spacing w:line="360" w:lineRule="auto"/>
        <w:ind w:firstLine="880" w:firstLineChars="200"/>
        <w:jc w:val="center"/>
        <w:rPr>
          <w:rFonts w:ascii="宋体" w:hAnsi="宋体" w:cs="宋体"/>
          <w:bCs/>
          <w:color w:val="auto"/>
          <w:sz w:val="44"/>
          <w:szCs w:val="44"/>
          <w:highlight w:val="none"/>
        </w:rPr>
      </w:pPr>
    </w:p>
    <w:p w14:paraId="044075F2">
      <w:pPr>
        <w:spacing w:line="360" w:lineRule="auto"/>
        <w:ind w:firstLine="880" w:firstLineChars="200"/>
        <w:jc w:val="center"/>
        <w:rPr>
          <w:rFonts w:ascii="宋体" w:hAnsi="宋体" w:cs="宋体"/>
          <w:bCs/>
          <w:color w:val="auto"/>
          <w:sz w:val="44"/>
          <w:szCs w:val="44"/>
          <w:highlight w:val="none"/>
        </w:rPr>
      </w:pPr>
    </w:p>
    <w:p w14:paraId="37F98A4C">
      <w:pPr>
        <w:spacing w:line="360" w:lineRule="auto"/>
        <w:ind w:firstLine="880" w:firstLineChars="200"/>
        <w:jc w:val="center"/>
        <w:rPr>
          <w:rFonts w:ascii="宋体" w:hAnsi="宋体" w:cs="宋体"/>
          <w:bCs/>
          <w:color w:val="auto"/>
          <w:sz w:val="44"/>
          <w:szCs w:val="44"/>
          <w:highlight w:val="none"/>
        </w:rPr>
      </w:pPr>
    </w:p>
    <w:p w14:paraId="7B3B6716">
      <w:pPr>
        <w:spacing w:line="360" w:lineRule="auto"/>
        <w:ind w:firstLine="880" w:firstLineChars="200"/>
        <w:jc w:val="center"/>
        <w:rPr>
          <w:rFonts w:ascii="宋体" w:hAnsi="宋体" w:cs="宋体"/>
          <w:bCs/>
          <w:color w:val="auto"/>
          <w:sz w:val="44"/>
          <w:szCs w:val="44"/>
          <w:highlight w:val="none"/>
        </w:rPr>
      </w:pPr>
    </w:p>
    <w:p w14:paraId="30EEC342">
      <w:pPr>
        <w:spacing w:line="360" w:lineRule="auto"/>
        <w:ind w:firstLine="880" w:firstLineChars="200"/>
        <w:jc w:val="center"/>
        <w:rPr>
          <w:rFonts w:ascii="宋体" w:hAnsi="宋体" w:cs="宋体"/>
          <w:bCs/>
          <w:color w:val="auto"/>
          <w:sz w:val="44"/>
          <w:szCs w:val="44"/>
          <w:highlight w:val="none"/>
        </w:rPr>
      </w:pPr>
    </w:p>
    <w:p w14:paraId="52C59603">
      <w:pPr>
        <w:spacing w:line="360" w:lineRule="auto"/>
        <w:ind w:firstLine="880" w:firstLineChars="200"/>
        <w:jc w:val="center"/>
        <w:rPr>
          <w:rFonts w:ascii="宋体" w:hAnsi="宋体" w:cs="宋体"/>
          <w:bCs/>
          <w:color w:val="auto"/>
          <w:sz w:val="44"/>
          <w:szCs w:val="44"/>
          <w:highlight w:val="none"/>
        </w:rPr>
      </w:pPr>
    </w:p>
    <w:p w14:paraId="0118E588">
      <w:pPr>
        <w:spacing w:line="360" w:lineRule="auto"/>
        <w:ind w:firstLine="880" w:firstLineChars="200"/>
        <w:jc w:val="center"/>
        <w:rPr>
          <w:rFonts w:ascii="宋体" w:hAnsi="宋体" w:cs="宋体"/>
          <w:bCs/>
          <w:color w:val="auto"/>
          <w:sz w:val="44"/>
          <w:szCs w:val="44"/>
          <w:highlight w:val="none"/>
        </w:rPr>
      </w:pPr>
    </w:p>
    <w:p w14:paraId="332A5039">
      <w:pPr>
        <w:spacing w:line="360" w:lineRule="auto"/>
        <w:ind w:firstLine="880" w:firstLineChars="200"/>
        <w:jc w:val="center"/>
        <w:rPr>
          <w:rFonts w:ascii="宋体" w:hAnsi="宋体" w:cs="宋体"/>
          <w:bCs/>
          <w:color w:val="auto"/>
          <w:sz w:val="44"/>
          <w:szCs w:val="44"/>
          <w:highlight w:val="none"/>
        </w:rPr>
      </w:pPr>
    </w:p>
    <w:p w14:paraId="79546EED">
      <w:pPr>
        <w:spacing w:line="360" w:lineRule="auto"/>
        <w:ind w:firstLine="880" w:firstLineChars="200"/>
        <w:jc w:val="center"/>
        <w:rPr>
          <w:rFonts w:ascii="宋体" w:hAnsi="宋体" w:cs="宋体"/>
          <w:bCs/>
          <w:color w:val="auto"/>
          <w:sz w:val="44"/>
          <w:szCs w:val="44"/>
          <w:highlight w:val="none"/>
        </w:rPr>
      </w:pPr>
    </w:p>
    <w:p w14:paraId="373065BC">
      <w:pPr>
        <w:spacing w:line="360" w:lineRule="auto"/>
        <w:ind w:firstLine="880" w:firstLineChars="200"/>
        <w:jc w:val="center"/>
        <w:rPr>
          <w:rFonts w:ascii="宋体" w:hAnsi="宋体" w:cs="宋体"/>
          <w:bCs/>
          <w:color w:val="auto"/>
          <w:sz w:val="44"/>
          <w:szCs w:val="44"/>
          <w:highlight w:val="none"/>
        </w:rPr>
      </w:pPr>
    </w:p>
    <w:p w14:paraId="56BBA141">
      <w:pPr>
        <w:spacing w:line="360" w:lineRule="auto"/>
        <w:ind w:firstLine="880" w:firstLineChars="200"/>
        <w:jc w:val="center"/>
        <w:rPr>
          <w:rFonts w:ascii="宋体" w:hAnsi="宋体" w:cs="宋体"/>
          <w:bCs/>
          <w:color w:val="auto"/>
          <w:sz w:val="44"/>
          <w:szCs w:val="44"/>
          <w:highlight w:val="none"/>
        </w:rPr>
      </w:pPr>
    </w:p>
    <w:p w14:paraId="77263126">
      <w:pPr>
        <w:spacing w:line="360" w:lineRule="auto"/>
        <w:ind w:firstLine="880" w:firstLineChars="200"/>
        <w:jc w:val="center"/>
        <w:rPr>
          <w:rFonts w:ascii="宋体" w:hAnsi="宋体" w:cs="宋体"/>
          <w:bCs/>
          <w:color w:val="auto"/>
          <w:sz w:val="44"/>
          <w:szCs w:val="44"/>
          <w:highlight w:val="none"/>
        </w:rPr>
      </w:pPr>
    </w:p>
    <w:p w14:paraId="0F386649">
      <w:pPr>
        <w:pStyle w:val="2"/>
        <w:rPr>
          <w:rFonts w:ascii="宋体" w:hAnsi="宋体" w:cs="宋体"/>
          <w:bCs/>
          <w:color w:val="auto"/>
          <w:sz w:val="44"/>
          <w:szCs w:val="44"/>
          <w:highlight w:val="none"/>
        </w:rPr>
      </w:pPr>
    </w:p>
    <w:p w14:paraId="01B8AC28">
      <w:pPr>
        <w:pStyle w:val="2"/>
        <w:rPr>
          <w:rFonts w:ascii="宋体" w:hAnsi="宋体" w:cs="宋体"/>
          <w:bCs/>
          <w:color w:val="auto"/>
          <w:sz w:val="44"/>
          <w:szCs w:val="44"/>
          <w:highlight w:val="none"/>
        </w:rPr>
      </w:pPr>
    </w:p>
    <w:p w14:paraId="24B11F66">
      <w:pPr>
        <w:pStyle w:val="2"/>
        <w:rPr>
          <w:rFonts w:ascii="宋体" w:hAnsi="宋体" w:cs="宋体"/>
          <w:bCs/>
          <w:color w:val="auto"/>
          <w:sz w:val="44"/>
          <w:szCs w:val="44"/>
          <w:highlight w:val="none"/>
        </w:rPr>
      </w:pPr>
    </w:p>
    <w:p w14:paraId="3A0E4D9F">
      <w:pPr>
        <w:pStyle w:val="2"/>
        <w:rPr>
          <w:rFonts w:ascii="宋体" w:hAnsi="宋体" w:cs="宋体"/>
          <w:bCs/>
          <w:color w:val="auto"/>
          <w:sz w:val="44"/>
          <w:szCs w:val="44"/>
          <w:highlight w:val="none"/>
        </w:rPr>
      </w:pPr>
    </w:p>
    <w:p w14:paraId="51C494C4">
      <w:pPr>
        <w:pStyle w:val="2"/>
        <w:rPr>
          <w:rFonts w:ascii="宋体" w:hAnsi="宋体" w:cs="宋体"/>
          <w:bCs/>
          <w:color w:val="auto"/>
          <w:sz w:val="44"/>
          <w:szCs w:val="44"/>
          <w:highlight w:val="none"/>
        </w:rPr>
      </w:pPr>
    </w:p>
    <w:p w14:paraId="7D8C1265">
      <w:pPr>
        <w:spacing w:line="520" w:lineRule="exact"/>
        <w:rPr>
          <w:rFonts w:ascii="宋体" w:hAnsi="宋体" w:cs="宋体"/>
          <w:color w:val="auto"/>
          <w:sz w:val="44"/>
          <w:szCs w:val="44"/>
          <w:highlight w:val="none"/>
        </w:rPr>
      </w:pPr>
    </w:p>
    <w:p w14:paraId="01AA9BD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9283C6E">
      <w:pPr>
        <w:spacing w:line="400" w:lineRule="exact"/>
        <w:ind w:firstLine="640" w:firstLineChars="200"/>
        <w:rPr>
          <w:rFonts w:ascii="宋体" w:hAnsi="宋体" w:cs="宋体"/>
          <w:color w:val="auto"/>
          <w:sz w:val="32"/>
          <w:szCs w:val="32"/>
          <w:highlight w:val="none"/>
        </w:rPr>
      </w:pPr>
    </w:p>
    <w:p w14:paraId="67A2EE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0A396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4EDA3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4308D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59F3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4.不同供应商的响应文件异常一致或者竞标报价呈规律性差异；</w:t>
      </w:r>
    </w:p>
    <w:p w14:paraId="7801BC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75982E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A4BB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5CC4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924DC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3.供应商之间协商报价、技术方案等响应文件的实质性内容；</w:t>
      </w:r>
    </w:p>
    <w:p w14:paraId="562FB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00B7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3A13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AB8E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53C3B174">
      <w:pPr>
        <w:spacing w:line="360" w:lineRule="auto"/>
        <w:ind w:firstLine="480" w:firstLineChars="200"/>
        <w:rPr>
          <w:rFonts w:ascii="宋体" w:hAnsi="宋体" w:cs="宋体"/>
          <w:color w:val="auto"/>
          <w:sz w:val="24"/>
          <w:highlight w:val="none"/>
        </w:rPr>
      </w:pPr>
    </w:p>
    <w:p w14:paraId="157B93D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40E3A41A">
      <w:pPr>
        <w:spacing w:line="360" w:lineRule="auto"/>
        <w:rPr>
          <w:rFonts w:ascii="宋体" w:hAnsi="宋体" w:cs="宋体"/>
          <w:color w:val="auto"/>
          <w:sz w:val="24"/>
          <w:highlight w:val="none"/>
        </w:rPr>
      </w:pPr>
    </w:p>
    <w:p w14:paraId="781B631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供应商（盖公章或电子签章）：</w:t>
      </w:r>
    </w:p>
    <w:p w14:paraId="4DB56DE7">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color w:val="auto"/>
          <w:sz w:val="24"/>
          <w:highlight w:val="none"/>
        </w:rPr>
        <w:t xml:space="preserve">                               年   月   日</w:t>
      </w:r>
    </w:p>
    <w:p w14:paraId="44461D32">
      <w:pPr>
        <w:spacing w:before="312" w:beforeLines="100" w:after="156" w:afterLines="50" w:line="520" w:lineRule="exact"/>
        <w:ind w:left="540"/>
        <w:jc w:val="center"/>
        <w:rPr>
          <w:rFonts w:ascii="宋体" w:hAnsi="宋体" w:cs="宋体"/>
          <w:bCs/>
          <w:color w:val="auto"/>
          <w:sz w:val="44"/>
          <w:szCs w:val="44"/>
          <w:highlight w:val="none"/>
        </w:rPr>
      </w:pPr>
    </w:p>
    <w:p w14:paraId="50DADEAE">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法定代表人身份证明书</w:t>
      </w:r>
    </w:p>
    <w:p w14:paraId="779D990B">
      <w:pPr>
        <w:spacing w:line="520" w:lineRule="exact"/>
        <w:ind w:left="540"/>
        <w:rPr>
          <w:rFonts w:ascii="宋体" w:hAnsi="宋体" w:cs="宋体"/>
          <w:color w:val="auto"/>
          <w:sz w:val="32"/>
          <w:szCs w:val="32"/>
          <w:highlight w:val="none"/>
        </w:rPr>
      </w:pPr>
    </w:p>
    <w:p w14:paraId="7405210C">
      <w:pPr>
        <w:spacing w:line="360" w:lineRule="auto"/>
        <w:ind w:left="54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3D1B27D">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EB912E5">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D16987C">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6E496DA">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A7BFF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211A780">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2A53CAA5">
      <w:pPr>
        <w:spacing w:line="360" w:lineRule="auto"/>
        <w:ind w:left="540"/>
        <w:rPr>
          <w:rFonts w:ascii="宋体" w:hAnsi="宋体" w:cs="宋体"/>
          <w:color w:val="auto"/>
          <w:sz w:val="24"/>
          <w:highlight w:val="none"/>
        </w:rPr>
      </w:pPr>
    </w:p>
    <w:p w14:paraId="6B91DA34">
      <w:pPr>
        <w:spacing w:line="360" w:lineRule="auto"/>
        <w:ind w:left="540"/>
        <w:rPr>
          <w:rFonts w:ascii="宋体" w:hAnsi="宋体" w:cs="宋体"/>
          <w:color w:val="auto"/>
          <w:sz w:val="24"/>
          <w:highlight w:val="none"/>
        </w:rPr>
      </w:pPr>
    </w:p>
    <w:p w14:paraId="556CFAEB">
      <w:pPr>
        <w:spacing w:line="360" w:lineRule="auto"/>
        <w:ind w:left="540"/>
        <w:rPr>
          <w:rFonts w:ascii="宋体" w:hAnsi="宋体" w:cs="宋体"/>
          <w:color w:val="auto"/>
          <w:sz w:val="24"/>
          <w:highlight w:val="none"/>
        </w:rPr>
      </w:pPr>
    </w:p>
    <w:p w14:paraId="50E2F74A">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E35BDA2">
      <w:pPr>
        <w:spacing w:line="360" w:lineRule="auto"/>
        <w:ind w:left="540"/>
        <w:rPr>
          <w:rFonts w:ascii="宋体" w:hAnsi="宋体" w:cs="宋体"/>
          <w:color w:val="auto"/>
          <w:sz w:val="24"/>
          <w:highlight w:val="none"/>
        </w:rPr>
      </w:pPr>
    </w:p>
    <w:p w14:paraId="5EB8AAF8">
      <w:pPr>
        <w:spacing w:line="360" w:lineRule="auto"/>
        <w:ind w:left="540"/>
        <w:jc w:val="center"/>
        <w:rPr>
          <w:rFonts w:ascii="宋体" w:hAnsi="宋体" w:cs="宋体"/>
          <w:color w:val="auto"/>
          <w:sz w:val="24"/>
          <w:highlight w:val="none"/>
        </w:rPr>
      </w:pPr>
      <w:r>
        <w:rPr>
          <w:rFonts w:hint="eastAsia" w:ascii="宋体" w:hAnsi="宋体" w:cs="宋体"/>
          <w:color w:val="auto"/>
          <w:sz w:val="24"/>
          <w:highlight w:val="none"/>
        </w:rPr>
        <w:t xml:space="preserve">  供应商（盖公章或电子签章）：</w:t>
      </w:r>
      <w:r>
        <w:rPr>
          <w:rFonts w:hint="eastAsia" w:ascii="宋体" w:hAnsi="宋体" w:cs="宋体"/>
          <w:color w:val="auto"/>
          <w:sz w:val="24"/>
          <w:highlight w:val="none"/>
          <w:u w:val="single"/>
        </w:rPr>
        <w:t xml:space="preserve">               </w:t>
      </w:r>
    </w:p>
    <w:p w14:paraId="6D83D1FE">
      <w:pPr>
        <w:snapToGrid w:val="0"/>
        <w:spacing w:before="156" w:beforeLines="50" w:after="50" w:line="360" w:lineRule="auto"/>
        <w:ind w:firstLine="4080" w:firstLineChars="17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51BFEAC">
      <w:pPr>
        <w:snapToGrid w:val="0"/>
        <w:spacing w:before="156" w:beforeLines="50" w:after="50" w:line="360" w:lineRule="auto"/>
        <w:jc w:val="center"/>
        <w:rPr>
          <w:rFonts w:ascii="宋体" w:hAnsi="宋体" w:cs="宋体"/>
          <w:b/>
          <w:color w:val="auto"/>
          <w:sz w:val="24"/>
          <w:highlight w:val="none"/>
        </w:rPr>
      </w:pPr>
    </w:p>
    <w:p w14:paraId="4E0600FF">
      <w:pPr>
        <w:snapToGrid w:val="0"/>
        <w:spacing w:before="156" w:beforeLines="50" w:after="50" w:line="360" w:lineRule="auto"/>
        <w:jc w:val="left"/>
        <w:rPr>
          <w:rFonts w:ascii="宋体" w:hAnsi="宋体" w:cs="宋体"/>
          <w:color w:val="auto"/>
          <w:sz w:val="24"/>
          <w:highlight w:val="none"/>
        </w:rPr>
      </w:pPr>
    </w:p>
    <w:p w14:paraId="576121DC">
      <w:pPr>
        <w:snapToGrid w:val="0"/>
        <w:spacing w:before="156"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445CCBFD">
      <w:pPr>
        <w:snapToGrid w:val="0"/>
        <w:spacing w:before="156" w:beforeLines="50" w:after="50" w:line="360" w:lineRule="auto"/>
        <w:ind w:firstLine="480" w:firstLineChars="200"/>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0A854C">
      <w:pPr>
        <w:adjustRightInd w:val="0"/>
        <w:snapToGrid w:val="0"/>
        <w:spacing w:line="300" w:lineRule="auto"/>
        <w:jc w:val="left"/>
        <w:rPr>
          <w:rFonts w:ascii="宋体" w:hAnsi="宋体" w:cs="宋体"/>
          <w:b/>
          <w:color w:val="auto"/>
          <w:szCs w:val="21"/>
          <w:highlight w:val="none"/>
        </w:rPr>
      </w:pPr>
    </w:p>
    <w:p w14:paraId="29A88D07">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423705E8">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法定代表人授权委托书（非联合体竞标格式）</w:t>
      </w:r>
    </w:p>
    <w:p w14:paraId="53EA703E">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63E0E7FE">
      <w:pPr>
        <w:spacing w:line="520" w:lineRule="exact"/>
        <w:rPr>
          <w:rFonts w:ascii="宋体" w:hAnsi="宋体" w:cs="宋体"/>
          <w:color w:val="auto"/>
          <w:sz w:val="32"/>
          <w:szCs w:val="32"/>
          <w:highlight w:val="none"/>
        </w:rPr>
      </w:pPr>
    </w:p>
    <w:p w14:paraId="4630E393">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C975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343B1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B0F84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7D5354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0E0F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527545F6">
      <w:pPr>
        <w:spacing w:line="360" w:lineRule="auto"/>
        <w:rPr>
          <w:rFonts w:ascii="宋体" w:hAnsi="宋体" w:cs="宋体"/>
          <w:color w:val="auto"/>
          <w:sz w:val="24"/>
          <w:highlight w:val="none"/>
        </w:rPr>
      </w:pPr>
    </w:p>
    <w:p w14:paraId="7809D9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法定代表人（签字或签章）：                    </w:t>
      </w:r>
    </w:p>
    <w:p w14:paraId="2CF5F8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337E0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19F35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供应商（盖公章或电子签章）：                      </w:t>
      </w:r>
    </w:p>
    <w:p w14:paraId="13CC8B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915BCB1">
      <w:pPr>
        <w:spacing w:line="360" w:lineRule="auto"/>
        <w:rPr>
          <w:rFonts w:ascii="宋体" w:hAnsi="宋体" w:cs="宋体"/>
          <w:color w:val="auto"/>
          <w:sz w:val="24"/>
          <w:highlight w:val="none"/>
        </w:rPr>
      </w:pPr>
    </w:p>
    <w:p w14:paraId="41F488EC">
      <w:pP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注：1.法定代表人和委托代理人必须在授权委托书上亲笔签名，不得使用印章、签名章或者其他电子制版签名代替；</w:t>
      </w:r>
    </w:p>
    <w:p w14:paraId="5D35AF88">
      <w:pPr>
        <w:spacing w:line="360" w:lineRule="auto"/>
        <w:ind w:firstLine="480" w:firstLineChars="200"/>
        <w:jc w:val="center"/>
        <w:rPr>
          <w:rFonts w:ascii="宋体" w:hAnsi="宋体" w:cs="宋体"/>
          <w:bCs/>
          <w:color w:val="auto"/>
          <w:sz w:val="44"/>
          <w:szCs w:val="4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9BE086">
      <w:pPr>
        <w:spacing w:line="360" w:lineRule="auto"/>
        <w:ind w:firstLine="880" w:firstLineChars="200"/>
        <w:jc w:val="center"/>
        <w:rPr>
          <w:rFonts w:ascii="宋体" w:hAnsi="宋体" w:cs="宋体"/>
          <w:bCs/>
          <w:color w:val="auto"/>
          <w:sz w:val="44"/>
          <w:szCs w:val="44"/>
          <w:highlight w:val="none"/>
        </w:rPr>
      </w:pPr>
    </w:p>
    <w:p w14:paraId="4A017901">
      <w:pPr>
        <w:spacing w:line="360" w:lineRule="auto"/>
        <w:ind w:firstLine="880" w:firstLineChars="200"/>
        <w:jc w:val="center"/>
        <w:rPr>
          <w:rFonts w:ascii="宋体" w:hAnsi="宋体" w:cs="宋体"/>
          <w:bCs/>
          <w:color w:val="auto"/>
          <w:sz w:val="44"/>
          <w:szCs w:val="44"/>
          <w:highlight w:val="none"/>
        </w:rPr>
      </w:pPr>
    </w:p>
    <w:p w14:paraId="358BECD0">
      <w:pPr>
        <w:spacing w:line="500" w:lineRule="exact"/>
        <w:jc w:val="center"/>
        <w:rPr>
          <w:rFonts w:ascii="方正小标宋简体" w:hAnsi="方正小标宋简体" w:eastAsia="方正小标宋简体" w:cs="方正小标宋简体"/>
          <w:color w:val="auto"/>
          <w:sz w:val="44"/>
          <w:szCs w:val="44"/>
          <w:highlight w:val="none"/>
        </w:rPr>
      </w:pPr>
    </w:p>
    <w:p w14:paraId="5408AC0C">
      <w:pPr>
        <w:spacing w:line="500" w:lineRule="exact"/>
        <w:jc w:val="center"/>
        <w:rPr>
          <w:rFonts w:ascii="方正小标宋简体" w:hAnsi="方正小标宋简体" w:eastAsia="方正小标宋简体" w:cs="方正小标宋简体"/>
          <w:color w:val="auto"/>
          <w:sz w:val="44"/>
          <w:szCs w:val="44"/>
          <w:highlight w:val="none"/>
        </w:rPr>
      </w:pPr>
    </w:p>
    <w:p w14:paraId="6BBD22F2">
      <w:pPr>
        <w:spacing w:line="360" w:lineRule="auto"/>
        <w:ind w:firstLine="880" w:firstLineChars="20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商务条款偏离表格式</w:t>
      </w:r>
    </w:p>
    <w:p w14:paraId="51F28EE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(注：按采购需求具体条款修改)</w:t>
      </w:r>
    </w:p>
    <w:p w14:paraId="616130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689AE09F">
      <w:pPr>
        <w:pStyle w:val="15"/>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18A82907">
      <w:pPr>
        <w:pStyle w:val="15"/>
        <w:rPr>
          <w:rFonts w:ascii="宋体" w:hAnsi="宋体" w:cs="宋体"/>
          <w:color w:val="auto"/>
          <w:highlight w:val="non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5CD4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63AAF4A">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46350C6">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E79D2">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4934487A">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9F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FF634D0">
            <w:pPr>
              <w:jc w:val="center"/>
              <w:rPr>
                <w:rFonts w:ascii="宋体" w:hAnsi="宋体" w:cs="宋体"/>
                <w:color w:val="auto"/>
                <w:sz w:val="24"/>
                <w:highlight w:val="none"/>
              </w:rPr>
            </w:pPr>
            <w:r>
              <w:rPr>
                <w:rFonts w:hint="eastAsia" w:ascii="宋体" w:hAnsi="宋体" w:cs="宋体"/>
                <w:color w:val="auto"/>
                <w:spacing w:val="-2"/>
                <w:sz w:val="24"/>
                <w:highlight w:val="none"/>
              </w:rPr>
              <w:t>报</w:t>
            </w:r>
            <w:r>
              <w:rPr>
                <w:rFonts w:hint="eastAsia" w:ascii="宋体" w:hAnsi="宋体" w:cs="宋体"/>
                <w:color w:val="auto"/>
                <w:spacing w:val="-1"/>
                <w:sz w:val="24"/>
                <w:highlight w:val="none"/>
              </w:rPr>
              <w:t>价要求</w:t>
            </w:r>
          </w:p>
        </w:tc>
        <w:tc>
          <w:tcPr>
            <w:tcW w:w="2668" w:type="dxa"/>
            <w:tcBorders>
              <w:top w:val="single" w:color="auto" w:sz="4" w:space="0"/>
              <w:left w:val="single" w:color="auto" w:sz="4" w:space="0"/>
              <w:bottom w:val="single" w:color="auto" w:sz="4" w:space="0"/>
              <w:right w:val="single" w:color="auto" w:sz="4" w:space="0"/>
            </w:tcBorders>
            <w:vAlign w:val="center"/>
          </w:tcPr>
          <w:p w14:paraId="03550AF9">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092AC26">
            <w:pPr>
              <w:snapToGrid w:val="0"/>
              <w:spacing w:before="156" w:beforeLines="50" w:line="360" w:lineRule="auto"/>
              <w:ind w:left="43"/>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5E328C4">
            <w:pPr>
              <w:snapToGrid w:val="0"/>
              <w:spacing w:before="156" w:beforeLines="50" w:line="360" w:lineRule="auto"/>
              <w:ind w:left="43"/>
              <w:jc w:val="center"/>
              <w:rPr>
                <w:rFonts w:ascii="宋体" w:hAnsi="宋体" w:cs="宋体"/>
                <w:color w:val="auto"/>
                <w:sz w:val="24"/>
                <w:highlight w:val="none"/>
              </w:rPr>
            </w:pPr>
          </w:p>
        </w:tc>
      </w:tr>
      <w:tr w14:paraId="3E63D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7DAAA65">
            <w:pPr>
              <w:jc w:val="center"/>
              <w:rPr>
                <w:rFonts w:ascii="宋体" w:hAnsi="宋体" w:cs="宋体"/>
                <w:color w:val="auto"/>
                <w:sz w:val="24"/>
                <w:highlight w:val="none"/>
              </w:rPr>
            </w:pPr>
            <w:r>
              <w:rPr>
                <w:rFonts w:hint="eastAsia" w:ascii="宋体" w:hAnsi="宋体" w:cs="宋体"/>
                <w:color w:val="auto"/>
                <w:spacing w:val="-2"/>
                <w:sz w:val="24"/>
                <w:highlight w:val="none"/>
              </w:rPr>
              <w:t>合</w:t>
            </w:r>
            <w:r>
              <w:rPr>
                <w:rFonts w:hint="eastAsia" w:ascii="宋体" w:hAnsi="宋体" w:cs="宋体"/>
                <w:color w:val="auto"/>
                <w:spacing w:val="-1"/>
                <w:sz w:val="24"/>
                <w:highlight w:val="none"/>
              </w:rPr>
              <w:t>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0AC7BFE2">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18F6C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4BEFFB0">
            <w:pPr>
              <w:snapToGrid w:val="0"/>
              <w:spacing w:before="156" w:beforeLines="50" w:line="360" w:lineRule="auto"/>
              <w:jc w:val="center"/>
              <w:rPr>
                <w:rFonts w:ascii="宋体" w:hAnsi="宋体" w:cs="宋体"/>
                <w:color w:val="auto"/>
                <w:sz w:val="24"/>
                <w:highlight w:val="none"/>
              </w:rPr>
            </w:pPr>
          </w:p>
        </w:tc>
      </w:tr>
      <w:tr w14:paraId="2A3C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75EB860">
            <w:pPr>
              <w:jc w:val="center"/>
              <w:rPr>
                <w:rFonts w:ascii="宋体" w:hAnsi="宋体" w:cs="宋体"/>
                <w:color w:val="auto"/>
                <w:sz w:val="24"/>
                <w:highlight w:val="none"/>
              </w:rPr>
            </w:pPr>
            <w:r>
              <w:rPr>
                <w:rFonts w:hint="eastAsia" w:ascii="宋体" w:hAnsi="宋体" w:cs="宋体"/>
                <w:color w:val="auto"/>
                <w:spacing w:val="-2"/>
                <w:sz w:val="24"/>
                <w:highlight w:val="none"/>
              </w:rPr>
              <w:t>服</w:t>
            </w:r>
            <w:r>
              <w:rPr>
                <w:rFonts w:hint="eastAsia" w:ascii="宋体" w:hAnsi="宋体" w:cs="宋体"/>
                <w:color w:val="auto"/>
                <w:spacing w:val="-1"/>
                <w:sz w:val="24"/>
                <w:highlight w:val="none"/>
              </w:rPr>
              <w:t>务地点</w:t>
            </w:r>
          </w:p>
        </w:tc>
        <w:tc>
          <w:tcPr>
            <w:tcW w:w="2668" w:type="dxa"/>
            <w:tcBorders>
              <w:top w:val="single" w:color="auto" w:sz="4" w:space="0"/>
              <w:left w:val="single" w:color="auto" w:sz="4" w:space="0"/>
              <w:bottom w:val="single" w:color="auto" w:sz="4" w:space="0"/>
              <w:right w:val="single" w:color="auto" w:sz="4" w:space="0"/>
            </w:tcBorders>
            <w:vAlign w:val="center"/>
          </w:tcPr>
          <w:p w14:paraId="27D3ED3B">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840A65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338EF2E">
            <w:pPr>
              <w:snapToGrid w:val="0"/>
              <w:spacing w:before="156" w:beforeLines="50" w:line="360" w:lineRule="auto"/>
              <w:jc w:val="center"/>
              <w:rPr>
                <w:rFonts w:ascii="宋体" w:hAnsi="宋体" w:cs="宋体"/>
                <w:color w:val="auto"/>
                <w:sz w:val="24"/>
                <w:highlight w:val="none"/>
              </w:rPr>
            </w:pPr>
          </w:p>
        </w:tc>
      </w:tr>
      <w:tr w14:paraId="0F916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E137DA3">
            <w:pPr>
              <w:jc w:val="center"/>
              <w:rPr>
                <w:rFonts w:ascii="宋体" w:hAnsi="宋体" w:cs="宋体"/>
                <w:color w:val="auto"/>
                <w:sz w:val="24"/>
                <w:highlight w:val="none"/>
              </w:rPr>
            </w:pPr>
            <w:r>
              <w:rPr>
                <w:rFonts w:hint="eastAsia" w:ascii="宋体" w:hAnsi="宋体" w:cs="宋体"/>
                <w:color w:val="auto"/>
                <w:spacing w:val="-2"/>
                <w:sz w:val="24"/>
                <w:highlight w:val="none"/>
              </w:rPr>
              <w:t>服</w:t>
            </w:r>
            <w:r>
              <w:rPr>
                <w:rFonts w:hint="eastAsia" w:ascii="宋体" w:hAnsi="宋体" w:cs="宋体"/>
                <w:color w:val="auto"/>
                <w:spacing w:val="-1"/>
                <w:sz w:val="24"/>
                <w:highlight w:val="none"/>
              </w:rPr>
              <w:t>务期限</w:t>
            </w:r>
          </w:p>
        </w:tc>
        <w:tc>
          <w:tcPr>
            <w:tcW w:w="2668" w:type="dxa"/>
            <w:tcBorders>
              <w:top w:val="single" w:color="auto" w:sz="4" w:space="0"/>
              <w:left w:val="single" w:color="auto" w:sz="4" w:space="0"/>
              <w:bottom w:val="single" w:color="auto" w:sz="4" w:space="0"/>
              <w:right w:val="single" w:color="auto" w:sz="4" w:space="0"/>
            </w:tcBorders>
            <w:vAlign w:val="center"/>
          </w:tcPr>
          <w:p w14:paraId="7CC7CAB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7B92CCC">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F83EE3">
            <w:pPr>
              <w:snapToGrid w:val="0"/>
              <w:spacing w:before="156" w:beforeLines="50" w:line="360" w:lineRule="auto"/>
              <w:jc w:val="center"/>
              <w:rPr>
                <w:rFonts w:ascii="宋体" w:hAnsi="宋体" w:cs="宋体"/>
                <w:color w:val="auto"/>
                <w:sz w:val="24"/>
                <w:highlight w:val="none"/>
              </w:rPr>
            </w:pPr>
          </w:p>
        </w:tc>
      </w:tr>
      <w:tr w14:paraId="72612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92EE595">
            <w:pPr>
              <w:jc w:val="center"/>
              <w:rPr>
                <w:rFonts w:ascii="宋体" w:hAnsi="宋体" w:cs="宋体"/>
                <w:color w:val="auto"/>
                <w:sz w:val="24"/>
                <w:highlight w:val="none"/>
              </w:rPr>
            </w:pPr>
            <w:r>
              <w:rPr>
                <w:rFonts w:hint="eastAsia" w:ascii="宋体" w:hAnsi="宋体" w:cs="宋体"/>
                <w:color w:val="auto"/>
                <w:sz w:val="24"/>
                <w:highlight w:val="none"/>
              </w:rPr>
              <w:t>服务标准及要求</w:t>
            </w:r>
          </w:p>
        </w:tc>
        <w:tc>
          <w:tcPr>
            <w:tcW w:w="2668" w:type="dxa"/>
            <w:tcBorders>
              <w:top w:val="single" w:color="auto" w:sz="4" w:space="0"/>
              <w:left w:val="single" w:color="auto" w:sz="4" w:space="0"/>
              <w:bottom w:val="single" w:color="auto" w:sz="4" w:space="0"/>
              <w:right w:val="single" w:color="auto" w:sz="4" w:space="0"/>
            </w:tcBorders>
            <w:vAlign w:val="center"/>
          </w:tcPr>
          <w:p w14:paraId="772A6C3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186EAE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FED6C51">
            <w:pPr>
              <w:snapToGrid w:val="0"/>
              <w:spacing w:before="156" w:beforeLines="50" w:line="360" w:lineRule="auto"/>
              <w:jc w:val="center"/>
              <w:rPr>
                <w:rFonts w:ascii="宋体" w:hAnsi="宋体" w:cs="宋体"/>
                <w:color w:val="auto"/>
                <w:sz w:val="24"/>
                <w:highlight w:val="none"/>
              </w:rPr>
            </w:pPr>
          </w:p>
        </w:tc>
      </w:tr>
      <w:tr w14:paraId="02A5B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49CF15F">
            <w:pPr>
              <w:jc w:val="center"/>
              <w:rPr>
                <w:rFonts w:ascii="宋体" w:hAnsi="宋体" w:cs="宋体"/>
                <w:color w:val="auto"/>
                <w:sz w:val="24"/>
                <w:highlight w:val="none"/>
              </w:rPr>
            </w:pPr>
            <w:r>
              <w:rPr>
                <w:rFonts w:hint="eastAsia" w:ascii="宋体" w:hAnsi="宋体" w:cs="宋体"/>
                <w:color w:val="auto"/>
                <w:sz w:val="24"/>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63E49350">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2F4610B">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43BBBF1">
            <w:pPr>
              <w:snapToGrid w:val="0"/>
              <w:spacing w:before="156" w:beforeLines="50" w:line="360" w:lineRule="auto"/>
              <w:jc w:val="center"/>
              <w:rPr>
                <w:rFonts w:ascii="宋体" w:hAnsi="宋体" w:cs="宋体"/>
                <w:color w:val="auto"/>
                <w:sz w:val="24"/>
                <w:highlight w:val="none"/>
              </w:rPr>
            </w:pPr>
          </w:p>
        </w:tc>
      </w:tr>
      <w:tr w14:paraId="3BBC5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982D836">
            <w:pPr>
              <w:jc w:val="center"/>
              <w:rPr>
                <w:rFonts w:ascii="宋体" w:hAnsi="宋体" w:cs="宋体"/>
                <w:color w:val="auto"/>
                <w:sz w:val="24"/>
                <w:highlight w:val="none"/>
              </w:rPr>
            </w:pPr>
            <w:r>
              <w:rPr>
                <w:rFonts w:hint="eastAsia" w:ascii="宋体" w:hAnsi="宋体" w:cs="宋体"/>
                <w:color w:val="auto"/>
                <w:spacing w:val="-2"/>
                <w:sz w:val="24"/>
                <w:highlight w:val="none"/>
              </w:rPr>
              <w:t>付</w:t>
            </w:r>
            <w:r>
              <w:rPr>
                <w:rFonts w:hint="eastAsia" w:ascii="宋体" w:hAnsi="宋体" w:cs="宋体"/>
                <w:color w:val="auto"/>
                <w:spacing w:val="-1"/>
                <w:sz w:val="24"/>
                <w:highlight w:val="none"/>
              </w:rPr>
              <w:t>款方式</w:t>
            </w:r>
          </w:p>
        </w:tc>
        <w:tc>
          <w:tcPr>
            <w:tcW w:w="2668" w:type="dxa"/>
            <w:tcBorders>
              <w:top w:val="single" w:color="auto" w:sz="4" w:space="0"/>
              <w:left w:val="single" w:color="auto" w:sz="4" w:space="0"/>
              <w:bottom w:val="single" w:color="auto" w:sz="4" w:space="0"/>
              <w:right w:val="single" w:color="auto" w:sz="4" w:space="0"/>
            </w:tcBorders>
            <w:vAlign w:val="center"/>
          </w:tcPr>
          <w:p w14:paraId="1BAD595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44991FB">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572448A">
            <w:pPr>
              <w:snapToGrid w:val="0"/>
              <w:spacing w:before="156" w:beforeLines="50" w:line="360" w:lineRule="auto"/>
              <w:jc w:val="center"/>
              <w:rPr>
                <w:rFonts w:ascii="宋体" w:hAnsi="宋体" w:cs="宋体"/>
                <w:color w:val="auto"/>
                <w:sz w:val="24"/>
                <w:highlight w:val="none"/>
              </w:rPr>
            </w:pPr>
          </w:p>
        </w:tc>
      </w:tr>
    </w:tbl>
    <w:p w14:paraId="42E4C822">
      <w:pPr>
        <w:pStyle w:val="14"/>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DDE97B7">
      <w:pPr>
        <w:pStyle w:val="14"/>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1.说明：应对照磋商文件“第三章 项目需求和说明”中的商务条款逐条实质性响应，并作出偏离说明。</w:t>
      </w:r>
    </w:p>
    <w:p w14:paraId="3F6F3FBE">
      <w:pPr>
        <w:snapToGrid w:val="0"/>
        <w:spacing w:before="50"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29ED23F5">
      <w:pPr>
        <w:snapToGrid w:val="0"/>
        <w:spacing w:before="50" w:after="50" w:line="360" w:lineRule="auto"/>
        <w:ind w:right="-817" w:rightChars="-389"/>
        <w:rPr>
          <w:rFonts w:ascii="宋体" w:hAnsi="宋体" w:cs="宋体"/>
          <w:color w:val="auto"/>
          <w:sz w:val="24"/>
          <w:highlight w:val="none"/>
        </w:rPr>
      </w:pPr>
    </w:p>
    <w:p w14:paraId="09892FDF">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EFE2486">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26CC1075">
      <w:pPr>
        <w:snapToGrid w:val="0"/>
        <w:spacing w:before="50" w:after="50" w:line="360" w:lineRule="auto"/>
        <w:ind w:right="-817" w:rightChars="-389" w:firstLine="4080" w:firstLineChars="1700"/>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7DA02201">
      <w:pPr>
        <w:adjustRightInd w:val="0"/>
        <w:snapToGrid w:val="0"/>
        <w:spacing w:line="300" w:lineRule="auto"/>
        <w:jc w:val="center"/>
        <w:rPr>
          <w:rFonts w:ascii="宋体" w:hAnsi="宋体" w:cs="宋体"/>
          <w:color w:val="auto"/>
          <w:kern w:val="0"/>
          <w:szCs w:val="21"/>
          <w:highlight w:val="none"/>
        </w:rPr>
      </w:pPr>
    </w:p>
    <w:p w14:paraId="034587D6">
      <w:pPr>
        <w:adjustRightInd w:val="0"/>
        <w:snapToGrid w:val="0"/>
        <w:spacing w:line="300" w:lineRule="auto"/>
        <w:jc w:val="center"/>
        <w:rPr>
          <w:rFonts w:ascii="宋体" w:hAnsi="宋体" w:cs="宋体"/>
          <w:bCs/>
          <w:color w:val="auto"/>
          <w:sz w:val="44"/>
          <w:szCs w:val="44"/>
          <w:highlight w:val="none"/>
        </w:rPr>
      </w:pPr>
    </w:p>
    <w:p w14:paraId="1D78DFCE">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412EAB1E">
      <w:pPr>
        <w:spacing w:line="520" w:lineRule="exact"/>
        <w:rPr>
          <w:rFonts w:ascii="宋体" w:hAnsi="宋体" w:cs="宋体"/>
          <w:color w:val="auto"/>
          <w:sz w:val="32"/>
          <w:szCs w:val="32"/>
          <w:highlight w:val="none"/>
        </w:rPr>
      </w:pPr>
    </w:p>
    <w:p w14:paraId="366781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3BD0AF2B">
      <w:pPr>
        <w:pStyle w:val="15"/>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4FDCCD9A">
      <w:pPr>
        <w:rPr>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0"/>
        <w:gridCol w:w="980"/>
        <w:gridCol w:w="3253"/>
        <w:gridCol w:w="2928"/>
        <w:gridCol w:w="1597"/>
      </w:tblGrid>
      <w:tr w14:paraId="497F0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64C863A3">
            <w:pPr>
              <w:pStyle w:val="16"/>
              <w:spacing w:line="360" w:lineRule="auto"/>
              <w:ind w:firstLine="0" w:firstLineChars="0"/>
              <w:jc w:val="center"/>
              <w:rPr>
                <w:rFonts w:ascii="宋体" w:hAnsi="宋体" w:eastAsia="宋体" w:cs="宋体"/>
                <w:color w:val="auto"/>
                <w:kern w:val="2"/>
                <w:sz w:val="24"/>
                <w:szCs w:val="24"/>
                <w:highlight w:val="none"/>
              </w:rPr>
            </w:pPr>
            <w:bookmarkStart w:id="81" w:name="_Toc254970729"/>
            <w:bookmarkStart w:id="82" w:name="_Toc373333689"/>
            <w:bookmarkStart w:id="83" w:name="_Toc173066401"/>
            <w:bookmarkStart w:id="84" w:name="_Toc301781611"/>
            <w:bookmarkStart w:id="85" w:name="_Toc295404981"/>
            <w:bookmarkStart w:id="86" w:name="_Toc173211900"/>
            <w:bookmarkStart w:id="87" w:name="_Toc297193185"/>
            <w:bookmarkStart w:id="88" w:name="_Toc254970588"/>
            <w:bookmarkStart w:id="89" w:name="_Toc383699906"/>
            <w:r>
              <w:rPr>
                <w:rFonts w:hint="eastAsia" w:ascii="宋体" w:hAnsi="宋体" w:eastAsia="宋体" w:cs="宋体"/>
                <w:color w:val="auto"/>
                <w:kern w:val="2"/>
                <w:sz w:val="24"/>
                <w:szCs w:val="24"/>
                <w:highlight w:val="none"/>
              </w:rPr>
              <w:t>序号</w:t>
            </w:r>
            <w:bookmarkEnd w:id="81"/>
            <w:bookmarkEnd w:id="82"/>
            <w:bookmarkEnd w:id="83"/>
            <w:bookmarkEnd w:id="84"/>
            <w:bookmarkEnd w:id="85"/>
            <w:bookmarkEnd w:id="86"/>
            <w:bookmarkEnd w:id="87"/>
            <w:bookmarkEnd w:id="88"/>
            <w:bookmarkEnd w:id="89"/>
          </w:p>
        </w:tc>
        <w:tc>
          <w:tcPr>
            <w:tcW w:w="980" w:type="dxa"/>
            <w:tcBorders>
              <w:right w:val="single" w:color="auto" w:sz="4" w:space="0"/>
            </w:tcBorders>
            <w:vAlign w:val="center"/>
          </w:tcPr>
          <w:p w14:paraId="76A3441F">
            <w:pPr>
              <w:pStyle w:val="16"/>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3253" w:type="dxa"/>
            <w:tcBorders>
              <w:left w:val="single" w:color="auto" w:sz="4" w:space="0"/>
            </w:tcBorders>
            <w:vAlign w:val="center"/>
          </w:tcPr>
          <w:p w14:paraId="70794648">
            <w:pPr>
              <w:pStyle w:val="16"/>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磋商文件技术需求</w:t>
            </w:r>
          </w:p>
        </w:tc>
        <w:tc>
          <w:tcPr>
            <w:tcW w:w="2928" w:type="dxa"/>
            <w:vAlign w:val="center"/>
          </w:tcPr>
          <w:p w14:paraId="778A1D15">
            <w:pPr>
              <w:pStyle w:val="16"/>
              <w:spacing w:line="360" w:lineRule="auto"/>
              <w:ind w:firstLine="0" w:firstLineChars="0"/>
              <w:jc w:val="center"/>
              <w:rPr>
                <w:rFonts w:ascii="宋体" w:hAnsi="宋体" w:eastAsia="宋体" w:cs="宋体"/>
                <w:color w:val="auto"/>
                <w:kern w:val="2"/>
                <w:sz w:val="24"/>
                <w:szCs w:val="24"/>
                <w:highlight w:val="none"/>
              </w:rPr>
            </w:pPr>
            <w:bookmarkStart w:id="90" w:name="_Toc254970590"/>
            <w:bookmarkStart w:id="91" w:name="_Toc173066403"/>
            <w:bookmarkStart w:id="92" w:name="_Toc373333691"/>
            <w:bookmarkStart w:id="93" w:name="_Toc173211902"/>
            <w:bookmarkStart w:id="94" w:name="_Toc301781613"/>
            <w:bookmarkStart w:id="95" w:name="_Toc383699908"/>
            <w:bookmarkStart w:id="96" w:name="_Toc295404983"/>
            <w:bookmarkStart w:id="97" w:name="_Toc297193187"/>
            <w:bookmarkStart w:id="98" w:name="_Toc254970731"/>
            <w:r>
              <w:rPr>
                <w:rFonts w:hint="eastAsia" w:ascii="宋体" w:hAnsi="宋体" w:eastAsia="宋体" w:cs="宋体"/>
                <w:color w:val="auto"/>
                <w:kern w:val="2"/>
                <w:sz w:val="24"/>
                <w:szCs w:val="24"/>
                <w:highlight w:val="none"/>
              </w:rPr>
              <w:t>竞标响应</w:t>
            </w:r>
            <w:bookmarkEnd w:id="90"/>
            <w:bookmarkEnd w:id="91"/>
            <w:bookmarkEnd w:id="92"/>
            <w:bookmarkEnd w:id="93"/>
            <w:bookmarkEnd w:id="94"/>
            <w:bookmarkEnd w:id="95"/>
            <w:bookmarkEnd w:id="96"/>
            <w:bookmarkEnd w:id="97"/>
            <w:bookmarkEnd w:id="98"/>
          </w:p>
        </w:tc>
        <w:tc>
          <w:tcPr>
            <w:tcW w:w="1597" w:type="dxa"/>
            <w:vAlign w:val="center"/>
          </w:tcPr>
          <w:p w14:paraId="088AA23F">
            <w:pPr>
              <w:pStyle w:val="16"/>
              <w:spacing w:line="360" w:lineRule="auto"/>
              <w:ind w:firstLine="0" w:firstLineChars="0"/>
              <w:jc w:val="center"/>
              <w:rPr>
                <w:rFonts w:ascii="宋体" w:hAnsi="宋体" w:eastAsia="宋体" w:cs="宋体"/>
                <w:color w:val="auto"/>
                <w:kern w:val="2"/>
                <w:sz w:val="24"/>
                <w:szCs w:val="24"/>
                <w:highlight w:val="none"/>
              </w:rPr>
            </w:pPr>
            <w:bookmarkStart w:id="99" w:name="_Toc173066404"/>
            <w:bookmarkStart w:id="100" w:name="_Toc383699909"/>
            <w:bookmarkStart w:id="101" w:name="_Toc295404984"/>
            <w:bookmarkStart w:id="102" w:name="_Toc297193188"/>
            <w:bookmarkStart w:id="103" w:name="_Toc254970591"/>
            <w:bookmarkStart w:id="104" w:name="_Toc173211903"/>
            <w:bookmarkStart w:id="105" w:name="_Toc373333692"/>
            <w:bookmarkStart w:id="106" w:name="_Toc254970732"/>
            <w:bookmarkStart w:id="107" w:name="_Toc301781614"/>
            <w:r>
              <w:rPr>
                <w:rFonts w:hint="eastAsia" w:ascii="宋体" w:hAnsi="宋体" w:eastAsia="宋体" w:cs="宋体"/>
                <w:color w:val="auto"/>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254970733"/>
            <w:bookmarkStart w:id="109" w:name="_Toc173066405"/>
            <w:bookmarkStart w:id="110" w:name="_Toc254970592"/>
            <w:bookmarkStart w:id="111" w:name="_Toc373333693"/>
            <w:bookmarkStart w:id="112" w:name="_Toc301781615"/>
            <w:bookmarkStart w:id="113" w:name="_Toc295404985"/>
            <w:bookmarkStart w:id="114" w:name="_Toc383699910"/>
            <w:bookmarkStart w:id="115" w:name="_Toc173211904"/>
            <w:bookmarkStart w:id="116" w:name="_Toc297193189"/>
            <w:r>
              <w:rPr>
                <w:rFonts w:hint="eastAsia" w:ascii="宋体" w:hAnsi="宋体" w:eastAsia="宋体" w:cs="宋体"/>
                <w:color w:val="auto"/>
                <w:kern w:val="2"/>
                <w:sz w:val="24"/>
                <w:szCs w:val="24"/>
                <w:highlight w:val="none"/>
              </w:rPr>
              <w:t>说明</w:t>
            </w:r>
            <w:bookmarkEnd w:id="108"/>
            <w:bookmarkEnd w:id="109"/>
            <w:bookmarkEnd w:id="110"/>
            <w:bookmarkEnd w:id="111"/>
            <w:bookmarkEnd w:id="112"/>
            <w:bookmarkEnd w:id="113"/>
            <w:bookmarkEnd w:id="114"/>
            <w:bookmarkEnd w:id="115"/>
            <w:bookmarkEnd w:id="116"/>
          </w:p>
        </w:tc>
      </w:tr>
      <w:tr w14:paraId="198F8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2983755A">
            <w:pPr>
              <w:pStyle w:val="16"/>
              <w:spacing w:line="360" w:lineRule="auto"/>
              <w:ind w:firstLine="0" w:firstLineChars="0"/>
              <w:jc w:val="center"/>
              <w:rPr>
                <w:rFonts w:ascii="宋体" w:hAnsi="宋体" w:eastAsia="宋体" w:cs="宋体"/>
                <w:color w:val="auto"/>
                <w:kern w:val="2"/>
                <w:sz w:val="24"/>
                <w:szCs w:val="24"/>
                <w:highlight w:val="none"/>
              </w:rPr>
            </w:pPr>
            <w:bookmarkStart w:id="117" w:name="_Toc373333694"/>
            <w:bookmarkStart w:id="118" w:name="_Toc254970593"/>
            <w:bookmarkStart w:id="119" w:name="_Toc383699911"/>
            <w:bookmarkStart w:id="120" w:name="_Toc254970734"/>
            <w:bookmarkStart w:id="121" w:name="_Toc297193190"/>
            <w:bookmarkStart w:id="122" w:name="_Toc301781616"/>
            <w:bookmarkStart w:id="123" w:name="_Toc173211905"/>
            <w:bookmarkStart w:id="124" w:name="_Toc295404986"/>
            <w:bookmarkStart w:id="125" w:name="_Toc173066406"/>
            <w:r>
              <w:rPr>
                <w:rFonts w:hint="eastAsia" w:ascii="宋体" w:hAnsi="宋体" w:eastAsia="宋体" w:cs="宋体"/>
                <w:color w:val="auto"/>
                <w:kern w:val="2"/>
                <w:sz w:val="24"/>
                <w:szCs w:val="24"/>
                <w:highlight w:val="none"/>
              </w:rPr>
              <w:t>1</w:t>
            </w:r>
            <w:bookmarkEnd w:id="117"/>
            <w:bookmarkEnd w:id="118"/>
            <w:bookmarkEnd w:id="119"/>
            <w:bookmarkEnd w:id="120"/>
            <w:bookmarkEnd w:id="121"/>
            <w:bookmarkEnd w:id="122"/>
            <w:bookmarkEnd w:id="123"/>
            <w:bookmarkEnd w:id="124"/>
            <w:bookmarkEnd w:id="125"/>
          </w:p>
        </w:tc>
        <w:tc>
          <w:tcPr>
            <w:tcW w:w="980" w:type="dxa"/>
            <w:tcBorders>
              <w:right w:val="single" w:color="auto" w:sz="4" w:space="0"/>
            </w:tcBorders>
            <w:vAlign w:val="center"/>
          </w:tcPr>
          <w:p w14:paraId="3339D596">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4CC3B7CE">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0B6F2B49">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42DC5401">
            <w:pPr>
              <w:pStyle w:val="16"/>
              <w:spacing w:line="360" w:lineRule="auto"/>
              <w:ind w:firstLine="0" w:firstLineChars="0"/>
              <w:jc w:val="center"/>
              <w:rPr>
                <w:rFonts w:ascii="宋体" w:hAnsi="宋体" w:eastAsia="宋体" w:cs="宋体"/>
                <w:color w:val="auto"/>
                <w:kern w:val="2"/>
                <w:sz w:val="24"/>
                <w:szCs w:val="24"/>
                <w:highlight w:val="none"/>
              </w:rPr>
            </w:pPr>
          </w:p>
        </w:tc>
      </w:tr>
      <w:tr w14:paraId="34179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31EC4F45">
            <w:pPr>
              <w:pStyle w:val="16"/>
              <w:spacing w:line="360" w:lineRule="auto"/>
              <w:ind w:firstLine="0" w:firstLineChars="0"/>
              <w:jc w:val="center"/>
              <w:rPr>
                <w:rFonts w:ascii="宋体" w:hAnsi="宋体" w:eastAsia="宋体" w:cs="宋体"/>
                <w:color w:val="auto"/>
                <w:kern w:val="2"/>
                <w:sz w:val="24"/>
                <w:szCs w:val="24"/>
                <w:highlight w:val="none"/>
              </w:rPr>
            </w:pPr>
            <w:bookmarkStart w:id="126" w:name="_Toc373333695"/>
            <w:bookmarkStart w:id="127" w:name="_Toc173066407"/>
            <w:bookmarkStart w:id="128" w:name="_Toc254970735"/>
            <w:bookmarkStart w:id="129" w:name="_Toc301781617"/>
            <w:bookmarkStart w:id="130" w:name="_Toc254970594"/>
            <w:bookmarkStart w:id="131" w:name="_Toc383699912"/>
            <w:bookmarkStart w:id="132" w:name="_Toc173211906"/>
            <w:bookmarkStart w:id="133" w:name="_Toc295404987"/>
            <w:bookmarkStart w:id="134" w:name="_Toc297193191"/>
            <w:r>
              <w:rPr>
                <w:rFonts w:hint="eastAsia" w:ascii="宋体" w:hAnsi="宋体" w:eastAsia="宋体" w:cs="宋体"/>
                <w:color w:val="auto"/>
                <w:kern w:val="2"/>
                <w:sz w:val="24"/>
                <w:szCs w:val="24"/>
                <w:highlight w:val="none"/>
              </w:rPr>
              <w:t>2</w:t>
            </w:r>
            <w:bookmarkEnd w:id="126"/>
            <w:bookmarkEnd w:id="127"/>
            <w:bookmarkEnd w:id="128"/>
            <w:bookmarkEnd w:id="129"/>
            <w:bookmarkEnd w:id="130"/>
            <w:bookmarkEnd w:id="131"/>
            <w:bookmarkEnd w:id="132"/>
            <w:bookmarkEnd w:id="133"/>
            <w:bookmarkEnd w:id="134"/>
          </w:p>
        </w:tc>
        <w:tc>
          <w:tcPr>
            <w:tcW w:w="980" w:type="dxa"/>
            <w:tcBorders>
              <w:right w:val="single" w:color="auto" w:sz="4" w:space="0"/>
            </w:tcBorders>
            <w:vAlign w:val="center"/>
          </w:tcPr>
          <w:p w14:paraId="51A9E09C">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7D1A92A4">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7F7892D6">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4FA62649">
            <w:pPr>
              <w:pStyle w:val="16"/>
              <w:spacing w:line="360" w:lineRule="auto"/>
              <w:ind w:firstLine="0" w:firstLineChars="0"/>
              <w:jc w:val="center"/>
              <w:rPr>
                <w:rFonts w:ascii="宋体" w:hAnsi="宋体" w:eastAsia="宋体" w:cs="宋体"/>
                <w:color w:val="auto"/>
                <w:kern w:val="2"/>
                <w:sz w:val="24"/>
                <w:szCs w:val="24"/>
                <w:highlight w:val="none"/>
              </w:rPr>
            </w:pPr>
          </w:p>
        </w:tc>
      </w:tr>
      <w:tr w14:paraId="51B81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07681CAB">
            <w:pPr>
              <w:pStyle w:val="16"/>
              <w:spacing w:line="360" w:lineRule="auto"/>
              <w:ind w:firstLine="0" w:firstLineChars="0"/>
              <w:jc w:val="center"/>
              <w:rPr>
                <w:rFonts w:ascii="宋体" w:hAnsi="宋体" w:eastAsia="宋体" w:cs="宋体"/>
                <w:color w:val="auto"/>
                <w:kern w:val="2"/>
                <w:sz w:val="24"/>
                <w:szCs w:val="24"/>
                <w:highlight w:val="none"/>
              </w:rPr>
            </w:pPr>
            <w:bookmarkStart w:id="135" w:name="_Toc254970595"/>
            <w:bookmarkStart w:id="136" w:name="_Toc173211907"/>
            <w:bookmarkStart w:id="137" w:name="_Toc373333696"/>
            <w:bookmarkStart w:id="138" w:name="_Toc383699913"/>
            <w:bookmarkStart w:id="139" w:name="_Toc254970736"/>
            <w:bookmarkStart w:id="140" w:name="_Toc295404988"/>
            <w:bookmarkStart w:id="141" w:name="_Toc301781618"/>
            <w:bookmarkStart w:id="142" w:name="_Toc173066408"/>
            <w:bookmarkStart w:id="143" w:name="_Toc297193192"/>
            <w:r>
              <w:rPr>
                <w:rFonts w:hint="eastAsia" w:ascii="宋体" w:hAnsi="宋体" w:eastAsia="宋体" w:cs="宋体"/>
                <w:color w:val="auto"/>
                <w:kern w:val="2"/>
                <w:sz w:val="24"/>
                <w:szCs w:val="24"/>
                <w:highlight w:val="none"/>
              </w:rPr>
              <w:t>3</w:t>
            </w:r>
            <w:bookmarkEnd w:id="135"/>
            <w:bookmarkEnd w:id="136"/>
            <w:bookmarkEnd w:id="137"/>
            <w:bookmarkEnd w:id="138"/>
            <w:bookmarkEnd w:id="139"/>
            <w:bookmarkEnd w:id="140"/>
            <w:bookmarkEnd w:id="141"/>
            <w:bookmarkEnd w:id="142"/>
            <w:bookmarkEnd w:id="143"/>
          </w:p>
        </w:tc>
        <w:tc>
          <w:tcPr>
            <w:tcW w:w="980" w:type="dxa"/>
            <w:tcBorders>
              <w:right w:val="single" w:color="auto" w:sz="4" w:space="0"/>
            </w:tcBorders>
            <w:vAlign w:val="center"/>
          </w:tcPr>
          <w:p w14:paraId="40207D33">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396FE665">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14E67481">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68103B19">
            <w:pPr>
              <w:pStyle w:val="16"/>
              <w:spacing w:line="360" w:lineRule="auto"/>
              <w:ind w:firstLine="0" w:firstLineChars="0"/>
              <w:jc w:val="center"/>
              <w:rPr>
                <w:rFonts w:ascii="宋体" w:hAnsi="宋体" w:eastAsia="宋体" w:cs="宋体"/>
                <w:color w:val="auto"/>
                <w:kern w:val="2"/>
                <w:sz w:val="24"/>
                <w:szCs w:val="24"/>
                <w:highlight w:val="none"/>
              </w:rPr>
            </w:pPr>
          </w:p>
        </w:tc>
      </w:tr>
      <w:tr w14:paraId="3E82BB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1F5C14A5">
            <w:pPr>
              <w:pStyle w:val="16"/>
              <w:spacing w:line="360" w:lineRule="auto"/>
              <w:ind w:firstLine="0" w:firstLineChars="0"/>
              <w:jc w:val="center"/>
              <w:rPr>
                <w:rFonts w:ascii="宋体" w:hAnsi="宋体" w:eastAsia="宋体" w:cs="宋体"/>
                <w:color w:val="auto"/>
                <w:kern w:val="2"/>
                <w:sz w:val="24"/>
                <w:szCs w:val="24"/>
                <w:highlight w:val="none"/>
              </w:rPr>
            </w:pPr>
            <w:bookmarkStart w:id="144" w:name="_Toc254970737"/>
            <w:bookmarkStart w:id="145" w:name="_Toc373333697"/>
            <w:bookmarkStart w:id="146" w:name="_Toc297193193"/>
            <w:bookmarkStart w:id="147" w:name="_Toc173211908"/>
            <w:bookmarkStart w:id="148" w:name="_Toc301781619"/>
            <w:bookmarkStart w:id="149" w:name="_Toc295404989"/>
            <w:bookmarkStart w:id="150" w:name="_Toc383699914"/>
            <w:bookmarkStart w:id="151" w:name="_Toc173066409"/>
            <w:bookmarkStart w:id="152" w:name="_Toc254970596"/>
            <w:r>
              <w:rPr>
                <w:rFonts w:hint="eastAsia" w:ascii="宋体" w:hAnsi="宋体" w:eastAsia="宋体" w:cs="宋体"/>
                <w:color w:val="auto"/>
                <w:kern w:val="2"/>
                <w:sz w:val="24"/>
                <w:szCs w:val="24"/>
                <w:highlight w:val="none"/>
              </w:rPr>
              <w:t>4</w:t>
            </w:r>
            <w:bookmarkEnd w:id="144"/>
            <w:bookmarkEnd w:id="145"/>
            <w:bookmarkEnd w:id="146"/>
            <w:bookmarkEnd w:id="147"/>
            <w:bookmarkEnd w:id="148"/>
            <w:bookmarkEnd w:id="149"/>
            <w:bookmarkEnd w:id="150"/>
            <w:bookmarkEnd w:id="151"/>
            <w:bookmarkEnd w:id="152"/>
          </w:p>
        </w:tc>
        <w:tc>
          <w:tcPr>
            <w:tcW w:w="980" w:type="dxa"/>
            <w:tcBorders>
              <w:right w:val="single" w:color="auto" w:sz="4" w:space="0"/>
            </w:tcBorders>
            <w:vAlign w:val="center"/>
          </w:tcPr>
          <w:p w14:paraId="2A90C93F">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0F853E6C">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05B8621F">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0D98EB2C">
            <w:pPr>
              <w:pStyle w:val="16"/>
              <w:spacing w:line="360" w:lineRule="auto"/>
              <w:ind w:firstLine="0" w:firstLineChars="0"/>
              <w:jc w:val="center"/>
              <w:rPr>
                <w:rFonts w:ascii="宋体" w:hAnsi="宋体" w:eastAsia="宋体" w:cs="宋体"/>
                <w:color w:val="auto"/>
                <w:kern w:val="2"/>
                <w:sz w:val="24"/>
                <w:szCs w:val="24"/>
                <w:highlight w:val="none"/>
              </w:rPr>
            </w:pPr>
          </w:p>
        </w:tc>
      </w:tr>
      <w:tr w14:paraId="30B530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385BE550">
            <w:pPr>
              <w:pStyle w:val="16"/>
              <w:spacing w:line="360" w:lineRule="auto"/>
              <w:ind w:firstLine="0" w:firstLineChars="0"/>
              <w:jc w:val="center"/>
              <w:rPr>
                <w:rFonts w:ascii="宋体" w:hAnsi="宋体" w:eastAsia="宋体" w:cs="宋体"/>
                <w:color w:val="auto"/>
                <w:kern w:val="2"/>
                <w:sz w:val="24"/>
                <w:szCs w:val="24"/>
                <w:highlight w:val="none"/>
              </w:rPr>
            </w:pPr>
            <w:bookmarkStart w:id="153" w:name="_Toc295404990"/>
            <w:bookmarkStart w:id="154" w:name="_Toc297193194"/>
            <w:bookmarkStart w:id="155" w:name="_Toc383699915"/>
            <w:bookmarkStart w:id="156" w:name="_Toc173066410"/>
            <w:bookmarkStart w:id="157" w:name="_Toc254970738"/>
            <w:bookmarkStart w:id="158" w:name="_Toc373333698"/>
            <w:bookmarkStart w:id="159" w:name="_Toc173211909"/>
            <w:bookmarkStart w:id="160" w:name="_Toc254970597"/>
            <w:bookmarkStart w:id="161" w:name="_Toc301781620"/>
            <w:r>
              <w:rPr>
                <w:rFonts w:hint="eastAsia" w:ascii="宋体" w:hAnsi="宋体" w:eastAsia="宋体" w:cs="宋体"/>
                <w:color w:val="auto"/>
                <w:kern w:val="2"/>
                <w:sz w:val="24"/>
                <w:szCs w:val="24"/>
                <w:highlight w:val="none"/>
              </w:rPr>
              <w:t>5</w:t>
            </w:r>
            <w:bookmarkEnd w:id="153"/>
            <w:bookmarkEnd w:id="154"/>
            <w:bookmarkEnd w:id="155"/>
            <w:bookmarkEnd w:id="156"/>
            <w:bookmarkEnd w:id="157"/>
            <w:bookmarkEnd w:id="158"/>
            <w:bookmarkEnd w:id="159"/>
            <w:bookmarkEnd w:id="160"/>
            <w:bookmarkEnd w:id="161"/>
          </w:p>
        </w:tc>
        <w:tc>
          <w:tcPr>
            <w:tcW w:w="980" w:type="dxa"/>
            <w:tcBorders>
              <w:right w:val="single" w:color="auto" w:sz="4" w:space="0"/>
            </w:tcBorders>
            <w:vAlign w:val="center"/>
          </w:tcPr>
          <w:p w14:paraId="3878FCD0">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14878DBC">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2F55146E">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6DFD7D1A">
            <w:pPr>
              <w:pStyle w:val="16"/>
              <w:spacing w:line="360" w:lineRule="auto"/>
              <w:ind w:firstLine="0" w:firstLineChars="0"/>
              <w:jc w:val="center"/>
              <w:rPr>
                <w:rFonts w:ascii="宋体" w:hAnsi="宋体" w:eastAsia="宋体" w:cs="宋体"/>
                <w:color w:val="auto"/>
                <w:kern w:val="2"/>
                <w:sz w:val="24"/>
                <w:szCs w:val="24"/>
                <w:highlight w:val="none"/>
              </w:rPr>
            </w:pPr>
          </w:p>
        </w:tc>
      </w:tr>
      <w:tr w14:paraId="59A69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80" w:type="dxa"/>
            <w:vAlign w:val="center"/>
          </w:tcPr>
          <w:p w14:paraId="32193BC8">
            <w:pPr>
              <w:pStyle w:val="16"/>
              <w:spacing w:line="360" w:lineRule="auto"/>
              <w:ind w:firstLine="0" w:firstLineChars="0"/>
              <w:jc w:val="center"/>
              <w:rPr>
                <w:rFonts w:ascii="宋体" w:hAnsi="宋体" w:eastAsia="宋体" w:cs="宋体"/>
                <w:color w:val="auto"/>
                <w:kern w:val="2"/>
                <w:sz w:val="24"/>
                <w:szCs w:val="24"/>
                <w:highlight w:val="none"/>
              </w:rPr>
            </w:pPr>
            <w:bookmarkStart w:id="162" w:name="_Toc254970602"/>
            <w:bookmarkStart w:id="163" w:name="_Toc254970743"/>
            <w:bookmarkStart w:id="164" w:name="_Toc173066415"/>
            <w:bookmarkStart w:id="165" w:name="_Toc173211914"/>
            <w:bookmarkStart w:id="166" w:name="_Toc383699916"/>
            <w:bookmarkStart w:id="167" w:name="_Toc295404991"/>
            <w:bookmarkStart w:id="168" w:name="_Toc297193195"/>
            <w:bookmarkStart w:id="169" w:name="_Toc373333699"/>
            <w:bookmarkStart w:id="170" w:name="_Toc301781621"/>
            <w:r>
              <w:rPr>
                <w:rFonts w:hint="eastAsia" w:ascii="宋体" w:hAnsi="宋体" w:eastAsia="宋体" w:cs="宋体"/>
                <w:color w:val="auto"/>
                <w:kern w:val="2"/>
                <w:sz w:val="24"/>
                <w:szCs w:val="24"/>
                <w:highlight w:val="none"/>
              </w:rPr>
              <w:t>…</w:t>
            </w:r>
            <w:bookmarkEnd w:id="162"/>
            <w:bookmarkEnd w:id="163"/>
            <w:bookmarkEnd w:id="164"/>
            <w:bookmarkEnd w:id="165"/>
            <w:bookmarkEnd w:id="166"/>
            <w:bookmarkEnd w:id="167"/>
            <w:bookmarkEnd w:id="168"/>
            <w:bookmarkEnd w:id="169"/>
            <w:bookmarkEnd w:id="170"/>
          </w:p>
        </w:tc>
        <w:tc>
          <w:tcPr>
            <w:tcW w:w="980" w:type="dxa"/>
            <w:tcBorders>
              <w:right w:val="single" w:color="auto" w:sz="4" w:space="0"/>
            </w:tcBorders>
            <w:vAlign w:val="center"/>
          </w:tcPr>
          <w:p w14:paraId="0D1746D2">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51048DA0">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36BA1AD4">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tcBorders>
              <w:right w:val="single" w:color="auto" w:sz="4" w:space="0"/>
            </w:tcBorders>
            <w:vAlign w:val="center"/>
          </w:tcPr>
          <w:p w14:paraId="1CA3F97B">
            <w:pPr>
              <w:pStyle w:val="16"/>
              <w:spacing w:line="360" w:lineRule="auto"/>
              <w:ind w:firstLine="0" w:firstLineChars="0"/>
              <w:jc w:val="center"/>
              <w:rPr>
                <w:rFonts w:ascii="宋体" w:hAnsi="宋体" w:eastAsia="宋体" w:cs="宋体"/>
                <w:color w:val="auto"/>
                <w:kern w:val="2"/>
                <w:sz w:val="24"/>
                <w:szCs w:val="24"/>
                <w:highlight w:val="none"/>
              </w:rPr>
            </w:pPr>
          </w:p>
        </w:tc>
      </w:tr>
    </w:tbl>
    <w:p w14:paraId="67AB69EF">
      <w:pPr>
        <w:adjustRightInd w:val="0"/>
        <w:snapToGrid w:val="0"/>
        <w:spacing w:line="360" w:lineRule="auto"/>
        <w:rPr>
          <w:rFonts w:ascii="宋体" w:hAnsi="宋体" w:cs="宋体"/>
          <w:color w:val="auto"/>
          <w:sz w:val="24"/>
          <w:highlight w:val="none"/>
        </w:rPr>
      </w:pPr>
    </w:p>
    <w:p w14:paraId="360BE89E">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1E7B35E">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项目需求和说明”中的技术需求逐条实质性响应，并作出偏离说明。</w:t>
      </w:r>
    </w:p>
    <w:p w14:paraId="30D8D8F1">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0A076D73">
      <w:pPr>
        <w:pStyle w:val="18"/>
        <w:spacing w:line="360" w:lineRule="auto"/>
        <w:rPr>
          <w:rFonts w:hAnsi="宋体" w:cs="宋体"/>
          <w:color w:val="auto"/>
          <w:sz w:val="24"/>
          <w:szCs w:val="24"/>
          <w:highlight w:val="none"/>
        </w:rPr>
      </w:pPr>
    </w:p>
    <w:p w14:paraId="59FE7B5D">
      <w:pPr>
        <w:snapToGrid w:val="0"/>
        <w:spacing w:before="50" w:after="50" w:line="360" w:lineRule="auto"/>
        <w:ind w:right="-817" w:rightChars="-389"/>
        <w:rPr>
          <w:rFonts w:ascii="宋体" w:hAnsi="宋体" w:cs="宋体"/>
          <w:color w:val="auto"/>
          <w:sz w:val="24"/>
          <w:highlight w:val="none"/>
        </w:rPr>
      </w:pPr>
    </w:p>
    <w:p w14:paraId="12CF8D88">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3F755FB7">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14E5C9FF">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4E82FF4C">
      <w:pPr>
        <w:snapToGrid w:val="0"/>
        <w:spacing w:before="156" w:beforeLines="50" w:after="50"/>
        <w:ind w:left="142"/>
        <w:jc w:val="center"/>
        <w:rPr>
          <w:rFonts w:ascii="宋体" w:hAnsi="宋体" w:cs="宋体"/>
          <w:color w:val="auto"/>
          <w:sz w:val="24"/>
          <w:highlight w:val="none"/>
        </w:rPr>
      </w:pPr>
      <w:r>
        <w:rPr>
          <w:rFonts w:hint="eastAsia" w:ascii="宋体" w:hAnsi="宋体" w:cs="宋体"/>
          <w:color w:val="auto"/>
          <w:sz w:val="24"/>
          <w:highlight w:val="none"/>
        </w:rPr>
        <w:br w:type="page"/>
      </w:r>
    </w:p>
    <w:p w14:paraId="1288E147">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项目技术方案（格式自拟）</w:t>
      </w:r>
    </w:p>
    <w:p w14:paraId="28370C07">
      <w:pPr>
        <w:snapToGrid w:val="0"/>
        <w:spacing w:line="360" w:lineRule="auto"/>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(由磋商人根据《项目服务需求》和评定成交的标准自行填写，格式自拟)</w:t>
      </w:r>
    </w:p>
    <w:p w14:paraId="62D53AF6">
      <w:pPr>
        <w:snapToGrid w:val="0"/>
        <w:spacing w:line="360" w:lineRule="auto"/>
        <w:ind w:firstLine="4935" w:firstLineChars="2350"/>
        <w:rPr>
          <w:rFonts w:ascii="宋体" w:hAnsi="宋体" w:cs="宋体"/>
          <w:color w:val="auto"/>
          <w:szCs w:val="21"/>
          <w:highlight w:val="none"/>
        </w:rPr>
      </w:pPr>
    </w:p>
    <w:p w14:paraId="2943E814">
      <w:pPr>
        <w:snapToGrid w:val="0"/>
        <w:spacing w:before="156" w:beforeLines="50" w:after="50"/>
        <w:ind w:left="142"/>
        <w:jc w:val="center"/>
        <w:rPr>
          <w:rFonts w:ascii="宋体" w:hAnsi="宋体" w:cs="宋体"/>
          <w:b/>
          <w:color w:val="auto"/>
          <w:sz w:val="32"/>
          <w:szCs w:val="32"/>
          <w:highlight w:val="none"/>
        </w:rPr>
      </w:pPr>
    </w:p>
    <w:p w14:paraId="2D2B12A5">
      <w:pPr>
        <w:snapToGrid w:val="0"/>
        <w:spacing w:before="156" w:beforeLines="50" w:line="360" w:lineRule="auto"/>
        <w:ind w:right="480" w:firstLine="3967" w:firstLineChars="1653"/>
        <w:rPr>
          <w:rFonts w:ascii="宋体" w:hAnsi="宋体" w:cs="宋体"/>
          <w:color w:val="auto"/>
          <w:sz w:val="24"/>
          <w:highlight w:val="none"/>
        </w:rPr>
      </w:pPr>
    </w:p>
    <w:p w14:paraId="68771370">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3B31A52D">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7A9A81FE">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479D487">
      <w:pPr>
        <w:snapToGrid w:val="0"/>
        <w:spacing w:before="156" w:beforeLines="50" w:after="50"/>
        <w:jc w:val="center"/>
        <w:rPr>
          <w:rFonts w:ascii="宋体" w:hAnsi="宋体" w:cs="宋体"/>
          <w:b/>
          <w:bCs/>
          <w:color w:val="auto"/>
          <w:sz w:val="36"/>
          <w:szCs w:val="36"/>
          <w:highlight w:val="none"/>
        </w:rPr>
      </w:pPr>
    </w:p>
    <w:p w14:paraId="20DAFE36">
      <w:pPr>
        <w:snapToGrid w:val="0"/>
        <w:spacing w:before="156" w:beforeLines="50" w:after="50"/>
        <w:jc w:val="center"/>
        <w:rPr>
          <w:rFonts w:ascii="宋体" w:hAnsi="宋体" w:cs="宋体"/>
          <w:b/>
          <w:bCs/>
          <w:color w:val="auto"/>
          <w:sz w:val="36"/>
          <w:szCs w:val="36"/>
          <w:highlight w:val="none"/>
        </w:rPr>
      </w:pPr>
    </w:p>
    <w:p w14:paraId="0C5715D1">
      <w:pPr>
        <w:snapToGrid w:val="0"/>
        <w:spacing w:before="156" w:beforeLines="50" w:after="50"/>
        <w:jc w:val="center"/>
        <w:rPr>
          <w:rFonts w:ascii="宋体" w:hAnsi="宋体" w:cs="宋体"/>
          <w:b/>
          <w:bCs/>
          <w:color w:val="auto"/>
          <w:sz w:val="36"/>
          <w:szCs w:val="36"/>
          <w:highlight w:val="none"/>
        </w:rPr>
      </w:pPr>
    </w:p>
    <w:p w14:paraId="03ECAF3F">
      <w:pPr>
        <w:snapToGrid w:val="0"/>
        <w:spacing w:before="156" w:beforeLines="50" w:after="50"/>
        <w:jc w:val="center"/>
        <w:rPr>
          <w:rFonts w:ascii="宋体" w:hAnsi="宋体" w:cs="宋体"/>
          <w:b/>
          <w:bCs/>
          <w:color w:val="auto"/>
          <w:sz w:val="36"/>
          <w:szCs w:val="36"/>
          <w:highlight w:val="none"/>
        </w:rPr>
      </w:pPr>
    </w:p>
    <w:p w14:paraId="2A0BBFD5">
      <w:pPr>
        <w:snapToGrid w:val="0"/>
        <w:spacing w:before="156" w:beforeLines="50" w:after="50"/>
        <w:jc w:val="center"/>
        <w:rPr>
          <w:rFonts w:ascii="宋体" w:hAnsi="宋体" w:cs="宋体"/>
          <w:b/>
          <w:bCs/>
          <w:color w:val="auto"/>
          <w:sz w:val="36"/>
          <w:szCs w:val="36"/>
          <w:highlight w:val="none"/>
        </w:rPr>
      </w:pPr>
    </w:p>
    <w:p w14:paraId="1FCB0DD8">
      <w:pPr>
        <w:snapToGrid w:val="0"/>
        <w:spacing w:before="156" w:beforeLines="50" w:after="50"/>
        <w:jc w:val="center"/>
        <w:rPr>
          <w:rFonts w:ascii="宋体" w:hAnsi="宋体" w:cs="宋体"/>
          <w:b/>
          <w:bCs/>
          <w:color w:val="auto"/>
          <w:sz w:val="36"/>
          <w:szCs w:val="36"/>
          <w:highlight w:val="none"/>
        </w:rPr>
      </w:pPr>
    </w:p>
    <w:p w14:paraId="4BDEEB8A">
      <w:pPr>
        <w:snapToGrid w:val="0"/>
        <w:spacing w:before="156" w:beforeLines="50" w:after="50"/>
        <w:jc w:val="center"/>
        <w:rPr>
          <w:rFonts w:ascii="宋体" w:hAnsi="宋体" w:cs="宋体"/>
          <w:b/>
          <w:bCs/>
          <w:color w:val="auto"/>
          <w:sz w:val="36"/>
          <w:szCs w:val="36"/>
          <w:highlight w:val="none"/>
        </w:rPr>
      </w:pPr>
    </w:p>
    <w:p w14:paraId="41FEDF54">
      <w:pPr>
        <w:snapToGrid w:val="0"/>
        <w:spacing w:before="156" w:beforeLines="50" w:after="50"/>
        <w:jc w:val="center"/>
        <w:rPr>
          <w:rFonts w:ascii="宋体" w:hAnsi="宋体" w:cs="宋体"/>
          <w:b/>
          <w:bCs/>
          <w:color w:val="auto"/>
          <w:sz w:val="36"/>
          <w:szCs w:val="36"/>
          <w:highlight w:val="none"/>
        </w:rPr>
      </w:pPr>
    </w:p>
    <w:p w14:paraId="69CA7D51">
      <w:pPr>
        <w:snapToGrid w:val="0"/>
        <w:spacing w:before="156" w:beforeLines="50" w:after="50"/>
        <w:jc w:val="center"/>
        <w:rPr>
          <w:rFonts w:ascii="宋体" w:hAnsi="宋体" w:cs="宋体"/>
          <w:b/>
          <w:bCs/>
          <w:color w:val="auto"/>
          <w:sz w:val="36"/>
          <w:szCs w:val="36"/>
          <w:highlight w:val="none"/>
        </w:rPr>
      </w:pPr>
    </w:p>
    <w:p w14:paraId="18368A88">
      <w:pPr>
        <w:snapToGrid w:val="0"/>
        <w:spacing w:before="156" w:beforeLines="50" w:after="50"/>
        <w:jc w:val="center"/>
        <w:rPr>
          <w:rFonts w:ascii="宋体" w:hAnsi="宋体" w:cs="宋体"/>
          <w:b/>
          <w:bCs/>
          <w:color w:val="auto"/>
          <w:sz w:val="36"/>
          <w:szCs w:val="36"/>
          <w:highlight w:val="none"/>
        </w:rPr>
      </w:pPr>
    </w:p>
    <w:p w14:paraId="7F6D51C7">
      <w:pPr>
        <w:snapToGrid w:val="0"/>
        <w:spacing w:before="156" w:beforeLines="50" w:after="50"/>
        <w:jc w:val="center"/>
        <w:rPr>
          <w:rFonts w:ascii="宋体" w:hAnsi="宋体" w:cs="宋体"/>
          <w:b/>
          <w:bCs/>
          <w:color w:val="auto"/>
          <w:sz w:val="36"/>
          <w:szCs w:val="36"/>
          <w:highlight w:val="none"/>
        </w:rPr>
      </w:pPr>
    </w:p>
    <w:p w14:paraId="1FE73F59">
      <w:pPr>
        <w:snapToGrid w:val="0"/>
        <w:spacing w:before="156" w:beforeLines="50" w:after="50"/>
        <w:jc w:val="center"/>
        <w:rPr>
          <w:rFonts w:ascii="宋体" w:hAnsi="宋体" w:cs="宋体"/>
          <w:b/>
          <w:bCs/>
          <w:color w:val="auto"/>
          <w:sz w:val="36"/>
          <w:szCs w:val="36"/>
          <w:highlight w:val="none"/>
        </w:rPr>
      </w:pPr>
    </w:p>
    <w:p w14:paraId="0575FD25">
      <w:pPr>
        <w:snapToGrid w:val="0"/>
        <w:spacing w:before="156" w:beforeLines="50" w:after="50"/>
        <w:jc w:val="center"/>
        <w:rPr>
          <w:rFonts w:ascii="宋体" w:hAnsi="宋体" w:cs="宋体"/>
          <w:b/>
          <w:bCs/>
          <w:color w:val="auto"/>
          <w:sz w:val="36"/>
          <w:szCs w:val="36"/>
          <w:highlight w:val="none"/>
        </w:rPr>
      </w:pPr>
    </w:p>
    <w:p w14:paraId="1A7D36AE">
      <w:pPr>
        <w:snapToGrid w:val="0"/>
        <w:spacing w:before="156" w:beforeLines="50" w:after="50"/>
        <w:jc w:val="center"/>
        <w:rPr>
          <w:rFonts w:ascii="宋体" w:hAnsi="宋体" w:cs="宋体"/>
          <w:b/>
          <w:bCs/>
          <w:color w:val="auto"/>
          <w:sz w:val="36"/>
          <w:szCs w:val="36"/>
          <w:highlight w:val="none"/>
        </w:rPr>
      </w:pPr>
    </w:p>
    <w:p w14:paraId="50A77A91">
      <w:pPr>
        <w:snapToGrid w:val="0"/>
        <w:spacing w:before="156" w:beforeLines="50" w:after="50"/>
        <w:jc w:val="center"/>
        <w:rPr>
          <w:rFonts w:ascii="宋体" w:hAnsi="宋体" w:cs="宋体"/>
          <w:b/>
          <w:bCs/>
          <w:color w:val="auto"/>
          <w:sz w:val="36"/>
          <w:szCs w:val="36"/>
          <w:highlight w:val="none"/>
        </w:rPr>
      </w:pPr>
    </w:p>
    <w:p w14:paraId="4415DFD9">
      <w:pPr>
        <w:snapToGrid w:val="0"/>
        <w:spacing w:before="156" w:beforeLines="50" w:after="50"/>
        <w:jc w:val="center"/>
        <w:rPr>
          <w:rFonts w:ascii="宋体" w:hAnsi="宋体" w:cs="宋体"/>
          <w:b/>
          <w:bCs/>
          <w:color w:val="auto"/>
          <w:sz w:val="36"/>
          <w:szCs w:val="36"/>
          <w:highlight w:val="none"/>
        </w:rPr>
      </w:pPr>
    </w:p>
    <w:p w14:paraId="16395323">
      <w:pPr>
        <w:snapToGrid w:val="0"/>
        <w:spacing w:before="156" w:beforeLines="50" w:after="50"/>
        <w:jc w:val="center"/>
        <w:rPr>
          <w:rFonts w:ascii="宋体" w:hAnsi="宋体" w:cs="宋体"/>
          <w:b/>
          <w:bCs/>
          <w:color w:val="auto"/>
          <w:sz w:val="36"/>
          <w:szCs w:val="36"/>
          <w:highlight w:val="none"/>
        </w:rPr>
      </w:pPr>
    </w:p>
    <w:p w14:paraId="30372E3F">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项目实施人员一览表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1476"/>
        <w:gridCol w:w="1130"/>
        <w:gridCol w:w="1699"/>
        <w:gridCol w:w="1959"/>
        <w:gridCol w:w="1908"/>
      </w:tblGrid>
      <w:tr w14:paraId="26A7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FF5FA22">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476" w:type="dxa"/>
            <w:vAlign w:val="center"/>
          </w:tcPr>
          <w:p w14:paraId="2A89BCA0">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姓名</w:t>
            </w:r>
          </w:p>
        </w:tc>
        <w:tc>
          <w:tcPr>
            <w:tcW w:w="1130" w:type="dxa"/>
            <w:vAlign w:val="center"/>
          </w:tcPr>
          <w:p w14:paraId="01160A8A">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职称</w:t>
            </w:r>
          </w:p>
        </w:tc>
        <w:tc>
          <w:tcPr>
            <w:tcW w:w="1699" w:type="dxa"/>
            <w:vAlign w:val="center"/>
          </w:tcPr>
          <w:p w14:paraId="459EFD64">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专业资格</w:t>
            </w:r>
          </w:p>
        </w:tc>
        <w:tc>
          <w:tcPr>
            <w:tcW w:w="1959" w:type="dxa"/>
            <w:vAlign w:val="center"/>
          </w:tcPr>
          <w:p w14:paraId="7F6BB413">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担任职务/岗位</w:t>
            </w:r>
          </w:p>
        </w:tc>
        <w:tc>
          <w:tcPr>
            <w:tcW w:w="1908" w:type="dxa"/>
            <w:vAlign w:val="center"/>
          </w:tcPr>
          <w:p w14:paraId="61E844E5">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171E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50C5A9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76" w:type="dxa"/>
            <w:vAlign w:val="center"/>
          </w:tcPr>
          <w:p w14:paraId="15FB841C">
            <w:pPr>
              <w:spacing w:line="0" w:lineRule="atLeast"/>
              <w:jc w:val="center"/>
              <w:rPr>
                <w:rFonts w:ascii="宋体" w:hAnsi="宋体" w:cs="宋体"/>
                <w:bCs/>
                <w:color w:val="auto"/>
                <w:szCs w:val="21"/>
                <w:highlight w:val="none"/>
              </w:rPr>
            </w:pPr>
          </w:p>
        </w:tc>
        <w:tc>
          <w:tcPr>
            <w:tcW w:w="1130" w:type="dxa"/>
            <w:vAlign w:val="center"/>
          </w:tcPr>
          <w:p w14:paraId="6D07DD51">
            <w:pPr>
              <w:spacing w:line="0" w:lineRule="atLeast"/>
              <w:jc w:val="center"/>
              <w:rPr>
                <w:rFonts w:ascii="宋体" w:hAnsi="宋体" w:cs="宋体"/>
                <w:bCs/>
                <w:color w:val="auto"/>
                <w:szCs w:val="21"/>
                <w:highlight w:val="none"/>
              </w:rPr>
            </w:pPr>
          </w:p>
        </w:tc>
        <w:tc>
          <w:tcPr>
            <w:tcW w:w="1699" w:type="dxa"/>
            <w:vAlign w:val="center"/>
          </w:tcPr>
          <w:p w14:paraId="61C260A3">
            <w:pPr>
              <w:spacing w:line="0" w:lineRule="atLeast"/>
              <w:jc w:val="center"/>
              <w:rPr>
                <w:rFonts w:ascii="宋体" w:hAnsi="宋体" w:cs="宋体"/>
                <w:bCs/>
                <w:color w:val="auto"/>
                <w:szCs w:val="21"/>
                <w:highlight w:val="none"/>
              </w:rPr>
            </w:pPr>
          </w:p>
        </w:tc>
        <w:tc>
          <w:tcPr>
            <w:tcW w:w="1959" w:type="dxa"/>
            <w:vAlign w:val="center"/>
          </w:tcPr>
          <w:p w14:paraId="790242ED">
            <w:pPr>
              <w:spacing w:line="0" w:lineRule="atLeast"/>
              <w:jc w:val="center"/>
              <w:rPr>
                <w:rFonts w:ascii="宋体" w:hAnsi="宋体" w:cs="宋体"/>
                <w:bCs/>
                <w:color w:val="auto"/>
                <w:szCs w:val="21"/>
                <w:highlight w:val="none"/>
              </w:rPr>
            </w:pPr>
          </w:p>
        </w:tc>
        <w:tc>
          <w:tcPr>
            <w:tcW w:w="1908" w:type="dxa"/>
            <w:vAlign w:val="center"/>
          </w:tcPr>
          <w:p w14:paraId="66CE65A6">
            <w:pPr>
              <w:spacing w:line="0" w:lineRule="atLeast"/>
              <w:jc w:val="center"/>
              <w:rPr>
                <w:rFonts w:ascii="宋体" w:hAnsi="宋体" w:cs="宋体"/>
                <w:bCs/>
                <w:color w:val="auto"/>
                <w:szCs w:val="21"/>
                <w:highlight w:val="none"/>
              </w:rPr>
            </w:pPr>
          </w:p>
        </w:tc>
      </w:tr>
      <w:tr w14:paraId="52FA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052F3A0C">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476" w:type="dxa"/>
            <w:vAlign w:val="center"/>
          </w:tcPr>
          <w:p w14:paraId="7FD29C2C">
            <w:pPr>
              <w:spacing w:line="0" w:lineRule="atLeast"/>
              <w:jc w:val="center"/>
              <w:rPr>
                <w:rFonts w:ascii="宋体" w:hAnsi="宋体" w:cs="宋体"/>
                <w:bCs/>
                <w:color w:val="auto"/>
                <w:szCs w:val="21"/>
                <w:highlight w:val="none"/>
              </w:rPr>
            </w:pPr>
          </w:p>
        </w:tc>
        <w:tc>
          <w:tcPr>
            <w:tcW w:w="1130" w:type="dxa"/>
            <w:vAlign w:val="center"/>
          </w:tcPr>
          <w:p w14:paraId="4DBE3E91">
            <w:pPr>
              <w:spacing w:line="0" w:lineRule="atLeast"/>
              <w:jc w:val="center"/>
              <w:rPr>
                <w:rFonts w:ascii="宋体" w:hAnsi="宋体" w:cs="宋体"/>
                <w:bCs/>
                <w:color w:val="auto"/>
                <w:szCs w:val="21"/>
                <w:highlight w:val="none"/>
              </w:rPr>
            </w:pPr>
          </w:p>
        </w:tc>
        <w:tc>
          <w:tcPr>
            <w:tcW w:w="1699" w:type="dxa"/>
            <w:vAlign w:val="center"/>
          </w:tcPr>
          <w:p w14:paraId="167320D0">
            <w:pPr>
              <w:spacing w:line="0" w:lineRule="atLeast"/>
              <w:jc w:val="center"/>
              <w:rPr>
                <w:rFonts w:ascii="宋体" w:hAnsi="宋体" w:cs="宋体"/>
                <w:bCs/>
                <w:color w:val="auto"/>
                <w:szCs w:val="21"/>
                <w:highlight w:val="none"/>
              </w:rPr>
            </w:pPr>
          </w:p>
        </w:tc>
        <w:tc>
          <w:tcPr>
            <w:tcW w:w="1959" w:type="dxa"/>
            <w:vAlign w:val="center"/>
          </w:tcPr>
          <w:p w14:paraId="59BE80C3">
            <w:pPr>
              <w:spacing w:line="0" w:lineRule="atLeast"/>
              <w:jc w:val="center"/>
              <w:rPr>
                <w:rFonts w:ascii="宋体" w:hAnsi="宋体" w:cs="宋体"/>
                <w:bCs/>
                <w:color w:val="auto"/>
                <w:szCs w:val="21"/>
                <w:highlight w:val="none"/>
              </w:rPr>
            </w:pPr>
          </w:p>
        </w:tc>
        <w:tc>
          <w:tcPr>
            <w:tcW w:w="1908" w:type="dxa"/>
            <w:vAlign w:val="center"/>
          </w:tcPr>
          <w:p w14:paraId="7C5E9154">
            <w:pPr>
              <w:spacing w:line="0" w:lineRule="atLeast"/>
              <w:jc w:val="center"/>
              <w:rPr>
                <w:rFonts w:ascii="宋体" w:hAnsi="宋体" w:cs="宋体"/>
                <w:bCs/>
                <w:color w:val="auto"/>
                <w:szCs w:val="21"/>
                <w:highlight w:val="none"/>
              </w:rPr>
            </w:pPr>
          </w:p>
        </w:tc>
      </w:tr>
      <w:tr w14:paraId="4E8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633EBB75">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476" w:type="dxa"/>
            <w:vAlign w:val="center"/>
          </w:tcPr>
          <w:p w14:paraId="78AA6558">
            <w:pPr>
              <w:spacing w:line="0" w:lineRule="atLeast"/>
              <w:jc w:val="center"/>
              <w:rPr>
                <w:rFonts w:ascii="宋体" w:hAnsi="宋体" w:cs="宋体"/>
                <w:bCs/>
                <w:color w:val="auto"/>
                <w:szCs w:val="21"/>
                <w:highlight w:val="none"/>
              </w:rPr>
            </w:pPr>
          </w:p>
        </w:tc>
        <w:tc>
          <w:tcPr>
            <w:tcW w:w="1130" w:type="dxa"/>
            <w:vAlign w:val="center"/>
          </w:tcPr>
          <w:p w14:paraId="3BFEEC1C">
            <w:pPr>
              <w:spacing w:line="0" w:lineRule="atLeast"/>
              <w:jc w:val="center"/>
              <w:rPr>
                <w:rFonts w:ascii="宋体" w:hAnsi="宋体" w:cs="宋体"/>
                <w:bCs/>
                <w:color w:val="auto"/>
                <w:szCs w:val="21"/>
                <w:highlight w:val="none"/>
              </w:rPr>
            </w:pPr>
          </w:p>
        </w:tc>
        <w:tc>
          <w:tcPr>
            <w:tcW w:w="1699" w:type="dxa"/>
            <w:vAlign w:val="center"/>
          </w:tcPr>
          <w:p w14:paraId="3DB4D3DA">
            <w:pPr>
              <w:spacing w:line="0" w:lineRule="atLeast"/>
              <w:jc w:val="center"/>
              <w:rPr>
                <w:rFonts w:ascii="宋体" w:hAnsi="宋体" w:cs="宋体"/>
                <w:bCs/>
                <w:color w:val="auto"/>
                <w:szCs w:val="21"/>
                <w:highlight w:val="none"/>
              </w:rPr>
            </w:pPr>
          </w:p>
        </w:tc>
        <w:tc>
          <w:tcPr>
            <w:tcW w:w="1959" w:type="dxa"/>
            <w:vAlign w:val="center"/>
          </w:tcPr>
          <w:p w14:paraId="5D301854">
            <w:pPr>
              <w:spacing w:line="0" w:lineRule="atLeast"/>
              <w:jc w:val="center"/>
              <w:rPr>
                <w:rFonts w:ascii="宋体" w:hAnsi="宋体" w:cs="宋体"/>
                <w:bCs/>
                <w:color w:val="auto"/>
                <w:szCs w:val="21"/>
                <w:highlight w:val="none"/>
              </w:rPr>
            </w:pPr>
          </w:p>
        </w:tc>
        <w:tc>
          <w:tcPr>
            <w:tcW w:w="1908" w:type="dxa"/>
            <w:vAlign w:val="center"/>
          </w:tcPr>
          <w:p w14:paraId="192228F5">
            <w:pPr>
              <w:spacing w:line="0" w:lineRule="atLeast"/>
              <w:jc w:val="center"/>
              <w:rPr>
                <w:rFonts w:ascii="宋体" w:hAnsi="宋体" w:cs="宋体"/>
                <w:bCs/>
                <w:color w:val="auto"/>
                <w:szCs w:val="21"/>
                <w:highlight w:val="none"/>
              </w:rPr>
            </w:pPr>
          </w:p>
        </w:tc>
      </w:tr>
      <w:tr w14:paraId="5E1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E89BA7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476" w:type="dxa"/>
            <w:vAlign w:val="center"/>
          </w:tcPr>
          <w:p w14:paraId="24C29F00">
            <w:pPr>
              <w:spacing w:line="0" w:lineRule="atLeast"/>
              <w:jc w:val="center"/>
              <w:rPr>
                <w:rFonts w:ascii="宋体" w:hAnsi="宋体" w:cs="宋体"/>
                <w:bCs/>
                <w:color w:val="auto"/>
                <w:szCs w:val="21"/>
                <w:highlight w:val="none"/>
              </w:rPr>
            </w:pPr>
          </w:p>
        </w:tc>
        <w:tc>
          <w:tcPr>
            <w:tcW w:w="1130" w:type="dxa"/>
            <w:vAlign w:val="center"/>
          </w:tcPr>
          <w:p w14:paraId="595A98F1">
            <w:pPr>
              <w:spacing w:line="0" w:lineRule="atLeast"/>
              <w:jc w:val="center"/>
              <w:rPr>
                <w:rFonts w:ascii="宋体" w:hAnsi="宋体" w:cs="宋体"/>
                <w:bCs/>
                <w:color w:val="auto"/>
                <w:szCs w:val="21"/>
                <w:highlight w:val="none"/>
              </w:rPr>
            </w:pPr>
          </w:p>
        </w:tc>
        <w:tc>
          <w:tcPr>
            <w:tcW w:w="1699" w:type="dxa"/>
            <w:vAlign w:val="center"/>
          </w:tcPr>
          <w:p w14:paraId="03AA3C82">
            <w:pPr>
              <w:spacing w:line="0" w:lineRule="atLeast"/>
              <w:jc w:val="center"/>
              <w:rPr>
                <w:rFonts w:ascii="宋体" w:hAnsi="宋体" w:cs="宋体"/>
                <w:bCs/>
                <w:color w:val="auto"/>
                <w:szCs w:val="21"/>
                <w:highlight w:val="none"/>
              </w:rPr>
            </w:pPr>
          </w:p>
        </w:tc>
        <w:tc>
          <w:tcPr>
            <w:tcW w:w="1959" w:type="dxa"/>
            <w:vAlign w:val="center"/>
          </w:tcPr>
          <w:p w14:paraId="34DFEA5E">
            <w:pPr>
              <w:spacing w:line="0" w:lineRule="atLeast"/>
              <w:jc w:val="center"/>
              <w:rPr>
                <w:rFonts w:ascii="宋体" w:hAnsi="宋体" w:cs="宋体"/>
                <w:bCs/>
                <w:color w:val="auto"/>
                <w:szCs w:val="21"/>
                <w:highlight w:val="none"/>
              </w:rPr>
            </w:pPr>
          </w:p>
        </w:tc>
        <w:tc>
          <w:tcPr>
            <w:tcW w:w="1908" w:type="dxa"/>
            <w:vAlign w:val="center"/>
          </w:tcPr>
          <w:p w14:paraId="0D2EF942">
            <w:pPr>
              <w:spacing w:line="0" w:lineRule="atLeast"/>
              <w:jc w:val="center"/>
              <w:rPr>
                <w:rFonts w:ascii="宋体" w:hAnsi="宋体" w:cs="宋体"/>
                <w:bCs/>
                <w:color w:val="auto"/>
                <w:szCs w:val="21"/>
                <w:highlight w:val="none"/>
              </w:rPr>
            </w:pPr>
          </w:p>
        </w:tc>
      </w:tr>
      <w:tr w14:paraId="53E6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DC974EA">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476" w:type="dxa"/>
            <w:vAlign w:val="center"/>
          </w:tcPr>
          <w:p w14:paraId="54970135">
            <w:pPr>
              <w:spacing w:line="0" w:lineRule="atLeast"/>
              <w:jc w:val="center"/>
              <w:rPr>
                <w:rFonts w:ascii="宋体" w:hAnsi="宋体" w:cs="宋体"/>
                <w:bCs/>
                <w:color w:val="auto"/>
                <w:szCs w:val="21"/>
                <w:highlight w:val="none"/>
              </w:rPr>
            </w:pPr>
          </w:p>
        </w:tc>
        <w:tc>
          <w:tcPr>
            <w:tcW w:w="1130" w:type="dxa"/>
            <w:vAlign w:val="center"/>
          </w:tcPr>
          <w:p w14:paraId="4016440B">
            <w:pPr>
              <w:spacing w:line="0" w:lineRule="atLeast"/>
              <w:jc w:val="center"/>
              <w:rPr>
                <w:rFonts w:ascii="宋体" w:hAnsi="宋体" w:cs="宋体"/>
                <w:bCs/>
                <w:color w:val="auto"/>
                <w:szCs w:val="21"/>
                <w:highlight w:val="none"/>
              </w:rPr>
            </w:pPr>
          </w:p>
        </w:tc>
        <w:tc>
          <w:tcPr>
            <w:tcW w:w="1699" w:type="dxa"/>
            <w:vAlign w:val="center"/>
          </w:tcPr>
          <w:p w14:paraId="313D2227">
            <w:pPr>
              <w:spacing w:line="0" w:lineRule="atLeast"/>
              <w:jc w:val="center"/>
              <w:rPr>
                <w:rFonts w:ascii="宋体" w:hAnsi="宋体" w:cs="宋体"/>
                <w:bCs/>
                <w:color w:val="auto"/>
                <w:szCs w:val="21"/>
                <w:highlight w:val="none"/>
              </w:rPr>
            </w:pPr>
          </w:p>
        </w:tc>
        <w:tc>
          <w:tcPr>
            <w:tcW w:w="1959" w:type="dxa"/>
            <w:vAlign w:val="center"/>
          </w:tcPr>
          <w:p w14:paraId="115408F0">
            <w:pPr>
              <w:spacing w:line="0" w:lineRule="atLeast"/>
              <w:jc w:val="center"/>
              <w:rPr>
                <w:rFonts w:ascii="宋体" w:hAnsi="宋体" w:cs="宋体"/>
                <w:bCs/>
                <w:color w:val="auto"/>
                <w:szCs w:val="21"/>
                <w:highlight w:val="none"/>
              </w:rPr>
            </w:pPr>
          </w:p>
        </w:tc>
        <w:tc>
          <w:tcPr>
            <w:tcW w:w="1908" w:type="dxa"/>
            <w:vAlign w:val="center"/>
          </w:tcPr>
          <w:p w14:paraId="5FE79FB3">
            <w:pPr>
              <w:spacing w:line="0" w:lineRule="atLeast"/>
              <w:jc w:val="center"/>
              <w:rPr>
                <w:rFonts w:ascii="宋体" w:hAnsi="宋体" w:cs="宋体"/>
                <w:bCs/>
                <w:color w:val="auto"/>
                <w:szCs w:val="21"/>
                <w:highlight w:val="none"/>
              </w:rPr>
            </w:pPr>
          </w:p>
        </w:tc>
      </w:tr>
      <w:tr w14:paraId="44A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CA02F5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476" w:type="dxa"/>
            <w:vAlign w:val="center"/>
          </w:tcPr>
          <w:p w14:paraId="38446C34">
            <w:pPr>
              <w:spacing w:line="0" w:lineRule="atLeast"/>
              <w:jc w:val="center"/>
              <w:rPr>
                <w:rFonts w:ascii="宋体" w:hAnsi="宋体" w:cs="宋体"/>
                <w:bCs/>
                <w:color w:val="auto"/>
                <w:szCs w:val="21"/>
                <w:highlight w:val="none"/>
              </w:rPr>
            </w:pPr>
          </w:p>
        </w:tc>
        <w:tc>
          <w:tcPr>
            <w:tcW w:w="1130" w:type="dxa"/>
            <w:vAlign w:val="center"/>
          </w:tcPr>
          <w:p w14:paraId="33F7D3B1">
            <w:pPr>
              <w:spacing w:line="0" w:lineRule="atLeast"/>
              <w:jc w:val="center"/>
              <w:rPr>
                <w:rFonts w:ascii="宋体" w:hAnsi="宋体" w:cs="宋体"/>
                <w:bCs/>
                <w:color w:val="auto"/>
                <w:szCs w:val="21"/>
                <w:highlight w:val="none"/>
              </w:rPr>
            </w:pPr>
          </w:p>
        </w:tc>
        <w:tc>
          <w:tcPr>
            <w:tcW w:w="1699" w:type="dxa"/>
            <w:vAlign w:val="center"/>
          </w:tcPr>
          <w:p w14:paraId="45810E1C">
            <w:pPr>
              <w:spacing w:line="0" w:lineRule="atLeast"/>
              <w:jc w:val="center"/>
              <w:rPr>
                <w:rFonts w:ascii="宋体" w:hAnsi="宋体" w:cs="宋体"/>
                <w:bCs/>
                <w:color w:val="auto"/>
                <w:szCs w:val="21"/>
                <w:highlight w:val="none"/>
              </w:rPr>
            </w:pPr>
          </w:p>
        </w:tc>
        <w:tc>
          <w:tcPr>
            <w:tcW w:w="1959" w:type="dxa"/>
            <w:vAlign w:val="center"/>
          </w:tcPr>
          <w:p w14:paraId="030715BA">
            <w:pPr>
              <w:spacing w:line="0" w:lineRule="atLeast"/>
              <w:jc w:val="center"/>
              <w:rPr>
                <w:rFonts w:ascii="宋体" w:hAnsi="宋体" w:cs="宋体"/>
                <w:bCs/>
                <w:color w:val="auto"/>
                <w:szCs w:val="21"/>
                <w:highlight w:val="none"/>
              </w:rPr>
            </w:pPr>
          </w:p>
        </w:tc>
        <w:tc>
          <w:tcPr>
            <w:tcW w:w="1908" w:type="dxa"/>
            <w:vAlign w:val="center"/>
          </w:tcPr>
          <w:p w14:paraId="41D933F9">
            <w:pPr>
              <w:spacing w:line="0" w:lineRule="atLeast"/>
              <w:jc w:val="center"/>
              <w:rPr>
                <w:rFonts w:ascii="宋体" w:hAnsi="宋体" w:cs="宋体"/>
                <w:bCs/>
                <w:color w:val="auto"/>
                <w:szCs w:val="21"/>
                <w:highlight w:val="none"/>
              </w:rPr>
            </w:pPr>
          </w:p>
        </w:tc>
      </w:tr>
      <w:tr w14:paraId="2943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0778F369">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476" w:type="dxa"/>
            <w:vAlign w:val="center"/>
          </w:tcPr>
          <w:p w14:paraId="461EC7EE">
            <w:pPr>
              <w:spacing w:line="0" w:lineRule="atLeast"/>
              <w:jc w:val="center"/>
              <w:rPr>
                <w:rFonts w:ascii="宋体" w:hAnsi="宋体" w:cs="宋体"/>
                <w:bCs/>
                <w:color w:val="auto"/>
                <w:szCs w:val="21"/>
                <w:highlight w:val="none"/>
              </w:rPr>
            </w:pPr>
          </w:p>
        </w:tc>
        <w:tc>
          <w:tcPr>
            <w:tcW w:w="1130" w:type="dxa"/>
            <w:vAlign w:val="center"/>
          </w:tcPr>
          <w:p w14:paraId="25E8C590">
            <w:pPr>
              <w:spacing w:line="0" w:lineRule="atLeast"/>
              <w:jc w:val="center"/>
              <w:rPr>
                <w:rFonts w:ascii="宋体" w:hAnsi="宋体" w:cs="宋体"/>
                <w:bCs/>
                <w:color w:val="auto"/>
                <w:szCs w:val="21"/>
                <w:highlight w:val="none"/>
              </w:rPr>
            </w:pPr>
          </w:p>
        </w:tc>
        <w:tc>
          <w:tcPr>
            <w:tcW w:w="1699" w:type="dxa"/>
            <w:vAlign w:val="center"/>
          </w:tcPr>
          <w:p w14:paraId="6DEFDF74">
            <w:pPr>
              <w:spacing w:line="0" w:lineRule="atLeast"/>
              <w:jc w:val="center"/>
              <w:rPr>
                <w:rFonts w:ascii="宋体" w:hAnsi="宋体" w:cs="宋体"/>
                <w:bCs/>
                <w:color w:val="auto"/>
                <w:szCs w:val="21"/>
                <w:highlight w:val="none"/>
              </w:rPr>
            </w:pPr>
          </w:p>
        </w:tc>
        <w:tc>
          <w:tcPr>
            <w:tcW w:w="1959" w:type="dxa"/>
            <w:vAlign w:val="center"/>
          </w:tcPr>
          <w:p w14:paraId="265C638C">
            <w:pPr>
              <w:spacing w:line="0" w:lineRule="atLeast"/>
              <w:jc w:val="center"/>
              <w:rPr>
                <w:rFonts w:ascii="宋体" w:hAnsi="宋体" w:cs="宋体"/>
                <w:bCs/>
                <w:color w:val="auto"/>
                <w:szCs w:val="21"/>
                <w:highlight w:val="none"/>
              </w:rPr>
            </w:pPr>
          </w:p>
        </w:tc>
        <w:tc>
          <w:tcPr>
            <w:tcW w:w="1908" w:type="dxa"/>
            <w:vAlign w:val="center"/>
          </w:tcPr>
          <w:p w14:paraId="4163B5D2">
            <w:pPr>
              <w:spacing w:line="0" w:lineRule="atLeast"/>
              <w:jc w:val="center"/>
              <w:rPr>
                <w:rFonts w:ascii="宋体" w:hAnsi="宋体" w:cs="宋体"/>
                <w:bCs/>
                <w:color w:val="auto"/>
                <w:szCs w:val="21"/>
                <w:highlight w:val="none"/>
              </w:rPr>
            </w:pPr>
          </w:p>
        </w:tc>
      </w:tr>
      <w:tr w14:paraId="75F1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0BCEDB59">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476" w:type="dxa"/>
            <w:vAlign w:val="center"/>
          </w:tcPr>
          <w:p w14:paraId="19C192E4">
            <w:pPr>
              <w:spacing w:line="0" w:lineRule="atLeast"/>
              <w:jc w:val="center"/>
              <w:rPr>
                <w:rFonts w:ascii="宋体" w:hAnsi="宋体" w:cs="宋体"/>
                <w:bCs/>
                <w:color w:val="auto"/>
                <w:szCs w:val="21"/>
                <w:highlight w:val="none"/>
              </w:rPr>
            </w:pPr>
          </w:p>
        </w:tc>
        <w:tc>
          <w:tcPr>
            <w:tcW w:w="1130" w:type="dxa"/>
            <w:vAlign w:val="center"/>
          </w:tcPr>
          <w:p w14:paraId="322CF917">
            <w:pPr>
              <w:spacing w:line="0" w:lineRule="atLeast"/>
              <w:jc w:val="center"/>
              <w:rPr>
                <w:rFonts w:ascii="宋体" w:hAnsi="宋体" w:cs="宋体"/>
                <w:bCs/>
                <w:color w:val="auto"/>
                <w:szCs w:val="21"/>
                <w:highlight w:val="none"/>
              </w:rPr>
            </w:pPr>
          </w:p>
        </w:tc>
        <w:tc>
          <w:tcPr>
            <w:tcW w:w="1699" w:type="dxa"/>
            <w:vAlign w:val="center"/>
          </w:tcPr>
          <w:p w14:paraId="025CAD0B">
            <w:pPr>
              <w:spacing w:line="0" w:lineRule="atLeast"/>
              <w:jc w:val="center"/>
              <w:rPr>
                <w:rFonts w:ascii="宋体" w:hAnsi="宋体" w:cs="宋体"/>
                <w:bCs/>
                <w:color w:val="auto"/>
                <w:szCs w:val="21"/>
                <w:highlight w:val="none"/>
              </w:rPr>
            </w:pPr>
          </w:p>
        </w:tc>
        <w:tc>
          <w:tcPr>
            <w:tcW w:w="1959" w:type="dxa"/>
            <w:vAlign w:val="center"/>
          </w:tcPr>
          <w:p w14:paraId="38672FA0">
            <w:pPr>
              <w:spacing w:line="0" w:lineRule="atLeast"/>
              <w:jc w:val="center"/>
              <w:rPr>
                <w:rFonts w:ascii="宋体" w:hAnsi="宋体" w:cs="宋体"/>
                <w:bCs/>
                <w:color w:val="auto"/>
                <w:szCs w:val="21"/>
                <w:highlight w:val="none"/>
              </w:rPr>
            </w:pPr>
          </w:p>
        </w:tc>
        <w:tc>
          <w:tcPr>
            <w:tcW w:w="1908" w:type="dxa"/>
            <w:vAlign w:val="center"/>
          </w:tcPr>
          <w:p w14:paraId="699AE28B">
            <w:pPr>
              <w:spacing w:line="0" w:lineRule="atLeast"/>
              <w:jc w:val="center"/>
              <w:rPr>
                <w:rFonts w:ascii="宋体" w:hAnsi="宋体" w:cs="宋体"/>
                <w:bCs/>
                <w:color w:val="auto"/>
                <w:szCs w:val="21"/>
                <w:highlight w:val="none"/>
              </w:rPr>
            </w:pPr>
          </w:p>
        </w:tc>
      </w:tr>
      <w:tr w14:paraId="6EF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5B79508E">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476" w:type="dxa"/>
            <w:vAlign w:val="center"/>
          </w:tcPr>
          <w:p w14:paraId="581436F8">
            <w:pPr>
              <w:spacing w:line="0" w:lineRule="atLeast"/>
              <w:jc w:val="center"/>
              <w:rPr>
                <w:rFonts w:ascii="宋体" w:hAnsi="宋体" w:cs="宋体"/>
                <w:bCs/>
                <w:color w:val="auto"/>
                <w:szCs w:val="21"/>
                <w:highlight w:val="none"/>
              </w:rPr>
            </w:pPr>
          </w:p>
        </w:tc>
        <w:tc>
          <w:tcPr>
            <w:tcW w:w="1130" w:type="dxa"/>
            <w:vAlign w:val="center"/>
          </w:tcPr>
          <w:p w14:paraId="1A8DAAB4">
            <w:pPr>
              <w:spacing w:line="0" w:lineRule="atLeast"/>
              <w:jc w:val="center"/>
              <w:rPr>
                <w:rFonts w:ascii="宋体" w:hAnsi="宋体" w:cs="宋体"/>
                <w:bCs/>
                <w:color w:val="auto"/>
                <w:szCs w:val="21"/>
                <w:highlight w:val="none"/>
              </w:rPr>
            </w:pPr>
          </w:p>
        </w:tc>
        <w:tc>
          <w:tcPr>
            <w:tcW w:w="1699" w:type="dxa"/>
            <w:vAlign w:val="center"/>
          </w:tcPr>
          <w:p w14:paraId="47DA705D">
            <w:pPr>
              <w:spacing w:line="0" w:lineRule="atLeast"/>
              <w:jc w:val="center"/>
              <w:rPr>
                <w:rFonts w:ascii="宋体" w:hAnsi="宋体" w:cs="宋体"/>
                <w:bCs/>
                <w:color w:val="auto"/>
                <w:szCs w:val="21"/>
                <w:highlight w:val="none"/>
              </w:rPr>
            </w:pPr>
          </w:p>
        </w:tc>
        <w:tc>
          <w:tcPr>
            <w:tcW w:w="1959" w:type="dxa"/>
            <w:vAlign w:val="center"/>
          </w:tcPr>
          <w:p w14:paraId="221589BC">
            <w:pPr>
              <w:spacing w:line="0" w:lineRule="atLeast"/>
              <w:jc w:val="center"/>
              <w:rPr>
                <w:rFonts w:ascii="宋体" w:hAnsi="宋体" w:cs="宋体"/>
                <w:bCs/>
                <w:color w:val="auto"/>
                <w:szCs w:val="21"/>
                <w:highlight w:val="none"/>
              </w:rPr>
            </w:pPr>
          </w:p>
        </w:tc>
        <w:tc>
          <w:tcPr>
            <w:tcW w:w="1908" w:type="dxa"/>
            <w:vAlign w:val="center"/>
          </w:tcPr>
          <w:p w14:paraId="2F51C4FE">
            <w:pPr>
              <w:spacing w:line="0" w:lineRule="atLeast"/>
              <w:jc w:val="center"/>
              <w:rPr>
                <w:rFonts w:ascii="宋体" w:hAnsi="宋体" w:cs="宋体"/>
                <w:bCs/>
                <w:color w:val="auto"/>
                <w:szCs w:val="21"/>
                <w:highlight w:val="none"/>
              </w:rPr>
            </w:pPr>
          </w:p>
        </w:tc>
      </w:tr>
      <w:tr w14:paraId="0AB0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B94F75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476" w:type="dxa"/>
            <w:vAlign w:val="center"/>
          </w:tcPr>
          <w:p w14:paraId="2CE0DABC">
            <w:pPr>
              <w:spacing w:line="0" w:lineRule="atLeast"/>
              <w:jc w:val="center"/>
              <w:rPr>
                <w:rFonts w:ascii="宋体" w:hAnsi="宋体" w:cs="宋体"/>
                <w:bCs/>
                <w:color w:val="auto"/>
                <w:szCs w:val="21"/>
                <w:highlight w:val="none"/>
              </w:rPr>
            </w:pPr>
          </w:p>
        </w:tc>
        <w:tc>
          <w:tcPr>
            <w:tcW w:w="1130" w:type="dxa"/>
            <w:vAlign w:val="center"/>
          </w:tcPr>
          <w:p w14:paraId="49341EE3">
            <w:pPr>
              <w:spacing w:line="0" w:lineRule="atLeast"/>
              <w:jc w:val="center"/>
              <w:rPr>
                <w:rFonts w:ascii="宋体" w:hAnsi="宋体" w:cs="宋体"/>
                <w:bCs/>
                <w:color w:val="auto"/>
                <w:szCs w:val="21"/>
                <w:highlight w:val="none"/>
              </w:rPr>
            </w:pPr>
          </w:p>
        </w:tc>
        <w:tc>
          <w:tcPr>
            <w:tcW w:w="1699" w:type="dxa"/>
            <w:vAlign w:val="center"/>
          </w:tcPr>
          <w:p w14:paraId="6F91B3F8">
            <w:pPr>
              <w:spacing w:line="0" w:lineRule="atLeast"/>
              <w:jc w:val="center"/>
              <w:rPr>
                <w:rFonts w:ascii="宋体" w:hAnsi="宋体" w:cs="宋体"/>
                <w:bCs/>
                <w:color w:val="auto"/>
                <w:szCs w:val="21"/>
                <w:highlight w:val="none"/>
              </w:rPr>
            </w:pPr>
          </w:p>
        </w:tc>
        <w:tc>
          <w:tcPr>
            <w:tcW w:w="1959" w:type="dxa"/>
            <w:vAlign w:val="center"/>
          </w:tcPr>
          <w:p w14:paraId="43B21233">
            <w:pPr>
              <w:spacing w:line="0" w:lineRule="atLeast"/>
              <w:jc w:val="center"/>
              <w:rPr>
                <w:rFonts w:ascii="宋体" w:hAnsi="宋体" w:cs="宋体"/>
                <w:bCs/>
                <w:color w:val="auto"/>
                <w:szCs w:val="21"/>
                <w:highlight w:val="none"/>
              </w:rPr>
            </w:pPr>
          </w:p>
        </w:tc>
        <w:tc>
          <w:tcPr>
            <w:tcW w:w="1908" w:type="dxa"/>
            <w:vAlign w:val="center"/>
          </w:tcPr>
          <w:p w14:paraId="217117F4">
            <w:pPr>
              <w:spacing w:line="0" w:lineRule="atLeast"/>
              <w:jc w:val="center"/>
              <w:rPr>
                <w:rFonts w:ascii="宋体" w:hAnsi="宋体" w:cs="宋体"/>
                <w:bCs/>
                <w:color w:val="auto"/>
                <w:szCs w:val="21"/>
                <w:highlight w:val="none"/>
              </w:rPr>
            </w:pPr>
          </w:p>
        </w:tc>
      </w:tr>
      <w:tr w14:paraId="6B59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38198DF0">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476" w:type="dxa"/>
            <w:vAlign w:val="center"/>
          </w:tcPr>
          <w:p w14:paraId="4766FF9D">
            <w:pPr>
              <w:spacing w:line="0" w:lineRule="atLeast"/>
              <w:jc w:val="center"/>
              <w:rPr>
                <w:rFonts w:ascii="宋体" w:hAnsi="宋体" w:cs="宋体"/>
                <w:bCs/>
                <w:color w:val="auto"/>
                <w:szCs w:val="21"/>
                <w:highlight w:val="none"/>
              </w:rPr>
            </w:pPr>
          </w:p>
        </w:tc>
        <w:tc>
          <w:tcPr>
            <w:tcW w:w="1130" w:type="dxa"/>
            <w:vAlign w:val="center"/>
          </w:tcPr>
          <w:p w14:paraId="5568F231">
            <w:pPr>
              <w:spacing w:line="0" w:lineRule="atLeast"/>
              <w:jc w:val="center"/>
              <w:rPr>
                <w:rFonts w:ascii="宋体" w:hAnsi="宋体" w:cs="宋体"/>
                <w:bCs/>
                <w:color w:val="auto"/>
                <w:szCs w:val="21"/>
                <w:highlight w:val="none"/>
              </w:rPr>
            </w:pPr>
          </w:p>
        </w:tc>
        <w:tc>
          <w:tcPr>
            <w:tcW w:w="1699" w:type="dxa"/>
            <w:vAlign w:val="center"/>
          </w:tcPr>
          <w:p w14:paraId="36201892">
            <w:pPr>
              <w:spacing w:line="0" w:lineRule="atLeast"/>
              <w:jc w:val="center"/>
              <w:rPr>
                <w:rFonts w:ascii="宋体" w:hAnsi="宋体" w:cs="宋体"/>
                <w:bCs/>
                <w:color w:val="auto"/>
                <w:szCs w:val="21"/>
                <w:highlight w:val="none"/>
              </w:rPr>
            </w:pPr>
          </w:p>
        </w:tc>
        <w:tc>
          <w:tcPr>
            <w:tcW w:w="1959" w:type="dxa"/>
            <w:vAlign w:val="center"/>
          </w:tcPr>
          <w:p w14:paraId="085B598E">
            <w:pPr>
              <w:spacing w:line="0" w:lineRule="atLeast"/>
              <w:jc w:val="center"/>
              <w:rPr>
                <w:rFonts w:ascii="宋体" w:hAnsi="宋体" w:cs="宋体"/>
                <w:bCs/>
                <w:color w:val="auto"/>
                <w:szCs w:val="21"/>
                <w:highlight w:val="none"/>
              </w:rPr>
            </w:pPr>
          </w:p>
        </w:tc>
        <w:tc>
          <w:tcPr>
            <w:tcW w:w="1908" w:type="dxa"/>
            <w:vAlign w:val="center"/>
          </w:tcPr>
          <w:p w14:paraId="33875F20">
            <w:pPr>
              <w:spacing w:line="0" w:lineRule="atLeast"/>
              <w:jc w:val="center"/>
              <w:rPr>
                <w:rFonts w:ascii="宋体" w:hAnsi="宋体" w:cs="宋体"/>
                <w:bCs/>
                <w:color w:val="auto"/>
                <w:szCs w:val="21"/>
                <w:highlight w:val="none"/>
              </w:rPr>
            </w:pPr>
          </w:p>
        </w:tc>
      </w:tr>
      <w:tr w14:paraId="5926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tcPr>
          <w:p w14:paraId="52675D75">
            <w:pPr>
              <w:spacing w:line="0" w:lineRule="atLeast"/>
              <w:jc w:val="center"/>
              <w:rPr>
                <w:rFonts w:ascii="宋体" w:hAnsi="宋体" w:cs="宋体"/>
                <w:bCs/>
                <w:color w:val="auto"/>
                <w:szCs w:val="21"/>
                <w:highlight w:val="none"/>
              </w:rPr>
            </w:pPr>
          </w:p>
          <w:p w14:paraId="627944D1">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476" w:type="dxa"/>
            <w:vAlign w:val="center"/>
          </w:tcPr>
          <w:p w14:paraId="6151F4AB">
            <w:pPr>
              <w:spacing w:line="0" w:lineRule="atLeast"/>
              <w:jc w:val="center"/>
              <w:rPr>
                <w:rFonts w:ascii="宋体" w:hAnsi="宋体" w:cs="宋体"/>
                <w:bCs/>
                <w:color w:val="auto"/>
                <w:szCs w:val="21"/>
                <w:highlight w:val="none"/>
              </w:rPr>
            </w:pPr>
          </w:p>
        </w:tc>
        <w:tc>
          <w:tcPr>
            <w:tcW w:w="1130" w:type="dxa"/>
            <w:vAlign w:val="center"/>
          </w:tcPr>
          <w:p w14:paraId="20242FCC">
            <w:pPr>
              <w:spacing w:line="0" w:lineRule="atLeast"/>
              <w:jc w:val="center"/>
              <w:rPr>
                <w:rFonts w:ascii="宋体" w:hAnsi="宋体" w:cs="宋体"/>
                <w:bCs/>
                <w:color w:val="auto"/>
                <w:szCs w:val="21"/>
                <w:highlight w:val="none"/>
              </w:rPr>
            </w:pPr>
          </w:p>
        </w:tc>
        <w:tc>
          <w:tcPr>
            <w:tcW w:w="1699" w:type="dxa"/>
            <w:vAlign w:val="center"/>
          </w:tcPr>
          <w:p w14:paraId="274A5943">
            <w:pPr>
              <w:spacing w:line="0" w:lineRule="atLeast"/>
              <w:jc w:val="center"/>
              <w:rPr>
                <w:rFonts w:ascii="宋体" w:hAnsi="宋体" w:cs="宋体"/>
                <w:bCs/>
                <w:color w:val="auto"/>
                <w:szCs w:val="21"/>
                <w:highlight w:val="none"/>
              </w:rPr>
            </w:pPr>
          </w:p>
        </w:tc>
        <w:tc>
          <w:tcPr>
            <w:tcW w:w="1959" w:type="dxa"/>
            <w:vAlign w:val="center"/>
          </w:tcPr>
          <w:p w14:paraId="6A4F22FF">
            <w:pPr>
              <w:spacing w:line="0" w:lineRule="atLeast"/>
              <w:jc w:val="center"/>
              <w:rPr>
                <w:rFonts w:ascii="宋体" w:hAnsi="宋体" w:cs="宋体"/>
                <w:bCs/>
                <w:color w:val="auto"/>
                <w:szCs w:val="21"/>
                <w:highlight w:val="none"/>
              </w:rPr>
            </w:pPr>
          </w:p>
        </w:tc>
        <w:tc>
          <w:tcPr>
            <w:tcW w:w="1908" w:type="dxa"/>
            <w:vAlign w:val="center"/>
          </w:tcPr>
          <w:p w14:paraId="78FE91A9">
            <w:pPr>
              <w:spacing w:line="0" w:lineRule="atLeast"/>
              <w:jc w:val="center"/>
              <w:rPr>
                <w:rFonts w:ascii="宋体" w:hAnsi="宋体" w:cs="宋体"/>
                <w:bCs/>
                <w:color w:val="auto"/>
                <w:szCs w:val="21"/>
                <w:highlight w:val="none"/>
              </w:rPr>
            </w:pPr>
          </w:p>
        </w:tc>
      </w:tr>
      <w:tr w14:paraId="3B2D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7128D8E">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476" w:type="dxa"/>
            <w:vAlign w:val="center"/>
          </w:tcPr>
          <w:p w14:paraId="2DCD59E7">
            <w:pPr>
              <w:spacing w:line="0" w:lineRule="atLeast"/>
              <w:jc w:val="center"/>
              <w:rPr>
                <w:rFonts w:ascii="宋体" w:hAnsi="宋体" w:cs="宋体"/>
                <w:bCs/>
                <w:color w:val="auto"/>
                <w:szCs w:val="21"/>
                <w:highlight w:val="none"/>
              </w:rPr>
            </w:pPr>
          </w:p>
        </w:tc>
        <w:tc>
          <w:tcPr>
            <w:tcW w:w="1130" w:type="dxa"/>
            <w:vAlign w:val="center"/>
          </w:tcPr>
          <w:p w14:paraId="39FEBA2D">
            <w:pPr>
              <w:spacing w:line="0" w:lineRule="atLeast"/>
              <w:jc w:val="center"/>
              <w:rPr>
                <w:rFonts w:ascii="宋体" w:hAnsi="宋体" w:cs="宋体"/>
                <w:bCs/>
                <w:color w:val="auto"/>
                <w:szCs w:val="21"/>
                <w:highlight w:val="none"/>
              </w:rPr>
            </w:pPr>
          </w:p>
        </w:tc>
        <w:tc>
          <w:tcPr>
            <w:tcW w:w="1699" w:type="dxa"/>
            <w:vAlign w:val="center"/>
          </w:tcPr>
          <w:p w14:paraId="7C392038">
            <w:pPr>
              <w:spacing w:line="0" w:lineRule="atLeast"/>
              <w:jc w:val="center"/>
              <w:rPr>
                <w:rFonts w:ascii="宋体" w:hAnsi="宋体" w:cs="宋体"/>
                <w:bCs/>
                <w:color w:val="auto"/>
                <w:szCs w:val="21"/>
                <w:highlight w:val="none"/>
              </w:rPr>
            </w:pPr>
          </w:p>
        </w:tc>
        <w:tc>
          <w:tcPr>
            <w:tcW w:w="1959" w:type="dxa"/>
            <w:vAlign w:val="center"/>
          </w:tcPr>
          <w:p w14:paraId="3695F650">
            <w:pPr>
              <w:spacing w:line="0" w:lineRule="atLeast"/>
              <w:jc w:val="center"/>
              <w:rPr>
                <w:rFonts w:ascii="宋体" w:hAnsi="宋体" w:cs="宋体"/>
                <w:bCs/>
                <w:color w:val="auto"/>
                <w:szCs w:val="21"/>
                <w:highlight w:val="none"/>
              </w:rPr>
            </w:pPr>
          </w:p>
        </w:tc>
        <w:tc>
          <w:tcPr>
            <w:tcW w:w="1908" w:type="dxa"/>
            <w:vAlign w:val="center"/>
          </w:tcPr>
          <w:p w14:paraId="3217192E">
            <w:pPr>
              <w:spacing w:line="0" w:lineRule="atLeast"/>
              <w:jc w:val="center"/>
              <w:rPr>
                <w:rFonts w:ascii="宋体" w:hAnsi="宋体" w:cs="宋体"/>
                <w:bCs/>
                <w:color w:val="auto"/>
                <w:szCs w:val="21"/>
                <w:highlight w:val="none"/>
              </w:rPr>
            </w:pPr>
          </w:p>
        </w:tc>
      </w:tr>
      <w:tr w14:paraId="2A50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65AF95B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476" w:type="dxa"/>
            <w:vAlign w:val="center"/>
          </w:tcPr>
          <w:p w14:paraId="1C0ED117">
            <w:pPr>
              <w:spacing w:line="0" w:lineRule="atLeast"/>
              <w:jc w:val="center"/>
              <w:rPr>
                <w:rFonts w:ascii="宋体" w:hAnsi="宋体" w:cs="宋体"/>
                <w:bCs/>
                <w:color w:val="auto"/>
                <w:szCs w:val="21"/>
                <w:highlight w:val="none"/>
              </w:rPr>
            </w:pPr>
          </w:p>
        </w:tc>
        <w:tc>
          <w:tcPr>
            <w:tcW w:w="1130" w:type="dxa"/>
            <w:vAlign w:val="center"/>
          </w:tcPr>
          <w:p w14:paraId="7F7829C1">
            <w:pPr>
              <w:spacing w:line="0" w:lineRule="atLeast"/>
              <w:jc w:val="center"/>
              <w:rPr>
                <w:rFonts w:ascii="宋体" w:hAnsi="宋体" w:cs="宋体"/>
                <w:bCs/>
                <w:color w:val="auto"/>
                <w:szCs w:val="21"/>
                <w:highlight w:val="none"/>
              </w:rPr>
            </w:pPr>
          </w:p>
        </w:tc>
        <w:tc>
          <w:tcPr>
            <w:tcW w:w="1699" w:type="dxa"/>
            <w:vAlign w:val="center"/>
          </w:tcPr>
          <w:p w14:paraId="3FE6DF7A">
            <w:pPr>
              <w:spacing w:line="0" w:lineRule="atLeast"/>
              <w:jc w:val="center"/>
              <w:rPr>
                <w:rFonts w:ascii="宋体" w:hAnsi="宋体" w:cs="宋体"/>
                <w:bCs/>
                <w:color w:val="auto"/>
                <w:szCs w:val="21"/>
                <w:highlight w:val="none"/>
              </w:rPr>
            </w:pPr>
          </w:p>
        </w:tc>
        <w:tc>
          <w:tcPr>
            <w:tcW w:w="1959" w:type="dxa"/>
            <w:vAlign w:val="center"/>
          </w:tcPr>
          <w:p w14:paraId="171829A8">
            <w:pPr>
              <w:spacing w:line="0" w:lineRule="atLeast"/>
              <w:jc w:val="center"/>
              <w:rPr>
                <w:rFonts w:ascii="宋体" w:hAnsi="宋体" w:cs="宋体"/>
                <w:bCs/>
                <w:color w:val="auto"/>
                <w:szCs w:val="21"/>
                <w:highlight w:val="none"/>
              </w:rPr>
            </w:pPr>
          </w:p>
        </w:tc>
        <w:tc>
          <w:tcPr>
            <w:tcW w:w="1908" w:type="dxa"/>
            <w:vAlign w:val="center"/>
          </w:tcPr>
          <w:p w14:paraId="1502DFCF">
            <w:pPr>
              <w:spacing w:line="0" w:lineRule="atLeast"/>
              <w:jc w:val="center"/>
              <w:rPr>
                <w:rFonts w:ascii="宋体" w:hAnsi="宋体" w:cs="宋体"/>
                <w:bCs/>
                <w:color w:val="auto"/>
                <w:szCs w:val="21"/>
                <w:highlight w:val="none"/>
              </w:rPr>
            </w:pPr>
          </w:p>
        </w:tc>
      </w:tr>
    </w:tbl>
    <w:p w14:paraId="795BC990">
      <w:pPr>
        <w:spacing w:line="400" w:lineRule="exact"/>
        <w:rPr>
          <w:rFonts w:ascii="宋体" w:hAnsi="宋体" w:cs="宋体"/>
          <w:color w:val="auto"/>
          <w:szCs w:val="21"/>
          <w:highlight w:val="none"/>
        </w:rPr>
      </w:pPr>
    </w:p>
    <w:p w14:paraId="51509E4F">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注：1.在填写时，如本表格不适合磋商单位的实际情况，</w:t>
      </w:r>
      <w:r>
        <w:rPr>
          <w:rFonts w:hint="eastAsia" w:ascii="宋体" w:hAnsi="宋体" w:cs="宋体"/>
          <w:b/>
          <w:bCs/>
          <w:color w:val="auto"/>
          <w:sz w:val="24"/>
          <w:highlight w:val="none"/>
        </w:rPr>
        <w:t>可根据本表格式自行制表填写。</w:t>
      </w:r>
    </w:p>
    <w:p w14:paraId="1CD6266D">
      <w:pPr>
        <w:snapToGrid w:val="0"/>
        <w:spacing w:before="156" w:beforeLines="50" w:after="50"/>
        <w:jc w:val="left"/>
        <w:rPr>
          <w:rFonts w:ascii="宋体" w:hAnsi="宋体" w:cs="宋体"/>
          <w:b/>
          <w:bCs/>
          <w:color w:val="auto"/>
          <w:sz w:val="24"/>
          <w:highlight w:val="none"/>
        </w:rPr>
      </w:pPr>
      <w:r>
        <w:rPr>
          <w:rFonts w:hint="eastAsia" w:ascii="宋体" w:hAnsi="宋体" w:cs="宋体"/>
          <w:color w:val="auto"/>
          <w:sz w:val="24"/>
          <w:highlight w:val="none"/>
        </w:rPr>
        <w:t>2.提供人员的身份证、职称证或资格证复件件及由社保经办机构出具的供应商为拟投入人员2025年1月至2025年3月内任意1个月交纳的社保证明复印件</w:t>
      </w:r>
    </w:p>
    <w:p w14:paraId="5E8CE263">
      <w:pPr>
        <w:snapToGrid w:val="0"/>
        <w:spacing w:before="156" w:beforeLines="50" w:after="50"/>
        <w:jc w:val="center"/>
        <w:rPr>
          <w:rFonts w:ascii="宋体" w:hAnsi="宋体" w:cs="宋体"/>
          <w:b/>
          <w:bCs/>
          <w:color w:val="auto"/>
          <w:sz w:val="36"/>
          <w:szCs w:val="36"/>
          <w:highlight w:val="none"/>
        </w:rPr>
      </w:pPr>
    </w:p>
    <w:p w14:paraId="5DD5D20B">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EE7E748">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51A09597">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8979301">
      <w:pPr>
        <w:snapToGrid w:val="0"/>
        <w:spacing w:before="156" w:beforeLines="50" w:after="50"/>
        <w:jc w:val="center"/>
        <w:rPr>
          <w:rFonts w:ascii="宋体" w:hAnsi="宋体" w:cs="宋体"/>
          <w:b/>
          <w:bCs/>
          <w:color w:val="auto"/>
          <w:sz w:val="36"/>
          <w:szCs w:val="36"/>
          <w:highlight w:val="none"/>
        </w:rPr>
      </w:pPr>
    </w:p>
    <w:p w14:paraId="09EF5C57">
      <w:pPr>
        <w:snapToGrid w:val="0"/>
        <w:spacing w:before="156" w:beforeLines="50" w:after="50"/>
        <w:rPr>
          <w:rFonts w:ascii="宋体" w:hAnsi="宋体" w:cs="宋体"/>
          <w:color w:val="auto"/>
          <w:sz w:val="24"/>
          <w:highlight w:val="none"/>
        </w:rPr>
      </w:pPr>
    </w:p>
    <w:p w14:paraId="3EB63A51">
      <w:pPr>
        <w:snapToGrid w:val="0"/>
        <w:spacing w:before="156" w:beforeLines="50" w:after="50"/>
        <w:ind w:left="142"/>
        <w:jc w:val="center"/>
        <w:rPr>
          <w:rFonts w:ascii="宋体" w:hAnsi="宋体" w:cs="宋体"/>
          <w:b/>
          <w:color w:val="auto"/>
          <w:sz w:val="44"/>
          <w:szCs w:val="44"/>
          <w:highlight w:val="none"/>
        </w:rPr>
      </w:pPr>
    </w:p>
    <w:p w14:paraId="6FE7FE8E">
      <w:pPr>
        <w:spacing w:before="68" w:line="220" w:lineRule="auto"/>
        <w:ind w:left="136"/>
        <w:jc w:val="center"/>
        <w:rPr>
          <w:rFonts w:ascii="宋体" w:hAnsi="宋体" w:cs="宋体"/>
          <w:color w:val="auto"/>
          <w:sz w:val="24"/>
          <w:highlight w:val="none"/>
        </w:rPr>
      </w:pPr>
      <w:r>
        <w:rPr>
          <w:rFonts w:hint="eastAsia" w:ascii="宋体" w:hAnsi="宋体" w:cs="宋体"/>
          <w:color w:val="auto"/>
          <w:spacing w:val="-1"/>
          <w:sz w:val="24"/>
          <w:highlight w:val="none"/>
        </w:rPr>
        <w:t>近年供应商的业绩证明</w:t>
      </w:r>
    </w:p>
    <w:p w14:paraId="321D7237">
      <w:pPr>
        <w:spacing w:before="141" w:line="221" w:lineRule="auto"/>
        <w:jc w:val="center"/>
        <w:rPr>
          <w:rFonts w:ascii="宋体" w:hAnsi="宋体" w:cs="宋体"/>
          <w:color w:val="auto"/>
          <w:sz w:val="24"/>
          <w:highlight w:val="none"/>
        </w:rPr>
      </w:pPr>
      <w:r>
        <w:rPr>
          <w:rFonts w:hint="eastAsia" w:ascii="宋体" w:hAnsi="宋体" w:cs="宋体"/>
          <w:color w:val="auto"/>
          <w:sz w:val="24"/>
          <w:highlight w:val="none"/>
          <w14:textOutline w14:w="3835" w14:cap="flat" w14:cmpd="sng" w14:algn="ctr">
            <w14:solidFill>
              <w14:srgbClr w14:val="000000"/>
            </w14:solidFill>
            <w14:prstDash w14:val="solid"/>
            <w14:miter w14:val="0"/>
          </w14:textOutline>
        </w:rPr>
        <w:t>业绩一览表</w:t>
      </w:r>
    </w:p>
    <w:p w14:paraId="2EB37FB9">
      <w:pPr>
        <w:spacing w:line="112" w:lineRule="exact"/>
        <w:rPr>
          <w:rFonts w:ascii="宋体" w:hAnsi="宋体" w:cs="宋体"/>
          <w:color w:val="auto"/>
          <w:sz w:val="24"/>
          <w:highlight w:val="none"/>
        </w:rPr>
      </w:pPr>
    </w:p>
    <w:tbl>
      <w:tblPr>
        <w:tblStyle w:val="74"/>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2945"/>
        <w:gridCol w:w="1691"/>
        <w:gridCol w:w="3032"/>
      </w:tblGrid>
      <w:tr w14:paraId="1CCE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402" w:type="dxa"/>
          </w:tcPr>
          <w:p w14:paraId="3737AA95">
            <w:pPr>
              <w:spacing w:line="253" w:lineRule="auto"/>
              <w:jc w:val="center"/>
              <w:rPr>
                <w:rFonts w:ascii="宋体" w:hAnsi="宋体" w:cs="宋体"/>
                <w:color w:val="auto"/>
                <w:sz w:val="24"/>
                <w:highlight w:val="none"/>
              </w:rPr>
            </w:pPr>
          </w:p>
          <w:p w14:paraId="6D97EFD1">
            <w:pPr>
              <w:spacing w:line="254" w:lineRule="auto"/>
              <w:jc w:val="center"/>
              <w:rPr>
                <w:rFonts w:ascii="宋体" w:hAnsi="宋体" w:cs="宋体"/>
                <w:color w:val="auto"/>
                <w:sz w:val="24"/>
                <w:highlight w:val="none"/>
              </w:rPr>
            </w:pPr>
          </w:p>
          <w:p w14:paraId="78D80F05">
            <w:pPr>
              <w:spacing w:line="220" w:lineRule="auto"/>
              <w:jc w:val="center"/>
              <w:rPr>
                <w:rFonts w:ascii="宋体" w:hAnsi="宋体" w:cs="宋体"/>
                <w:color w:val="auto"/>
                <w:sz w:val="24"/>
                <w:highlight w:val="none"/>
              </w:rPr>
            </w:pPr>
            <w:r>
              <w:rPr>
                <w:rFonts w:hint="eastAsia" w:ascii="宋体" w:hAnsi="宋体" w:cs="宋体"/>
                <w:color w:val="auto"/>
                <w:spacing w:val="-1"/>
                <w:sz w:val="24"/>
                <w:highlight w:val="none"/>
              </w:rPr>
              <w:t>采购单位</w:t>
            </w:r>
            <w:r>
              <w:rPr>
                <w:rFonts w:hint="eastAsia" w:ascii="宋体" w:hAnsi="宋体" w:cs="宋体"/>
                <w:color w:val="auto"/>
                <w:sz w:val="24"/>
                <w:highlight w:val="none"/>
              </w:rPr>
              <w:t>名称</w:t>
            </w:r>
          </w:p>
        </w:tc>
        <w:tc>
          <w:tcPr>
            <w:tcW w:w="2945" w:type="dxa"/>
          </w:tcPr>
          <w:p w14:paraId="13C53AD0">
            <w:pPr>
              <w:spacing w:line="387" w:lineRule="auto"/>
              <w:jc w:val="center"/>
              <w:rPr>
                <w:rFonts w:ascii="宋体" w:hAnsi="宋体" w:cs="宋体"/>
                <w:color w:val="auto"/>
                <w:sz w:val="24"/>
                <w:highlight w:val="none"/>
              </w:rPr>
            </w:pPr>
          </w:p>
          <w:p w14:paraId="106E0B1E">
            <w:pPr>
              <w:spacing w:line="228" w:lineRule="auto"/>
              <w:jc w:val="center"/>
              <w:rPr>
                <w:rFonts w:ascii="宋体" w:hAnsi="宋体" w:cs="宋体"/>
                <w:color w:val="auto"/>
                <w:sz w:val="24"/>
                <w:highlight w:val="none"/>
              </w:rPr>
            </w:pPr>
            <w:r>
              <w:rPr>
                <w:rFonts w:hint="eastAsia" w:ascii="宋体" w:hAnsi="宋体" w:cs="宋体"/>
                <w:color w:val="auto"/>
                <w:spacing w:val="-2"/>
                <w:sz w:val="24"/>
                <w:highlight w:val="none"/>
              </w:rPr>
              <w:t>项</w:t>
            </w:r>
            <w:r>
              <w:rPr>
                <w:rFonts w:hint="eastAsia" w:ascii="宋体" w:hAnsi="宋体" w:cs="宋体"/>
                <w:color w:val="auto"/>
                <w:spacing w:val="-1"/>
                <w:sz w:val="24"/>
                <w:highlight w:val="none"/>
              </w:rPr>
              <w:t>目名称或服务内</w:t>
            </w:r>
            <w:r>
              <w:rPr>
                <w:rFonts w:hint="eastAsia" w:ascii="宋体" w:hAnsi="宋体" w:cs="宋体"/>
                <w:color w:val="auto"/>
                <w:sz w:val="24"/>
                <w:highlight w:val="none"/>
              </w:rPr>
              <w:t>容</w:t>
            </w:r>
          </w:p>
        </w:tc>
        <w:tc>
          <w:tcPr>
            <w:tcW w:w="1691" w:type="dxa"/>
          </w:tcPr>
          <w:p w14:paraId="68AD314C">
            <w:pPr>
              <w:spacing w:line="388" w:lineRule="auto"/>
              <w:jc w:val="center"/>
              <w:rPr>
                <w:rFonts w:ascii="宋体" w:hAnsi="宋体" w:cs="宋体"/>
                <w:color w:val="auto"/>
                <w:sz w:val="24"/>
                <w:highlight w:val="none"/>
              </w:rPr>
            </w:pPr>
          </w:p>
          <w:p w14:paraId="574921AD">
            <w:pPr>
              <w:spacing w:line="211" w:lineRule="auto"/>
              <w:jc w:val="center"/>
              <w:rPr>
                <w:rFonts w:ascii="宋体" w:hAnsi="宋体" w:cs="宋体"/>
                <w:color w:val="auto"/>
                <w:sz w:val="24"/>
                <w:highlight w:val="none"/>
              </w:rPr>
            </w:pPr>
            <w:r>
              <w:rPr>
                <w:rFonts w:hint="eastAsia" w:ascii="宋体" w:hAnsi="宋体" w:cs="宋体"/>
                <w:color w:val="auto"/>
                <w:spacing w:val="-2"/>
                <w:sz w:val="24"/>
                <w:highlight w:val="none"/>
              </w:rPr>
              <w:t>合同</w:t>
            </w:r>
            <w:r>
              <w:rPr>
                <w:rFonts w:hint="eastAsia" w:ascii="宋体" w:hAnsi="宋体" w:cs="宋体"/>
                <w:color w:val="auto"/>
                <w:spacing w:val="-1"/>
                <w:sz w:val="24"/>
                <w:highlight w:val="none"/>
              </w:rPr>
              <w:t>总价</w:t>
            </w:r>
          </w:p>
          <w:p w14:paraId="2B9DC75C">
            <w:pPr>
              <w:spacing w:line="221" w:lineRule="auto"/>
              <w:jc w:val="center"/>
              <w:rPr>
                <w:rFonts w:ascii="宋体" w:hAnsi="宋体" w:cs="宋体"/>
                <w:color w:val="auto"/>
                <w:sz w:val="24"/>
                <w:highlight w:val="none"/>
              </w:rPr>
            </w:pP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元)</w:t>
            </w:r>
          </w:p>
        </w:tc>
        <w:tc>
          <w:tcPr>
            <w:tcW w:w="3032" w:type="dxa"/>
          </w:tcPr>
          <w:p w14:paraId="5EF5E245">
            <w:pPr>
              <w:spacing w:line="374" w:lineRule="auto"/>
              <w:jc w:val="center"/>
              <w:rPr>
                <w:rFonts w:ascii="宋体" w:hAnsi="宋体" w:cs="宋体"/>
                <w:color w:val="auto"/>
                <w:sz w:val="24"/>
                <w:highlight w:val="none"/>
              </w:rPr>
            </w:pPr>
          </w:p>
          <w:p w14:paraId="19F666B5">
            <w:pPr>
              <w:spacing w:line="256" w:lineRule="auto"/>
              <w:jc w:val="center"/>
              <w:rPr>
                <w:rFonts w:ascii="宋体" w:hAnsi="宋体" w:cs="宋体"/>
                <w:color w:val="auto"/>
                <w:sz w:val="24"/>
                <w:highlight w:val="none"/>
              </w:rPr>
            </w:pPr>
            <w:r>
              <w:rPr>
                <w:rFonts w:hint="eastAsia" w:ascii="宋体" w:hAnsi="宋体" w:cs="宋体"/>
                <w:color w:val="auto"/>
                <w:spacing w:val="-1"/>
                <w:sz w:val="24"/>
                <w:highlight w:val="none"/>
              </w:rPr>
              <w:t>签订合同日期</w:t>
            </w:r>
          </w:p>
        </w:tc>
      </w:tr>
      <w:tr w14:paraId="7B57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402" w:type="dxa"/>
          </w:tcPr>
          <w:p w14:paraId="48A61A77">
            <w:pPr>
              <w:rPr>
                <w:rFonts w:ascii="宋体" w:hAnsi="宋体" w:cs="宋体"/>
                <w:color w:val="auto"/>
                <w:sz w:val="24"/>
                <w:highlight w:val="none"/>
              </w:rPr>
            </w:pPr>
          </w:p>
        </w:tc>
        <w:tc>
          <w:tcPr>
            <w:tcW w:w="2945" w:type="dxa"/>
          </w:tcPr>
          <w:p w14:paraId="27522D5C">
            <w:pPr>
              <w:rPr>
                <w:rFonts w:ascii="宋体" w:hAnsi="宋体" w:cs="宋体"/>
                <w:color w:val="auto"/>
                <w:sz w:val="24"/>
                <w:highlight w:val="none"/>
              </w:rPr>
            </w:pPr>
          </w:p>
        </w:tc>
        <w:tc>
          <w:tcPr>
            <w:tcW w:w="1691" w:type="dxa"/>
          </w:tcPr>
          <w:p w14:paraId="16A2EC01">
            <w:pPr>
              <w:rPr>
                <w:rFonts w:ascii="宋体" w:hAnsi="宋体" w:cs="宋体"/>
                <w:color w:val="auto"/>
                <w:sz w:val="24"/>
                <w:highlight w:val="none"/>
              </w:rPr>
            </w:pPr>
          </w:p>
        </w:tc>
        <w:tc>
          <w:tcPr>
            <w:tcW w:w="3032" w:type="dxa"/>
          </w:tcPr>
          <w:p w14:paraId="0344A414">
            <w:pPr>
              <w:rPr>
                <w:rFonts w:ascii="宋体" w:hAnsi="宋体" w:cs="宋体"/>
                <w:color w:val="auto"/>
                <w:sz w:val="24"/>
                <w:highlight w:val="none"/>
              </w:rPr>
            </w:pPr>
          </w:p>
        </w:tc>
      </w:tr>
      <w:tr w14:paraId="31E2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2" w:type="dxa"/>
          </w:tcPr>
          <w:p w14:paraId="5FF984E9">
            <w:pPr>
              <w:rPr>
                <w:rFonts w:ascii="宋体" w:hAnsi="宋体" w:cs="宋体"/>
                <w:color w:val="auto"/>
                <w:sz w:val="24"/>
                <w:highlight w:val="none"/>
              </w:rPr>
            </w:pPr>
          </w:p>
        </w:tc>
        <w:tc>
          <w:tcPr>
            <w:tcW w:w="2945" w:type="dxa"/>
          </w:tcPr>
          <w:p w14:paraId="026CBE55">
            <w:pPr>
              <w:rPr>
                <w:rFonts w:ascii="宋体" w:hAnsi="宋体" w:cs="宋体"/>
                <w:color w:val="auto"/>
                <w:sz w:val="24"/>
                <w:highlight w:val="none"/>
              </w:rPr>
            </w:pPr>
          </w:p>
        </w:tc>
        <w:tc>
          <w:tcPr>
            <w:tcW w:w="1691" w:type="dxa"/>
          </w:tcPr>
          <w:p w14:paraId="20CE74A2">
            <w:pPr>
              <w:rPr>
                <w:rFonts w:ascii="宋体" w:hAnsi="宋体" w:cs="宋体"/>
                <w:color w:val="auto"/>
                <w:sz w:val="24"/>
                <w:highlight w:val="none"/>
              </w:rPr>
            </w:pPr>
          </w:p>
        </w:tc>
        <w:tc>
          <w:tcPr>
            <w:tcW w:w="3032" w:type="dxa"/>
          </w:tcPr>
          <w:p w14:paraId="2B5D35B5">
            <w:pPr>
              <w:rPr>
                <w:rFonts w:ascii="宋体" w:hAnsi="宋体" w:cs="宋体"/>
                <w:color w:val="auto"/>
                <w:sz w:val="24"/>
                <w:highlight w:val="none"/>
              </w:rPr>
            </w:pPr>
          </w:p>
        </w:tc>
      </w:tr>
      <w:tr w14:paraId="161FA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02" w:type="dxa"/>
          </w:tcPr>
          <w:p w14:paraId="4F44E703">
            <w:pPr>
              <w:rPr>
                <w:rFonts w:ascii="宋体" w:hAnsi="宋体" w:cs="宋体"/>
                <w:color w:val="auto"/>
                <w:sz w:val="24"/>
                <w:highlight w:val="none"/>
              </w:rPr>
            </w:pPr>
          </w:p>
        </w:tc>
        <w:tc>
          <w:tcPr>
            <w:tcW w:w="2945" w:type="dxa"/>
          </w:tcPr>
          <w:p w14:paraId="215F2EF1">
            <w:pPr>
              <w:rPr>
                <w:rFonts w:ascii="宋体" w:hAnsi="宋体" w:cs="宋体"/>
                <w:color w:val="auto"/>
                <w:sz w:val="24"/>
                <w:highlight w:val="none"/>
              </w:rPr>
            </w:pPr>
          </w:p>
        </w:tc>
        <w:tc>
          <w:tcPr>
            <w:tcW w:w="1691" w:type="dxa"/>
          </w:tcPr>
          <w:p w14:paraId="5B9886A7">
            <w:pPr>
              <w:rPr>
                <w:rFonts w:ascii="宋体" w:hAnsi="宋体" w:cs="宋体"/>
                <w:color w:val="auto"/>
                <w:sz w:val="24"/>
                <w:highlight w:val="none"/>
              </w:rPr>
            </w:pPr>
          </w:p>
        </w:tc>
        <w:tc>
          <w:tcPr>
            <w:tcW w:w="3032" w:type="dxa"/>
          </w:tcPr>
          <w:p w14:paraId="057289DE">
            <w:pPr>
              <w:rPr>
                <w:rFonts w:ascii="宋体" w:hAnsi="宋体" w:cs="宋体"/>
                <w:color w:val="auto"/>
                <w:sz w:val="24"/>
                <w:highlight w:val="none"/>
              </w:rPr>
            </w:pPr>
          </w:p>
        </w:tc>
      </w:tr>
      <w:tr w14:paraId="1A500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402" w:type="dxa"/>
          </w:tcPr>
          <w:p w14:paraId="57ECC5B9">
            <w:pPr>
              <w:rPr>
                <w:rFonts w:ascii="宋体" w:hAnsi="宋体" w:cs="宋体"/>
                <w:color w:val="auto"/>
                <w:sz w:val="24"/>
                <w:highlight w:val="none"/>
              </w:rPr>
            </w:pPr>
          </w:p>
        </w:tc>
        <w:tc>
          <w:tcPr>
            <w:tcW w:w="2945" w:type="dxa"/>
          </w:tcPr>
          <w:p w14:paraId="316A2792">
            <w:pPr>
              <w:rPr>
                <w:rFonts w:ascii="宋体" w:hAnsi="宋体" w:cs="宋体"/>
                <w:color w:val="auto"/>
                <w:sz w:val="24"/>
                <w:highlight w:val="none"/>
              </w:rPr>
            </w:pPr>
          </w:p>
        </w:tc>
        <w:tc>
          <w:tcPr>
            <w:tcW w:w="1691" w:type="dxa"/>
          </w:tcPr>
          <w:p w14:paraId="507CCBF4">
            <w:pPr>
              <w:rPr>
                <w:rFonts w:ascii="宋体" w:hAnsi="宋体" w:cs="宋体"/>
                <w:color w:val="auto"/>
                <w:sz w:val="24"/>
                <w:highlight w:val="none"/>
              </w:rPr>
            </w:pPr>
          </w:p>
        </w:tc>
        <w:tc>
          <w:tcPr>
            <w:tcW w:w="3032" w:type="dxa"/>
          </w:tcPr>
          <w:p w14:paraId="5EA92728">
            <w:pPr>
              <w:rPr>
                <w:rFonts w:ascii="宋体" w:hAnsi="宋体" w:cs="宋体"/>
                <w:color w:val="auto"/>
                <w:sz w:val="24"/>
                <w:highlight w:val="none"/>
              </w:rPr>
            </w:pPr>
          </w:p>
        </w:tc>
      </w:tr>
      <w:tr w14:paraId="056F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02" w:type="dxa"/>
          </w:tcPr>
          <w:p w14:paraId="0B841AD7">
            <w:pPr>
              <w:rPr>
                <w:rFonts w:ascii="宋体" w:hAnsi="宋体" w:cs="宋体"/>
                <w:color w:val="auto"/>
                <w:sz w:val="24"/>
                <w:highlight w:val="none"/>
              </w:rPr>
            </w:pPr>
          </w:p>
        </w:tc>
        <w:tc>
          <w:tcPr>
            <w:tcW w:w="2945" w:type="dxa"/>
          </w:tcPr>
          <w:p w14:paraId="66066CB7">
            <w:pPr>
              <w:rPr>
                <w:rFonts w:ascii="宋体" w:hAnsi="宋体" w:cs="宋体"/>
                <w:color w:val="auto"/>
                <w:sz w:val="24"/>
                <w:highlight w:val="none"/>
              </w:rPr>
            </w:pPr>
          </w:p>
        </w:tc>
        <w:tc>
          <w:tcPr>
            <w:tcW w:w="1691" w:type="dxa"/>
          </w:tcPr>
          <w:p w14:paraId="1F8594AE">
            <w:pPr>
              <w:rPr>
                <w:rFonts w:ascii="宋体" w:hAnsi="宋体" w:cs="宋体"/>
                <w:color w:val="auto"/>
                <w:sz w:val="24"/>
                <w:highlight w:val="none"/>
              </w:rPr>
            </w:pPr>
          </w:p>
        </w:tc>
        <w:tc>
          <w:tcPr>
            <w:tcW w:w="3032" w:type="dxa"/>
          </w:tcPr>
          <w:p w14:paraId="62A595C6">
            <w:pPr>
              <w:rPr>
                <w:rFonts w:ascii="宋体" w:hAnsi="宋体" w:cs="宋体"/>
                <w:color w:val="auto"/>
                <w:sz w:val="24"/>
                <w:highlight w:val="none"/>
              </w:rPr>
            </w:pPr>
          </w:p>
        </w:tc>
      </w:tr>
    </w:tbl>
    <w:p w14:paraId="2B3798E2">
      <w:pPr>
        <w:spacing w:before="180" w:line="225" w:lineRule="auto"/>
        <w:ind w:left="121"/>
        <w:rPr>
          <w:rFonts w:ascii="宋体" w:hAnsi="宋体" w:cs="宋体"/>
          <w:color w:val="auto"/>
          <w:sz w:val="24"/>
          <w:highlight w:val="none"/>
        </w:rPr>
      </w:pPr>
      <w:r>
        <w:rPr>
          <w:rFonts w:hint="eastAsia" w:ascii="宋体" w:hAnsi="宋体" w:cs="宋体"/>
          <w:color w:val="auto"/>
          <w:spacing w:val="-15"/>
          <w:sz w:val="24"/>
          <w:highlight w:val="none"/>
        </w:rPr>
        <w:t>注</w:t>
      </w:r>
      <w:r>
        <w:rPr>
          <w:rFonts w:hint="eastAsia" w:ascii="宋体" w:hAnsi="宋体" w:cs="宋体"/>
          <w:color w:val="auto"/>
          <w:spacing w:val="-13"/>
          <w:sz w:val="24"/>
          <w:highlight w:val="none"/>
        </w:rPr>
        <w:t>：</w:t>
      </w:r>
    </w:p>
    <w:p w14:paraId="0EF0CF0D">
      <w:pPr>
        <w:spacing w:before="178" w:line="220" w:lineRule="auto"/>
        <w:ind w:left="130"/>
        <w:rPr>
          <w:rFonts w:ascii="宋体" w:hAnsi="宋体" w:cs="宋体"/>
          <w:color w:val="auto"/>
          <w:sz w:val="24"/>
          <w:highlight w:val="none"/>
        </w:rPr>
      </w:pPr>
      <w:r>
        <w:rPr>
          <w:rFonts w:hint="eastAsia" w:ascii="宋体" w:hAnsi="宋体" w:cs="宋体"/>
          <w:color w:val="auto"/>
          <w:spacing w:val="1"/>
          <w:sz w:val="24"/>
          <w:highlight w:val="none"/>
        </w:rPr>
        <w:t>(1)</w:t>
      </w:r>
      <w:r>
        <w:rPr>
          <w:rFonts w:hint="eastAsia" w:ascii="宋体" w:hAnsi="宋体" w:cs="宋体"/>
          <w:color w:val="auto"/>
          <w:sz w:val="24"/>
          <w:highlight w:val="none"/>
        </w:rPr>
        <w:t>未附证明材料的业绩无效， 证明材料见第四章《评审方法及标准》规定。</w:t>
      </w:r>
    </w:p>
    <w:p w14:paraId="4743DAFF">
      <w:pPr>
        <w:spacing w:before="182" w:line="220" w:lineRule="auto"/>
        <w:ind w:left="130"/>
        <w:rPr>
          <w:rFonts w:ascii="宋体" w:hAnsi="宋体" w:cs="宋体"/>
          <w:color w:val="auto"/>
          <w:sz w:val="24"/>
          <w:highlight w:val="none"/>
        </w:rPr>
      </w:pPr>
      <w:r>
        <w:rPr>
          <w:rFonts w:hint="eastAsia" w:ascii="宋体" w:hAnsi="宋体" w:cs="宋体"/>
          <w:color w:val="auto"/>
          <w:spacing w:val="3"/>
          <w:sz w:val="24"/>
          <w:highlight w:val="none"/>
        </w:rPr>
        <w:t>(2)类似项目的定义见第四章《评审方法及标准》规</w:t>
      </w:r>
      <w:r>
        <w:rPr>
          <w:rFonts w:hint="eastAsia" w:ascii="宋体" w:hAnsi="宋体" w:cs="宋体"/>
          <w:color w:val="auto"/>
          <w:spacing w:val="2"/>
          <w:sz w:val="24"/>
          <w:highlight w:val="none"/>
        </w:rPr>
        <w:t>定</w:t>
      </w:r>
      <w:r>
        <w:rPr>
          <w:rFonts w:hint="eastAsia" w:ascii="宋体" w:hAnsi="宋体" w:cs="宋体"/>
          <w:color w:val="auto"/>
          <w:sz w:val="24"/>
          <w:highlight w:val="none"/>
        </w:rPr>
        <w:t>。</w:t>
      </w:r>
    </w:p>
    <w:p w14:paraId="11354819">
      <w:pPr>
        <w:spacing w:before="182" w:line="220" w:lineRule="auto"/>
        <w:ind w:left="127"/>
        <w:rPr>
          <w:rFonts w:ascii="宋体" w:hAnsi="宋体" w:cs="宋体"/>
          <w:color w:val="auto"/>
          <w:sz w:val="24"/>
          <w:highlight w:val="none"/>
        </w:rPr>
      </w:pPr>
      <w:r>
        <w:rPr>
          <w:rFonts w:hint="eastAsia" w:ascii="宋体" w:hAnsi="宋体" w:cs="宋体"/>
          <w:color w:val="auto"/>
          <w:spacing w:val="14"/>
          <w:sz w:val="24"/>
          <w:highlight w:val="none"/>
        </w:rPr>
        <w:t>(</w:t>
      </w:r>
      <w:r>
        <w:rPr>
          <w:rFonts w:hint="eastAsia" w:ascii="宋体" w:hAnsi="宋体" w:cs="宋体"/>
          <w:color w:val="auto"/>
          <w:spacing w:val="10"/>
          <w:sz w:val="24"/>
          <w:highlight w:val="none"/>
        </w:rPr>
        <w:t>3)本表可拓展</w:t>
      </w:r>
    </w:p>
    <w:p w14:paraId="441BAA4B">
      <w:pPr>
        <w:snapToGrid w:val="0"/>
        <w:spacing w:before="50" w:after="156" w:afterLines="50"/>
        <w:jc w:val="left"/>
        <w:rPr>
          <w:rFonts w:ascii="宋体" w:hAnsi="宋体" w:cs="宋体"/>
          <w:color w:val="auto"/>
          <w:sz w:val="24"/>
          <w:highlight w:val="none"/>
        </w:rPr>
      </w:pPr>
    </w:p>
    <w:p w14:paraId="7460D676">
      <w:pPr>
        <w:snapToGrid w:val="0"/>
        <w:spacing w:before="50" w:after="156" w:afterLines="50"/>
        <w:jc w:val="left"/>
        <w:rPr>
          <w:rFonts w:ascii="宋体" w:hAnsi="宋体" w:cs="宋体"/>
          <w:color w:val="auto"/>
          <w:sz w:val="24"/>
          <w:highlight w:val="none"/>
        </w:rPr>
      </w:pPr>
    </w:p>
    <w:p w14:paraId="42105731">
      <w:pPr>
        <w:snapToGrid w:val="0"/>
        <w:spacing w:before="50" w:after="156" w:afterLines="50"/>
        <w:jc w:val="left"/>
        <w:rPr>
          <w:rFonts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7EDC30D">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76091CE">
      <w:pPr>
        <w:spacing w:line="300" w:lineRule="auto"/>
        <w:rPr>
          <w:rFonts w:ascii="宋体" w:hAnsi="宋体" w:cs="宋体"/>
          <w:b/>
          <w:bCs/>
          <w:color w:val="auto"/>
          <w:sz w:val="24"/>
          <w:highlight w:val="none"/>
        </w:rPr>
      </w:pPr>
    </w:p>
    <w:p w14:paraId="5EC65BA2">
      <w:pPr>
        <w:spacing w:line="300" w:lineRule="auto"/>
        <w:rPr>
          <w:rFonts w:ascii="宋体" w:hAnsi="宋体" w:cs="宋体"/>
          <w:b/>
          <w:bCs/>
          <w:color w:val="auto"/>
          <w:sz w:val="24"/>
          <w:highlight w:val="none"/>
        </w:rPr>
      </w:pPr>
    </w:p>
    <w:p w14:paraId="7AB640D9">
      <w:pPr>
        <w:spacing w:line="300" w:lineRule="auto"/>
        <w:rPr>
          <w:rFonts w:ascii="宋体" w:hAnsi="宋体" w:cs="宋体"/>
          <w:b/>
          <w:bCs/>
          <w:color w:val="auto"/>
          <w:sz w:val="24"/>
          <w:highlight w:val="none"/>
        </w:rPr>
      </w:pPr>
    </w:p>
    <w:p w14:paraId="3CE2AD5C">
      <w:pPr>
        <w:spacing w:line="300" w:lineRule="auto"/>
        <w:rPr>
          <w:rFonts w:ascii="宋体" w:hAnsi="宋体" w:cs="宋体"/>
          <w:b/>
          <w:bCs/>
          <w:color w:val="auto"/>
          <w:sz w:val="24"/>
          <w:highlight w:val="none"/>
        </w:rPr>
      </w:pPr>
    </w:p>
    <w:p w14:paraId="5F2164E2">
      <w:pPr>
        <w:spacing w:line="300" w:lineRule="auto"/>
        <w:rPr>
          <w:rFonts w:ascii="宋体" w:hAnsi="宋体" w:cs="宋体"/>
          <w:b/>
          <w:bCs/>
          <w:color w:val="auto"/>
          <w:sz w:val="24"/>
          <w:highlight w:val="none"/>
        </w:rPr>
      </w:pPr>
    </w:p>
    <w:p w14:paraId="1F28105D">
      <w:pPr>
        <w:spacing w:line="300" w:lineRule="auto"/>
        <w:rPr>
          <w:rFonts w:ascii="宋体" w:hAnsi="宋体" w:cs="宋体"/>
          <w:b/>
          <w:bCs/>
          <w:color w:val="auto"/>
          <w:sz w:val="24"/>
          <w:highlight w:val="none"/>
        </w:rPr>
      </w:pPr>
    </w:p>
    <w:p w14:paraId="5F088697">
      <w:pPr>
        <w:spacing w:line="300" w:lineRule="auto"/>
        <w:rPr>
          <w:rFonts w:ascii="宋体" w:hAnsi="宋体" w:cs="宋体"/>
          <w:b/>
          <w:bCs/>
          <w:color w:val="auto"/>
          <w:sz w:val="24"/>
          <w:highlight w:val="none"/>
        </w:rPr>
      </w:pPr>
    </w:p>
    <w:p w14:paraId="652041A5">
      <w:pPr>
        <w:spacing w:line="300" w:lineRule="auto"/>
        <w:rPr>
          <w:rFonts w:ascii="宋体" w:hAnsi="宋体" w:cs="宋体"/>
          <w:b/>
          <w:bCs/>
          <w:color w:val="auto"/>
          <w:sz w:val="24"/>
          <w:highlight w:val="none"/>
        </w:rPr>
      </w:pPr>
    </w:p>
    <w:p w14:paraId="21833B46">
      <w:pPr>
        <w:spacing w:line="300" w:lineRule="auto"/>
        <w:rPr>
          <w:rFonts w:ascii="宋体" w:hAnsi="宋体" w:cs="宋体"/>
          <w:b/>
          <w:bCs/>
          <w:color w:val="auto"/>
          <w:sz w:val="24"/>
          <w:highlight w:val="none"/>
        </w:rPr>
      </w:pPr>
    </w:p>
    <w:p w14:paraId="4285A839">
      <w:pPr>
        <w:spacing w:line="300" w:lineRule="auto"/>
        <w:rPr>
          <w:rFonts w:ascii="宋体" w:hAnsi="宋体" w:cs="宋体"/>
          <w:b/>
          <w:bCs/>
          <w:color w:val="auto"/>
          <w:sz w:val="24"/>
          <w:highlight w:val="none"/>
        </w:rPr>
      </w:pPr>
    </w:p>
    <w:p w14:paraId="1C936A9A">
      <w:pPr>
        <w:spacing w:line="300" w:lineRule="auto"/>
        <w:rPr>
          <w:rFonts w:ascii="宋体" w:hAnsi="宋体" w:cs="宋体"/>
          <w:color w:val="auto"/>
          <w:szCs w:val="21"/>
          <w:highlight w:val="none"/>
        </w:rPr>
      </w:pPr>
      <w:r>
        <w:rPr>
          <w:rFonts w:hint="eastAsia" w:ascii="宋体" w:hAnsi="宋体" w:cs="宋体"/>
          <w:b/>
          <w:bCs/>
          <w:color w:val="auto"/>
          <w:sz w:val="24"/>
          <w:highlight w:val="none"/>
        </w:rPr>
        <w:t>其他文书、文件格式</w:t>
      </w:r>
    </w:p>
    <w:p w14:paraId="5E6D4BE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20561A4">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437F9510">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866167">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E53770D">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30ADDE7">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42EFB8E4">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194D1BB">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3EB0AD">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10CAA1A">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2DE670CD">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7C823BA4">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B36F43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7644DD7D">
      <w:pPr>
        <w:pStyle w:val="1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AF204FD">
      <w:pPr>
        <w:pStyle w:val="1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41B62C10">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04C5269A">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A668BA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B0972B7">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482D4E2">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0A2DCC6E">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1A0841C6">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49D00A0B">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D1E1BEA">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721CAA2">
      <w:pPr>
        <w:pStyle w:val="18"/>
        <w:spacing w:line="360" w:lineRule="auto"/>
        <w:ind w:left="25" w:leftChars="12" w:firstLine="352" w:firstLineChars="147"/>
        <w:rPr>
          <w:rFonts w:hAnsi="宋体" w:cs="宋体"/>
          <w:color w:val="auto"/>
          <w:sz w:val="24"/>
          <w:szCs w:val="24"/>
          <w:highlight w:val="none"/>
        </w:rPr>
      </w:pPr>
    </w:p>
    <w:p w14:paraId="06676E8A">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90854C3">
      <w:pPr>
        <w:pStyle w:val="18"/>
        <w:spacing w:line="360" w:lineRule="auto"/>
        <w:ind w:left="25" w:leftChars="12" w:firstLine="352" w:firstLineChars="147"/>
        <w:rPr>
          <w:rFonts w:hAnsi="宋体" w:cs="宋体"/>
          <w:color w:val="auto"/>
          <w:sz w:val="24"/>
          <w:szCs w:val="24"/>
          <w:highlight w:val="none"/>
        </w:rPr>
      </w:pPr>
    </w:p>
    <w:p w14:paraId="5FA89242">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0FFCA83">
      <w:pPr>
        <w:pStyle w:val="18"/>
        <w:snapToGrid w:val="0"/>
        <w:spacing w:line="360" w:lineRule="auto"/>
        <w:rPr>
          <w:rFonts w:hAnsi="宋体" w:cs="宋体"/>
          <w:b/>
          <w:color w:val="auto"/>
          <w:sz w:val="24"/>
          <w:szCs w:val="24"/>
          <w:highlight w:val="none"/>
        </w:rPr>
      </w:pPr>
    </w:p>
    <w:p w14:paraId="5008E9F1">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103A10A">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0345B1FC">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C9D09D">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1054E1A1">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360865D">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90F67B4">
      <w:pPr>
        <w:pStyle w:val="18"/>
        <w:snapToGrid w:val="0"/>
        <w:rPr>
          <w:rFonts w:hAnsi="宋体" w:cs="宋体"/>
          <w:b/>
          <w:color w:val="auto"/>
          <w:sz w:val="24"/>
          <w:szCs w:val="24"/>
          <w:highlight w:val="none"/>
        </w:rPr>
      </w:pPr>
    </w:p>
    <w:p w14:paraId="6F0A3247">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7537B3B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74F58EB3">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0B705D8B">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0C1625A">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E71420">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CFBEC29">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79FC73E">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7AB9A5F">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D4E0A4D">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5EDF301">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4904EB2">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F27DAA1">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46FB35C5">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2E4A93E5">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7E187D0C">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0C8232CB">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9E34BEB">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FE45CBA">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6C603D8">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58E38C1">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C24224B">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1144A3D1">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14D331D">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9AE9D20">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ACEBA4E">
      <w:pPr>
        <w:pStyle w:val="18"/>
        <w:spacing w:line="360" w:lineRule="auto"/>
        <w:ind w:left="25" w:leftChars="12" w:firstLine="952" w:firstLineChars="397"/>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7CE0879">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627BE09">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DB21BF6">
      <w:pPr>
        <w:pStyle w:val="18"/>
        <w:spacing w:line="360" w:lineRule="auto"/>
        <w:ind w:firstLine="241"/>
        <w:rPr>
          <w:rFonts w:hAnsi="宋体" w:cs="宋体"/>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74E78B26">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1D22863">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6645A46">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2E7F017">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46F29931">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3EBC9EF">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7AECD8F">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3810CAD4">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74205B9">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AE27AD3">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D8ECACB">
      <w:pPr>
        <w:pStyle w:val="18"/>
        <w:spacing w:line="360" w:lineRule="auto"/>
        <w:ind w:left="25" w:leftChars="12" w:firstLine="352" w:firstLineChars="147"/>
        <w:rPr>
          <w:rFonts w:hAnsi="宋体" w:cs="宋体"/>
          <w:color w:val="auto"/>
          <w:sz w:val="24"/>
          <w:szCs w:val="24"/>
          <w:highlight w:val="none"/>
        </w:rPr>
      </w:pPr>
    </w:p>
    <w:p w14:paraId="0A0694EE">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98C375E">
      <w:pPr>
        <w:pStyle w:val="18"/>
        <w:spacing w:line="360" w:lineRule="auto"/>
        <w:ind w:left="25" w:leftChars="12" w:firstLine="352" w:firstLineChars="147"/>
        <w:rPr>
          <w:rFonts w:hAnsi="宋体" w:cs="宋体"/>
          <w:color w:val="auto"/>
          <w:sz w:val="24"/>
          <w:szCs w:val="24"/>
          <w:highlight w:val="none"/>
        </w:rPr>
      </w:pPr>
    </w:p>
    <w:p w14:paraId="5334E0D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EA3AF0B">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587EFF47">
      <w:pPr>
        <w:pStyle w:val="18"/>
        <w:snapToGrid w:val="0"/>
        <w:spacing w:line="360" w:lineRule="auto"/>
        <w:rPr>
          <w:rFonts w:hAnsi="宋体" w:cs="宋体"/>
          <w:b/>
          <w:color w:val="auto"/>
          <w:sz w:val="24"/>
          <w:szCs w:val="24"/>
          <w:highlight w:val="none"/>
        </w:rPr>
      </w:pPr>
    </w:p>
    <w:p w14:paraId="1B142F2C">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0625F6E">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8F404DD">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6B362E">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00A3669">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52D640B8">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07DC650">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42D9B04">
      <w:pPr>
        <w:pStyle w:val="4"/>
        <w:spacing w:line="520" w:lineRule="exact"/>
        <w:jc w:val="center"/>
        <w:rPr>
          <w:rFonts w:ascii="宋体" w:hAnsi="宋体" w:cs="宋体"/>
          <w:color w:val="auto"/>
          <w:highlight w:val="none"/>
        </w:rPr>
      </w:pPr>
      <w:r>
        <w:rPr>
          <w:rFonts w:hint="eastAsia" w:ascii="宋体" w:hAnsi="宋体" w:cs="宋体"/>
          <w:color w:val="auto"/>
          <w:highlight w:val="none"/>
        </w:rPr>
        <w:br w:type="page"/>
      </w:r>
      <w:bookmarkStart w:id="171" w:name="_Toc24421"/>
      <w:bookmarkStart w:id="172" w:name="_Toc24489"/>
      <w:r>
        <w:rPr>
          <w:rFonts w:hint="eastAsia" w:ascii="宋体" w:hAnsi="宋体" w:cs="宋体"/>
          <w:color w:val="auto"/>
          <w:highlight w:val="none"/>
        </w:rPr>
        <w:t>第六章 合同文本</w:t>
      </w:r>
      <w:bookmarkEnd w:id="171"/>
      <w:bookmarkEnd w:id="172"/>
    </w:p>
    <w:p w14:paraId="14A0CBE3">
      <w:pPr>
        <w:spacing w:line="360" w:lineRule="auto"/>
        <w:rPr>
          <w:rFonts w:ascii="宋体" w:hAnsi="宋体" w:cs="宋体"/>
          <w:color w:val="auto"/>
          <w:sz w:val="24"/>
          <w:highlight w:val="none"/>
        </w:rPr>
      </w:pPr>
    </w:p>
    <w:p w14:paraId="77BA8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4965F6B8">
      <w:pPr>
        <w:spacing w:line="360" w:lineRule="auto"/>
        <w:jc w:val="center"/>
        <w:rPr>
          <w:rFonts w:ascii="宋体" w:hAnsi="宋体" w:cs="宋体"/>
          <w:b/>
          <w:bCs/>
          <w:color w:val="auto"/>
          <w:sz w:val="52"/>
          <w:highlight w:val="none"/>
        </w:rPr>
      </w:pPr>
    </w:p>
    <w:p w14:paraId="67B6D612">
      <w:pPr>
        <w:spacing w:line="360" w:lineRule="auto"/>
        <w:jc w:val="center"/>
        <w:rPr>
          <w:rFonts w:ascii="宋体" w:hAnsi="宋体" w:cs="宋体"/>
          <w:b/>
          <w:bCs/>
          <w:color w:val="auto"/>
          <w:sz w:val="52"/>
          <w:highlight w:val="none"/>
        </w:rPr>
      </w:pPr>
    </w:p>
    <w:p w14:paraId="6C3F5996">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政 府 采 购</w:t>
      </w:r>
    </w:p>
    <w:p w14:paraId="555CC2A8">
      <w:pPr>
        <w:spacing w:line="360" w:lineRule="auto"/>
        <w:ind w:firstLine="420" w:firstLineChars="200"/>
        <w:rPr>
          <w:rFonts w:ascii="宋体" w:hAnsi="宋体" w:cs="宋体"/>
          <w:color w:val="auto"/>
          <w:highlight w:val="none"/>
        </w:rPr>
      </w:pPr>
    </w:p>
    <w:p w14:paraId="62A487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5CFEF087">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3B5E40B0">
      <w:pPr>
        <w:spacing w:line="360" w:lineRule="auto"/>
        <w:ind w:firstLine="3507" w:firstLineChars="794"/>
        <w:rPr>
          <w:rFonts w:ascii="宋体" w:hAnsi="宋体" w:cs="宋体"/>
          <w:b/>
          <w:bCs/>
          <w:color w:val="auto"/>
          <w:sz w:val="44"/>
          <w:highlight w:val="none"/>
        </w:rPr>
      </w:pPr>
    </w:p>
    <w:p w14:paraId="29E46B04">
      <w:pPr>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3AEA5271">
      <w:pPr>
        <w:ind w:firstLine="1970" w:firstLineChars="545"/>
        <w:rPr>
          <w:rFonts w:ascii="宋体" w:hAnsi="宋体" w:cs="宋体"/>
          <w:b/>
          <w:color w:val="auto"/>
          <w:sz w:val="36"/>
          <w:szCs w:val="36"/>
          <w:highlight w:val="none"/>
          <w:u w:val="single"/>
        </w:rPr>
      </w:pPr>
    </w:p>
    <w:p w14:paraId="4A6998A9">
      <w:pPr>
        <w:pStyle w:val="41"/>
        <w:rPr>
          <w:b/>
          <w:color w:val="auto"/>
          <w:sz w:val="36"/>
          <w:szCs w:val="36"/>
          <w:highlight w:val="none"/>
          <w:u w:val="single"/>
        </w:rPr>
      </w:pPr>
    </w:p>
    <w:p w14:paraId="50125C8B">
      <w:pPr>
        <w:pStyle w:val="41"/>
        <w:rPr>
          <w:b/>
          <w:color w:val="auto"/>
          <w:sz w:val="36"/>
          <w:szCs w:val="36"/>
          <w:highlight w:val="none"/>
          <w:u w:val="single"/>
        </w:rPr>
      </w:pPr>
    </w:p>
    <w:p w14:paraId="6B750F78">
      <w:pPr>
        <w:pStyle w:val="41"/>
        <w:rPr>
          <w:b/>
          <w:color w:val="auto"/>
          <w:sz w:val="36"/>
          <w:szCs w:val="36"/>
          <w:highlight w:val="none"/>
          <w:u w:val="single"/>
        </w:rPr>
      </w:pPr>
    </w:p>
    <w:p w14:paraId="04DF59AC">
      <w:pPr>
        <w:pStyle w:val="41"/>
        <w:rPr>
          <w:b/>
          <w:color w:val="auto"/>
          <w:sz w:val="36"/>
          <w:szCs w:val="36"/>
          <w:highlight w:val="none"/>
          <w:u w:val="single"/>
        </w:rPr>
      </w:pPr>
    </w:p>
    <w:p w14:paraId="077FBE54">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eastAsia="zh-CN"/>
        </w:rPr>
        <w:t>德保县国营黄连山林场</w:t>
      </w:r>
      <w:r>
        <w:rPr>
          <w:rFonts w:hint="eastAsia" w:ascii="宋体" w:hAnsi="宋体" w:cs="宋体"/>
          <w:b/>
          <w:color w:val="auto"/>
          <w:sz w:val="36"/>
          <w:szCs w:val="36"/>
          <w:highlight w:val="none"/>
          <w:u w:val="single"/>
        </w:rPr>
        <w:t xml:space="preserve">  </w:t>
      </w:r>
    </w:p>
    <w:p w14:paraId="4AB561C0">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B73D64C">
      <w:pPr>
        <w:spacing w:before="120" w:line="360" w:lineRule="auto"/>
        <w:ind w:firstLine="960" w:firstLineChars="400"/>
        <w:rPr>
          <w:rFonts w:ascii="宋体" w:hAnsi="宋体" w:cs="宋体"/>
          <w:color w:val="auto"/>
          <w:sz w:val="24"/>
          <w:highlight w:val="none"/>
        </w:rPr>
      </w:pPr>
    </w:p>
    <w:p w14:paraId="15F0E965">
      <w:pPr>
        <w:spacing w:before="120" w:line="360" w:lineRule="auto"/>
        <w:ind w:firstLine="960" w:firstLineChars="400"/>
        <w:rPr>
          <w:rFonts w:ascii="宋体" w:hAnsi="宋体" w:cs="宋体"/>
          <w:color w:val="auto"/>
          <w:sz w:val="24"/>
          <w:highlight w:val="none"/>
        </w:rPr>
      </w:pPr>
    </w:p>
    <w:p w14:paraId="56367B9E">
      <w:pPr>
        <w:spacing w:before="120"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3313185">
      <w:pPr>
        <w:pStyle w:val="18"/>
        <w:snapToGrid w:val="0"/>
        <w:spacing w:line="400" w:lineRule="exact"/>
        <w:jc w:val="center"/>
        <w:rPr>
          <w:rFonts w:hAnsi="宋体" w:cs="宋体"/>
          <w:b/>
          <w:bCs/>
          <w:color w:val="auto"/>
          <w:sz w:val="44"/>
          <w:highlight w:val="none"/>
        </w:rPr>
      </w:pPr>
      <w:r>
        <w:rPr>
          <w:rFonts w:hint="eastAsia" w:hAnsi="宋体" w:cs="宋体"/>
          <w:b/>
          <w:bCs/>
          <w:color w:val="auto"/>
          <w:sz w:val="44"/>
          <w:highlight w:val="none"/>
        </w:rPr>
        <w:br w:type="page"/>
      </w:r>
      <w:r>
        <w:rPr>
          <w:rFonts w:hint="eastAsia" w:hAnsi="宋体" w:cs="宋体"/>
          <w:b/>
          <w:color w:val="auto"/>
          <w:sz w:val="36"/>
          <w:highlight w:val="none"/>
        </w:rPr>
        <w:t>拟签订的合同文本</w:t>
      </w:r>
    </w:p>
    <w:p w14:paraId="11457BFC">
      <w:pPr>
        <w:pStyle w:val="18"/>
        <w:snapToGrid w:val="0"/>
        <w:spacing w:line="400" w:lineRule="exact"/>
        <w:rPr>
          <w:rFonts w:hAnsi="宋体" w:cs="宋体"/>
          <w:b/>
          <w:bCs/>
          <w:color w:val="auto"/>
          <w:sz w:val="44"/>
          <w:highlight w:val="none"/>
        </w:rPr>
      </w:pPr>
    </w:p>
    <w:p w14:paraId="31B21CA9">
      <w:pPr>
        <w:pStyle w:val="18"/>
        <w:snapToGrid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说明：</w:t>
      </w:r>
    </w:p>
    <w:p w14:paraId="19024D06">
      <w:pPr>
        <w:pStyle w:val="18"/>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1、本合同书仅供签订正式合同时参考用，正式合同书应包括此参考格式之内容。</w:t>
      </w:r>
    </w:p>
    <w:p w14:paraId="0851998D">
      <w:pPr>
        <w:pStyle w:val="18"/>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2、合同签订双方可根据项目的具体要求进行修订，但合同条款不得与采购文件和中标供应商投标文件有实质性偏离。</w:t>
      </w:r>
    </w:p>
    <w:p w14:paraId="3D7C7CCE">
      <w:pPr>
        <w:pStyle w:val="18"/>
        <w:snapToGrid w:val="0"/>
        <w:spacing w:line="400" w:lineRule="exact"/>
        <w:rPr>
          <w:rFonts w:hAnsi="宋体" w:cs="宋体"/>
          <w:color w:val="auto"/>
          <w:sz w:val="24"/>
          <w:szCs w:val="24"/>
          <w:highlight w:val="none"/>
        </w:rPr>
      </w:pPr>
    </w:p>
    <w:p w14:paraId="6BCCC8B8">
      <w:pPr>
        <w:rPr>
          <w:rFonts w:ascii="宋体" w:hAnsi="宋体" w:cs="宋体"/>
          <w:color w:val="auto"/>
          <w:sz w:val="24"/>
          <w:highlight w:val="none"/>
        </w:rPr>
      </w:pPr>
    </w:p>
    <w:p w14:paraId="2A3D2B8A">
      <w:pPr>
        <w:pStyle w:val="41"/>
        <w:rPr>
          <w:color w:val="auto"/>
          <w:highlight w:val="none"/>
        </w:rPr>
      </w:pPr>
    </w:p>
    <w:p w14:paraId="07BC07CE">
      <w:pPr>
        <w:pStyle w:val="18"/>
        <w:snapToGrid w:val="0"/>
        <w:spacing w:line="40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合同名称：</w:t>
      </w:r>
      <w:r>
        <w:rPr>
          <w:rFonts w:hint="eastAsia" w:hAnsi="宋体" w:cs="宋体"/>
          <w:color w:val="auto"/>
          <w:sz w:val="24"/>
          <w:szCs w:val="24"/>
          <w:highlight w:val="none"/>
          <w:u w:val="single"/>
        </w:rPr>
        <w:t xml:space="preserve">                                </w:t>
      </w:r>
    </w:p>
    <w:p w14:paraId="538425ED">
      <w:pPr>
        <w:pStyle w:val="18"/>
        <w:snapToGrid w:val="0"/>
        <w:spacing w:line="40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合同编号：</w:t>
      </w:r>
      <w:r>
        <w:rPr>
          <w:rFonts w:hint="eastAsia" w:hAnsi="宋体" w:cs="宋体"/>
          <w:color w:val="auto"/>
          <w:sz w:val="24"/>
          <w:szCs w:val="24"/>
          <w:highlight w:val="none"/>
          <w:u w:val="single"/>
        </w:rPr>
        <w:t xml:space="preserve">                                   </w:t>
      </w:r>
    </w:p>
    <w:p w14:paraId="0FAFE8DD">
      <w:pPr>
        <w:pStyle w:val="18"/>
        <w:snapToGrid w:val="0"/>
        <w:spacing w:line="400" w:lineRule="exact"/>
        <w:rPr>
          <w:rFonts w:hAnsi="宋体" w:cs="宋体"/>
          <w:color w:val="auto"/>
          <w:sz w:val="24"/>
          <w:szCs w:val="24"/>
          <w:highlight w:val="none"/>
        </w:rPr>
      </w:pPr>
      <w:r>
        <w:rPr>
          <w:rFonts w:hint="eastAsia" w:hAnsi="宋体" w:cs="宋体"/>
          <w:color w:val="auto"/>
          <w:sz w:val="24"/>
          <w:szCs w:val="24"/>
          <w:highlight w:val="none"/>
        </w:rPr>
        <w:t> </w:t>
      </w:r>
    </w:p>
    <w:p w14:paraId="6A85321C">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Style w:val="84"/>
          <w:rFonts w:hint="eastAsia" w:hAnsi="宋体" w:cs="宋体"/>
          <w:color w:val="auto"/>
          <w:sz w:val="24"/>
          <w:szCs w:val="24"/>
          <w:highlight w:val="none"/>
        </w:rPr>
        <w:t>采购</w:t>
      </w:r>
      <w:r>
        <w:rPr>
          <w:rFonts w:hint="eastAsia" w:hAnsi="宋体" w:cs="宋体"/>
          <w:color w:val="auto"/>
          <w:sz w:val="24"/>
          <w:szCs w:val="24"/>
          <w:highlight w:val="none"/>
        </w:rPr>
        <w:t xml:space="preserve">人）  </w:t>
      </w:r>
    </w:p>
    <w:p w14:paraId="12E0557C">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乙方：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（成交人）  </w:t>
      </w:r>
    </w:p>
    <w:p w14:paraId="433C2C72">
      <w:pPr>
        <w:pStyle w:val="18"/>
        <w:snapToGrid w:val="0"/>
        <w:spacing w:line="400" w:lineRule="exact"/>
        <w:ind w:firstLine="840" w:firstLineChars="350"/>
        <w:rPr>
          <w:rFonts w:hAnsi="宋体" w:cs="宋体"/>
          <w:color w:val="auto"/>
          <w:sz w:val="24"/>
          <w:szCs w:val="24"/>
          <w:highlight w:val="none"/>
        </w:rPr>
      </w:pPr>
    </w:p>
    <w:p w14:paraId="7681E64E">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甲乙双方同意按下述条款和条件签署本合同书（以下简称合同）：</w:t>
      </w:r>
    </w:p>
    <w:p w14:paraId="706D36D1">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本合同所附下列文件是构成本合同不可分割的部分：</w:t>
      </w:r>
    </w:p>
    <w:p w14:paraId="28DCF321">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（1）供应商提交的全部响应文件和评审过程中经磋商小组和供应商确认签字的补充文件</w:t>
      </w:r>
    </w:p>
    <w:p w14:paraId="3F67EE9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（2）采购需求</w:t>
      </w:r>
    </w:p>
    <w:p w14:paraId="1137DF49">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（3）成交通知书</w:t>
      </w:r>
    </w:p>
    <w:p w14:paraId="277DA63F">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（4）甲、乙双方商定的补充协议。</w:t>
      </w:r>
    </w:p>
    <w:p w14:paraId="1A5F979B">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本合同是指买方（以下简称甲方）和成交人（以下简称乙方）应共同遵守的基本原则，并作为双方签约的依据。对于合同的其他条款，双方应本着互谅互让的精神，在谈判中协商解决。</w:t>
      </w:r>
    </w:p>
    <w:p w14:paraId="6047CB2E">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制订本合同的依据是：《中华人民共和国政府采购法》、《中华人民共和国民法典》</w:t>
      </w:r>
    </w:p>
    <w:p w14:paraId="3D4A948E">
      <w:pPr>
        <w:pStyle w:val="18"/>
        <w:numPr>
          <w:ilvl w:val="0"/>
          <w:numId w:val="5"/>
        </w:numPr>
        <w:snapToGrid w:val="0"/>
        <w:spacing w:line="400" w:lineRule="exact"/>
        <w:ind w:firstLine="482" w:firstLineChars="200"/>
        <w:rPr>
          <w:rFonts w:hAnsi="宋体" w:cs="宋体"/>
          <w:b/>
          <w:color w:val="auto"/>
          <w:sz w:val="24"/>
          <w:szCs w:val="24"/>
          <w:highlight w:val="none"/>
          <w:u w:val="single"/>
        </w:rPr>
      </w:pPr>
      <w:r>
        <w:rPr>
          <w:rFonts w:hint="eastAsia" w:hAnsi="宋体" w:cs="宋体"/>
          <w:b/>
          <w:color w:val="auto"/>
          <w:sz w:val="24"/>
          <w:szCs w:val="24"/>
          <w:highlight w:val="none"/>
        </w:rPr>
        <w:t xml:space="preserve"> 作业范围：</w:t>
      </w:r>
      <w:r>
        <w:rPr>
          <w:rFonts w:hint="eastAsia" w:hAnsi="宋体" w:cs="宋体"/>
          <w:b/>
          <w:color w:val="auto"/>
          <w:sz w:val="24"/>
          <w:szCs w:val="24"/>
          <w:highlight w:val="none"/>
          <w:u w:val="single"/>
        </w:rPr>
        <w:t xml:space="preserve">                         </w:t>
      </w:r>
    </w:p>
    <w:p w14:paraId="7131D430">
      <w:pPr>
        <w:spacing w:line="400" w:lineRule="exact"/>
        <w:ind w:firstLine="480" w:firstLineChars="200"/>
        <w:rPr>
          <w:rFonts w:ascii="宋体" w:hAnsi="宋体" w:cs="宋体"/>
          <w:color w:val="auto"/>
          <w:sz w:val="24"/>
          <w:highlight w:val="none"/>
        </w:rPr>
      </w:pPr>
    </w:p>
    <w:p w14:paraId="1FA63604">
      <w:pPr>
        <w:pStyle w:val="18"/>
        <w:numPr>
          <w:ilvl w:val="0"/>
          <w:numId w:val="5"/>
        </w:numPr>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工作内容：</w:t>
      </w:r>
      <w:r>
        <w:rPr>
          <w:rFonts w:hint="eastAsia" w:hAnsi="宋体" w:cs="宋体"/>
          <w:b/>
          <w:color w:val="auto"/>
          <w:sz w:val="24"/>
          <w:szCs w:val="24"/>
          <w:highlight w:val="none"/>
          <w:u w:val="single"/>
        </w:rPr>
        <w:t xml:space="preserve">                         </w:t>
      </w:r>
    </w:p>
    <w:p w14:paraId="4673059A">
      <w:pPr>
        <w:pStyle w:val="18"/>
        <w:snapToGrid w:val="0"/>
        <w:spacing w:line="400" w:lineRule="exact"/>
        <w:ind w:firstLine="480" w:firstLineChars="200"/>
        <w:jc w:val="left"/>
        <w:rPr>
          <w:rFonts w:hAnsi="宋体" w:cs="宋体"/>
          <w:color w:val="auto"/>
          <w:sz w:val="24"/>
          <w:szCs w:val="24"/>
          <w:highlight w:val="none"/>
        </w:rPr>
      </w:pPr>
    </w:p>
    <w:p w14:paraId="45AAD018">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第三条  作业技术标准和依据及要求：</w:t>
      </w:r>
      <w:r>
        <w:rPr>
          <w:rFonts w:hint="eastAsia" w:hAnsi="宋体" w:cs="宋体"/>
          <w:b/>
          <w:color w:val="auto"/>
          <w:sz w:val="24"/>
          <w:szCs w:val="24"/>
          <w:highlight w:val="none"/>
          <w:u w:val="single"/>
        </w:rPr>
        <w:t xml:space="preserve">                         </w:t>
      </w:r>
    </w:p>
    <w:p w14:paraId="44FDF8D1">
      <w:pPr>
        <w:pStyle w:val="18"/>
        <w:snapToGrid w:val="0"/>
        <w:spacing w:line="400" w:lineRule="exact"/>
        <w:ind w:firstLine="480" w:firstLineChars="200"/>
        <w:rPr>
          <w:rFonts w:hAnsi="宋体" w:cs="宋体"/>
          <w:color w:val="auto"/>
          <w:sz w:val="24"/>
          <w:szCs w:val="24"/>
          <w:highlight w:val="none"/>
        </w:rPr>
      </w:pPr>
    </w:p>
    <w:p w14:paraId="5E3F4A6F">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第四条 服务费及支付方式：</w:t>
      </w:r>
    </w:p>
    <w:p w14:paraId="3D175C5E">
      <w:pPr>
        <w:pStyle w:val="18"/>
        <w:snapToGrid w:val="0"/>
        <w:spacing w:line="40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4.1项目合同总价款：</w:t>
      </w:r>
    </w:p>
    <w:p w14:paraId="443F4609">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4.2服务费支付方式</w:t>
      </w:r>
    </w:p>
    <w:p w14:paraId="1CF1831D">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（1）合同签订后10个工作日内，采购人向成交供应商支付合同总价30%作为预付款；</w:t>
      </w:r>
    </w:p>
    <w:p w14:paraId="44D4A723">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（2）完成项目总工作量的70%后，采购人向成交供应商支付合同总价的30%；</w:t>
      </w:r>
    </w:p>
    <w:p w14:paraId="63664C2F">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（3）成交供应商完成成果，并通过市级论证后10个工作日内，采购人向成交供应商支付合同总价的30%；</w:t>
      </w:r>
    </w:p>
    <w:p w14:paraId="743328BC">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（4）最终通过各级部门评审合格后支付尾款；</w:t>
      </w:r>
    </w:p>
    <w:p w14:paraId="761AB421">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（5）成交供应商按规定向采购人开具正式发票。</w:t>
      </w:r>
    </w:p>
    <w:p w14:paraId="797D56A3">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第五条  甲方义务</w:t>
      </w:r>
    </w:p>
    <w:p w14:paraId="5871A6C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1、协助乙方顺利进入现场工作，并为乙方提供工作便利。</w:t>
      </w:r>
    </w:p>
    <w:p w14:paraId="1B17C1A3">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2、负责组织协调普查工作。</w:t>
      </w:r>
    </w:p>
    <w:p w14:paraId="796C5D88">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第六条 乙方的义务</w:t>
      </w:r>
    </w:p>
    <w:p w14:paraId="4D4D2A02">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1、签订合同后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天内进场开始相关工作。</w:t>
      </w:r>
    </w:p>
    <w:p w14:paraId="2451757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2、乙方应按合同规定的工作内容和要求确保项目的完成。</w:t>
      </w:r>
    </w:p>
    <w:p w14:paraId="6413BE1A">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3、项目生产成果经验收合格后，成交人完成按合同要求移交数据成果，按后续服务承诺提供后续服务。</w:t>
      </w:r>
    </w:p>
    <w:p w14:paraId="6470D8EA">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第七条 乙方向甲方交付成果：</w:t>
      </w:r>
    </w:p>
    <w:p w14:paraId="583E714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合同签订之日起至60天内提交成果（如自治区林业局另有规定的，从其规定）</w:t>
      </w:r>
      <w:r>
        <w:rPr>
          <w:rFonts w:hint="eastAsia" w:ascii="宋体" w:hAnsi="宋体" w:cs="宋体"/>
          <w:color w:val="auto"/>
          <w:sz w:val="24"/>
          <w:highlight w:val="none"/>
        </w:rPr>
        <w:t>。</w:t>
      </w:r>
    </w:p>
    <w:p w14:paraId="6E8DB78B">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第八条</w:t>
      </w:r>
      <w:r>
        <w:rPr>
          <w:rFonts w:hint="eastAsia" w:hAnsi="宋体" w:cs="宋体"/>
          <w:color w:val="auto"/>
          <w:sz w:val="24"/>
          <w:szCs w:val="24"/>
          <w:highlight w:val="none"/>
        </w:rPr>
        <w:t xml:space="preserve">  对乙方生产成果的所有权、使用权和著作权归属的约定：</w:t>
      </w:r>
    </w:p>
    <w:p w14:paraId="4DC73326">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乙方生产的本项目成果资料的所有权、使用权和著作权归甲方所有，乙方未经甲方同意不得以任何形式向第三方提供及传播。</w:t>
      </w:r>
    </w:p>
    <w:p w14:paraId="6E02291F">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第九条  甲方违约责任</w:t>
      </w:r>
    </w:p>
    <w:p w14:paraId="63F06ED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1、甲方应按期提供项目基础资料和必要的测绘成果。否则，工期顺延。</w:t>
      </w:r>
    </w:p>
    <w:p w14:paraId="19D818C7">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2、付款时间每拖延一天按 1 ‰支付给乙方。</w:t>
      </w:r>
    </w:p>
    <w:p w14:paraId="123B3D66">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第十条  乙方违约责任</w:t>
      </w:r>
    </w:p>
    <w:p w14:paraId="05AF20E4">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1、乙方未能按合同规定的日期提交项目成果时，应向甲方偿付拖期损失费，每天的拖期损失费按本合同约定的工程总价款的 1 ‰计算。</w:t>
      </w:r>
    </w:p>
    <w:p w14:paraId="2A8D6C19">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2、乙方提供的项目成果质量不合格，乙方应负责无偿给予返工直至合格以上。返工时间视作拖延工期（甲方同意除外）。</w:t>
      </w:r>
    </w:p>
    <w:p w14:paraId="0E78C77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3、对于甲方提供的资料以及属于甲方的项目成果，乙方有义务从国家安全的高度做好项目成果资料的保密工作，不得向第三方转让，否则，甲方有权追究乙方因此造成的与成果造价相等的经济损失的责任。</w:t>
      </w:r>
    </w:p>
    <w:p w14:paraId="4A87CAAF">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第十一条</w:t>
      </w:r>
      <w:r>
        <w:rPr>
          <w:rFonts w:hint="eastAsia" w:hAnsi="宋体" w:cs="宋体"/>
          <w:color w:val="auto"/>
          <w:sz w:val="24"/>
          <w:szCs w:val="24"/>
          <w:highlight w:val="none"/>
        </w:rPr>
        <w:t xml:space="preserve">  由于不可抗力，致使合同无法履行时，双方应按有关法律、法规及时协商处理。</w:t>
      </w:r>
    </w:p>
    <w:p w14:paraId="567781DA">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第十二条</w:t>
      </w:r>
      <w:r>
        <w:rPr>
          <w:rFonts w:hint="eastAsia" w:hAnsi="宋体" w:cs="宋体"/>
          <w:color w:val="auto"/>
          <w:sz w:val="24"/>
          <w:szCs w:val="24"/>
          <w:highlight w:val="none"/>
        </w:rPr>
        <w:t xml:space="preserve">  本合同执行过程中的未尽事宜，双方应本着实事求是友好协商的态度加以解决。双方协商一致的，签订补充协议，补充协议与本合同具有同等效力。</w:t>
      </w:r>
    </w:p>
    <w:p w14:paraId="41BD5FB6">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第十三条</w:t>
      </w:r>
      <w:r>
        <w:rPr>
          <w:rFonts w:hint="eastAsia" w:hAnsi="宋体" w:cs="宋体"/>
          <w:color w:val="auto"/>
          <w:sz w:val="24"/>
          <w:szCs w:val="24"/>
          <w:highlight w:val="none"/>
        </w:rPr>
        <w:t xml:space="preserve">  因合同执行过程中双方发生纠纷，可由甲、乙双方协商解决，若达不成协议，甲、乙双方同意就本合同产生的纠纷向仲裁委员会申请仲裁（甲、乙双方不在合同中约定仲裁机构的，事后又没有达成书面仲裁协议的，可向有管辖权的人民法院起诉）。</w:t>
      </w:r>
    </w:p>
    <w:p w14:paraId="190DA8F4">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第十四条</w:t>
      </w:r>
      <w:r>
        <w:rPr>
          <w:rFonts w:hint="eastAsia" w:hAnsi="宋体" w:cs="宋体"/>
          <w:color w:val="auto"/>
          <w:sz w:val="24"/>
          <w:szCs w:val="24"/>
          <w:highlight w:val="none"/>
        </w:rPr>
        <w:t xml:space="preserve">  </w:t>
      </w:r>
      <w:r>
        <w:rPr>
          <w:rFonts w:hint="eastAsia" w:hAnsi="宋体" w:cs="宋体"/>
          <w:b/>
          <w:color w:val="auto"/>
          <w:sz w:val="24"/>
          <w:szCs w:val="24"/>
          <w:highlight w:val="none"/>
        </w:rPr>
        <w:t>附则</w:t>
      </w:r>
    </w:p>
    <w:p w14:paraId="3C17585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1、本合同由甲、乙双方法定代表人签字，加盖甲、乙双方公章或合同专用章即生效。全部成果交接完毕和测绘工程费结算付款完成后，本合同终止。</w:t>
      </w:r>
    </w:p>
    <w:p w14:paraId="66A4777D">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2、本合同正本一式六份，甲、乙双方各二份，采购代理机构及监督管理部门各执一份。  </w:t>
      </w:r>
    </w:p>
    <w:p w14:paraId="4E88E29B">
      <w:pPr>
        <w:pStyle w:val="18"/>
        <w:spacing w:line="400" w:lineRule="exact"/>
        <w:jc w:val="center"/>
        <w:rPr>
          <w:rFonts w:hAnsi="宋体" w:cs="宋体"/>
          <w:color w:val="auto"/>
          <w:sz w:val="24"/>
          <w:szCs w:val="24"/>
          <w:highlight w:val="none"/>
        </w:rPr>
      </w:pPr>
      <w:r>
        <w:rPr>
          <w:rFonts w:hint="eastAsia" w:hAnsi="宋体" w:cs="宋体"/>
          <w:color w:val="auto"/>
          <w:sz w:val="24"/>
          <w:szCs w:val="24"/>
          <w:highlight w:val="none"/>
        </w:rPr>
        <w:t xml:space="preserve"> </w:t>
      </w:r>
    </w:p>
    <w:p w14:paraId="746A393C">
      <w:pPr>
        <w:pStyle w:val="18"/>
        <w:spacing w:line="400" w:lineRule="exact"/>
        <w:jc w:val="center"/>
        <w:rPr>
          <w:rFonts w:hAnsi="宋体" w:cs="宋体"/>
          <w:color w:val="auto"/>
          <w:sz w:val="24"/>
          <w:szCs w:val="24"/>
          <w:highlight w:val="none"/>
        </w:rPr>
      </w:pPr>
      <w:r>
        <w:rPr>
          <w:rFonts w:hint="eastAsia" w:hAnsi="宋体" w:cs="宋体"/>
          <w:color w:val="auto"/>
          <w:sz w:val="24"/>
          <w:szCs w:val="24"/>
          <w:highlight w:val="none"/>
        </w:rPr>
        <w:t xml:space="preserve">  本页以下无正文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973"/>
      </w:tblGrid>
      <w:tr w14:paraId="49C3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867" w:type="dxa"/>
            <w:tcBorders>
              <w:top w:val="single" w:color="auto" w:sz="4" w:space="0"/>
              <w:left w:val="single" w:color="auto" w:sz="4" w:space="0"/>
              <w:bottom w:val="single" w:color="auto" w:sz="4" w:space="0"/>
              <w:right w:val="single" w:color="auto" w:sz="4" w:space="0"/>
            </w:tcBorders>
            <w:vAlign w:val="center"/>
          </w:tcPr>
          <w:p w14:paraId="2A22A657">
            <w:pPr>
              <w:pStyle w:val="18"/>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甲  方</w:t>
            </w:r>
          </w:p>
        </w:tc>
        <w:tc>
          <w:tcPr>
            <w:tcW w:w="4973" w:type="dxa"/>
            <w:tcBorders>
              <w:top w:val="single" w:color="auto" w:sz="4" w:space="0"/>
              <w:left w:val="single" w:color="auto" w:sz="4" w:space="0"/>
              <w:bottom w:val="single" w:color="auto" w:sz="4" w:space="0"/>
              <w:right w:val="single" w:color="auto" w:sz="4" w:space="0"/>
            </w:tcBorders>
            <w:vAlign w:val="center"/>
          </w:tcPr>
          <w:p w14:paraId="0E540EAE">
            <w:pPr>
              <w:pStyle w:val="18"/>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乙  方</w:t>
            </w:r>
          </w:p>
        </w:tc>
      </w:tr>
      <w:tr w14:paraId="58F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4867" w:type="dxa"/>
            <w:tcBorders>
              <w:top w:val="single" w:color="auto" w:sz="4" w:space="0"/>
              <w:left w:val="single" w:color="auto" w:sz="4" w:space="0"/>
              <w:bottom w:val="single" w:color="auto" w:sz="4" w:space="0"/>
              <w:right w:val="single" w:color="auto" w:sz="4" w:space="0"/>
            </w:tcBorders>
          </w:tcPr>
          <w:p w14:paraId="7CDE9C1C">
            <w:pPr>
              <w:pStyle w:val="18"/>
              <w:spacing w:line="360" w:lineRule="auto"/>
              <w:rPr>
                <w:rFonts w:hAnsi="宋体" w:cs="宋体"/>
                <w:color w:val="auto"/>
                <w:sz w:val="24"/>
                <w:szCs w:val="24"/>
                <w:highlight w:val="none"/>
              </w:rPr>
            </w:pPr>
          </w:p>
          <w:p w14:paraId="0317E4BF">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甲方（章）: </w:t>
            </w:r>
          </w:p>
          <w:p w14:paraId="46AF2F8E">
            <w:pPr>
              <w:pStyle w:val="18"/>
              <w:spacing w:line="360" w:lineRule="auto"/>
              <w:rPr>
                <w:rFonts w:hAnsi="宋体" w:cs="宋体"/>
                <w:color w:val="auto"/>
                <w:sz w:val="24"/>
                <w:szCs w:val="24"/>
                <w:highlight w:val="none"/>
              </w:rPr>
            </w:pPr>
          </w:p>
          <w:p w14:paraId="49C02EF5">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w:t>
            </w:r>
          </w:p>
          <w:p w14:paraId="6CD64BB6">
            <w:pPr>
              <w:pStyle w:val="18"/>
              <w:spacing w:line="360" w:lineRule="auto"/>
              <w:rPr>
                <w:rFonts w:hAnsi="宋体" w:cs="宋体"/>
                <w:color w:val="auto"/>
                <w:sz w:val="24"/>
                <w:szCs w:val="24"/>
                <w:highlight w:val="none"/>
              </w:rPr>
            </w:pPr>
            <w:r>
              <w:rPr>
                <w:rFonts w:hint="eastAsia" w:hAnsi="宋体" w:cs="宋体"/>
                <w:color w:val="auto"/>
                <w:sz w:val="24"/>
                <w:szCs w:val="24"/>
                <w:highlight w:val="none"/>
              </w:rPr>
              <w:t>委托代理人:</w:t>
            </w:r>
          </w:p>
          <w:p w14:paraId="742375BB">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地址: </w:t>
            </w:r>
          </w:p>
          <w:p w14:paraId="0F688770">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电话: </w:t>
            </w:r>
          </w:p>
          <w:p w14:paraId="38209AF2">
            <w:pPr>
              <w:pStyle w:val="18"/>
              <w:spacing w:line="360" w:lineRule="auto"/>
              <w:rPr>
                <w:rFonts w:hAnsi="宋体" w:cs="宋体"/>
                <w:color w:val="auto"/>
                <w:sz w:val="24"/>
                <w:szCs w:val="24"/>
                <w:highlight w:val="none"/>
              </w:rPr>
            </w:pPr>
            <w:r>
              <w:rPr>
                <w:rFonts w:hint="eastAsia" w:hAnsi="宋体" w:cs="宋体"/>
                <w:color w:val="auto"/>
                <w:sz w:val="24"/>
                <w:szCs w:val="24"/>
                <w:highlight w:val="none"/>
              </w:rPr>
              <w:t>传真：</w:t>
            </w:r>
          </w:p>
          <w:p w14:paraId="55E505C9">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开户银行: </w:t>
            </w:r>
          </w:p>
          <w:p w14:paraId="4E1BE1FC">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户名: </w:t>
            </w:r>
          </w:p>
          <w:p w14:paraId="1EB964F4">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账号: </w:t>
            </w:r>
          </w:p>
          <w:p w14:paraId="4962A767">
            <w:pPr>
              <w:pStyle w:val="18"/>
              <w:spacing w:line="360" w:lineRule="auto"/>
              <w:rPr>
                <w:rFonts w:hAnsi="宋体" w:cs="宋体"/>
                <w:color w:val="auto"/>
                <w:sz w:val="24"/>
                <w:szCs w:val="24"/>
                <w:highlight w:val="none"/>
              </w:rPr>
            </w:pPr>
            <w:r>
              <w:rPr>
                <w:rFonts w:hint="eastAsia" w:hAnsi="宋体" w:cs="宋体"/>
                <w:color w:val="auto"/>
                <w:sz w:val="24"/>
                <w:szCs w:val="24"/>
                <w:highlight w:val="none"/>
              </w:rPr>
              <w:t>邮政编码:</w:t>
            </w:r>
          </w:p>
        </w:tc>
        <w:tc>
          <w:tcPr>
            <w:tcW w:w="4973" w:type="dxa"/>
            <w:tcBorders>
              <w:top w:val="single" w:color="auto" w:sz="4" w:space="0"/>
              <w:left w:val="single" w:color="auto" w:sz="4" w:space="0"/>
              <w:bottom w:val="single" w:color="auto" w:sz="4" w:space="0"/>
              <w:right w:val="single" w:color="auto" w:sz="4" w:space="0"/>
            </w:tcBorders>
          </w:tcPr>
          <w:p w14:paraId="68BCEE30">
            <w:pPr>
              <w:pStyle w:val="18"/>
              <w:spacing w:line="360" w:lineRule="auto"/>
              <w:rPr>
                <w:rFonts w:hAnsi="宋体" w:cs="宋体"/>
                <w:color w:val="auto"/>
                <w:sz w:val="24"/>
                <w:szCs w:val="24"/>
                <w:highlight w:val="none"/>
              </w:rPr>
            </w:pPr>
          </w:p>
          <w:p w14:paraId="330A8420">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乙方（章）: </w:t>
            </w:r>
          </w:p>
          <w:p w14:paraId="357B8D8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w:t>
            </w:r>
          </w:p>
          <w:p w14:paraId="5FF23077">
            <w:pPr>
              <w:pStyle w:val="18"/>
              <w:spacing w:line="360" w:lineRule="auto"/>
              <w:rPr>
                <w:rFonts w:hAnsi="宋体" w:cs="宋体"/>
                <w:color w:val="auto"/>
                <w:sz w:val="24"/>
                <w:szCs w:val="24"/>
                <w:highlight w:val="none"/>
              </w:rPr>
            </w:pPr>
            <w:r>
              <w:rPr>
                <w:rFonts w:hint="eastAsia" w:hAnsi="宋体" w:cs="宋体"/>
                <w:color w:val="auto"/>
                <w:sz w:val="24"/>
                <w:szCs w:val="24"/>
                <w:highlight w:val="none"/>
              </w:rPr>
              <w:t>委托代理人:</w:t>
            </w:r>
          </w:p>
          <w:p w14:paraId="693A21B1">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地址: </w:t>
            </w:r>
          </w:p>
          <w:p w14:paraId="762B62AE">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电话: </w:t>
            </w:r>
          </w:p>
          <w:p w14:paraId="7975B62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传真:  </w:t>
            </w:r>
          </w:p>
          <w:p w14:paraId="33DADE0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开户银行: </w:t>
            </w:r>
          </w:p>
          <w:p w14:paraId="6E855C61">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户名: </w:t>
            </w:r>
          </w:p>
          <w:p w14:paraId="0D35F645">
            <w:pPr>
              <w:pStyle w:val="18"/>
              <w:spacing w:line="360" w:lineRule="auto"/>
              <w:rPr>
                <w:rFonts w:hAnsi="宋体" w:cs="宋体"/>
                <w:color w:val="auto"/>
                <w:sz w:val="24"/>
                <w:szCs w:val="24"/>
                <w:highlight w:val="none"/>
              </w:rPr>
            </w:pPr>
            <w:r>
              <w:rPr>
                <w:rFonts w:hint="eastAsia" w:hAnsi="宋体" w:cs="宋体"/>
                <w:color w:val="auto"/>
                <w:sz w:val="24"/>
                <w:szCs w:val="24"/>
                <w:highlight w:val="none"/>
              </w:rPr>
              <w:t>账号:</w:t>
            </w:r>
          </w:p>
          <w:p w14:paraId="6A356073">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邮政编码: </w:t>
            </w:r>
          </w:p>
          <w:p w14:paraId="1CC1FC23">
            <w:pPr>
              <w:pStyle w:val="18"/>
              <w:spacing w:line="360" w:lineRule="auto"/>
              <w:rPr>
                <w:rFonts w:hAnsi="宋体" w:cs="宋体"/>
                <w:color w:val="auto"/>
                <w:sz w:val="24"/>
                <w:szCs w:val="24"/>
                <w:highlight w:val="none"/>
              </w:rPr>
            </w:pPr>
            <w:r>
              <w:rPr>
                <w:rFonts w:hint="eastAsia" w:hAnsi="宋体" w:cs="宋体"/>
                <w:color w:val="auto"/>
                <w:sz w:val="24"/>
                <w:szCs w:val="24"/>
                <w:highlight w:val="none"/>
              </w:rPr>
              <w:t>纳税人识别号：</w:t>
            </w:r>
          </w:p>
        </w:tc>
      </w:tr>
    </w:tbl>
    <w:p w14:paraId="6D44086A">
      <w:pPr>
        <w:tabs>
          <w:tab w:val="left" w:pos="904"/>
        </w:tabs>
        <w:adjustRightInd w:val="0"/>
        <w:snapToGrid w:val="0"/>
        <w:spacing w:line="360" w:lineRule="auto"/>
        <w:ind w:firstLine="241" w:firstLineChars="100"/>
        <w:jc w:val="left"/>
        <w:rPr>
          <w:rFonts w:ascii="宋体" w:hAnsi="宋体" w:cs="宋体"/>
          <w:b/>
          <w:color w:val="auto"/>
          <w:sz w:val="24"/>
          <w:highlight w:val="none"/>
        </w:rPr>
      </w:pPr>
    </w:p>
    <w:p w14:paraId="6603B953">
      <w:pPr>
        <w:rPr>
          <w:rFonts w:ascii="宋体" w:hAnsi="宋体" w:cs="宋体"/>
          <w:color w:val="auto"/>
          <w:sz w:val="24"/>
          <w:highlight w:val="none"/>
        </w:rPr>
      </w:pPr>
    </w:p>
    <w:p w14:paraId="37E997DE">
      <w:pPr>
        <w:pStyle w:val="15"/>
        <w:rPr>
          <w:rFonts w:ascii="宋体" w:hAnsi="宋体" w:cs="宋体"/>
          <w:color w:val="auto"/>
          <w:highlight w:val="none"/>
        </w:rPr>
      </w:pPr>
    </w:p>
    <w:p w14:paraId="1773FD03">
      <w:pPr>
        <w:snapToGrid w:val="0"/>
        <w:spacing w:line="360" w:lineRule="auto"/>
        <w:rPr>
          <w:rFonts w:ascii="宋体" w:hAnsi="宋体" w:cs="宋体"/>
          <w:b/>
          <w:color w:val="auto"/>
          <w:szCs w:val="21"/>
          <w:highlight w:val="none"/>
        </w:rPr>
      </w:pPr>
    </w:p>
    <w:sectPr>
      <w:footerReference r:id="rId6" w:type="first"/>
      <w:footerReference r:id="rId5" w:type="default"/>
      <w:pgSz w:w="11906" w:h="16838"/>
      <w:pgMar w:top="1440" w:right="1080" w:bottom="1440" w:left="130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E2E5EAC1-C8FC-48EF-9797-C194BB8843C4}"/>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2" w:fontKey="{6E5A061C-F585-40E3-A5E0-62934212020C}"/>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embedRegular r:id="rId3" w:fontKey="{A955FA02-8A61-4450-AF21-6BA790DA7525}"/>
  </w:font>
  <w:font w:name="方正小标宋简体">
    <w:altName w:val="微软雅黑"/>
    <w:panose1 w:val="00000000000000000000"/>
    <w:charset w:val="86"/>
    <w:family w:val="script"/>
    <w:pitch w:val="default"/>
    <w:sig w:usb0="00000000" w:usb1="00000000" w:usb2="00000000" w:usb3="00000000" w:csb0="00040000" w:csb1="00000000"/>
    <w:embedRegular r:id="rId4" w:fontKey="{98BA9495-0377-4E39-B163-628E19315F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B97F">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09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350C8F9">
                          <w:pPr>
                            <w:pStyle w:val="22"/>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Text Box 40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NuVDIz9AQAABAQAAA4AAAAAAAAAAQAgAAAAHwEAAGRycy9lMm9Eb2MueG1s&#10;UEsFBgAAAAAGAAYAWQEAAI4FAAAAAA==&#10;">
              <v:fill on="f" focussize="0,0"/>
              <v:stroke on="f"/>
              <v:imagedata o:title=""/>
              <o:lock v:ext="edit" aspectratio="f"/>
              <v:textbox inset="0mm,0mm,0mm,0mm" style="mso-fit-shape-to-text:t;">
                <w:txbxContent>
                  <w:p w14:paraId="3350C8F9">
                    <w:pPr>
                      <w:pStyle w:val="22"/>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1F83405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5CAE">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409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7DA37F">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09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IYVWSPwBAAADBAAADgAAAAAAAAABACAAAAAfAQAAZHJzL2Uyb0RvYy54bWxQ&#10;SwUGAAAAAAYABgBZAQAAjQUAAAAA&#10;">
              <v:fill on="f" focussize="0,0"/>
              <v:stroke on="f"/>
              <v:imagedata o:title=""/>
              <o:lock v:ext="edit" aspectratio="f"/>
              <v:textbox inset="0mm,0mm,0mm,0mm" style="mso-fit-shape-to-text:t;">
                <w:txbxContent>
                  <w:p w14:paraId="117DA37F">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436A">
    <w:pPr>
      <w:pStyle w:val="23"/>
      <w:jc w:val="both"/>
    </w:pPr>
    <w:r>
      <w:rPr>
        <w:rFonts w:hint="eastAsia"/>
      </w:rPr>
      <w:t>项目名称：</w:t>
    </w:r>
    <w:r>
      <w:rPr>
        <w:rFonts w:hint="eastAsia"/>
        <w:lang w:eastAsia="zh-CN"/>
      </w:rPr>
      <w:t>德保县国营黄连山林场森林资源规划设计调查补充调查工作服务</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58B1">
    <w:pPr>
      <w:pStyle w:val="23"/>
      <w:jc w:val="both"/>
    </w:pPr>
    <w:r>
      <w:rPr>
        <w:rFonts w:hint="eastAsia"/>
      </w:rPr>
      <w:t>项目名称：</w:t>
    </w:r>
    <w:r>
      <w:rPr>
        <w:rFonts w:hint="eastAsia"/>
        <w:lang w:eastAsia="zh-CN"/>
      </w:rPr>
      <w:t>德保县国营黄连山林场森林资源规划设计调查补充调查工作服务</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ABF54"/>
    <w:multiLevelType w:val="singleLevel"/>
    <w:tmpl w:val="87BABF54"/>
    <w:lvl w:ilvl="0" w:tentative="0">
      <w:start w:val="7"/>
      <w:numFmt w:val="chineseCounting"/>
      <w:suff w:val="nothing"/>
      <w:lvlText w:val="%1、"/>
      <w:lvlJc w:val="left"/>
      <w:rPr>
        <w:rFonts w:hint="eastAsia"/>
      </w:rPr>
    </w:lvl>
  </w:abstractNum>
  <w:abstractNum w:abstractNumId="1">
    <w:nsid w:val="C70FBD95"/>
    <w:multiLevelType w:val="singleLevel"/>
    <w:tmpl w:val="C70FBD95"/>
    <w:lvl w:ilvl="0" w:tentative="0">
      <w:start w:val="1"/>
      <w:numFmt w:val="chineseCounting"/>
      <w:suff w:val="space"/>
      <w:lvlText w:val="第%1章"/>
      <w:lvlJc w:val="left"/>
      <w:rPr>
        <w:rFonts w:hint="eastAsia"/>
      </w:r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384BDB16"/>
    <w:multiLevelType w:val="singleLevel"/>
    <w:tmpl w:val="384BDB16"/>
    <w:lvl w:ilvl="0" w:tentative="0">
      <w:start w:val="1"/>
      <w:numFmt w:val="chineseCounting"/>
      <w:suff w:val="space"/>
      <w:lvlText w:val="第%1条"/>
      <w:lvlJc w:val="left"/>
      <w:pPr>
        <w:ind w:left="0" w:firstLine="0"/>
      </w:pPr>
    </w:lvl>
  </w:abstractNum>
  <w:abstractNum w:abstractNumId="4">
    <w:nsid w:val="4D4DCBCD"/>
    <w:multiLevelType w:val="singleLevel"/>
    <w:tmpl w:val="4D4DCBC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1" w:cryptProviderType="rsaFull" w:cryptAlgorithmClass="hash" w:cryptAlgorithmType="typeAny" w:cryptAlgorithmSid="4" w:cryptSpinCount="0" w:hash="kpwNmr8MH+e8EBB/70nNng9Kz88=" w:salt="9xbBwGndeE9uhRMVZsxFC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mM1NDVjNTkxNGRlODI1ZThjY2RmNmVkNjNmOGIifQ=="/>
    <w:docVar w:name="KSO_WPS_MARK_KEY" w:val="934b0ce5-7a4e-4933-92ca-08120e4a10f4"/>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298"/>
    <w:rsid w:val="0009560F"/>
    <w:rsid w:val="0009588E"/>
    <w:rsid w:val="000959EE"/>
    <w:rsid w:val="00097183"/>
    <w:rsid w:val="000972CB"/>
    <w:rsid w:val="00097608"/>
    <w:rsid w:val="000A13F3"/>
    <w:rsid w:val="000A23B1"/>
    <w:rsid w:val="000A2B0E"/>
    <w:rsid w:val="000A398F"/>
    <w:rsid w:val="000A448C"/>
    <w:rsid w:val="000A509C"/>
    <w:rsid w:val="000A523B"/>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BA1"/>
    <w:rsid w:val="00102676"/>
    <w:rsid w:val="00103646"/>
    <w:rsid w:val="00103918"/>
    <w:rsid w:val="00104096"/>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1A"/>
    <w:rsid w:val="00117CBD"/>
    <w:rsid w:val="0012006A"/>
    <w:rsid w:val="00121979"/>
    <w:rsid w:val="00122064"/>
    <w:rsid w:val="00122C7F"/>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B7B"/>
    <w:rsid w:val="001434BE"/>
    <w:rsid w:val="00144050"/>
    <w:rsid w:val="0014479F"/>
    <w:rsid w:val="001452B4"/>
    <w:rsid w:val="00145320"/>
    <w:rsid w:val="00147674"/>
    <w:rsid w:val="001476D3"/>
    <w:rsid w:val="001509CF"/>
    <w:rsid w:val="00150D1D"/>
    <w:rsid w:val="001525AA"/>
    <w:rsid w:val="00152A87"/>
    <w:rsid w:val="00153BB5"/>
    <w:rsid w:val="00154518"/>
    <w:rsid w:val="00156359"/>
    <w:rsid w:val="00156DD6"/>
    <w:rsid w:val="0016086E"/>
    <w:rsid w:val="00160D0C"/>
    <w:rsid w:val="00160E78"/>
    <w:rsid w:val="00161172"/>
    <w:rsid w:val="00161998"/>
    <w:rsid w:val="00161E65"/>
    <w:rsid w:val="00162597"/>
    <w:rsid w:val="001629AF"/>
    <w:rsid w:val="001629FD"/>
    <w:rsid w:val="00162E10"/>
    <w:rsid w:val="0016428A"/>
    <w:rsid w:val="001647C9"/>
    <w:rsid w:val="00165140"/>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A57"/>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343"/>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3E2"/>
    <w:rsid w:val="00281F5B"/>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1AF8"/>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3ACB"/>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E7047"/>
    <w:rsid w:val="002F0522"/>
    <w:rsid w:val="002F16DD"/>
    <w:rsid w:val="002F199D"/>
    <w:rsid w:val="002F213C"/>
    <w:rsid w:val="002F2453"/>
    <w:rsid w:val="002F352D"/>
    <w:rsid w:val="002F4084"/>
    <w:rsid w:val="002F4A08"/>
    <w:rsid w:val="002F4ADB"/>
    <w:rsid w:val="002F531E"/>
    <w:rsid w:val="002F548D"/>
    <w:rsid w:val="002F5ACC"/>
    <w:rsid w:val="002F6083"/>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2667"/>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DD3"/>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250"/>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52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5BC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32"/>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44E"/>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3274"/>
    <w:rsid w:val="00564126"/>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877F2"/>
    <w:rsid w:val="00590B77"/>
    <w:rsid w:val="00590D9A"/>
    <w:rsid w:val="005913A3"/>
    <w:rsid w:val="005940D4"/>
    <w:rsid w:val="00594A7B"/>
    <w:rsid w:val="00594EDE"/>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341"/>
    <w:rsid w:val="005B07EC"/>
    <w:rsid w:val="005B2B11"/>
    <w:rsid w:val="005B32A4"/>
    <w:rsid w:val="005B338D"/>
    <w:rsid w:val="005B3613"/>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45B"/>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DFE"/>
    <w:rsid w:val="00640082"/>
    <w:rsid w:val="00640291"/>
    <w:rsid w:val="00640EFE"/>
    <w:rsid w:val="00641D6D"/>
    <w:rsid w:val="00641FAC"/>
    <w:rsid w:val="00643664"/>
    <w:rsid w:val="00643CAA"/>
    <w:rsid w:val="00644F16"/>
    <w:rsid w:val="006452D5"/>
    <w:rsid w:val="006455EB"/>
    <w:rsid w:val="006456C2"/>
    <w:rsid w:val="006477F0"/>
    <w:rsid w:val="006478E4"/>
    <w:rsid w:val="0065171A"/>
    <w:rsid w:val="00652680"/>
    <w:rsid w:val="00653CDE"/>
    <w:rsid w:val="00654585"/>
    <w:rsid w:val="00655AB6"/>
    <w:rsid w:val="00656281"/>
    <w:rsid w:val="0065636A"/>
    <w:rsid w:val="00657003"/>
    <w:rsid w:val="006601F1"/>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6A3B"/>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78"/>
    <w:rsid w:val="006D2E9D"/>
    <w:rsid w:val="006D4A4E"/>
    <w:rsid w:val="006D4C42"/>
    <w:rsid w:val="006D5809"/>
    <w:rsid w:val="006D607E"/>
    <w:rsid w:val="006D6E12"/>
    <w:rsid w:val="006D70CB"/>
    <w:rsid w:val="006D715C"/>
    <w:rsid w:val="006D7363"/>
    <w:rsid w:val="006D774E"/>
    <w:rsid w:val="006E0754"/>
    <w:rsid w:val="006E0E19"/>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01A6"/>
    <w:rsid w:val="0070174E"/>
    <w:rsid w:val="007018DB"/>
    <w:rsid w:val="00701DE6"/>
    <w:rsid w:val="0070381B"/>
    <w:rsid w:val="007077ED"/>
    <w:rsid w:val="0070796C"/>
    <w:rsid w:val="007108B2"/>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5EBF"/>
    <w:rsid w:val="0073792F"/>
    <w:rsid w:val="00740C81"/>
    <w:rsid w:val="00740DA6"/>
    <w:rsid w:val="00741B4B"/>
    <w:rsid w:val="00741D1E"/>
    <w:rsid w:val="00741DD6"/>
    <w:rsid w:val="00741EE2"/>
    <w:rsid w:val="0074207F"/>
    <w:rsid w:val="00742367"/>
    <w:rsid w:val="00742EAA"/>
    <w:rsid w:val="00742FB2"/>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0C2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008"/>
    <w:rsid w:val="00824306"/>
    <w:rsid w:val="008249D2"/>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77A80"/>
    <w:rsid w:val="00880106"/>
    <w:rsid w:val="00880F95"/>
    <w:rsid w:val="00882B44"/>
    <w:rsid w:val="008838AD"/>
    <w:rsid w:val="00884DBE"/>
    <w:rsid w:val="00886250"/>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1E78"/>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5FC"/>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5B73"/>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F5B"/>
    <w:rsid w:val="00A15655"/>
    <w:rsid w:val="00A1740C"/>
    <w:rsid w:val="00A20069"/>
    <w:rsid w:val="00A2244D"/>
    <w:rsid w:val="00A2253D"/>
    <w:rsid w:val="00A23EC3"/>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779"/>
    <w:rsid w:val="00A73861"/>
    <w:rsid w:val="00A739A6"/>
    <w:rsid w:val="00A740ED"/>
    <w:rsid w:val="00A74575"/>
    <w:rsid w:val="00A74C29"/>
    <w:rsid w:val="00A74C62"/>
    <w:rsid w:val="00A75EF9"/>
    <w:rsid w:val="00A80ABF"/>
    <w:rsid w:val="00A8311C"/>
    <w:rsid w:val="00A835D0"/>
    <w:rsid w:val="00A84C5F"/>
    <w:rsid w:val="00A85930"/>
    <w:rsid w:val="00A863F7"/>
    <w:rsid w:val="00A86604"/>
    <w:rsid w:val="00A87519"/>
    <w:rsid w:val="00A9246D"/>
    <w:rsid w:val="00A93BD0"/>
    <w:rsid w:val="00A93CC2"/>
    <w:rsid w:val="00A974CC"/>
    <w:rsid w:val="00AA069B"/>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5C0"/>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848"/>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3922"/>
    <w:rsid w:val="00B542FE"/>
    <w:rsid w:val="00B55A1B"/>
    <w:rsid w:val="00B561DB"/>
    <w:rsid w:val="00B562A2"/>
    <w:rsid w:val="00B56DF9"/>
    <w:rsid w:val="00B600BD"/>
    <w:rsid w:val="00B61274"/>
    <w:rsid w:val="00B61DCE"/>
    <w:rsid w:val="00B62188"/>
    <w:rsid w:val="00B62F79"/>
    <w:rsid w:val="00B62F82"/>
    <w:rsid w:val="00B6306A"/>
    <w:rsid w:val="00B635E3"/>
    <w:rsid w:val="00B63D96"/>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6E2E"/>
    <w:rsid w:val="00BB7BE5"/>
    <w:rsid w:val="00BB7C21"/>
    <w:rsid w:val="00BC08BD"/>
    <w:rsid w:val="00BC11E8"/>
    <w:rsid w:val="00BC1A52"/>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764"/>
    <w:rsid w:val="00BD5CD4"/>
    <w:rsid w:val="00BD65D9"/>
    <w:rsid w:val="00BD6DF3"/>
    <w:rsid w:val="00BD6E09"/>
    <w:rsid w:val="00BD6EF9"/>
    <w:rsid w:val="00BE0ACB"/>
    <w:rsid w:val="00BE2260"/>
    <w:rsid w:val="00BE2D88"/>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43F"/>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0E62"/>
    <w:rsid w:val="00CB19FE"/>
    <w:rsid w:val="00CB2364"/>
    <w:rsid w:val="00CB304C"/>
    <w:rsid w:val="00CB3933"/>
    <w:rsid w:val="00CB53E8"/>
    <w:rsid w:val="00CB594A"/>
    <w:rsid w:val="00CB5CB2"/>
    <w:rsid w:val="00CB64AC"/>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1B1"/>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992"/>
    <w:rsid w:val="00D16C58"/>
    <w:rsid w:val="00D17019"/>
    <w:rsid w:val="00D17FC8"/>
    <w:rsid w:val="00D20B44"/>
    <w:rsid w:val="00D21168"/>
    <w:rsid w:val="00D2438C"/>
    <w:rsid w:val="00D2585B"/>
    <w:rsid w:val="00D26C3F"/>
    <w:rsid w:val="00D27185"/>
    <w:rsid w:val="00D27D11"/>
    <w:rsid w:val="00D33AB3"/>
    <w:rsid w:val="00D33F24"/>
    <w:rsid w:val="00D34160"/>
    <w:rsid w:val="00D346B8"/>
    <w:rsid w:val="00D34DCA"/>
    <w:rsid w:val="00D35AC8"/>
    <w:rsid w:val="00D36F87"/>
    <w:rsid w:val="00D37E4E"/>
    <w:rsid w:val="00D417D8"/>
    <w:rsid w:val="00D41F78"/>
    <w:rsid w:val="00D42E6C"/>
    <w:rsid w:val="00D4351C"/>
    <w:rsid w:val="00D43B80"/>
    <w:rsid w:val="00D44611"/>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2C6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3A7"/>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3FE"/>
    <w:rsid w:val="00E219CE"/>
    <w:rsid w:val="00E24071"/>
    <w:rsid w:val="00E24EBC"/>
    <w:rsid w:val="00E2522C"/>
    <w:rsid w:val="00E2552F"/>
    <w:rsid w:val="00E2599B"/>
    <w:rsid w:val="00E2710C"/>
    <w:rsid w:val="00E2736B"/>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4F69"/>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76A"/>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104D"/>
    <w:rsid w:val="00F81587"/>
    <w:rsid w:val="00F8288F"/>
    <w:rsid w:val="00F84802"/>
    <w:rsid w:val="00F85B72"/>
    <w:rsid w:val="00F86540"/>
    <w:rsid w:val="00F865CE"/>
    <w:rsid w:val="00F86B8F"/>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313A8"/>
    <w:rsid w:val="01AF3D99"/>
    <w:rsid w:val="01B110AA"/>
    <w:rsid w:val="01E9556C"/>
    <w:rsid w:val="0211090E"/>
    <w:rsid w:val="02511F9D"/>
    <w:rsid w:val="02B82C65"/>
    <w:rsid w:val="03120D29"/>
    <w:rsid w:val="03215DBB"/>
    <w:rsid w:val="037662D8"/>
    <w:rsid w:val="03A314B8"/>
    <w:rsid w:val="03AF0E31"/>
    <w:rsid w:val="03D82B98"/>
    <w:rsid w:val="03E533B8"/>
    <w:rsid w:val="03F83E8B"/>
    <w:rsid w:val="040C25C7"/>
    <w:rsid w:val="04A24CDA"/>
    <w:rsid w:val="04E840AB"/>
    <w:rsid w:val="052B0002"/>
    <w:rsid w:val="056B77C2"/>
    <w:rsid w:val="05962B68"/>
    <w:rsid w:val="05A827C4"/>
    <w:rsid w:val="05AA5C6E"/>
    <w:rsid w:val="05C56868"/>
    <w:rsid w:val="061F0CF1"/>
    <w:rsid w:val="06207A56"/>
    <w:rsid w:val="06211DF6"/>
    <w:rsid w:val="06354BAC"/>
    <w:rsid w:val="067246B5"/>
    <w:rsid w:val="06810FA8"/>
    <w:rsid w:val="06C918CF"/>
    <w:rsid w:val="07B72767"/>
    <w:rsid w:val="07E775D3"/>
    <w:rsid w:val="080269A2"/>
    <w:rsid w:val="08077E72"/>
    <w:rsid w:val="085941C4"/>
    <w:rsid w:val="085D1644"/>
    <w:rsid w:val="08882DD0"/>
    <w:rsid w:val="09993A7F"/>
    <w:rsid w:val="09BB0D18"/>
    <w:rsid w:val="09CC2AAC"/>
    <w:rsid w:val="0A083831"/>
    <w:rsid w:val="0A652D3E"/>
    <w:rsid w:val="0AA01CBB"/>
    <w:rsid w:val="0AAE6B22"/>
    <w:rsid w:val="0AC70A6D"/>
    <w:rsid w:val="0AE167DB"/>
    <w:rsid w:val="0B326F2A"/>
    <w:rsid w:val="0B666A61"/>
    <w:rsid w:val="0BEB6F66"/>
    <w:rsid w:val="0C011CFE"/>
    <w:rsid w:val="0C1E2888"/>
    <w:rsid w:val="0C92213C"/>
    <w:rsid w:val="0C943AA2"/>
    <w:rsid w:val="0D3C4789"/>
    <w:rsid w:val="0D442DD2"/>
    <w:rsid w:val="0D4E3C51"/>
    <w:rsid w:val="0D84032B"/>
    <w:rsid w:val="0DD04666"/>
    <w:rsid w:val="0E5E5152"/>
    <w:rsid w:val="0F2A74C4"/>
    <w:rsid w:val="0F490136"/>
    <w:rsid w:val="0F554D18"/>
    <w:rsid w:val="0F5C216B"/>
    <w:rsid w:val="0F605330"/>
    <w:rsid w:val="0F767AA0"/>
    <w:rsid w:val="10211F13"/>
    <w:rsid w:val="10284C2D"/>
    <w:rsid w:val="10394744"/>
    <w:rsid w:val="10543875"/>
    <w:rsid w:val="105930A8"/>
    <w:rsid w:val="10717588"/>
    <w:rsid w:val="10A27F31"/>
    <w:rsid w:val="110A1309"/>
    <w:rsid w:val="111676F8"/>
    <w:rsid w:val="111F0680"/>
    <w:rsid w:val="11545714"/>
    <w:rsid w:val="11927058"/>
    <w:rsid w:val="11942293"/>
    <w:rsid w:val="11CA3DDF"/>
    <w:rsid w:val="11F647C8"/>
    <w:rsid w:val="11FF4F63"/>
    <w:rsid w:val="121D0DB5"/>
    <w:rsid w:val="12D4020F"/>
    <w:rsid w:val="12EA7CAB"/>
    <w:rsid w:val="13166FBF"/>
    <w:rsid w:val="1326156F"/>
    <w:rsid w:val="133D279D"/>
    <w:rsid w:val="13694841"/>
    <w:rsid w:val="13AF4F03"/>
    <w:rsid w:val="13BF7458"/>
    <w:rsid w:val="13D1077B"/>
    <w:rsid w:val="143858D0"/>
    <w:rsid w:val="145F04F1"/>
    <w:rsid w:val="147321EF"/>
    <w:rsid w:val="14736E66"/>
    <w:rsid w:val="147C5547"/>
    <w:rsid w:val="147F458F"/>
    <w:rsid w:val="149C654B"/>
    <w:rsid w:val="14BB6070"/>
    <w:rsid w:val="14CC4202"/>
    <w:rsid w:val="150C0679"/>
    <w:rsid w:val="15287487"/>
    <w:rsid w:val="1534169A"/>
    <w:rsid w:val="15C03E03"/>
    <w:rsid w:val="15D30396"/>
    <w:rsid w:val="15EC04AB"/>
    <w:rsid w:val="16225C7A"/>
    <w:rsid w:val="162A25EB"/>
    <w:rsid w:val="16921052"/>
    <w:rsid w:val="16AF39B2"/>
    <w:rsid w:val="16CC4D1F"/>
    <w:rsid w:val="16FD2A55"/>
    <w:rsid w:val="17067C1A"/>
    <w:rsid w:val="170B2BB3"/>
    <w:rsid w:val="1726179A"/>
    <w:rsid w:val="17366761"/>
    <w:rsid w:val="17514A3E"/>
    <w:rsid w:val="1752433D"/>
    <w:rsid w:val="17550FEB"/>
    <w:rsid w:val="177C01F0"/>
    <w:rsid w:val="1783099B"/>
    <w:rsid w:val="17CE6630"/>
    <w:rsid w:val="17DA60ED"/>
    <w:rsid w:val="18AD3F21"/>
    <w:rsid w:val="18F27B86"/>
    <w:rsid w:val="18F67D9A"/>
    <w:rsid w:val="19410B0E"/>
    <w:rsid w:val="19630A84"/>
    <w:rsid w:val="197B53D3"/>
    <w:rsid w:val="19D50791"/>
    <w:rsid w:val="1A7171D0"/>
    <w:rsid w:val="1AA54634"/>
    <w:rsid w:val="1AEC5396"/>
    <w:rsid w:val="1AFF0AFE"/>
    <w:rsid w:val="1B083691"/>
    <w:rsid w:val="1B4F19F8"/>
    <w:rsid w:val="1B72604B"/>
    <w:rsid w:val="1B886580"/>
    <w:rsid w:val="1BA2219B"/>
    <w:rsid w:val="1BB16DAD"/>
    <w:rsid w:val="1C720E1E"/>
    <w:rsid w:val="1CAB7BC2"/>
    <w:rsid w:val="1CBA2253"/>
    <w:rsid w:val="1D1502E7"/>
    <w:rsid w:val="1DDA78F7"/>
    <w:rsid w:val="1E1B66C0"/>
    <w:rsid w:val="1ECC44FA"/>
    <w:rsid w:val="1ED11921"/>
    <w:rsid w:val="1F063325"/>
    <w:rsid w:val="1F94163B"/>
    <w:rsid w:val="1FBC5DF5"/>
    <w:rsid w:val="201A0C55"/>
    <w:rsid w:val="20341928"/>
    <w:rsid w:val="20C3623F"/>
    <w:rsid w:val="210D4B0B"/>
    <w:rsid w:val="21781212"/>
    <w:rsid w:val="21A73454"/>
    <w:rsid w:val="21B83F86"/>
    <w:rsid w:val="21B856E5"/>
    <w:rsid w:val="21DA5084"/>
    <w:rsid w:val="21DF589E"/>
    <w:rsid w:val="221178A8"/>
    <w:rsid w:val="221213CF"/>
    <w:rsid w:val="22327A92"/>
    <w:rsid w:val="22736B09"/>
    <w:rsid w:val="22A95107"/>
    <w:rsid w:val="22F30068"/>
    <w:rsid w:val="231D53A2"/>
    <w:rsid w:val="236D5383"/>
    <w:rsid w:val="23957733"/>
    <w:rsid w:val="23B7504C"/>
    <w:rsid w:val="23E262AD"/>
    <w:rsid w:val="23EB3B50"/>
    <w:rsid w:val="24013373"/>
    <w:rsid w:val="240570EF"/>
    <w:rsid w:val="2412279E"/>
    <w:rsid w:val="24571307"/>
    <w:rsid w:val="248163D5"/>
    <w:rsid w:val="24D660FE"/>
    <w:rsid w:val="25110A2A"/>
    <w:rsid w:val="25443A06"/>
    <w:rsid w:val="25654000"/>
    <w:rsid w:val="256C0944"/>
    <w:rsid w:val="259332A8"/>
    <w:rsid w:val="25BF7042"/>
    <w:rsid w:val="25C03C0F"/>
    <w:rsid w:val="25C74149"/>
    <w:rsid w:val="26265429"/>
    <w:rsid w:val="26446DE3"/>
    <w:rsid w:val="269669E7"/>
    <w:rsid w:val="26CF4758"/>
    <w:rsid w:val="26D7699F"/>
    <w:rsid w:val="2728659F"/>
    <w:rsid w:val="276E6F72"/>
    <w:rsid w:val="27F174ED"/>
    <w:rsid w:val="285931BF"/>
    <w:rsid w:val="285A5748"/>
    <w:rsid w:val="2883093D"/>
    <w:rsid w:val="2886653D"/>
    <w:rsid w:val="28D948BF"/>
    <w:rsid w:val="298173D5"/>
    <w:rsid w:val="29A87178"/>
    <w:rsid w:val="29C53533"/>
    <w:rsid w:val="29F319B0"/>
    <w:rsid w:val="2A3A138D"/>
    <w:rsid w:val="2AA07129"/>
    <w:rsid w:val="2AB64053"/>
    <w:rsid w:val="2AD11E71"/>
    <w:rsid w:val="2B134CC7"/>
    <w:rsid w:val="2B774624"/>
    <w:rsid w:val="2C241186"/>
    <w:rsid w:val="2C7A72BE"/>
    <w:rsid w:val="2C9A7D75"/>
    <w:rsid w:val="2CC3566A"/>
    <w:rsid w:val="2D4F4E81"/>
    <w:rsid w:val="2D9371DA"/>
    <w:rsid w:val="2D9A33B9"/>
    <w:rsid w:val="2DAE4759"/>
    <w:rsid w:val="2E015014"/>
    <w:rsid w:val="2E1468E2"/>
    <w:rsid w:val="2E792558"/>
    <w:rsid w:val="2E832100"/>
    <w:rsid w:val="2E8A42F5"/>
    <w:rsid w:val="2E9976CE"/>
    <w:rsid w:val="2ED578D6"/>
    <w:rsid w:val="2F401D3C"/>
    <w:rsid w:val="2F5B24E1"/>
    <w:rsid w:val="2FA95C88"/>
    <w:rsid w:val="2FE139F3"/>
    <w:rsid w:val="3041370F"/>
    <w:rsid w:val="3059325D"/>
    <w:rsid w:val="310F6C24"/>
    <w:rsid w:val="311D6057"/>
    <w:rsid w:val="312B50A3"/>
    <w:rsid w:val="313E2BF9"/>
    <w:rsid w:val="314814EC"/>
    <w:rsid w:val="31700539"/>
    <w:rsid w:val="31B34E33"/>
    <w:rsid w:val="31C76861"/>
    <w:rsid w:val="31D5563B"/>
    <w:rsid w:val="31E85B72"/>
    <w:rsid w:val="32453A27"/>
    <w:rsid w:val="32537490"/>
    <w:rsid w:val="32546DED"/>
    <w:rsid w:val="3263064A"/>
    <w:rsid w:val="32A43132"/>
    <w:rsid w:val="32AC0C06"/>
    <w:rsid w:val="33190218"/>
    <w:rsid w:val="33344EF5"/>
    <w:rsid w:val="3381627F"/>
    <w:rsid w:val="33835B53"/>
    <w:rsid w:val="338B45BF"/>
    <w:rsid w:val="33F21271"/>
    <w:rsid w:val="3408225D"/>
    <w:rsid w:val="34112443"/>
    <w:rsid w:val="349C3E7E"/>
    <w:rsid w:val="3537750C"/>
    <w:rsid w:val="3537798C"/>
    <w:rsid w:val="35C13FC9"/>
    <w:rsid w:val="360C77D7"/>
    <w:rsid w:val="36105772"/>
    <w:rsid w:val="361722AD"/>
    <w:rsid w:val="362A4856"/>
    <w:rsid w:val="363B0967"/>
    <w:rsid w:val="364257B6"/>
    <w:rsid w:val="36825E5C"/>
    <w:rsid w:val="36EC1C61"/>
    <w:rsid w:val="36F65DAC"/>
    <w:rsid w:val="37577122"/>
    <w:rsid w:val="376D1DBB"/>
    <w:rsid w:val="37977E1F"/>
    <w:rsid w:val="37EA5922"/>
    <w:rsid w:val="38112631"/>
    <w:rsid w:val="38116401"/>
    <w:rsid w:val="38276B93"/>
    <w:rsid w:val="386F7D39"/>
    <w:rsid w:val="38705D30"/>
    <w:rsid w:val="38AC3431"/>
    <w:rsid w:val="38E47094"/>
    <w:rsid w:val="392F2E16"/>
    <w:rsid w:val="39360837"/>
    <w:rsid w:val="393824DF"/>
    <w:rsid w:val="393C4877"/>
    <w:rsid w:val="397C371B"/>
    <w:rsid w:val="39876441"/>
    <w:rsid w:val="399446D5"/>
    <w:rsid w:val="39E00529"/>
    <w:rsid w:val="39ED3C96"/>
    <w:rsid w:val="3A054CBA"/>
    <w:rsid w:val="3A0B64A7"/>
    <w:rsid w:val="3A0E3EC6"/>
    <w:rsid w:val="3A211C22"/>
    <w:rsid w:val="3A2F55D8"/>
    <w:rsid w:val="3A574DDA"/>
    <w:rsid w:val="3AD3075A"/>
    <w:rsid w:val="3AF74C02"/>
    <w:rsid w:val="3B12384B"/>
    <w:rsid w:val="3B9B2DD5"/>
    <w:rsid w:val="3C0059A5"/>
    <w:rsid w:val="3C134E78"/>
    <w:rsid w:val="3C6504EB"/>
    <w:rsid w:val="3CF7310E"/>
    <w:rsid w:val="3D076D6E"/>
    <w:rsid w:val="3D3566C6"/>
    <w:rsid w:val="3DCF0605"/>
    <w:rsid w:val="3DF6345D"/>
    <w:rsid w:val="3E1D3B91"/>
    <w:rsid w:val="3E4D4F28"/>
    <w:rsid w:val="3E94098D"/>
    <w:rsid w:val="3EE13701"/>
    <w:rsid w:val="3EFE1908"/>
    <w:rsid w:val="3F1A4BB3"/>
    <w:rsid w:val="3F7E02FA"/>
    <w:rsid w:val="3FA674BF"/>
    <w:rsid w:val="3FC82E6A"/>
    <w:rsid w:val="3FDD483D"/>
    <w:rsid w:val="40046520"/>
    <w:rsid w:val="400C205E"/>
    <w:rsid w:val="40192BA6"/>
    <w:rsid w:val="4043629C"/>
    <w:rsid w:val="40896772"/>
    <w:rsid w:val="409C1F0F"/>
    <w:rsid w:val="40FC6F44"/>
    <w:rsid w:val="413D4413"/>
    <w:rsid w:val="420324D5"/>
    <w:rsid w:val="422C3859"/>
    <w:rsid w:val="42443F6F"/>
    <w:rsid w:val="42550A18"/>
    <w:rsid w:val="428611BC"/>
    <w:rsid w:val="428D2F47"/>
    <w:rsid w:val="429D496A"/>
    <w:rsid w:val="42F246C4"/>
    <w:rsid w:val="42F473A1"/>
    <w:rsid w:val="435D3056"/>
    <w:rsid w:val="4366315A"/>
    <w:rsid w:val="43AF029E"/>
    <w:rsid w:val="440C6DD0"/>
    <w:rsid w:val="441B29C2"/>
    <w:rsid w:val="441E62C0"/>
    <w:rsid w:val="44395BC8"/>
    <w:rsid w:val="449000D0"/>
    <w:rsid w:val="45325D14"/>
    <w:rsid w:val="4552504B"/>
    <w:rsid w:val="45811C7C"/>
    <w:rsid w:val="459C2437"/>
    <w:rsid w:val="45BF7AA0"/>
    <w:rsid w:val="462D593C"/>
    <w:rsid w:val="46827EEC"/>
    <w:rsid w:val="468B3EFB"/>
    <w:rsid w:val="46B50CDB"/>
    <w:rsid w:val="46C47118"/>
    <w:rsid w:val="46F93C7F"/>
    <w:rsid w:val="470A6193"/>
    <w:rsid w:val="47162351"/>
    <w:rsid w:val="47385210"/>
    <w:rsid w:val="47C04C59"/>
    <w:rsid w:val="47DC4F5C"/>
    <w:rsid w:val="48B40671"/>
    <w:rsid w:val="49494469"/>
    <w:rsid w:val="498D2D3D"/>
    <w:rsid w:val="499B5738"/>
    <w:rsid w:val="499F244D"/>
    <w:rsid w:val="4A55034B"/>
    <w:rsid w:val="4A973F3F"/>
    <w:rsid w:val="4ABD0197"/>
    <w:rsid w:val="4AF96BC7"/>
    <w:rsid w:val="4B46598C"/>
    <w:rsid w:val="4B7F49FA"/>
    <w:rsid w:val="4B862A85"/>
    <w:rsid w:val="4C713977"/>
    <w:rsid w:val="4C9A21E5"/>
    <w:rsid w:val="4CEF36E2"/>
    <w:rsid w:val="4CEF4DC5"/>
    <w:rsid w:val="4D931A02"/>
    <w:rsid w:val="4DB210B7"/>
    <w:rsid w:val="4DF6081B"/>
    <w:rsid w:val="4E014C9F"/>
    <w:rsid w:val="4E1D2750"/>
    <w:rsid w:val="4E257655"/>
    <w:rsid w:val="4EAD5D22"/>
    <w:rsid w:val="4EC46B6C"/>
    <w:rsid w:val="4ED84D30"/>
    <w:rsid w:val="4F1C1D10"/>
    <w:rsid w:val="4F372380"/>
    <w:rsid w:val="4F372FFB"/>
    <w:rsid w:val="4FA50CDC"/>
    <w:rsid w:val="50036EBA"/>
    <w:rsid w:val="50041972"/>
    <w:rsid w:val="502B24C5"/>
    <w:rsid w:val="507E03BB"/>
    <w:rsid w:val="51503B64"/>
    <w:rsid w:val="52395ECD"/>
    <w:rsid w:val="526C393A"/>
    <w:rsid w:val="52A018C0"/>
    <w:rsid w:val="52AA4F00"/>
    <w:rsid w:val="52B700B6"/>
    <w:rsid w:val="52C10D75"/>
    <w:rsid w:val="52C13CA6"/>
    <w:rsid w:val="52C75604"/>
    <w:rsid w:val="53BF4EC8"/>
    <w:rsid w:val="53C27FF8"/>
    <w:rsid w:val="53D578AD"/>
    <w:rsid w:val="53D80EDC"/>
    <w:rsid w:val="54130E82"/>
    <w:rsid w:val="542B1BC3"/>
    <w:rsid w:val="54337890"/>
    <w:rsid w:val="543D36A4"/>
    <w:rsid w:val="549E1A80"/>
    <w:rsid w:val="54C23240"/>
    <w:rsid w:val="54C658F4"/>
    <w:rsid w:val="5501743B"/>
    <w:rsid w:val="550C4BD7"/>
    <w:rsid w:val="55165D7A"/>
    <w:rsid w:val="55310BB5"/>
    <w:rsid w:val="554C1D56"/>
    <w:rsid w:val="55572986"/>
    <w:rsid w:val="55674DDF"/>
    <w:rsid w:val="5621502B"/>
    <w:rsid w:val="56284C24"/>
    <w:rsid w:val="562E62E0"/>
    <w:rsid w:val="565340FA"/>
    <w:rsid w:val="568F3A1A"/>
    <w:rsid w:val="56944551"/>
    <w:rsid w:val="575256B8"/>
    <w:rsid w:val="576C6DCE"/>
    <w:rsid w:val="57FF6454"/>
    <w:rsid w:val="580A1AEF"/>
    <w:rsid w:val="5858486D"/>
    <w:rsid w:val="59170968"/>
    <w:rsid w:val="596279B4"/>
    <w:rsid w:val="597B0EF6"/>
    <w:rsid w:val="59FE5BF4"/>
    <w:rsid w:val="5A2F2CC8"/>
    <w:rsid w:val="5A352E58"/>
    <w:rsid w:val="5A3A490E"/>
    <w:rsid w:val="5A5D2D60"/>
    <w:rsid w:val="5A946B2A"/>
    <w:rsid w:val="5ADD173D"/>
    <w:rsid w:val="5B5E287E"/>
    <w:rsid w:val="5B6232BD"/>
    <w:rsid w:val="5BC96FA7"/>
    <w:rsid w:val="5BE33069"/>
    <w:rsid w:val="5BE87D5B"/>
    <w:rsid w:val="5C0D1BAE"/>
    <w:rsid w:val="5C10702D"/>
    <w:rsid w:val="5C152601"/>
    <w:rsid w:val="5C8A1B2F"/>
    <w:rsid w:val="5CC04E72"/>
    <w:rsid w:val="5CDE38DA"/>
    <w:rsid w:val="5D597A5F"/>
    <w:rsid w:val="5D6238E0"/>
    <w:rsid w:val="5D706898"/>
    <w:rsid w:val="5DED4343"/>
    <w:rsid w:val="5E225C70"/>
    <w:rsid w:val="5E533747"/>
    <w:rsid w:val="5E6737F7"/>
    <w:rsid w:val="5E8B7B1E"/>
    <w:rsid w:val="5EF26A23"/>
    <w:rsid w:val="5F294F51"/>
    <w:rsid w:val="5F473616"/>
    <w:rsid w:val="5F486AA9"/>
    <w:rsid w:val="5FAB005C"/>
    <w:rsid w:val="5FBE1B3D"/>
    <w:rsid w:val="5FF1132F"/>
    <w:rsid w:val="601C57A4"/>
    <w:rsid w:val="60333CA4"/>
    <w:rsid w:val="604F6ABC"/>
    <w:rsid w:val="606007BB"/>
    <w:rsid w:val="6091495F"/>
    <w:rsid w:val="60AC7F66"/>
    <w:rsid w:val="60BA62CD"/>
    <w:rsid w:val="60E443BA"/>
    <w:rsid w:val="610F50C3"/>
    <w:rsid w:val="611B1CDE"/>
    <w:rsid w:val="61BF10D9"/>
    <w:rsid w:val="62055F1E"/>
    <w:rsid w:val="62234699"/>
    <w:rsid w:val="62476F0C"/>
    <w:rsid w:val="626764BC"/>
    <w:rsid w:val="629A3D99"/>
    <w:rsid w:val="629F7077"/>
    <w:rsid w:val="62A80882"/>
    <w:rsid w:val="62AC22DC"/>
    <w:rsid w:val="62E278F0"/>
    <w:rsid w:val="633F2F95"/>
    <w:rsid w:val="63414066"/>
    <w:rsid w:val="63AD44FF"/>
    <w:rsid w:val="63E15DFA"/>
    <w:rsid w:val="64682077"/>
    <w:rsid w:val="64726A7E"/>
    <w:rsid w:val="647C6B47"/>
    <w:rsid w:val="64E45EF7"/>
    <w:rsid w:val="65126A88"/>
    <w:rsid w:val="657E19DE"/>
    <w:rsid w:val="65CD0D2C"/>
    <w:rsid w:val="65D9664B"/>
    <w:rsid w:val="6691014E"/>
    <w:rsid w:val="66E55C01"/>
    <w:rsid w:val="674E7C4A"/>
    <w:rsid w:val="677435B2"/>
    <w:rsid w:val="67BC5A4A"/>
    <w:rsid w:val="67EF75F1"/>
    <w:rsid w:val="68534475"/>
    <w:rsid w:val="68A3537F"/>
    <w:rsid w:val="69124F16"/>
    <w:rsid w:val="69146C72"/>
    <w:rsid w:val="692A3D9F"/>
    <w:rsid w:val="6956755A"/>
    <w:rsid w:val="69BA3375"/>
    <w:rsid w:val="69CD5C14"/>
    <w:rsid w:val="69CF0D33"/>
    <w:rsid w:val="69CF0E9E"/>
    <w:rsid w:val="6A097E59"/>
    <w:rsid w:val="6A184941"/>
    <w:rsid w:val="6A386990"/>
    <w:rsid w:val="6A6257BB"/>
    <w:rsid w:val="6A957636"/>
    <w:rsid w:val="6B2B2120"/>
    <w:rsid w:val="6B9946B3"/>
    <w:rsid w:val="6B9A1C62"/>
    <w:rsid w:val="6BF97D60"/>
    <w:rsid w:val="6C443F7B"/>
    <w:rsid w:val="6C65000C"/>
    <w:rsid w:val="6C7007C7"/>
    <w:rsid w:val="6CA22A5C"/>
    <w:rsid w:val="6CB2484D"/>
    <w:rsid w:val="6D6830E8"/>
    <w:rsid w:val="6DE76850"/>
    <w:rsid w:val="6E657D04"/>
    <w:rsid w:val="6EBC193D"/>
    <w:rsid w:val="6EF160F4"/>
    <w:rsid w:val="6F3C40B4"/>
    <w:rsid w:val="6F5568E7"/>
    <w:rsid w:val="6F5B73A8"/>
    <w:rsid w:val="6F5F096B"/>
    <w:rsid w:val="6FB20BD4"/>
    <w:rsid w:val="6FBA59BE"/>
    <w:rsid w:val="6FED512C"/>
    <w:rsid w:val="702754DC"/>
    <w:rsid w:val="70296B3E"/>
    <w:rsid w:val="702C2878"/>
    <w:rsid w:val="705E007E"/>
    <w:rsid w:val="70611204"/>
    <w:rsid w:val="70883186"/>
    <w:rsid w:val="709770CE"/>
    <w:rsid w:val="70AD30AB"/>
    <w:rsid w:val="70C213BF"/>
    <w:rsid w:val="70FC24C5"/>
    <w:rsid w:val="712471A4"/>
    <w:rsid w:val="714B1752"/>
    <w:rsid w:val="718E5C33"/>
    <w:rsid w:val="71BB412E"/>
    <w:rsid w:val="72001B41"/>
    <w:rsid w:val="72697FC0"/>
    <w:rsid w:val="731C595D"/>
    <w:rsid w:val="73505CC8"/>
    <w:rsid w:val="735D3789"/>
    <w:rsid w:val="737A5923"/>
    <w:rsid w:val="73A105D0"/>
    <w:rsid w:val="73B0296D"/>
    <w:rsid w:val="73DC0BAC"/>
    <w:rsid w:val="73E21D8E"/>
    <w:rsid w:val="73EA7319"/>
    <w:rsid w:val="7471612B"/>
    <w:rsid w:val="74BF68B5"/>
    <w:rsid w:val="74CD6CBC"/>
    <w:rsid w:val="74FA2C30"/>
    <w:rsid w:val="754461E9"/>
    <w:rsid w:val="754D5C4B"/>
    <w:rsid w:val="7551732F"/>
    <w:rsid w:val="758F3A5A"/>
    <w:rsid w:val="75B943D4"/>
    <w:rsid w:val="75D03F20"/>
    <w:rsid w:val="76303976"/>
    <w:rsid w:val="765B1A3C"/>
    <w:rsid w:val="766D176F"/>
    <w:rsid w:val="76C240A7"/>
    <w:rsid w:val="76F4277B"/>
    <w:rsid w:val="7708042F"/>
    <w:rsid w:val="771E4103"/>
    <w:rsid w:val="775246B7"/>
    <w:rsid w:val="777C610E"/>
    <w:rsid w:val="77BC7346"/>
    <w:rsid w:val="77C7701E"/>
    <w:rsid w:val="77EB7199"/>
    <w:rsid w:val="781E098B"/>
    <w:rsid w:val="781E69D1"/>
    <w:rsid w:val="7860158C"/>
    <w:rsid w:val="78636E01"/>
    <w:rsid w:val="78A84032"/>
    <w:rsid w:val="78CE3932"/>
    <w:rsid w:val="78E03ECE"/>
    <w:rsid w:val="79445023"/>
    <w:rsid w:val="798F5EA8"/>
    <w:rsid w:val="79E07EDB"/>
    <w:rsid w:val="7A263B6B"/>
    <w:rsid w:val="7A2A4E3A"/>
    <w:rsid w:val="7A6A04A0"/>
    <w:rsid w:val="7A6F3D08"/>
    <w:rsid w:val="7A7A40BB"/>
    <w:rsid w:val="7AAB7700"/>
    <w:rsid w:val="7AF46346"/>
    <w:rsid w:val="7AFE2790"/>
    <w:rsid w:val="7B0F5EBF"/>
    <w:rsid w:val="7B130FB9"/>
    <w:rsid w:val="7B62561B"/>
    <w:rsid w:val="7BF44D61"/>
    <w:rsid w:val="7BF64EDE"/>
    <w:rsid w:val="7C1B5BA7"/>
    <w:rsid w:val="7C400C1E"/>
    <w:rsid w:val="7CAC386E"/>
    <w:rsid w:val="7CBB1486"/>
    <w:rsid w:val="7D3B4E01"/>
    <w:rsid w:val="7D9C12B8"/>
    <w:rsid w:val="7DD11708"/>
    <w:rsid w:val="7DE247F1"/>
    <w:rsid w:val="7DFA6F07"/>
    <w:rsid w:val="7E967552"/>
    <w:rsid w:val="7EB517AA"/>
    <w:rsid w:val="7EC167BD"/>
    <w:rsid w:val="7F08297D"/>
    <w:rsid w:val="7F272D9E"/>
    <w:rsid w:val="7F4514DB"/>
    <w:rsid w:val="7F9D199D"/>
    <w:rsid w:val="7FF7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240" w:line="360" w:lineRule="auto"/>
      <w:contextualSpacing/>
      <w:outlineLvl w:val="0"/>
    </w:pPr>
    <w:rPr>
      <w:rFonts w:eastAsia="黑体"/>
      <w:bCs/>
      <w:kern w:val="44"/>
      <w:sz w:val="30"/>
      <w:szCs w:val="44"/>
    </w:rPr>
  </w:style>
  <w:style w:type="paragraph" w:styleId="4">
    <w:name w:val="heading 2"/>
    <w:basedOn w:val="1"/>
    <w:next w:val="1"/>
    <w:link w:val="4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autoRedefine/>
    <w:qFormat/>
    <w:uiPriority w:val="0"/>
    <w:pPr>
      <w:keepNext/>
      <w:keepLines/>
      <w:spacing w:line="360" w:lineRule="auto"/>
      <w:outlineLvl w:val="3"/>
    </w:pPr>
    <w:rPr>
      <w:rFonts w:ascii="Arial" w:hAnsi="Arial" w:eastAsia="黑体"/>
      <w:b/>
      <w:kern w:val="0"/>
      <w:sz w:val="24"/>
    </w:rPr>
  </w:style>
  <w:style w:type="paragraph" w:styleId="7">
    <w:name w:val="heading 5"/>
    <w:basedOn w:val="1"/>
    <w:next w:val="2"/>
    <w:link w:val="45"/>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6"/>
    <w:autoRedefine/>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autoRedefine/>
    <w:qFormat/>
    <w:uiPriority w:val="1"/>
    <w:pPr>
      <w:ind w:left="1240"/>
      <w:outlineLvl w:val="8"/>
    </w:pPr>
    <w:rPr>
      <w:rFonts w:ascii="宋体" w:hAnsi="宋体" w:cs="宋体"/>
      <w:b/>
      <w:bCs/>
      <w:szCs w:val="21"/>
      <w:lang w:val="zh-CN" w:bidi="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10">
    <w:name w:val="index 8"/>
    <w:basedOn w:val="1"/>
    <w:next w:val="1"/>
    <w:autoRedefine/>
    <w:unhideWhenUsed/>
    <w:qFormat/>
    <w:uiPriority w:val="99"/>
    <w:pPr>
      <w:ind w:left="1400" w:leftChars="140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toa heading"/>
    <w:basedOn w:val="1"/>
    <w:next w:val="1"/>
    <w:autoRedefine/>
    <w:unhideWhenUsed/>
    <w:qFormat/>
    <w:uiPriority w:val="99"/>
    <w:pPr>
      <w:spacing w:before="120"/>
    </w:pPr>
    <w:rPr>
      <w:rFonts w:ascii="Cambria" w:hAnsi="Cambria"/>
      <w:sz w:val="24"/>
    </w:rPr>
  </w:style>
  <w:style w:type="paragraph" w:styleId="13">
    <w:name w:val="annotation text"/>
    <w:basedOn w:val="1"/>
    <w:link w:val="47"/>
    <w:autoRedefine/>
    <w:qFormat/>
    <w:uiPriority w:val="0"/>
    <w:pPr>
      <w:jc w:val="left"/>
    </w:pPr>
  </w:style>
  <w:style w:type="paragraph" w:styleId="14">
    <w:name w:val="Body Text 3"/>
    <w:basedOn w:val="1"/>
    <w:link w:val="48"/>
    <w:autoRedefine/>
    <w:unhideWhenUsed/>
    <w:qFormat/>
    <w:uiPriority w:val="99"/>
    <w:pPr>
      <w:spacing w:after="120"/>
    </w:pPr>
    <w:rPr>
      <w:sz w:val="16"/>
      <w:szCs w:val="16"/>
    </w:rPr>
  </w:style>
  <w:style w:type="paragraph" w:styleId="15">
    <w:name w:val="Body Text"/>
    <w:basedOn w:val="1"/>
    <w:next w:val="1"/>
    <w:link w:val="49"/>
    <w:unhideWhenUsed/>
    <w:qFormat/>
    <w:uiPriority w:val="0"/>
    <w:pPr>
      <w:spacing w:after="120"/>
    </w:pPr>
  </w:style>
  <w:style w:type="paragraph" w:styleId="16">
    <w:name w:val="Body Text Indent"/>
    <w:basedOn w:val="1"/>
    <w:link w:val="50"/>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1"/>
    <w:link w:val="51"/>
    <w:autoRedefine/>
    <w:qFormat/>
    <w:uiPriority w:val="0"/>
    <w:rPr>
      <w:rFonts w:ascii="宋体" w:hAnsi="Courier New"/>
      <w:kern w:val="0"/>
      <w:sz w:val="20"/>
      <w:szCs w:val="21"/>
    </w:rPr>
  </w:style>
  <w:style w:type="paragraph" w:styleId="19">
    <w:name w:val="Date"/>
    <w:basedOn w:val="1"/>
    <w:next w:val="1"/>
    <w:link w:val="52"/>
    <w:autoRedefine/>
    <w:unhideWhenUsed/>
    <w:qFormat/>
    <w:uiPriority w:val="99"/>
    <w:pPr>
      <w:ind w:left="100" w:leftChars="2500"/>
    </w:pPr>
  </w:style>
  <w:style w:type="paragraph" w:styleId="20">
    <w:name w:val="Body Text Indent 2"/>
    <w:basedOn w:val="1"/>
    <w:autoRedefine/>
    <w:qFormat/>
    <w:uiPriority w:val="0"/>
    <w:pPr>
      <w:spacing w:after="120" w:line="480" w:lineRule="auto"/>
      <w:ind w:left="420" w:leftChars="200"/>
    </w:pPr>
    <w:rPr>
      <w:rFonts w:ascii="Calibri" w:hAnsi="Calibri"/>
    </w:rPr>
  </w:style>
  <w:style w:type="paragraph" w:styleId="21">
    <w:name w:val="Balloon Text"/>
    <w:basedOn w:val="1"/>
    <w:autoRedefine/>
    <w:semiHidden/>
    <w:qFormat/>
    <w:uiPriority w:val="0"/>
    <w:rPr>
      <w:sz w:val="18"/>
      <w:szCs w:val="18"/>
    </w:rPr>
  </w:style>
  <w:style w:type="paragraph" w:styleId="22">
    <w:name w:val="footer"/>
    <w:basedOn w:val="1"/>
    <w:link w:val="53"/>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link w:val="5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autoRedefine/>
    <w:unhideWhenUsed/>
    <w:qFormat/>
    <w:uiPriority w:val="39"/>
  </w:style>
  <w:style w:type="paragraph" w:styleId="25">
    <w:name w:val="toc 2"/>
    <w:basedOn w:val="1"/>
    <w:next w:val="1"/>
    <w:autoRedefine/>
    <w:unhideWhenUsed/>
    <w:qFormat/>
    <w:uiPriority w:val="39"/>
    <w:pPr>
      <w:tabs>
        <w:tab w:val="right" w:leader="dot" w:pos="8296"/>
      </w:tabs>
      <w:ind w:left="420" w:leftChars="200"/>
    </w:pPr>
  </w:style>
  <w:style w:type="paragraph" w:styleId="26">
    <w:name w:val="Body Text 2"/>
    <w:basedOn w:val="1"/>
    <w:next w:val="15"/>
    <w:autoRedefine/>
    <w:qFormat/>
    <w:uiPriority w:val="0"/>
    <w:pPr>
      <w:spacing w:line="280" w:lineRule="exact"/>
      <w:jc w:val="center"/>
    </w:pPr>
  </w:style>
  <w:style w:type="paragraph" w:styleId="27">
    <w:name w:val="Normal (Web)"/>
    <w:basedOn w:val="1"/>
    <w:autoRedefine/>
    <w:unhideWhenUsed/>
    <w:qFormat/>
    <w:uiPriority w:val="99"/>
    <w:rPr>
      <w:rFonts w:ascii="Calibri" w:hAnsi="Calibri"/>
      <w:kern w:val="0"/>
      <w:sz w:val="24"/>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3"/>
    <w:next w:val="13"/>
    <w:link w:val="55"/>
    <w:autoRedefine/>
    <w:qFormat/>
    <w:uiPriority w:val="99"/>
    <w:rPr>
      <w:b/>
      <w:bCs/>
    </w:rPr>
  </w:style>
  <w:style w:type="paragraph" w:styleId="30">
    <w:name w:val="Body Text First Indent"/>
    <w:basedOn w:val="15"/>
    <w:autoRedefine/>
    <w:qFormat/>
    <w:uiPriority w:val="0"/>
    <w:pPr>
      <w:spacing w:line="600" w:lineRule="exact"/>
      <w:ind w:firstLine="880" w:firstLineChars="200"/>
    </w:pPr>
    <w:rPr>
      <w:sz w:val="28"/>
    </w:rPr>
  </w:style>
  <w:style w:type="paragraph" w:styleId="31">
    <w:name w:val="Body Text First Indent 2"/>
    <w:basedOn w:val="16"/>
    <w:autoRedefine/>
    <w:unhideWhenUsed/>
    <w:qFormat/>
    <w:uiPriority w:val="99"/>
    <w:pPr>
      <w:ind w:firstLine="420" w:firstLineChars="200"/>
    </w:p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autoRedefine/>
    <w:qFormat/>
    <w:uiPriority w:val="22"/>
    <w:rPr>
      <w:b/>
    </w:rPr>
  </w:style>
  <w:style w:type="character" w:styleId="36">
    <w:name w:val="endnote reference"/>
    <w:autoRedefine/>
    <w:unhideWhenUsed/>
    <w:qFormat/>
    <w:uiPriority w:val="99"/>
    <w:rPr>
      <w:vertAlign w:val="superscript"/>
    </w:rPr>
  </w:style>
  <w:style w:type="character" w:styleId="37">
    <w:name w:val="Emphasis"/>
    <w:basedOn w:val="34"/>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0"/>
    <w:rPr>
      <w:sz w:val="21"/>
      <w:szCs w:val="21"/>
    </w:rPr>
  </w:style>
  <w:style w:type="character" w:styleId="40">
    <w:name w:val="HTML Sample"/>
    <w:basedOn w:val="34"/>
    <w:semiHidden/>
    <w:unhideWhenUsed/>
    <w:qFormat/>
    <w:uiPriority w:val="99"/>
    <w:rPr>
      <w:rFonts w:ascii="Courier New" w:hAnsi="Courier New"/>
    </w:rPr>
  </w:style>
  <w:style w:type="paragraph" w:customStyle="1" w:styleId="4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正文-公1"/>
    <w:basedOn w:val="1"/>
    <w:autoRedefine/>
    <w:qFormat/>
    <w:uiPriority w:val="0"/>
    <w:pPr>
      <w:ind w:firstLine="200" w:firstLineChars="200"/>
      <w:jc w:val="left"/>
    </w:pPr>
    <w:rPr>
      <w:rFonts w:eastAsia="仿宋_GB2312"/>
    </w:rPr>
  </w:style>
  <w:style w:type="paragraph" w:customStyle="1" w:styleId="43">
    <w:name w:val="目录 82"/>
    <w:next w:val="1"/>
    <w:autoRedefine/>
    <w:qFormat/>
    <w:uiPriority w:val="0"/>
    <w:pPr>
      <w:wordWrap w:val="0"/>
      <w:ind w:left="2550"/>
      <w:jc w:val="both"/>
    </w:pPr>
    <w:rPr>
      <w:rFonts w:ascii="Times New Roman" w:hAnsi="Times New Roman" w:eastAsia="宋体" w:cs="Times New Roman"/>
      <w:sz w:val="21"/>
      <w:szCs w:val="21"/>
      <w:lang w:val="en-US" w:eastAsia="zh-CN" w:bidi="ar-SA"/>
    </w:rPr>
  </w:style>
  <w:style w:type="character" w:customStyle="1" w:styleId="44">
    <w:name w:val="标题 2 字符"/>
    <w:link w:val="4"/>
    <w:autoRedefine/>
    <w:qFormat/>
    <w:uiPriority w:val="9"/>
    <w:rPr>
      <w:rFonts w:ascii="Cambria" w:hAnsi="Cambria" w:eastAsia="宋体" w:cs="Times New Roman"/>
      <w:b/>
      <w:bCs/>
      <w:kern w:val="2"/>
      <w:sz w:val="32"/>
      <w:szCs w:val="32"/>
    </w:rPr>
  </w:style>
  <w:style w:type="character" w:customStyle="1" w:styleId="45">
    <w:name w:val="标题 5 字符"/>
    <w:link w:val="7"/>
    <w:autoRedefine/>
    <w:semiHidden/>
    <w:qFormat/>
    <w:uiPriority w:val="9"/>
    <w:rPr>
      <w:rFonts w:ascii="Times New Roman" w:hAnsi="Times New Roman"/>
      <w:b/>
      <w:bCs/>
      <w:kern w:val="2"/>
      <w:sz w:val="28"/>
      <w:szCs w:val="28"/>
    </w:rPr>
  </w:style>
  <w:style w:type="character" w:customStyle="1" w:styleId="46">
    <w:name w:val="标题 8 字符"/>
    <w:link w:val="8"/>
    <w:autoRedefine/>
    <w:semiHidden/>
    <w:qFormat/>
    <w:uiPriority w:val="9"/>
    <w:rPr>
      <w:rFonts w:ascii="等线 Light" w:hAnsi="等线 Light" w:eastAsia="等线 Light" w:cs="Times New Roman"/>
      <w:kern w:val="2"/>
      <w:sz w:val="24"/>
      <w:szCs w:val="24"/>
    </w:rPr>
  </w:style>
  <w:style w:type="character" w:customStyle="1" w:styleId="47">
    <w:name w:val="批注文字 字符"/>
    <w:link w:val="13"/>
    <w:autoRedefine/>
    <w:qFormat/>
    <w:uiPriority w:val="0"/>
    <w:rPr>
      <w:rFonts w:ascii="Times New Roman" w:hAnsi="Times New Roman"/>
      <w:kern w:val="2"/>
      <w:sz w:val="21"/>
      <w:szCs w:val="24"/>
    </w:rPr>
  </w:style>
  <w:style w:type="character" w:customStyle="1" w:styleId="48">
    <w:name w:val="正文文本 3 字符"/>
    <w:link w:val="14"/>
    <w:autoRedefine/>
    <w:semiHidden/>
    <w:qFormat/>
    <w:uiPriority w:val="99"/>
    <w:rPr>
      <w:kern w:val="2"/>
      <w:sz w:val="16"/>
      <w:szCs w:val="16"/>
    </w:rPr>
  </w:style>
  <w:style w:type="character" w:customStyle="1" w:styleId="49">
    <w:name w:val="正文文本 字符"/>
    <w:link w:val="15"/>
    <w:autoRedefine/>
    <w:qFormat/>
    <w:uiPriority w:val="0"/>
    <w:rPr>
      <w:rFonts w:ascii="Times New Roman" w:hAnsi="Times New Roman"/>
      <w:kern w:val="2"/>
      <w:sz w:val="21"/>
      <w:szCs w:val="24"/>
    </w:rPr>
  </w:style>
  <w:style w:type="character" w:customStyle="1" w:styleId="50">
    <w:name w:val="正文文本缩进 字符"/>
    <w:link w:val="16"/>
    <w:autoRedefine/>
    <w:qFormat/>
    <w:uiPriority w:val="0"/>
    <w:rPr>
      <w:rFonts w:ascii="仿宋_GB2312" w:hAnsi="Times New Roman" w:eastAsia="仿宋_GB2312" w:cs="Times New Roman"/>
      <w:sz w:val="32"/>
      <w:szCs w:val="20"/>
    </w:rPr>
  </w:style>
  <w:style w:type="character" w:customStyle="1" w:styleId="51">
    <w:name w:val="纯文本 字符"/>
    <w:link w:val="18"/>
    <w:autoRedefine/>
    <w:qFormat/>
    <w:uiPriority w:val="0"/>
    <w:rPr>
      <w:rFonts w:ascii="宋体" w:hAnsi="Courier New" w:eastAsia="宋体" w:cs="Courier New"/>
      <w:szCs w:val="21"/>
    </w:rPr>
  </w:style>
  <w:style w:type="character" w:customStyle="1" w:styleId="52">
    <w:name w:val="日期 字符"/>
    <w:link w:val="19"/>
    <w:autoRedefine/>
    <w:semiHidden/>
    <w:qFormat/>
    <w:uiPriority w:val="99"/>
    <w:rPr>
      <w:rFonts w:ascii="Times New Roman" w:hAnsi="Times New Roman"/>
      <w:kern w:val="2"/>
      <w:sz w:val="21"/>
      <w:szCs w:val="24"/>
    </w:rPr>
  </w:style>
  <w:style w:type="character" w:customStyle="1" w:styleId="53">
    <w:name w:val="页脚 字符"/>
    <w:link w:val="22"/>
    <w:autoRedefine/>
    <w:qFormat/>
    <w:uiPriority w:val="99"/>
    <w:rPr>
      <w:sz w:val="18"/>
      <w:szCs w:val="18"/>
    </w:rPr>
  </w:style>
  <w:style w:type="character" w:customStyle="1" w:styleId="54">
    <w:name w:val="页眉 字符"/>
    <w:link w:val="23"/>
    <w:autoRedefine/>
    <w:qFormat/>
    <w:uiPriority w:val="99"/>
    <w:rPr>
      <w:sz w:val="18"/>
      <w:szCs w:val="18"/>
    </w:rPr>
  </w:style>
  <w:style w:type="character" w:customStyle="1" w:styleId="55">
    <w:name w:val="批注主题 字符"/>
    <w:link w:val="29"/>
    <w:autoRedefine/>
    <w:qFormat/>
    <w:uiPriority w:val="99"/>
    <w:rPr>
      <w:rFonts w:ascii="Times New Roman" w:hAnsi="Times New Roman"/>
      <w:b/>
      <w:bCs/>
      <w:kern w:val="2"/>
      <w:sz w:val="21"/>
      <w:szCs w:val="24"/>
    </w:rPr>
  </w:style>
  <w:style w:type="character" w:customStyle="1" w:styleId="56">
    <w:name w:val="纯文本 字符1"/>
    <w:autoRedefine/>
    <w:qFormat/>
    <w:uiPriority w:val="0"/>
    <w:rPr>
      <w:rFonts w:ascii="宋体" w:hAnsi="Courier New"/>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NormalCharacter"/>
    <w:autoRedefine/>
    <w:qFormat/>
    <w:uiPriority w:val="0"/>
  </w:style>
  <w:style w:type="character" w:customStyle="1" w:styleId="59">
    <w:name w:val="批注文字 Char"/>
    <w:autoRedefine/>
    <w:qFormat/>
    <w:uiPriority w:val="0"/>
    <w:rPr>
      <w:rFonts w:ascii="Times New Roman" w:hAnsi="Times New Roman"/>
      <w:kern w:val="2"/>
      <w:sz w:val="21"/>
      <w:szCs w:val="24"/>
    </w:rPr>
  </w:style>
  <w:style w:type="character" w:customStyle="1" w:styleId="60">
    <w:name w:val="apple-style-span"/>
    <w:autoRedefine/>
    <w:qFormat/>
    <w:uiPriority w:val="0"/>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UserStyle_15"/>
    <w:basedOn w:val="58"/>
    <w:autoRedefine/>
    <w:qFormat/>
    <w:uiPriority w:val="0"/>
  </w:style>
  <w:style w:type="character" w:customStyle="1" w:styleId="63">
    <w:name w:val="纯文本 Char"/>
    <w:autoRedefine/>
    <w:qFormat/>
    <w:uiPriority w:val="0"/>
    <w:rPr>
      <w:rFonts w:ascii="宋体" w:hAnsi="Courier New" w:eastAsia="宋体" w:cs="Courier New"/>
      <w:szCs w:val="21"/>
    </w:rPr>
  </w:style>
  <w:style w:type="character" w:customStyle="1" w:styleId="64">
    <w:name w:val="标题 8 Char"/>
    <w:autoRedefine/>
    <w:qFormat/>
    <w:uiPriority w:val="0"/>
    <w:rPr>
      <w:rFonts w:ascii="Arial" w:hAnsi="Arial" w:eastAsia="黑体"/>
      <w:kern w:val="2"/>
      <w:sz w:val="24"/>
      <w:szCs w:val="24"/>
    </w:rPr>
  </w:style>
  <w:style w:type="character" w:customStyle="1" w:styleId="65">
    <w:name w:val="批注文字 字符1"/>
    <w:autoRedefine/>
    <w:qFormat/>
    <w:uiPriority w:val="0"/>
    <w:rPr>
      <w:rFonts w:ascii="Times New Roman" w:hAnsi="Times New Roman"/>
      <w:kern w:val="2"/>
      <w:sz w:val="21"/>
      <w:szCs w:val="24"/>
    </w:rPr>
  </w:style>
  <w:style w:type="character" w:customStyle="1" w:styleId="66">
    <w:name w:val="标题 2 Char"/>
    <w:autoRedefine/>
    <w:qFormat/>
    <w:uiPriority w:val="9"/>
    <w:rPr>
      <w:rFonts w:ascii="Cambria" w:hAnsi="Cambria" w:eastAsia="宋体" w:cs="Times New Roman"/>
      <w:b/>
      <w:bCs/>
      <w:kern w:val="2"/>
      <w:sz w:val="32"/>
      <w:szCs w:val="32"/>
    </w:rPr>
  </w:style>
  <w:style w:type="character" w:customStyle="1" w:styleId="67">
    <w:name w:val="纯文本 字符2"/>
    <w:autoRedefine/>
    <w:qFormat/>
    <w:uiPriority w:val="0"/>
    <w:rPr>
      <w:rFonts w:ascii="宋体" w:hAnsi="Courier New" w:eastAsia="宋体" w:cs="Courier New"/>
      <w:szCs w:val="21"/>
    </w:rPr>
  </w:style>
  <w:style w:type="character" w:customStyle="1" w:styleId="68">
    <w:name w:val="textcontents"/>
    <w:autoRedefine/>
    <w:qFormat/>
    <w:uiPriority w:val="0"/>
  </w:style>
  <w:style w:type="paragraph" w:customStyle="1" w:styleId="69">
    <w:name w:val="默认段落字体 Para Char Char Char Char Char Char Char Char Char1 Char Char Char Char"/>
    <w:basedOn w:val="1"/>
    <w:autoRedefine/>
    <w:qFormat/>
    <w:uiPriority w:val="0"/>
    <w:rPr>
      <w:rFonts w:ascii="Tahoma" w:hAnsi="Tahoma"/>
      <w:sz w:val="24"/>
      <w:szCs w:val="20"/>
    </w:rPr>
  </w:style>
  <w:style w:type="paragraph" w:styleId="70">
    <w:name w:val="List Paragraph"/>
    <w:basedOn w:val="1"/>
    <w:autoRedefine/>
    <w:qFormat/>
    <w:uiPriority w:val="34"/>
    <w:pPr>
      <w:ind w:firstLine="420" w:firstLineChars="200"/>
    </w:pPr>
  </w:style>
  <w:style w:type="paragraph" w:customStyle="1" w:styleId="71">
    <w:name w:val="Table Paragraph"/>
    <w:basedOn w:val="1"/>
    <w:autoRedefine/>
    <w:qFormat/>
    <w:uiPriority w:val="1"/>
    <w:rPr>
      <w:rFonts w:ascii="宋体" w:hAnsi="宋体" w:cs="宋体"/>
      <w:lang w:val="zh-CN" w:bidi="zh-CN"/>
    </w:rPr>
  </w:style>
  <w:style w:type="paragraph" w:customStyle="1" w:styleId="7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3">
    <w:name w:val="Title1"/>
    <w:basedOn w:val="1"/>
    <w:next w:val="1"/>
    <w:autoRedefine/>
    <w:qFormat/>
    <w:uiPriority w:val="99"/>
    <w:pPr>
      <w:jc w:val="center"/>
      <w:outlineLvl w:val="0"/>
    </w:pPr>
    <w:rPr>
      <w:rFonts w:ascii="Calibri Light" w:hAnsi="Calibri Light" w:eastAsia="仿宋_GB2312"/>
      <w:b/>
      <w:sz w:val="32"/>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表格文字"/>
    <w:basedOn w:val="1"/>
    <w:autoRedefine/>
    <w:qFormat/>
    <w:uiPriority w:val="0"/>
    <w:pPr>
      <w:adjustRightInd w:val="0"/>
      <w:spacing w:line="420" w:lineRule="atLeast"/>
      <w:textAlignment w:val="baseline"/>
    </w:pPr>
    <w:rPr>
      <w:szCs w:val="20"/>
    </w:rPr>
  </w:style>
  <w:style w:type="paragraph" w:customStyle="1" w:styleId="77">
    <w:name w:val="_Style 4"/>
    <w:basedOn w:val="1"/>
    <w:autoRedefine/>
    <w:qFormat/>
    <w:uiPriority w:val="0"/>
    <w:pPr>
      <w:spacing w:line="360" w:lineRule="auto"/>
      <w:ind w:firstLine="420" w:firstLineChars="200"/>
    </w:pPr>
    <w:rPr>
      <w:rFonts w:eastAsia="仿宋"/>
      <w:sz w:val="28"/>
      <w:szCs w:val="22"/>
    </w:rPr>
  </w:style>
  <w:style w:type="paragraph" w:customStyle="1" w:styleId="78">
    <w:name w:val="BodyText"/>
    <w:basedOn w:val="1"/>
    <w:autoRedefine/>
    <w:qFormat/>
    <w:uiPriority w:val="0"/>
    <w:pPr>
      <w:textAlignment w:val="baseline"/>
    </w:pPr>
  </w:style>
  <w:style w:type="paragraph" w:customStyle="1" w:styleId="79">
    <w:name w:val="表格"/>
    <w:basedOn w:val="1"/>
    <w:next w:val="80"/>
    <w:autoRedefine/>
    <w:qFormat/>
    <w:uiPriority w:val="0"/>
    <w:rPr>
      <w:szCs w:val="21"/>
    </w:rPr>
  </w:style>
  <w:style w:type="paragraph" w:customStyle="1" w:styleId="80">
    <w:name w:val="表格后空格"/>
    <w:basedOn w:val="1"/>
    <w:next w:val="1"/>
    <w:autoRedefine/>
    <w:qFormat/>
    <w:uiPriority w:val="0"/>
  </w:style>
  <w:style w:type="paragraph" w:customStyle="1" w:styleId="8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PlainText"/>
    <w:basedOn w:val="1"/>
    <w:next w:val="1"/>
    <w:autoRedefine/>
    <w:qFormat/>
    <w:uiPriority w:val="0"/>
    <w:pPr>
      <w:widowControl/>
      <w:textAlignment w:val="baseline"/>
    </w:pPr>
    <w:rPr>
      <w:rFonts w:ascii="宋体" w:hAnsi="Courier New"/>
      <w:kern w:val="0"/>
      <w:sz w:val="20"/>
      <w:szCs w:val="21"/>
    </w:rPr>
  </w:style>
  <w:style w:type="paragraph" w:customStyle="1" w:styleId="83">
    <w:name w:val="Other|1"/>
    <w:basedOn w:val="1"/>
    <w:autoRedefine/>
    <w:qFormat/>
    <w:uiPriority w:val="0"/>
    <w:pPr>
      <w:spacing w:line="406" w:lineRule="auto"/>
      <w:ind w:firstLine="400"/>
    </w:pPr>
    <w:rPr>
      <w:rFonts w:ascii="宋体" w:hAnsi="宋体" w:cs="宋体"/>
      <w:sz w:val="22"/>
      <w:szCs w:val="22"/>
      <w:lang w:val="zh-TW" w:eastAsia="zh-TW" w:bidi="zh-TW"/>
    </w:rPr>
  </w:style>
  <w:style w:type="character" w:customStyle="1" w:styleId="84">
    <w:name w:val="gram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66</Pages>
  <Words>13724</Words>
  <Characters>14719</Characters>
  <Lines>307</Lines>
  <Paragraphs>86</Paragraphs>
  <TotalTime>47</TotalTime>
  <ScaleCrop>false</ScaleCrop>
  <LinksUpToDate>false</LinksUpToDate>
  <CharactersWithSpaces>14950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2022-12-29T10:24:00Z</dcterms:created>
  <dc:creator>MACBOOK</dc:creator>
  <cp:lastModifiedBy>章鱼小嘴</cp:lastModifiedBy>
  <cp:lastPrinted>2023-01-04T08:13:00Z</cp:lastPrinted>
  <dcterms:modified xsi:type="dcterms:W3CDTF">2025-04-27T08:43:43Z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54748F17A27240CD91F53018D6A8C98B_13</vt:lpwstr>
  </property>
  <property fmtid="{D5CDD505-2E9C-101B-9397-08002B2CF9AE}" pid="4" name="KSOTemplateDocerSaveRecord">
    <vt:lpwstr>eyJoZGlkIjoiNjY0Yjk5OWM1MmYwNjgwZDQ3NjdkMTM5NGYzZTkwNTMiLCJ1c2VySWQiOiIyNjU5OTczMTEifQ==</vt:lpwstr>
  </property>
</Properties>
</file>