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57959">
      <w:pPr>
        <w:spacing w:before="156" w:beforeLines="50"/>
        <w:jc w:val="center"/>
        <w:rPr>
          <w:rFonts w:ascii="宋体" w:hAnsi="宋体" w:cs="宋体"/>
          <w:b/>
          <w:bCs/>
          <w:color w:val="auto"/>
          <w:sz w:val="52"/>
          <w:szCs w:val="52"/>
          <w:highlight w:val="none"/>
        </w:rPr>
      </w:pPr>
      <w:bookmarkStart w:id="173" w:name="_GoBack"/>
      <w:bookmarkEnd w:id="173"/>
      <w:r>
        <w:rPr>
          <w:rFonts w:hint="eastAsia" w:ascii="宋体" w:hAnsi="宋体" w:cs="宋体"/>
          <w:b/>
          <w:bCs/>
          <w:color w:val="auto"/>
          <w:sz w:val="52"/>
          <w:szCs w:val="52"/>
          <w:highlight w:val="none"/>
        </w:rPr>
        <w:t>广西壮族自治区政府采购</w:t>
      </w:r>
    </w:p>
    <w:p w14:paraId="330D4551">
      <w:pPr>
        <w:spacing w:before="156" w:beforeLines="50"/>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服务类</w:t>
      </w:r>
    </w:p>
    <w:p w14:paraId="1F29032E">
      <w:pPr>
        <w:snapToGrid w:val="0"/>
        <w:spacing w:before="156" w:beforeLines="50" w:line="360" w:lineRule="auto"/>
        <w:jc w:val="center"/>
        <w:rPr>
          <w:rFonts w:ascii="宋体" w:hAnsi="宋体" w:cs="宋体"/>
          <w:color w:val="auto"/>
          <w:sz w:val="28"/>
          <w:szCs w:val="72"/>
          <w:highlight w:val="none"/>
        </w:rPr>
      </w:pPr>
    </w:p>
    <w:p w14:paraId="036BAB85">
      <w:pPr>
        <w:pStyle w:val="41"/>
        <w:rPr>
          <w:color w:val="auto"/>
          <w:highlight w:val="none"/>
        </w:rPr>
      </w:pPr>
    </w:p>
    <w:p w14:paraId="549FBC72">
      <w:pPr>
        <w:pStyle w:val="18"/>
        <w:snapToGrid w:val="0"/>
        <w:spacing w:before="120" w:after="120" w:line="360" w:lineRule="auto"/>
        <w:jc w:val="center"/>
        <w:rPr>
          <w:rFonts w:hAnsi="宋体" w:cs="宋体"/>
          <w:b/>
          <w:bCs/>
          <w:color w:val="auto"/>
          <w:sz w:val="40"/>
          <w:szCs w:val="40"/>
          <w:highlight w:val="none"/>
        </w:rPr>
      </w:pPr>
      <w:r>
        <w:rPr>
          <w:rFonts w:hint="eastAsia"/>
          <w:b/>
          <w:color w:val="auto"/>
          <w:spacing w:val="20"/>
          <w:sz w:val="52"/>
          <w:szCs w:val="52"/>
          <w:highlight w:val="none"/>
          <w:lang w:bidi="ar"/>
        </w:rPr>
        <w:drawing>
          <wp:anchor distT="0" distB="0" distL="114300" distR="114300" simplePos="0" relativeHeight="251660288" behindDoc="0" locked="0" layoutInCell="1" allowOverlap="1">
            <wp:simplePos x="0" y="0"/>
            <wp:positionH relativeFrom="column">
              <wp:posOffset>1793875</wp:posOffset>
            </wp:positionH>
            <wp:positionV relativeFrom="paragraph">
              <wp:posOffset>1174750</wp:posOffset>
            </wp:positionV>
            <wp:extent cx="2174875" cy="1631315"/>
            <wp:effectExtent l="0" t="0" r="15875" b="6985"/>
            <wp:wrapNone/>
            <wp:docPr id="5" name="图片 4" descr="a08df6e229dc7e5739d766740e5e6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a08df6e229dc7e5739d766740e5e61c"/>
                    <pic:cNvPicPr>
                      <a:picLocks noChangeAspect="1"/>
                    </pic:cNvPicPr>
                  </pic:nvPicPr>
                  <pic:blipFill>
                    <a:blip r:embed="rId8"/>
                    <a:stretch>
                      <a:fillRect/>
                    </a:stretch>
                  </pic:blipFill>
                  <pic:spPr>
                    <a:xfrm>
                      <a:off x="0" y="0"/>
                      <a:ext cx="2174875" cy="1631315"/>
                    </a:xfrm>
                    <a:prstGeom prst="rect">
                      <a:avLst/>
                    </a:prstGeom>
                    <a:noFill/>
                    <a:ln>
                      <a:noFill/>
                    </a:ln>
                  </pic:spPr>
                </pic:pic>
              </a:graphicData>
            </a:graphic>
          </wp:anchor>
        </w:drawing>
      </w:r>
      <w:r>
        <w:rPr>
          <w:rFonts w:hint="eastAsia" w:hAnsi="宋体" w:cs="宋体"/>
          <w:b/>
          <w:bCs/>
          <w:color w:val="auto"/>
          <w:sz w:val="96"/>
          <w:szCs w:val="96"/>
          <w:highlight w:val="none"/>
        </w:rPr>
        <w:t>竞争性磋商文件</w:t>
      </w:r>
    </w:p>
    <w:p w14:paraId="0F0D44EC">
      <w:pPr>
        <w:pStyle w:val="18"/>
        <w:snapToGrid w:val="0"/>
        <w:spacing w:before="120" w:after="120" w:line="360" w:lineRule="auto"/>
        <w:ind w:firstLine="1593" w:firstLineChars="496"/>
        <w:rPr>
          <w:rFonts w:hAnsi="宋体" w:cs="宋体"/>
          <w:b/>
          <w:bCs/>
          <w:color w:val="auto"/>
          <w:sz w:val="32"/>
          <w:szCs w:val="32"/>
          <w:highlight w:val="none"/>
        </w:rPr>
      </w:pPr>
    </w:p>
    <w:p w14:paraId="0B19CD9B">
      <w:pPr>
        <w:tabs>
          <w:tab w:val="left" w:pos="4122"/>
        </w:tabs>
        <w:snapToGrid w:val="0"/>
        <w:spacing w:before="156" w:beforeLines="50" w:line="360" w:lineRule="auto"/>
        <w:rPr>
          <w:rFonts w:ascii="宋体" w:hAnsi="宋体" w:cs="宋体"/>
          <w:b/>
          <w:color w:val="auto"/>
          <w:sz w:val="32"/>
          <w:szCs w:val="96"/>
          <w:highlight w:val="none"/>
        </w:rPr>
      </w:pPr>
      <w:r>
        <w:rPr>
          <w:rFonts w:hint="eastAsia" w:ascii="宋体" w:hAnsi="宋体" w:cs="宋体"/>
          <w:b/>
          <w:color w:val="auto"/>
          <w:sz w:val="32"/>
          <w:szCs w:val="96"/>
          <w:highlight w:val="none"/>
        </w:rPr>
        <w:tab/>
      </w:r>
    </w:p>
    <w:p w14:paraId="77F16BCD">
      <w:pPr>
        <w:snapToGrid w:val="0"/>
        <w:spacing w:before="156" w:beforeLines="50" w:line="360" w:lineRule="auto"/>
        <w:rPr>
          <w:rFonts w:ascii="宋体" w:hAnsi="宋体" w:cs="宋体"/>
          <w:b/>
          <w:color w:val="auto"/>
          <w:sz w:val="32"/>
          <w:szCs w:val="96"/>
          <w:highlight w:val="none"/>
        </w:rPr>
      </w:pPr>
    </w:p>
    <w:p w14:paraId="03C19608">
      <w:pPr>
        <w:snapToGrid w:val="0"/>
        <w:spacing w:before="156" w:beforeLines="50" w:line="360" w:lineRule="auto"/>
        <w:rPr>
          <w:rFonts w:ascii="宋体" w:hAnsi="宋体" w:cs="宋体"/>
          <w:b/>
          <w:color w:val="auto"/>
          <w:sz w:val="32"/>
          <w:szCs w:val="96"/>
          <w:highlight w:val="none"/>
        </w:rPr>
      </w:pPr>
    </w:p>
    <w:p w14:paraId="34A55C71">
      <w:pPr>
        <w:snapToGrid w:val="0"/>
        <w:spacing w:before="156" w:beforeLines="50" w:line="360" w:lineRule="auto"/>
        <w:jc w:val="center"/>
        <w:rPr>
          <w:rFonts w:ascii="宋体" w:hAnsi="宋体" w:cs="宋体"/>
          <w:b/>
          <w:color w:val="auto"/>
          <w:sz w:val="32"/>
          <w:szCs w:val="96"/>
          <w:highlight w:val="none"/>
        </w:rPr>
      </w:pPr>
      <w:r>
        <w:rPr>
          <w:rFonts w:hint="eastAsia" w:ascii="宋体" w:hAnsi="宋体" w:cs="宋体"/>
          <w:b/>
          <w:color w:val="auto"/>
          <w:sz w:val="32"/>
          <w:szCs w:val="96"/>
          <w:highlight w:val="none"/>
        </w:rPr>
        <w:t>项目名称：德保县森林草原湿地荒漠化普查项目</w:t>
      </w:r>
    </w:p>
    <w:p w14:paraId="46D822FB">
      <w:pPr>
        <w:snapToGrid w:val="0"/>
        <w:spacing w:before="156" w:beforeLines="50" w:line="360" w:lineRule="auto"/>
        <w:jc w:val="center"/>
        <w:rPr>
          <w:rFonts w:ascii="宋体" w:hAnsi="宋体" w:cs="宋体"/>
          <w:b/>
          <w:color w:val="auto"/>
          <w:sz w:val="32"/>
          <w:szCs w:val="96"/>
          <w:highlight w:val="none"/>
        </w:rPr>
      </w:pPr>
      <w:r>
        <w:rPr>
          <w:rFonts w:hint="eastAsia" w:ascii="宋体" w:hAnsi="宋体" w:cs="宋体"/>
          <w:b/>
          <w:bCs/>
          <w:color w:val="auto"/>
          <w:sz w:val="32"/>
          <w:szCs w:val="32"/>
          <w:highlight w:val="none"/>
        </w:rPr>
        <w:t>项目编号：BSZC2025-C3-240019-DXGS</w:t>
      </w:r>
    </w:p>
    <w:p w14:paraId="6CC2DF68">
      <w:pPr>
        <w:snapToGrid w:val="0"/>
        <w:spacing w:before="156" w:beforeLines="50" w:line="360" w:lineRule="auto"/>
        <w:jc w:val="center"/>
        <w:rPr>
          <w:rFonts w:ascii="宋体" w:hAnsi="宋体" w:cs="宋体"/>
          <w:b/>
          <w:color w:val="auto"/>
          <w:sz w:val="32"/>
          <w:szCs w:val="96"/>
          <w:highlight w:val="none"/>
        </w:rPr>
      </w:pPr>
    </w:p>
    <w:p w14:paraId="0B018C06">
      <w:pPr>
        <w:snapToGrid w:val="0"/>
        <w:spacing w:before="156" w:beforeLines="50" w:line="360" w:lineRule="auto"/>
        <w:ind w:firstLine="1285" w:firstLineChars="400"/>
        <w:rPr>
          <w:rFonts w:ascii="宋体" w:hAnsi="宋体" w:cs="宋体"/>
          <w:b/>
          <w:color w:val="auto"/>
          <w:sz w:val="32"/>
          <w:szCs w:val="96"/>
          <w:highlight w:val="none"/>
        </w:rPr>
      </w:pPr>
    </w:p>
    <w:p w14:paraId="556583BE">
      <w:pPr>
        <w:snapToGrid w:val="0"/>
        <w:spacing w:before="156" w:beforeLines="50" w:line="360" w:lineRule="auto"/>
        <w:jc w:val="center"/>
        <w:rPr>
          <w:rFonts w:ascii="宋体" w:hAnsi="宋体" w:cs="宋体"/>
          <w:b/>
          <w:color w:val="auto"/>
          <w:sz w:val="32"/>
          <w:szCs w:val="96"/>
          <w:highlight w:val="none"/>
        </w:rPr>
      </w:pPr>
      <w:r>
        <w:rPr>
          <w:rFonts w:hint="eastAsia" w:ascii="宋体" w:hAnsi="宋体" w:cs="宋体"/>
          <w:b/>
          <w:color w:val="auto"/>
          <w:sz w:val="32"/>
          <w:szCs w:val="96"/>
          <w:highlight w:val="none"/>
        </w:rPr>
        <w:t>采 购 人：德保县林业局</w:t>
      </w:r>
    </w:p>
    <w:p w14:paraId="327BE764">
      <w:pPr>
        <w:snapToGrid w:val="0"/>
        <w:spacing w:before="156" w:beforeLines="50" w:line="360" w:lineRule="auto"/>
        <w:jc w:val="center"/>
        <w:rPr>
          <w:rFonts w:ascii="宋体" w:hAnsi="宋体" w:cs="宋体"/>
          <w:b/>
          <w:color w:val="auto"/>
          <w:sz w:val="32"/>
          <w:szCs w:val="96"/>
          <w:highlight w:val="none"/>
        </w:rPr>
      </w:pPr>
      <w:r>
        <w:rPr>
          <w:rFonts w:hint="eastAsia" w:ascii="宋体" w:hAnsi="宋体" w:cs="宋体"/>
          <w:b/>
          <w:color w:val="auto"/>
          <w:sz w:val="32"/>
          <w:szCs w:val="96"/>
          <w:highlight w:val="none"/>
        </w:rPr>
        <w:t>采购代理机构：东信工程项目管理有限公司</w:t>
      </w:r>
    </w:p>
    <w:p w14:paraId="5668B93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96"/>
          <w:highlight w:val="none"/>
        </w:rPr>
        <w:t>2025年4月</w:t>
      </w:r>
    </w:p>
    <w:p w14:paraId="0A96AE01">
      <w:pPr>
        <w:jc w:val="center"/>
        <w:rPr>
          <w:rStyle w:val="44"/>
          <w:color w:val="auto"/>
          <w:highlight w:val="none"/>
        </w:rPr>
      </w:pPr>
      <w:r>
        <w:rPr>
          <w:rStyle w:val="44"/>
          <w:rFonts w:hint="eastAsia"/>
          <w:color w:val="auto"/>
          <w:highlight w:val="none"/>
        </w:rPr>
        <w:t>目录</w:t>
      </w:r>
    </w:p>
    <w:p w14:paraId="519E1E39">
      <w:pPr>
        <w:pStyle w:val="24"/>
        <w:tabs>
          <w:tab w:val="right" w:leader="dot" w:pos="9522"/>
        </w:tabs>
        <w:spacing w:line="360" w:lineRule="auto"/>
        <w:rPr>
          <w:rFonts w:ascii="宋体" w:hAnsi="宋体" w:cs="宋体"/>
          <w:color w:val="auto"/>
          <w:sz w:val="28"/>
          <w:szCs w:val="28"/>
          <w:highlight w:val="none"/>
        </w:rPr>
      </w:pPr>
      <w:r>
        <w:rPr>
          <w:rFonts w:hint="eastAsia" w:ascii="宋体" w:hAnsi="宋体" w:cs="宋体"/>
          <w:b/>
          <w:color w:val="auto"/>
          <w:sz w:val="28"/>
          <w:szCs w:val="28"/>
          <w:highlight w:val="none"/>
        </w:rPr>
        <w:fldChar w:fldCharType="begin"/>
      </w:r>
      <w:r>
        <w:rPr>
          <w:rFonts w:hint="eastAsia" w:ascii="宋体" w:hAnsi="宋体" w:cs="宋体"/>
          <w:b/>
          <w:color w:val="auto"/>
          <w:sz w:val="28"/>
          <w:szCs w:val="28"/>
          <w:highlight w:val="none"/>
        </w:rPr>
        <w:instrText xml:space="preserve">TOC \o "1-1" \h \u </w:instrText>
      </w:r>
      <w:r>
        <w:rPr>
          <w:rFonts w:hint="eastAsia" w:ascii="宋体" w:hAnsi="宋体" w:cs="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"_Toc9953" </w:instrText>
      </w:r>
      <w:r>
        <w:rPr>
          <w:color w:val="auto"/>
          <w:highlight w:val="none"/>
        </w:rPr>
        <w:fldChar w:fldCharType="separate"/>
      </w:r>
      <w:r>
        <w:rPr>
          <w:rFonts w:hint="eastAsia" w:ascii="宋体" w:hAnsi="宋体" w:cs="宋体"/>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_Toc9953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9FA63F3">
      <w:pPr>
        <w:pStyle w:val="24"/>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"_Toc28251" </w:instrText>
      </w:r>
      <w:r>
        <w:rPr>
          <w:color w:val="auto"/>
          <w:highlight w:val="none"/>
        </w:rPr>
        <w:fldChar w:fldCharType="separate"/>
      </w:r>
      <w:r>
        <w:rPr>
          <w:rFonts w:hint="eastAsia" w:ascii="宋体" w:hAnsi="宋体" w:cs="宋体"/>
          <w:color w:val="auto"/>
          <w:sz w:val="28"/>
          <w:szCs w:val="28"/>
          <w:highlight w:val="none"/>
        </w:rPr>
        <w:t>第二章 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_Toc28251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5D922B0">
      <w:pPr>
        <w:pStyle w:val="24"/>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"_Toc30239" </w:instrText>
      </w:r>
      <w:r>
        <w:rPr>
          <w:color w:val="auto"/>
          <w:highlight w:val="none"/>
        </w:rPr>
        <w:fldChar w:fldCharType="separate"/>
      </w:r>
      <w:r>
        <w:rPr>
          <w:rFonts w:hint="eastAsia" w:ascii="宋体" w:hAnsi="宋体" w:cs="宋体"/>
          <w:color w:val="auto"/>
          <w:sz w:val="28"/>
          <w:szCs w:val="28"/>
          <w:highlight w:val="none"/>
        </w:rPr>
        <w:t>第三章 项目需求和说明</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_Toc30239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614A9BC">
      <w:pPr>
        <w:pStyle w:val="24"/>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"_Toc489" </w:instrText>
      </w:r>
      <w:r>
        <w:rPr>
          <w:color w:val="auto"/>
          <w:highlight w:val="none"/>
        </w:rPr>
        <w:fldChar w:fldCharType="separate"/>
      </w:r>
      <w:r>
        <w:rPr>
          <w:rFonts w:hint="eastAsia" w:ascii="宋体" w:hAnsi="宋体" w:cs="宋体"/>
          <w:color w:val="auto"/>
          <w:sz w:val="28"/>
          <w:szCs w:val="28"/>
          <w:highlight w:val="none"/>
        </w:rPr>
        <w:t>第四章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_Toc489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1C04512">
      <w:pPr>
        <w:pStyle w:val="24"/>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"_Toc31802" </w:instrText>
      </w:r>
      <w:r>
        <w:rPr>
          <w:color w:val="auto"/>
          <w:highlight w:val="none"/>
        </w:rPr>
        <w:fldChar w:fldCharType="separate"/>
      </w:r>
      <w:r>
        <w:rPr>
          <w:rFonts w:hint="eastAsia" w:ascii="宋体" w:hAnsi="宋体" w:cs="宋体"/>
          <w:color w:val="auto"/>
          <w:sz w:val="28"/>
          <w:szCs w:val="28"/>
          <w:highlight w:val="none"/>
        </w:rPr>
        <w:t>第五章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_Toc31802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826B116">
      <w:pPr>
        <w:pStyle w:val="24"/>
        <w:tabs>
          <w:tab w:val="right" w:leader="dot" w:pos="9522"/>
        </w:tabs>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"_Toc24421" </w:instrText>
      </w:r>
      <w:r>
        <w:rPr>
          <w:color w:val="auto"/>
          <w:highlight w:val="none"/>
        </w:rPr>
        <w:fldChar w:fldCharType="separate"/>
      </w:r>
      <w:r>
        <w:rPr>
          <w:rFonts w:hint="eastAsia" w:ascii="宋体" w:hAnsi="宋体" w:cs="宋体"/>
          <w:color w:val="auto"/>
          <w:sz w:val="28"/>
          <w:szCs w:val="28"/>
          <w:highlight w:val="none"/>
        </w:rPr>
        <w:t>第六章 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_Toc24421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F6461E5">
      <w:pPr>
        <w:spacing w:line="480" w:lineRule="auto"/>
        <w:jc w:val="center"/>
        <w:rPr>
          <w:rFonts w:ascii="宋体" w:hAnsi="宋体" w:cs="宋体"/>
          <w:b/>
          <w:color w:val="auto"/>
          <w:sz w:val="44"/>
          <w:szCs w:val="44"/>
          <w:highlight w:val="none"/>
        </w:rPr>
      </w:pPr>
      <w:r>
        <w:rPr>
          <w:rFonts w:hint="eastAsia" w:ascii="宋体" w:hAnsi="宋体" w:cs="宋体"/>
          <w:color w:val="auto"/>
          <w:sz w:val="28"/>
          <w:szCs w:val="28"/>
          <w:highlight w:val="none"/>
        </w:rPr>
        <w:fldChar w:fldCharType="end"/>
      </w:r>
    </w:p>
    <w:p w14:paraId="790C8446">
      <w:pPr>
        <w:pStyle w:val="25"/>
        <w:tabs>
          <w:tab w:val="left" w:pos="7199"/>
          <w:tab w:val="clear" w:pos="8296"/>
        </w:tabs>
        <w:spacing w:line="360" w:lineRule="auto"/>
        <w:rPr>
          <w:rFonts w:ascii="宋体" w:hAnsi="宋体" w:cs="宋体"/>
          <w:color w:val="auto"/>
          <w:sz w:val="32"/>
          <w:szCs w:val="40"/>
          <w:highlight w:val="none"/>
        </w:rPr>
      </w:pPr>
      <w:r>
        <w:rPr>
          <w:rFonts w:hint="eastAsia" w:ascii="宋体" w:hAnsi="宋体" w:cs="宋体"/>
          <w:b/>
          <w:color w:val="auto"/>
          <w:sz w:val="44"/>
          <w:szCs w:val="44"/>
          <w:highlight w:val="none"/>
        </w:rPr>
        <w:tab/>
      </w:r>
      <w:r>
        <w:rPr>
          <w:rFonts w:hint="eastAsia" w:ascii="宋体" w:hAnsi="宋体" w:cs="宋体"/>
          <w:b/>
          <w:color w:val="auto"/>
          <w:sz w:val="44"/>
          <w:szCs w:val="44"/>
          <w:highlight w:val="none"/>
        </w:rPr>
        <w:fldChar w:fldCharType="begin"/>
      </w:r>
      <w:r>
        <w:rPr>
          <w:rFonts w:hint="eastAsia" w:ascii="宋体" w:hAnsi="宋体" w:cs="宋体"/>
          <w:b/>
          <w:color w:val="auto"/>
          <w:sz w:val="44"/>
          <w:szCs w:val="44"/>
          <w:highlight w:val="none"/>
        </w:rPr>
        <w:instrText xml:space="preserve"> TOC \o "1-3" \h \z \u </w:instrText>
      </w:r>
      <w:r>
        <w:rPr>
          <w:rFonts w:hint="eastAsia" w:ascii="宋体" w:hAnsi="宋体" w:cs="宋体"/>
          <w:b/>
          <w:color w:val="auto"/>
          <w:sz w:val="44"/>
          <w:szCs w:val="44"/>
          <w:highlight w:val="none"/>
        </w:rPr>
        <w:fldChar w:fldCharType="separate"/>
      </w:r>
    </w:p>
    <w:p w14:paraId="703B7BD2">
      <w:pPr>
        <w:pStyle w:val="25"/>
        <w:spacing w:line="360" w:lineRule="auto"/>
        <w:rPr>
          <w:rFonts w:ascii="宋体" w:hAnsi="宋体" w:cs="宋体"/>
          <w:color w:val="auto"/>
          <w:sz w:val="28"/>
          <w:szCs w:val="28"/>
          <w:highlight w:val="none"/>
        </w:rPr>
      </w:pPr>
      <w:r>
        <w:rPr>
          <w:rFonts w:hint="eastAsia" w:ascii="宋体" w:hAnsi="宋体" w:cs="宋体"/>
          <w:color w:val="auto"/>
          <w:sz w:val="32"/>
          <w:szCs w:val="44"/>
          <w:highlight w:val="none"/>
        </w:rPr>
        <w:fldChar w:fldCharType="end"/>
      </w:r>
    </w:p>
    <w:p w14:paraId="350A1403">
      <w:pPr>
        <w:spacing w:line="400" w:lineRule="exact"/>
        <w:jc w:val="left"/>
        <w:rPr>
          <w:rFonts w:ascii="宋体" w:hAnsi="宋体" w:cs="宋体"/>
          <w:b/>
          <w:color w:val="auto"/>
          <w:sz w:val="32"/>
          <w:szCs w:val="32"/>
          <w:highlight w:val="none"/>
        </w:rPr>
      </w:pPr>
    </w:p>
    <w:p w14:paraId="5EAE8025">
      <w:pPr>
        <w:spacing w:line="400" w:lineRule="exact"/>
        <w:jc w:val="center"/>
        <w:rPr>
          <w:rFonts w:ascii="宋体" w:hAnsi="宋体" w:cs="宋体"/>
          <w:b/>
          <w:color w:val="auto"/>
          <w:sz w:val="32"/>
          <w:szCs w:val="32"/>
          <w:highlight w:val="none"/>
        </w:rPr>
      </w:pPr>
    </w:p>
    <w:p w14:paraId="6776E91A">
      <w:pPr>
        <w:spacing w:line="400" w:lineRule="exact"/>
        <w:jc w:val="center"/>
        <w:rPr>
          <w:rFonts w:ascii="宋体" w:hAnsi="宋体" w:cs="宋体"/>
          <w:b/>
          <w:color w:val="auto"/>
          <w:sz w:val="32"/>
          <w:szCs w:val="32"/>
          <w:highlight w:val="none"/>
        </w:rPr>
      </w:pPr>
    </w:p>
    <w:p w14:paraId="57D9663B">
      <w:pPr>
        <w:spacing w:line="400" w:lineRule="exact"/>
        <w:jc w:val="center"/>
        <w:rPr>
          <w:rFonts w:ascii="宋体" w:hAnsi="宋体" w:cs="宋体"/>
          <w:b/>
          <w:color w:val="auto"/>
          <w:sz w:val="32"/>
          <w:szCs w:val="32"/>
          <w:highlight w:val="none"/>
        </w:rPr>
      </w:pPr>
    </w:p>
    <w:p w14:paraId="4A33D2D4">
      <w:pPr>
        <w:spacing w:line="400" w:lineRule="exact"/>
        <w:jc w:val="center"/>
        <w:rPr>
          <w:rFonts w:ascii="宋体" w:hAnsi="宋体" w:cs="宋体"/>
          <w:b/>
          <w:color w:val="auto"/>
          <w:sz w:val="32"/>
          <w:szCs w:val="32"/>
          <w:highlight w:val="none"/>
        </w:rPr>
      </w:pPr>
    </w:p>
    <w:p w14:paraId="412BF059">
      <w:pPr>
        <w:spacing w:line="400" w:lineRule="exact"/>
        <w:rPr>
          <w:rFonts w:ascii="宋体" w:hAnsi="宋体" w:cs="宋体"/>
          <w:b/>
          <w:color w:val="auto"/>
          <w:sz w:val="32"/>
          <w:szCs w:val="32"/>
          <w:highlight w:val="none"/>
        </w:rPr>
        <w:sectPr>
          <w:headerReference r:id="rId4" w:type="first"/>
          <w:headerReference r:id="rId3" w:type="default"/>
          <w:pgSz w:w="11906" w:h="16838"/>
          <w:pgMar w:top="1440" w:right="1080" w:bottom="1440" w:left="1304" w:header="851" w:footer="992" w:gutter="0"/>
          <w:cols w:space="720" w:num="1"/>
          <w:titlePg/>
          <w:docGrid w:type="lines" w:linePitch="312" w:charSpace="0"/>
        </w:sectPr>
      </w:pPr>
    </w:p>
    <w:p w14:paraId="4DB05E4C">
      <w:pPr>
        <w:pStyle w:val="4"/>
        <w:numPr>
          <w:ilvl w:val="0"/>
          <w:numId w:val="1"/>
        </w:numPr>
        <w:spacing w:before="0" w:after="0" w:line="240" w:lineRule="auto"/>
        <w:jc w:val="center"/>
        <w:rPr>
          <w:rFonts w:ascii="宋体" w:hAnsi="宋体" w:cs="宋体"/>
          <w:color w:val="auto"/>
          <w:highlight w:val="none"/>
        </w:rPr>
      </w:pPr>
      <w:bookmarkStart w:id="0" w:name="_Toc9953"/>
      <w:bookmarkStart w:id="1" w:name="_Toc20756"/>
      <w:r>
        <w:rPr>
          <w:rFonts w:hint="eastAsia" w:ascii="宋体" w:hAnsi="宋体" w:cs="宋体"/>
          <w:color w:val="auto"/>
          <w:highlight w:val="none"/>
        </w:rPr>
        <w:t>竞争性磋商公告</w:t>
      </w:r>
      <w:bookmarkEnd w:id="0"/>
      <w:bookmarkEnd w:id="1"/>
    </w:p>
    <w:p w14:paraId="021E6CE5">
      <w:pPr>
        <w:spacing w:line="400" w:lineRule="exact"/>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东信工程项目管理有限公司关于德保县森林草原湿地荒漠化普查项目竞争性磋商公告（远程异地评标）</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14:paraId="19CF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14:paraId="64443427">
            <w:pPr>
              <w:spacing w:line="380" w:lineRule="exact"/>
              <w:rPr>
                <w:rFonts w:ascii="宋体" w:hAnsi="宋体" w:cs="宋体"/>
                <w:b/>
                <w:color w:val="auto"/>
                <w:sz w:val="24"/>
                <w:highlight w:val="none"/>
              </w:rPr>
            </w:pPr>
            <w:r>
              <w:rPr>
                <w:rFonts w:hint="eastAsia" w:ascii="宋体" w:hAnsi="宋体" w:cs="宋体"/>
                <w:b/>
                <w:color w:val="auto"/>
                <w:sz w:val="24"/>
                <w:highlight w:val="none"/>
              </w:rPr>
              <w:t>项目概况</w:t>
            </w:r>
          </w:p>
          <w:p w14:paraId="2791A765">
            <w:pPr>
              <w:spacing w:line="38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u w:val="single"/>
              </w:rPr>
              <w:t xml:space="preserve">德保县森林草原湿地荒漠化普查项目 </w:t>
            </w:r>
            <w:r>
              <w:rPr>
                <w:rFonts w:hint="eastAsia" w:ascii="宋体" w:hAnsi="宋体" w:cs="宋体"/>
                <w:bCs/>
                <w:color w:val="auto"/>
                <w:sz w:val="24"/>
                <w:highlight w:val="none"/>
              </w:rPr>
              <w:t>采购的潜在供应商应在</w:t>
            </w:r>
            <w:r>
              <w:rPr>
                <w:rFonts w:hint="eastAsia" w:ascii="宋体" w:hAnsi="宋体" w:cs="宋体"/>
                <w:color w:val="auto"/>
                <w:sz w:val="24"/>
                <w:highlight w:val="none"/>
                <w:u w:val="single"/>
              </w:rPr>
              <w:t>广西政府采购云平台系统（https://www.gcy.zfcg.gxzf.gov.cn/）</w:t>
            </w:r>
            <w:r>
              <w:rPr>
                <w:rFonts w:hint="eastAsia" w:ascii="宋体" w:hAnsi="宋体" w:cs="宋体"/>
                <w:bCs/>
                <w:color w:val="auto"/>
                <w:sz w:val="24"/>
                <w:highlight w:val="none"/>
              </w:rPr>
              <w:t>获取采购文件，并于</w:t>
            </w:r>
            <w:r>
              <w:rPr>
                <w:rFonts w:hint="eastAsia" w:ascii="宋体" w:hAnsi="宋体" w:cs="宋体"/>
                <w:bCs/>
                <w:color w:val="auto"/>
                <w:sz w:val="24"/>
                <w:highlight w:val="none"/>
                <w:u w:val="single"/>
                <w:lang w:eastAsia="zh-CN"/>
              </w:rPr>
              <w:t>2025年04月22日15时00分</w:t>
            </w:r>
            <w:r>
              <w:rPr>
                <w:rFonts w:hint="eastAsia" w:ascii="宋体" w:hAnsi="宋体" w:cs="宋体"/>
                <w:bCs/>
                <w:color w:val="auto"/>
                <w:sz w:val="24"/>
                <w:highlight w:val="none"/>
              </w:rPr>
              <w:t>（北京时间）前提交响应文件。</w:t>
            </w:r>
          </w:p>
        </w:tc>
      </w:tr>
    </w:tbl>
    <w:p w14:paraId="4BA33D60">
      <w:pPr>
        <w:pStyle w:val="4"/>
        <w:spacing w:before="0" w:after="0" w:line="380" w:lineRule="exact"/>
        <w:ind w:firstLine="482" w:firstLineChars="200"/>
        <w:rPr>
          <w:rFonts w:ascii="宋体" w:hAnsi="宋体" w:cs="宋体"/>
          <w:bCs w:val="0"/>
          <w:color w:val="auto"/>
          <w:sz w:val="24"/>
          <w:szCs w:val="24"/>
          <w:highlight w:val="none"/>
        </w:rPr>
      </w:pPr>
      <w:bookmarkStart w:id="2" w:name="_Toc28359012"/>
      <w:bookmarkStart w:id="3" w:name="_Toc44229878"/>
      <w:bookmarkStart w:id="4" w:name="_Toc28359089"/>
      <w:bookmarkStart w:id="5" w:name="_Toc10597"/>
      <w:bookmarkStart w:id="6" w:name="_Toc35393798"/>
      <w:bookmarkStart w:id="7" w:name="_Toc35393629"/>
      <w:bookmarkStart w:id="8" w:name="_Hlk37430271"/>
      <w:r>
        <w:rPr>
          <w:rFonts w:hint="eastAsia" w:ascii="宋体" w:hAnsi="宋体" w:cs="宋体"/>
          <w:bCs w:val="0"/>
          <w:color w:val="auto"/>
          <w:sz w:val="24"/>
          <w:szCs w:val="24"/>
          <w:highlight w:val="none"/>
        </w:rPr>
        <w:t>一、项目基本情况</w:t>
      </w:r>
      <w:bookmarkEnd w:id="2"/>
      <w:bookmarkEnd w:id="3"/>
      <w:bookmarkEnd w:id="4"/>
      <w:bookmarkEnd w:id="5"/>
      <w:bookmarkEnd w:id="6"/>
      <w:bookmarkEnd w:id="7"/>
    </w:p>
    <w:p w14:paraId="5076651D">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项目编号：BSZC2025-C3-240019-DXGS</w:t>
      </w:r>
    </w:p>
    <w:p w14:paraId="6911F02F">
      <w:pPr>
        <w:spacing w:line="38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项目名称：德保县森林草原湿地荒漠化普查项目</w:t>
      </w:r>
    </w:p>
    <w:p w14:paraId="7038356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采购方式：竞争性磋商</w:t>
      </w:r>
    </w:p>
    <w:p w14:paraId="3766AE8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预算总金额（元）：2780749.60</w:t>
      </w:r>
    </w:p>
    <w:p w14:paraId="79433F2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采购需求：德保县森林草原湿地荒漠化普查项目,具体内容详见竞争性磋商文件。</w:t>
      </w:r>
    </w:p>
    <w:p w14:paraId="23DA6C2C">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最高限价（如有）：2780749.60</w:t>
      </w:r>
    </w:p>
    <w:p w14:paraId="0D74A609">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合同履约期限：</w:t>
      </w:r>
      <w:r>
        <w:rPr>
          <w:rFonts w:hint="eastAsia" w:ascii="宋体" w:hAnsi="宋体" w:cs="宋体"/>
          <w:color w:val="auto"/>
          <w:sz w:val="24"/>
          <w:highlight w:val="none"/>
          <w:lang w:eastAsia="zh-CN"/>
        </w:rPr>
        <w:t>合同签订之日起至60天内提交成果（如自治区林业局另有规定的，从其规定）</w:t>
      </w:r>
      <w:r>
        <w:rPr>
          <w:rFonts w:hint="eastAsia" w:ascii="宋体" w:hAnsi="宋体" w:cs="宋体"/>
          <w:color w:val="auto"/>
          <w:sz w:val="24"/>
          <w:highlight w:val="none"/>
        </w:rPr>
        <w:t>。</w:t>
      </w:r>
    </w:p>
    <w:p w14:paraId="4F1256C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本标项（否）接受联合体投标</w:t>
      </w:r>
    </w:p>
    <w:p w14:paraId="0D97C9EB">
      <w:pPr>
        <w:pStyle w:val="4"/>
        <w:spacing w:before="0" w:after="0" w:line="380" w:lineRule="exact"/>
        <w:ind w:firstLine="482" w:firstLineChars="200"/>
        <w:rPr>
          <w:rFonts w:ascii="宋体" w:hAnsi="宋体" w:cs="宋体"/>
          <w:bCs w:val="0"/>
          <w:color w:val="auto"/>
          <w:sz w:val="24"/>
          <w:szCs w:val="24"/>
          <w:highlight w:val="none"/>
        </w:rPr>
      </w:pPr>
      <w:bookmarkStart w:id="9" w:name="_Toc28359013"/>
      <w:bookmarkStart w:id="10" w:name="_Toc35393630"/>
      <w:bookmarkStart w:id="11" w:name="_Toc8917"/>
      <w:bookmarkStart w:id="12" w:name="_Toc28359090"/>
      <w:bookmarkStart w:id="13" w:name="_Toc35393799"/>
      <w:bookmarkStart w:id="14" w:name="_Toc44229879"/>
      <w:r>
        <w:rPr>
          <w:rFonts w:hint="eastAsia" w:ascii="宋体" w:hAnsi="宋体" w:cs="宋体"/>
          <w:bCs w:val="0"/>
          <w:color w:val="auto"/>
          <w:sz w:val="24"/>
          <w:szCs w:val="24"/>
          <w:highlight w:val="none"/>
        </w:rPr>
        <w:t>二、供应商的资格条件</w:t>
      </w:r>
      <w:bookmarkEnd w:id="9"/>
      <w:bookmarkEnd w:id="10"/>
      <w:bookmarkEnd w:id="11"/>
      <w:bookmarkEnd w:id="12"/>
      <w:bookmarkEnd w:id="13"/>
      <w:bookmarkEnd w:id="14"/>
    </w:p>
    <w:p w14:paraId="1329E3A3">
      <w:pPr>
        <w:spacing w:line="380" w:lineRule="exact"/>
        <w:ind w:firstLine="480" w:firstLineChars="200"/>
        <w:rPr>
          <w:rFonts w:ascii="宋体" w:hAnsi="宋体" w:cs="宋体"/>
          <w:color w:val="auto"/>
          <w:sz w:val="24"/>
          <w:highlight w:val="none"/>
        </w:rPr>
      </w:pPr>
      <w:bookmarkStart w:id="15" w:name="_Toc35393800"/>
      <w:bookmarkStart w:id="16" w:name="_Toc28359091"/>
      <w:bookmarkStart w:id="17" w:name="_Toc44229880"/>
      <w:bookmarkStart w:id="18" w:name="_Toc28359014"/>
      <w:bookmarkStart w:id="19" w:name="_Toc35393631"/>
      <w:r>
        <w:rPr>
          <w:rFonts w:hint="eastAsia" w:ascii="宋体" w:hAnsi="宋体" w:cs="宋体"/>
          <w:color w:val="auto"/>
          <w:sz w:val="24"/>
          <w:highlight w:val="none"/>
        </w:rPr>
        <w:t>1.满足《中华人民共和国政府采购法》第二十二条规定。</w:t>
      </w:r>
    </w:p>
    <w:p w14:paraId="490E9E9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14:paraId="50E6A713">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3.本项目的特定资格要求：具备林业调查规划设计丙级及以上资质。</w:t>
      </w:r>
    </w:p>
    <w:p w14:paraId="3BA461CA">
      <w:pPr>
        <w:pStyle w:val="4"/>
        <w:spacing w:before="0" w:after="0" w:line="380" w:lineRule="exact"/>
        <w:ind w:firstLine="482" w:firstLineChars="200"/>
        <w:rPr>
          <w:rFonts w:ascii="宋体" w:hAnsi="宋体" w:cs="宋体"/>
          <w:bCs w:val="0"/>
          <w:color w:val="auto"/>
          <w:sz w:val="24"/>
          <w:szCs w:val="24"/>
          <w:highlight w:val="none"/>
        </w:rPr>
      </w:pPr>
      <w:bookmarkStart w:id="20" w:name="_Toc16902"/>
      <w:r>
        <w:rPr>
          <w:rFonts w:hint="eastAsia" w:ascii="宋体" w:hAnsi="宋体" w:cs="宋体"/>
          <w:bCs w:val="0"/>
          <w:color w:val="auto"/>
          <w:sz w:val="24"/>
          <w:szCs w:val="24"/>
          <w:highlight w:val="none"/>
        </w:rPr>
        <w:t>三、获取竞争性磋商文件</w:t>
      </w:r>
      <w:bookmarkEnd w:id="15"/>
      <w:bookmarkEnd w:id="16"/>
      <w:bookmarkEnd w:id="17"/>
      <w:bookmarkEnd w:id="18"/>
      <w:bookmarkEnd w:id="19"/>
      <w:bookmarkEnd w:id="20"/>
    </w:p>
    <w:p w14:paraId="2C484CB7">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2025年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日至2025年</w:t>
      </w:r>
      <w:r>
        <w:rPr>
          <w:rFonts w:hint="eastAsia" w:ascii="宋体" w:hAnsi="宋体" w:cs="宋体"/>
          <w:color w:val="auto"/>
          <w:sz w:val="24"/>
          <w:highlight w:val="none"/>
          <w:u w:val="single"/>
          <w:lang w:val="en-US" w:eastAsia="zh-CN"/>
        </w:rPr>
        <w:t>04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，每天上午08:00至12:00，下午15:00至18:00（北京时间，法定节假日除外）。</w:t>
      </w:r>
    </w:p>
    <w:p w14:paraId="6CB3C326">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地点：广西政府采购云平台系统（https://www.gcy.zfcg.gxzf.gov.cn/）。</w:t>
      </w:r>
    </w:p>
    <w:p w14:paraId="47526B43">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方式：供应商登录广西政府采购云平台系统https://www.gcy.zfcg.gxzf.gov.cn/在线申请获取采购文件（进入“项目采购”应用，在获取采购文件菜单中选择项目，申请获取采购文件）。</w:t>
      </w:r>
    </w:p>
    <w:p w14:paraId="3FE9B6E4">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售价：0元</w:t>
      </w:r>
    </w:p>
    <w:p w14:paraId="041A2299">
      <w:pPr>
        <w:pStyle w:val="4"/>
        <w:spacing w:before="0" w:after="0" w:line="380" w:lineRule="exact"/>
        <w:ind w:firstLine="482" w:firstLineChars="200"/>
        <w:rPr>
          <w:rFonts w:ascii="宋体" w:hAnsi="宋体" w:cs="宋体"/>
          <w:bCs w:val="0"/>
          <w:color w:val="auto"/>
          <w:sz w:val="24"/>
          <w:szCs w:val="24"/>
          <w:highlight w:val="none"/>
        </w:rPr>
      </w:pPr>
      <w:bookmarkStart w:id="21" w:name="_Toc35393801"/>
      <w:bookmarkStart w:id="22" w:name="_Toc28359092"/>
      <w:bookmarkStart w:id="23" w:name="_Toc44229881"/>
      <w:bookmarkStart w:id="24" w:name="_Toc28359015"/>
      <w:bookmarkStart w:id="25" w:name="_Toc35393632"/>
      <w:bookmarkStart w:id="26" w:name="_Toc18912"/>
      <w:r>
        <w:rPr>
          <w:rFonts w:hint="eastAsia" w:ascii="宋体" w:hAnsi="宋体" w:cs="宋体"/>
          <w:bCs w:val="0"/>
          <w:color w:val="auto"/>
          <w:sz w:val="24"/>
          <w:szCs w:val="24"/>
          <w:highlight w:val="none"/>
        </w:rPr>
        <w:t>四、响应文件提交</w:t>
      </w:r>
      <w:bookmarkEnd w:id="21"/>
      <w:bookmarkEnd w:id="22"/>
      <w:bookmarkEnd w:id="23"/>
      <w:bookmarkEnd w:id="24"/>
      <w:bookmarkEnd w:id="25"/>
      <w:bookmarkEnd w:id="26"/>
    </w:p>
    <w:p w14:paraId="79ADEBEB">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lang w:eastAsia="zh-CN"/>
        </w:rPr>
        <w:t>2025年04月22日15时00分</w:t>
      </w:r>
      <w:r>
        <w:rPr>
          <w:rFonts w:hint="eastAsia" w:ascii="宋体" w:hAnsi="宋体" w:cs="宋体"/>
          <w:color w:val="auto"/>
          <w:sz w:val="24"/>
          <w:highlight w:val="none"/>
        </w:rPr>
        <w:t>（北京时间）</w:t>
      </w:r>
    </w:p>
    <w:p w14:paraId="20409A3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地点：请登录广西政府采购云平台投标客户端竞标。</w:t>
      </w:r>
    </w:p>
    <w:p w14:paraId="696A30BC">
      <w:pPr>
        <w:pStyle w:val="4"/>
        <w:spacing w:before="0" w:after="0" w:line="380" w:lineRule="exact"/>
        <w:ind w:firstLine="482" w:firstLineChars="200"/>
        <w:rPr>
          <w:rFonts w:ascii="宋体" w:hAnsi="宋体" w:cs="宋体"/>
          <w:bCs w:val="0"/>
          <w:color w:val="auto"/>
          <w:sz w:val="24"/>
          <w:szCs w:val="24"/>
          <w:highlight w:val="none"/>
        </w:rPr>
      </w:pPr>
      <w:bookmarkStart w:id="27" w:name="_Toc44229882"/>
      <w:bookmarkStart w:id="28" w:name="_Toc10815"/>
      <w:bookmarkStart w:id="29" w:name="_Toc28359093"/>
      <w:bookmarkStart w:id="30" w:name="_Toc35393802"/>
      <w:bookmarkStart w:id="31" w:name="_Toc28359016"/>
      <w:bookmarkStart w:id="32" w:name="_Toc35393633"/>
      <w:r>
        <w:rPr>
          <w:rFonts w:hint="eastAsia" w:ascii="宋体" w:hAnsi="宋体" w:cs="宋体"/>
          <w:bCs w:val="0"/>
          <w:color w:val="auto"/>
          <w:sz w:val="24"/>
          <w:szCs w:val="24"/>
          <w:highlight w:val="none"/>
        </w:rPr>
        <w:t>五、</w:t>
      </w:r>
      <w:bookmarkEnd w:id="27"/>
      <w:bookmarkEnd w:id="28"/>
      <w:bookmarkEnd w:id="29"/>
      <w:bookmarkEnd w:id="30"/>
      <w:bookmarkEnd w:id="31"/>
      <w:bookmarkEnd w:id="32"/>
      <w:r>
        <w:rPr>
          <w:rFonts w:hint="eastAsia" w:ascii="宋体" w:hAnsi="宋体" w:cs="宋体"/>
          <w:bCs w:val="0"/>
          <w:color w:val="auto"/>
          <w:sz w:val="24"/>
          <w:szCs w:val="24"/>
          <w:highlight w:val="none"/>
        </w:rPr>
        <w:t>响应文件开启</w:t>
      </w:r>
    </w:p>
    <w:p w14:paraId="29DC91F0">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2025年04月22日15时00分</w:t>
      </w:r>
      <w:r>
        <w:rPr>
          <w:rFonts w:hint="eastAsia" w:ascii="宋体" w:hAnsi="宋体" w:cs="宋体"/>
          <w:color w:val="auto"/>
          <w:sz w:val="24"/>
          <w:highlight w:val="none"/>
        </w:rPr>
        <w:t>（北京时间）</w:t>
      </w:r>
    </w:p>
    <w:p w14:paraId="0DD75E69">
      <w:pPr>
        <w:spacing w:line="380" w:lineRule="exact"/>
        <w:ind w:firstLine="480" w:firstLineChars="200"/>
        <w:rPr>
          <w:rFonts w:ascii="宋体" w:hAnsi="宋体" w:cs="宋体"/>
          <w:bCs/>
          <w:color w:val="auto"/>
          <w:sz w:val="24"/>
          <w:highlight w:val="none"/>
          <w:u w:val="single"/>
        </w:rPr>
      </w:pPr>
      <w:r>
        <w:rPr>
          <w:rFonts w:hint="eastAsia" w:ascii="宋体" w:hAnsi="宋体" w:cs="宋体"/>
          <w:color w:val="auto"/>
          <w:sz w:val="24"/>
          <w:highlight w:val="none"/>
        </w:rPr>
        <w:t>地点：广西政府采购云平台电子开标大厅在线解密开启。</w:t>
      </w:r>
    </w:p>
    <w:p w14:paraId="1A4D9ACB">
      <w:pPr>
        <w:pStyle w:val="4"/>
        <w:spacing w:before="0" w:after="0" w:line="380" w:lineRule="exact"/>
        <w:ind w:firstLine="482" w:firstLineChars="200"/>
        <w:rPr>
          <w:rFonts w:ascii="宋体" w:hAnsi="宋体" w:cs="宋体"/>
          <w:bCs w:val="0"/>
          <w:color w:val="auto"/>
          <w:sz w:val="24"/>
          <w:szCs w:val="24"/>
          <w:highlight w:val="none"/>
        </w:rPr>
      </w:pPr>
      <w:bookmarkStart w:id="33" w:name="_Toc28359017"/>
      <w:bookmarkStart w:id="34" w:name="_Toc26833"/>
      <w:bookmarkStart w:id="35" w:name="_Toc35393634"/>
      <w:bookmarkStart w:id="36" w:name="_Toc28359094"/>
      <w:bookmarkStart w:id="37" w:name="_Toc35393803"/>
      <w:bookmarkStart w:id="38" w:name="_Toc44229883"/>
      <w:r>
        <w:rPr>
          <w:rFonts w:hint="eastAsia" w:ascii="宋体" w:hAnsi="宋体" w:cs="宋体"/>
          <w:bCs w:val="0"/>
          <w:color w:val="auto"/>
          <w:sz w:val="24"/>
          <w:szCs w:val="24"/>
          <w:highlight w:val="none"/>
        </w:rPr>
        <w:t>六、公告期限</w:t>
      </w:r>
      <w:bookmarkEnd w:id="33"/>
      <w:bookmarkEnd w:id="34"/>
      <w:bookmarkEnd w:id="35"/>
      <w:bookmarkEnd w:id="36"/>
      <w:bookmarkEnd w:id="37"/>
      <w:bookmarkEnd w:id="38"/>
    </w:p>
    <w:p w14:paraId="2E381D83">
      <w:pPr>
        <w:spacing w:line="3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个工作日。</w:t>
      </w:r>
    </w:p>
    <w:p w14:paraId="39D0F42C">
      <w:pPr>
        <w:pStyle w:val="4"/>
        <w:numPr>
          <w:ilvl w:val="0"/>
          <w:numId w:val="2"/>
        </w:numPr>
        <w:spacing w:before="0" w:after="0" w:line="380" w:lineRule="exact"/>
        <w:ind w:firstLine="482" w:firstLineChars="200"/>
        <w:rPr>
          <w:rFonts w:ascii="宋体" w:hAnsi="宋体" w:cs="宋体"/>
          <w:bCs w:val="0"/>
          <w:color w:val="auto"/>
          <w:sz w:val="24"/>
          <w:szCs w:val="24"/>
          <w:highlight w:val="none"/>
        </w:rPr>
      </w:pPr>
      <w:bookmarkStart w:id="39" w:name="_Toc44229884"/>
      <w:bookmarkStart w:id="40" w:name="_Toc35393635"/>
      <w:bookmarkStart w:id="41" w:name="_Toc30655"/>
      <w:bookmarkStart w:id="42" w:name="_Toc35393804"/>
      <w:r>
        <w:rPr>
          <w:rFonts w:hint="eastAsia" w:ascii="宋体" w:hAnsi="宋体" w:cs="宋体"/>
          <w:bCs w:val="0"/>
          <w:color w:val="auto"/>
          <w:sz w:val="24"/>
          <w:szCs w:val="24"/>
          <w:highlight w:val="none"/>
        </w:rPr>
        <w:t>其他补充事宜</w:t>
      </w:r>
      <w:bookmarkEnd w:id="39"/>
      <w:bookmarkEnd w:id="40"/>
      <w:bookmarkEnd w:id="41"/>
      <w:bookmarkEnd w:id="42"/>
    </w:p>
    <w:p w14:paraId="2033FDB3">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1.竞标保证金：本项目不收取竞标保证金。</w:t>
      </w:r>
    </w:p>
    <w:p w14:paraId="05987AF9">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5B245C0">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根据财政部《关于在政府采购活动中查询及使用信用记录有关问题的通知》（财库〔2016〕125号）的规定，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632A9F6E">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4.网上查询地址：中国政府采购网( http://www.ccgp.gov.cn )、广西壮族自治区政府采购网（http://zfcg.gxzf.gov.cn）。</w:t>
      </w:r>
    </w:p>
    <w:p w14:paraId="75332024">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本项目需要落实的政府采购政策：《关于进一步加大政府采购支持中小企业力度的通知》财政部财库〔2022〕19号、财政部工业和信息化部关于印发《政府采购促进中小企业发展管理办法》的通知（财库〔2020〕46号）、财政部司法部《关于政府采购支持监狱企业发展有关问题的通知》（财库〔2014〕68号）、财政部民政部中国残疾人联合会三部门联合发布《关于促进残疾人就业政府采购政策的通知》（财库〔2017〕141号）。</w:t>
      </w:r>
    </w:p>
    <w:p w14:paraId="4564F578">
      <w:pPr>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6.在线投标响应（电子投标）说明：</w:t>
      </w:r>
    </w:p>
    <w:p w14:paraId="4D29E81E">
      <w:pPr>
        <w:pStyle w:val="2"/>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1）本项目通过广西政府采购云平台实行在线投标响应（电子投标），竞标人需要下载客户端进行电子投标，客户端下载路径：广西政府采购网（访问地址http://zfcg.gxzf.gov.cn/）—办事服务—下载专区，并按照本采购文件和广西政府采购云平台的要求，通过“广西政府采购云电子交易客户端”编制并加密响应文件。竞标人未按规定编制并加密的响应文件，广西政府采购云平台将予以拒收。</w:t>
      </w:r>
    </w:p>
    <w:p w14:paraId="5BBA9379">
      <w:pPr>
        <w:pStyle w:val="2"/>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2）为确保网上操作合法、有效和安全，竞标人应当在响应文件递交截止时间前完成在“政府采购云平台”的身份认证，确保在电子投标过程中能够对相关数据电文进行加密和使用电子签章。使用“广西政府采购云电子交易客户端”需要提前申领CA数字证书；</w:t>
      </w:r>
    </w:p>
    <w:p w14:paraId="1FB87B3A">
      <w:pPr>
        <w:pStyle w:val="2"/>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3）竞标人应当在响应文件递交截止时间前，将生成的“电子加密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响应文件。</w:t>
      </w:r>
    </w:p>
    <w:p w14:paraId="035C13A0">
      <w:pPr>
        <w:pStyle w:val="2"/>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4）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我公司开启响应文件；供应商超过解密时限的，系统默认自动放弃竞标。</w:t>
      </w:r>
    </w:p>
    <w:p w14:paraId="7E699366">
      <w:pPr>
        <w:pStyle w:val="2"/>
        <w:spacing w:line="38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5）若对项目采购电子交易系统操作有疑问，可登录广西政府采购云平台，点击右侧咨询小采获取采小蜜智能服务管家帮助或点击右侧帮助文档查看供应商指南或拨打广西政府采购云平台服务热线获取热线服务帮助。</w:t>
      </w:r>
    </w:p>
    <w:p w14:paraId="3348ABB0">
      <w:pPr>
        <w:pStyle w:val="4"/>
        <w:spacing w:before="0" w:after="0" w:line="380" w:lineRule="exact"/>
        <w:ind w:firstLine="482" w:firstLineChars="200"/>
        <w:rPr>
          <w:rFonts w:ascii="宋体" w:hAnsi="宋体" w:cs="宋体"/>
          <w:bCs w:val="0"/>
          <w:color w:val="auto"/>
          <w:sz w:val="24"/>
          <w:szCs w:val="24"/>
          <w:highlight w:val="none"/>
        </w:rPr>
      </w:pPr>
      <w:bookmarkStart w:id="43" w:name="_Toc35393636"/>
      <w:bookmarkStart w:id="44" w:name="_Toc35393805"/>
      <w:bookmarkStart w:id="45" w:name="_Toc28359018"/>
      <w:bookmarkStart w:id="46" w:name="_Toc28359095"/>
      <w:bookmarkStart w:id="47" w:name="_Toc28153"/>
      <w:bookmarkStart w:id="48" w:name="_Toc44229885"/>
      <w:r>
        <w:rPr>
          <w:rFonts w:hint="eastAsia" w:ascii="宋体" w:hAnsi="宋体" w:cs="宋体"/>
          <w:bCs w:val="0"/>
          <w:color w:val="auto"/>
          <w:sz w:val="24"/>
          <w:szCs w:val="24"/>
          <w:highlight w:val="none"/>
        </w:rPr>
        <w:t>八、</w:t>
      </w:r>
      <w:bookmarkEnd w:id="43"/>
      <w:bookmarkEnd w:id="44"/>
      <w:bookmarkEnd w:id="45"/>
      <w:bookmarkEnd w:id="46"/>
      <w:bookmarkEnd w:id="47"/>
      <w:bookmarkEnd w:id="48"/>
      <w:bookmarkStart w:id="49" w:name="_Toc28359020"/>
      <w:bookmarkStart w:id="50" w:name="_Toc35393807"/>
      <w:bookmarkStart w:id="51" w:name="_Toc35393638"/>
      <w:bookmarkStart w:id="52" w:name="_Toc28359096"/>
      <w:bookmarkStart w:id="53" w:name="_Toc28359019"/>
      <w:bookmarkStart w:id="54" w:name="_Toc35393806"/>
      <w:bookmarkStart w:id="55" w:name="_Toc35393637"/>
      <w:bookmarkStart w:id="56" w:name="_Toc28359097"/>
      <w:r>
        <w:rPr>
          <w:rFonts w:hint="eastAsia" w:ascii="宋体" w:hAnsi="宋体" w:cs="宋体"/>
          <w:bCs w:val="0"/>
          <w:color w:val="auto"/>
          <w:sz w:val="24"/>
          <w:szCs w:val="24"/>
          <w:highlight w:val="none"/>
        </w:rPr>
        <w:t>凡对本次采购提出询问，请按以下方式联系。</w:t>
      </w:r>
    </w:p>
    <w:bookmarkEnd w:id="8"/>
    <w:bookmarkEnd w:id="49"/>
    <w:bookmarkEnd w:id="50"/>
    <w:bookmarkEnd w:id="51"/>
    <w:bookmarkEnd w:id="52"/>
    <w:bookmarkEnd w:id="53"/>
    <w:bookmarkEnd w:id="54"/>
    <w:bookmarkEnd w:id="55"/>
    <w:bookmarkEnd w:id="56"/>
    <w:p w14:paraId="05EF4DB1">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48842F1B">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名称：德保县林业局</w:t>
      </w:r>
    </w:p>
    <w:p w14:paraId="120FF44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地址：广西百色市德保县城关镇东安狮子街西巷24号</w:t>
      </w:r>
    </w:p>
    <w:p w14:paraId="091C117B">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苏志高</w:t>
      </w:r>
      <w:r>
        <w:rPr>
          <w:rFonts w:hint="eastAsia" w:ascii="宋体" w:hAnsi="宋体" w:cs="宋体"/>
          <w:color w:val="auto"/>
          <w:sz w:val="24"/>
          <w:highlight w:val="none"/>
        </w:rPr>
        <w:t xml:space="preserve">  0776-</w:t>
      </w:r>
      <w:r>
        <w:rPr>
          <w:rFonts w:hint="eastAsia" w:ascii="宋体" w:hAnsi="宋体" w:cs="宋体"/>
          <w:color w:val="auto"/>
          <w:sz w:val="24"/>
          <w:highlight w:val="none"/>
          <w:lang w:eastAsia="zh-CN"/>
        </w:rPr>
        <w:t>3806785</w:t>
      </w:r>
      <w:r>
        <w:rPr>
          <w:rFonts w:hint="eastAsia" w:ascii="宋体" w:hAnsi="宋体" w:cs="宋体"/>
          <w:color w:val="auto"/>
          <w:sz w:val="24"/>
          <w:highlight w:val="none"/>
        </w:rPr>
        <w:t xml:space="preserve"> </w:t>
      </w:r>
    </w:p>
    <w:p w14:paraId="14D7578E">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2.招标代理机构信息</w:t>
      </w:r>
    </w:p>
    <w:p w14:paraId="24469B15">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名称：东信工程项目管理有限公司</w:t>
      </w:r>
    </w:p>
    <w:p w14:paraId="43B84CD2">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地址：百色市右江区大湾社区第十四组“家和花园”2#公寓楼一单元510号 </w:t>
      </w:r>
    </w:p>
    <w:p w14:paraId="1067E61D">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联系方式：陈巧玲  0776-2847001</w:t>
      </w:r>
    </w:p>
    <w:p w14:paraId="7CF3A77F">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3.监督部门:德保县政府采购管理中心</w:t>
      </w:r>
    </w:p>
    <w:p w14:paraId="2A6D9F7C">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联系电话：0776-3821171</w:t>
      </w:r>
    </w:p>
    <w:p w14:paraId="4A8C24B3">
      <w:pPr>
        <w:spacing w:line="380" w:lineRule="exact"/>
        <w:ind w:firstLine="720" w:firstLineChars="300"/>
        <w:jc w:val="right"/>
        <w:rPr>
          <w:rFonts w:ascii="宋体" w:hAnsi="宋体" w:cs="宋体"/>
          <w:color w:val="auto"/>
          <w:sz w:val="24"/>
          <w:highlight w:val="none"/>
        </w:rPr>
      </w:pPr>
    </w:p>
    <w:p w14:paraId="7D68B9E5">
      <w:pPr>
        <w:spacing w:line="380" w:lineRule="exact"/>
        <w:ind w:firstLine="720" w:firstLineChars="300"/>
        <w:jc w:val="right"/>
        <w:rPr>
          <w:rFonts w:ascii="宋体" w:hAnsi="宋体" w:cs="宋体"/>
          <w:color w:val="auto"/>
          <w:sz w:val="24"/>
          <w:highlight w:val="none"/>
        </w:rPr>
      </w:pPr>
    </w:p>
    <w:p w14:paraId="35B08259">
      <w:pPr>
        <w:spacing w:line="380" w:lineRule="exact"/>
        <w:ind w:firstLine="720" w:firstLineChars="300"/>
        <w:jc w:val="right"/>
        <w:rPr>
          <w:rFonts w:ascii="宋体" w:hAnsi="宋体" w:cs="宋体"/>
          <w:color w:val="auto"/>
          <w:sz w:val="24"/>
          <w:highlight w:val="none"/>
        </w:rPr>
      </w:pPr>
    </w:p>
    <w:p w14:paraId="4F85696C">
      <w:pPr>
        <w:spacing w:line="380" w:lineRule="exact"/>
        <w:ind w:firstLine="720" w:firstLineChars="300"/>
        <w:jc w:val="right"/>
        <w:rPr>
          <w:rFonts w:ascii="宋体" w:hAnsi="宋体" w:cs="宋体"/>
          <w:color w:val="auto"/>
          <w:sz w:val="24"/>
          <w:highlight w:val="none"/>
        </w:rPr>
      </w:pPr>
      <w:r>
        <w:rPr>
          <w:rFonts w:hint="eastAsia" w:ascii="宋体" w:hAnsi="宋体" w:cs="宋体"/>
          <w:color w:val="auto"/>
          <w:sz w:val="24"/>
          <w:highlight w:val="none"/>
        </w:rPr>
        <w:t>东信工程项目管理有限公司</w:t>
      </w:r>
    </w:p>
    <w:p w14:paraId="4C2A2CF3">
      <w:pPr>
        <w:spacing w:line="380" w:lineRule="exact"/>
        <w:ind w:firstLine="480" w:firstLineChars="200"/>
        <w:jc w:val="right"/>
        <w:rPr>
          <w:rFonts w:ascii="宋体" w:hAnsi="宋体" w:cs="宋体"/>
          <w:b/>
          <w:color w:val="auto"/>
          <w:sz w:val="24"/>
          <w:highlight w:val="none"/>
        </w:rPr>
      </w:pPr>
      <w:r>
        <w:rPr>
          <w:rFonts w:hint="eastAsia" w:ascii="宋体" w:hAnsi="宋体" w:cs="宋体"/>
          <w:color w:val="auto"/>
          <w:sz w:val="24"/>
          <w:highlight w:val="none"/>
        </w:rPr>
        <w:t xml:space="preserve">                             2025年04月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w:t>
      </w:r>
    </w:p>
    <w:p w14:paraId="090B4285">
      <w:pPr>
        <w:pStyle w:val="4"/>
        <w:spacing w:before="0" w:after="0" w:line="240" w:lineRule="auto"/>
        <w:jc w:val="center"/>
        <w:rPr>
          <w:rFonts w:ascii="宋体" w:hAnsi="宋体" w:cs="宋体"/>
          <w:color w:val="auto"/>
          <w:highlight w:val="none"/>
        </w:rPr>
      </w:pPr>
      <w:r>
        <w:rPr>
          <w:rFonts w:hint="eastAsia" w:ascii="宋体" w:hAnsi="宋体" w:cs="宋体"/>
          <w:color w:val="auto"/>
          <w:highlight w:val="none"/>
        </w:rPr>
        <w:br w:type="page"/>
      </w:r>
      <w:bookmarkStart w:id="57" w:name="_Toc22894"/>
      <w:bookmarkStart w:id="58" w:name="_Toc28251"/>
      <w:r>
        <w:rPr>
          <w:rFonts w:hint="eastAsia" w:ascii="宋体" w:hAnsi="宋体" w:cs="宋体"/>
          <w:color w:val="auto"/>
          <w:highlight w:val="none"/>
        </w:rPr>
        <w:t>第二章 供应商须知</w:t>
      </w:r>
      <w:bookmarkEnd w:id="57"/>
      <w:bookmarkEnd w:id="58"/>
    </w:p>
    <w:p w14:paraId="10038C6F">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tbl>
      <w:tblPr>
        <w:tblStyle w:val="32"/>
        <w:tblW w:w="9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0"/>
        <w:gridCol w:w="8754"/>
      </w:tblGrid>
      <w:tr w14:paraId="402AA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030" w:type="dxa"/>
          </w:tcPr>
          <w:p w14:paraId="732F46ED">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754" w:type="dxa"/>
          </w:tcPr>
          <w:p w14:paraId="77C0F2AC">
            <w:pPr>
              <w:spacing w:line="460" w:lineRule="exact"/>
              <w:jc w:val="center"/>
              <w:rPr>
                <w:rFonts w:ascii="宋体" w:hAnsi="宋体" w:cs="宋体"/>
                <w:b/>
                <w:color w:val="auto"/>
                <w:sz w:val="24"/>
                <w:highlight w:val="none"/>
              </w:rPr>
            </w:pPr>
            <w:r>
              <w:rPr>
                <w:rFonts w:hint="eastAsia" w:ascii="宋体" w:hAnsi="宋体" w:cs="宋体"/>
                <w:b/>
                <w:color w:val="auto"/>
                <w:sz w:val="24"/>
                <w:highlight w:val="none"/>
              </w:rPr>
              <w:t>内    容</w:t>
            </w:r>
          </w:p>
        </w:tc>
      </w:tr>
      <w:tr w14:paraId="3DE1B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3F08B5DC">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754" w:type="dxa"/>
            <w:vAlign w:val="center"/>
          </w:tcPr>
          <w:p w14:paraId="4C358FFD">
            <w:pPr>
              <w:spacing w:line="460" w:lineRule="exact"/>
              <w:rPr>
                <w:rFonts w:ascii="宋体" w:hAnsi="宋体" w:cs="宋体"/>
                <w:color w:val="auto"/>
                <w:sz w:val="24"/>
                <w:highlight w:val="none"/>
              </w:rPr>
            </w:pPr>
            <w:r>
              <w:rPr>
                <w:rFonts w:hint="eastAsia" w:ascii="宋体" w:hAnsi="宋体" w:cs="宋体"/>
                <w:bCs/>
                <w:color w:val="auto"/>
                <w:sz w:val="24"/>
                <w:highlight w:val="none"/>
              </w:rPr>
              <w:t>供应商的资格条件</w:t>
            </w:r>
            <w:r>
              <w:rPr>
                <w:rFonts w:hint="eastAsia" w:ascii="宋体" w:hAnsi="宋体" w:cs="宋体"/>
                <w:color w:val="auto"/>
                <w:sz w:val="24"/>
                <w:highlight w:val="none"/>
              </w:rPr>
              <w:t>：详见竞争性磋商公告</w:t>
            </w:r>
          </w:p>
        </w:tc>
      </w:tr>
      <w:tr w14:paraId="72BE7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178E7107">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5.1</w:t>
            </w:r>
          </w:p>
        </w:tc>
        <w:tc>
          <w:tcPr>
            <w:tcW w:w="8754" w:type="dxa"/>
            <w:vAlign w:val="center"/>
          </w:tcPr>
          <w:p w14:paraId="4E92D9E8">
            <w:pPr>
              <w:spacing w:line="460" w:lineRule="exact"/>
              <w:rPr>
                <w:rFonts w:ascii="宋体" w:hAnsi="宋体" w:cs="宋体"/>
                <w:color w:val="auto"/>
                <w:sz w:val="24"/>
                <w:highlight w:val="none"/>
              </w:rPr>
            </w:pPr>
            <w:r>
              <w:rPr>
                <w:rFonts w:hint="eastAsia" w:ascii="宋体" w:hAnsi="宋体" w:cs="宋体"/>
                <w:color w:val="auto"/>
                <w:sz w:val="24"/>
                <w:highlight w:val="none"/>
              </w:rPr>
              <w:t>本项目不接受联合体竞标。</w:t>
            </w:r>
          </w:p>
        </w:tc>
      </w:tr>
      <w:tr w14:paraId="5DE88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0F7E5BFF">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6.2</w:t>
            </w:r>
          </w:p>
        </w:tc>
        <w:tc>
          <w:tcPr>
            <w:tcW w:w="8754" w:type="dxa"/>
            <w:vAlign w:val="center"/>
          </w:tcPr>
          <w:p w14:paraId="7D9C07A5">
            <w:pPr>
              <w:pStyle w:val="13"/>
              <w:spacing w:line="460" w:lineRule="exact"/>
              <w:rPr>
                <w:rFonts w:ascii="宋体" w:hAnsi="宋体" w:cs="宋体"/>
                <w:color w:val="auto"/>
                <w:sz w:val="24"/>
                <w:highlight w:val="none"/>
              </w:rPr>
            </w:pPr>
            <w:r>
              <w:rPr>
                <w:rFonts w:hint="eastAsia" w:ascii="宋体" w:hAnsi="宋体" w:cs="宋体"/>
                <w:color w:val="auto"/>
                <w:sz w:val="24"/>
                <w:highlight w:val="none"/>
              </w:rPr>
              <w:t>☑不允许分包</w:t>
            </w:r>
          </w:p>
          <w:p w14:paraId="65DE461E">
            <w:pPr>
              <w:pStyle w:val="13"/>
              <w:spacing w:line="460" w:lineRule="exact"/>
              <w:rPr>
                <w:rFonts w:ascii="宋体" w:hAnsi="宋体" w:cs="宋体"/>
                <w:color w:val="auto"/>
                <w:sz w:val="24"/>
                <w:highlight w:val="none"/>
              </w:rPr>
            </w:pPr>
            <w:r>
              <w:rPr>
                <w:rFonts w:hint="eastAsia" w:ascii="宋体" w:hAnsi="宋体" w:cs="宋体"/>
                <w:color w:val="auto"/>
                <w:sz w:val="24"/>
                <w:highlight w:val="none"/>
              </w:rPr>
              <w:t>□允许分包</w:t>
            </w:r>
          </w:p>
          <w:p w14:paraId="1B34CC6F">
            <w:pPr>
              <w:pStyle w:val="13"/>
              <w:spacing w:line="460" w:lineRule="exact"/>
              <w:rPr>
                <w:rFonts w:ascii="宋体" w:hAnsi="宋体" w:cs="宋体"/>
                <w:color w:val="auto"/>
                <w:sz w:val="24"/>
                <w:highlight w:val="none"/>
                <w:u w:val="single"/>
              </w:rPr>
            </w:pPr>
            <w:r>
              <w:rPr>
                <w:rFonts w:hint="eastAsia" w:ascii="宋体" w:hAnsi="宋体" w:cs="宋体"/>
                <w:color w:val="auto"/>
                <w:sz w:val="24"/>
                <w:highlight w:val="none"/>
              </w:rPr>
              <w:t>分包内容：</w:t>
            </w:r>
            <w:r>
              <w:rPr>
                <w:rFonts w:hint="eastAsia" w:ascii="宋体" w:hAnsi="宋体" w:cs="宋体"/>
                <w:color w:val="auto"/>
                <w:sz w:val="24"/>
                <w:highlight w:val="none"/>
                <w:u w:val="single"/>
              </w:rPr>
              <w:t xml:space="preserve">   / 。</w:t>
            </w:r>
          </w:p>
          <w:p w14:paraId="53938881">
            <w:pPr>
              <w:pStyle w:val="13"/>
              <w:spacing w:line="460" w:lineRule="exact"/>
              <w:rPr>
                <w:rFonts w:ascii="宋体" w:hAnsi="宋体" w:cs="宋体"/>
                <w:color w:val="auto"/>
                <w:sz w:val="24"/>
                <w:highlight w:val="none"/>
              </w:rPr>
            </w:pPr>
            <w:r>
              <w:rPr>
                <w:rFonts w:hint="eastAsia" w:ascii="宋体" w:hAnsi="宋体" w:cs="宋体"/>
                <w:color w:val="auto"/>
                <w:sz w:val="24"/>
                <w:highlight w:val="none"/>
              </w:rPr>
              <w:t>分包金额或者比例：</w:t>
            </w:r>
            <w:r>
              <w:rPr>
                <w:rFonts w:hint="eastAsia" w:ascii="宋体" w:hAnsi="宋体" w:cs="宋体"/>
                <w:color w:val="auto"/>
                <w:sz w:val="24"/>
                <w:highlight w:val="none"/>
                <w:u w:val="single"/>
              </w:rPr>
              <w:t xml:space="preserve">   /  。</w:t>
            </w:r>
          </w:p>
        </w:tc>
      </w:tr>
      <w:tr w14:paraId="4ED14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3DE794B4">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12.1.1</w:t>
            </w:r>
          </w:p>
        </w:tc>
        <w:tc>
          <w:tcPr>
            <w:tcW w:w="8754" w:type="dxa"/>
            <w:vAlign w:val="center"/>
          </w:tcPr>
          <w:p w14:paraId="78408A0A">
            <w:pPr>
              <w:spacing w:line="460" w:lineRule="exact"/>
              <w:jc w:val="left"/>
              <w:rPr>
                <w:rFonts w:ascii="宋体" w:hAnsi="宋体" w:cs="宋体"/>
                <w:b/>
                <w:color w:val="auto"/>
                <w:sz w:val="24"/>
                <w:highlight w:val="none"/>
              </w:rPr>
            </w:pPr>
            <w:r>
              <w:rPr>
                <w:rFonts w:hint="eastAsia" w:ascii="宋体" w:hAnsi="宋体" w:cs="宋体"/>
                <w:b/>
                <w:color w:val="auto"/>
                <w:sz w:val="24"/>
                <w:highlight w:val="none"/>
              </w:rPr>
              <w:t>资格证明文件</w:t>
            </w:r>
          </w:p>
          <w:p w14:paraId="5EFC9ADE">
            <w:pPr>
              <w:spacing w:line="460" w:lineRule="exact"/>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1.本项目的特定资格要求：</w:t>
            </w:r>
            <w:r>
              <w:rPr>
                <w:rFonts w:hint="eastAsia" w:ascii="宋体" w:hAnsi="宋体" w:cs="宋体"/>
                <w:color w:val="auto"/>
                <w:sz w:val="24"/>
                <w:highlight w:val="none"/>
              </w:rPr>
              <w:t>具备林业调查规划设计丙级及以上资质</w:t>
            </w:r>
            <w:r>
              <w:rPr>
                <w:rFonts w:hint="eastAsia" w:ascii="宋体" w:hAnsi="宋体" w:cs="宋体"/>
                <w:bCs/>
                <w:color w:val="auto"/>
                <w:sz w:val="24"/>
                <w:highlight w:val="none"/>
              </w:rPr>
              <w:t>。</w:t>
            </w:r>
            <w:r>
              <w:rPr>
                <w:rFonts w:hint="eastAsia" w:ascii="宋体" w:hAnsi="宋体" w:cs="宋体"/>
                <w:color w:val="auto"/>
                <w:sz w:val="24"/>
                <w:highlight w:val="none"/>
              </w:rPr>
              <w:t>（</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1BCE0C98">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4AC5E3CE">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3.供应商依法缴纳税收的相关材料（</w:t>
            </w:r>
            <w:r>
              <w:rPr>
                <w:rFonts w:hint="eastAsia" w:ascii="宋体" w:hAnsi="宋体" w:cs="宋体"/>
                <w:color w:val="auto"/>
                <w:sz w:val="24"/>
                <w:highlight w:val="none"/>
                <w:u w:val="single"/>
              </w:rPr>
              <w:t>2025年1月至2025年3月</w:t>
            </w:r>
            <w:r>
              <w:rPr>
                <w:rFonts w:hint="eastAsia" w:ascii="宋体" w:hAnsi="宋体" w:cs="宋体"/>
                <w:color w:val="auto"/>
                <w:sz w:val="24"/>
                <w:highlight w:val="none"/>
              </w:rPr>
              <w:t>内任意</w:t>
            </w:r>
            <w:r>
              <w:rPr>
                <w:rFonts w:hint="eastAsia" w:ascii="宋体" w:hAnsi="宋体" w:cs="宋体"/>
                <w:color w:val="auto"/>
                <w:sz w:val="24"/>
                <w:highlight w:val="none"/>
                <w:u w:val="single"/>
              </w:rPr>
              <w:t>1</w:t>
            </w:r>
            <w:r>
              <w:rPr>
                <w:rFonts w:hint="eastAsia" w:ascii="宋体" w:hAnsi="宋体" w:cs="宋体"/>
                <w:color w:val="auto"/>
                <w:sz w:val="24"/>
                <w:highlight w:val="none"/>
              </w:rPr>
              <w:t>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24C145B5">
            <w:pPr>
              <w:spacing w:line="460" w:lineRule="exact"/>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4.供应商依法缴纳社会保障资金的相关材料[</w:t>
            </w:r>
            <w:r>
              <w:rPr>
                <w:rFonts w:hint="eastAsia" w:ascii="宋体" w:hAnsi="宋体" w:cs="宋体"/>
                <w:color w:val="auto"/>
                <w:sz w:val="24"/>
                <w:highlight w:val="none"/>
                <w:u w:val="single"/>
              </w:rPr>
              <w:t>2025年1月至2025年3月</w:t>
            </w:r>
            <w:r>
              <w:rPr>
                <w:rFonts w:hint="eastAsia" w:ascii="宋体" w:hAnsi="宋体" w:cs="宋体"/>
                <w:color w:val="auto"/>
                <w:sz w:val="24"/>
                <w:highlight w:val="none"/>
              </w:rPr>
              <w:t>内任意</w:t>
            </w:r>
            <w:r>
              <w:rPr>
                <w:rFonts w:hint="eastAsia" w:ascii="宋体" w:hAnsi="宋体" w:cs="宋体"/>
                <w:color w:val="auto"/>
                <w:sz w:val="24"/>
                <w:highlight w:val="none"/>
                <w:u w:val="single"/>
              </w:rPr>
              <w:t>1</w:t>
            </w:r>
            <w:r>
              <w:rPr>
                <w:rFonts w:hint="eastAsia" w:ascii="宋体" w:hAnsi="宋体" w:cs="宋体"/>
                <w:color w:val="auto"/>
                <w:sz w:val="24"/>
                <w:highlight w:val="none"/>
              </w:rPr>
              <w:t>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r>
              <w:rPr>
                <w:rFonts w:hint="eastAsia" w:ascii="宋体" w:hAnsi="宋体" w:cs="宋体"/>
                <w:b/>
                <w:bCs/>
                <w:color w:val="auto"/>
                <w:sz w:val="24"/>
                <w:highlight w:val="none"/>
              </w:rPr>
              <w:t>；</w:t>
            </w:r>
          </w:p>
          <w:p w14:paraId="259BEB80">
            <w:pPr>
              <w:spacing w:line="46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5.供应商提供2024年度的财务审计报告或近季度财务报表（新注册单位按实际情况提供）</w:t>
            </w:r>
            <w:r>
              <w:rPr>
                <w:rFonts w:hint="eastAsia" w:ascii="宋体" w:hAnsi="宋体" w:cs="宋体"/>
                <w:bCs/>
                <w:color w:val="auto"/>
                <w:sz w:val="24"/>
                <w:highlight w:val="none"/>
              </w:rPr>
              <w:t>（必须提供，否则响应文件按无效响应处理）</w:t>
            </w:r>
            <w:r>
              <w:rPr>
                <w:rFonts w:hint="eastAsia" w:ascii="宋体" w:hAnsi="宋体" w:cs="宋体"/>
                <w:color w:val="auto"/>
                <w:sz w:val="24"/>
                <w:highlight w:val="none"/>
              </w:rPr>
              <w:t>；</w:t>
            </w:r>
          </w:p>
          <w:p w14:paraId="69A6508F">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6.供应商直接控股、管理关系信息表（格式后附）（必须提供，否则响应文件按无效响应处理）；</w:t>
            </w:r>
          </w:p>
          <w:p w14:paraId="2C6D6D98">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7.竞标声明（格式后附）（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7D122C6B">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8.除磋商文件规定必须提供以外，供应商认为需要提供的其他证明材料。</w:t>
            </w:r>
          </w:p>
          <w:p w14:paraId="3D3EFAA9">
            <w:pPr>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注：（1）以上标明“必须提供”的材料属于复印件的，必须加盖供应商电子公章，否则响应文件按无效响应处理。</w:t>
            </w:r>
          </w:p>
          <w:p w14:paraId="3422ED8D">
            <w:pPr>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（2）竞标声明必须由法定代表人在规定签章处签字或签章并加盖供应商公章，否则响应文件按无效响应处理。</w:t>
            </w:r>
          </w:p>
          <w:p w14:paraId="3B0010FE">
            <w:pPr>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（3）磋商文件标注“▲”或要求“必须提供”的证明等材料，磋商供应商必须全部提供，缺一不可，否则磋商无效。</w:t>
            </w:r>
          </w:p>
          <w:p w14:paraId="0C98A0CA">
            <w:pPr>
              <w:spacing w:line="46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（4）所有材料均以经有效的CA认证电子文件为评审依据，供应商须对所提供材料的真实性和一致性负责。</w:t>
            </w:r>
          </w:p>
          <w:p w14:paraId="565D27EB">
            <w:pPr>
              <w:pStyle w:val="30"/>
              <w:ind w:firstLine="482"/>
              <w:rPr>
                <w:color w:val="auto"/>
                <w:highlight w:val="none"/>
              </w:rPr>
            </w:pPr>
            <w:r>
              <w:rPr>
                <w:rFonts w:hint="eastAsia" w:ascii="宋体" w:hAnsi="宋体" w:cs="宋体"/>
                <w:b/>
                <w:color w:val="auto"/>
                <w:sz w:val="24"/>
                <w:highlight w:val="none"/>
              </w:rPr>
              <w:t>（5）根据《百色市财政局关于鼓励推行政府采购信用承诺制的通知》要求：“符合《政府采购法》第二十二条规定资格条件的供应商参与百色市政府采购活动，在资格审查环节供应商按照采购文件要求提供了《信用承诺函》(格式详见附件)，不再需要提供以下资质材料：(1)法人或者其他组织的营业执照等证明文件，自然人的身份证明；(2)财务状况报告；(3)依法缴纳税收和社会保障资金相关证明材料；(4)具有履行合同所必需的设备和专业技术能力相关证明材料；(5)参加政府采购活动前三年内在经营活动中没有重大违法记录相关证明材料。” 故如竞标人如已按此通知要求提供了《信用承诺函》的，不再需要提供序号</w:t>
            </w:r>
            <w:r>
              <w:rPr>
                <w:rFonts w:ascii="宋体" w:hAnsi="宋体" w:cs="宋体"/>
                <w:b/>
                <w:color w:val="auto"/>
                <w:sz w:val="24"/>
                <w:highlight w:val="none"/>
              </w:rPr>
              <w:t>1-5项的资格证明材料。</w:t>
            </w:r>
            <w:r>
              <w:rPr>
                <w:rFonts w:hint="eastAsia" w:ascii="宋体" w:hAnsi="宋体" w:cs="宋体"/>
                <w:b/>
                <w:color w:val="auto"/>
                <w:sz w:val="24"/>
                <w:highlight w:val="none"/>
              </w:rPr>
              <w:t>（备注：供应商对其信用承诺内容的真实性、合法性、有效性负责。 经调查核实为虚假承诺的，属于“提供虚假材料谋取中标、成交”的违法行为，依照《中华人民共和国政府采购法》等法律法规追究相应责任。）</w:t>
            </w:r>
          </w:p>
        </w:tc>
      </w:tr>
      <w:tr w14:paraId="4390C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4DB4A1A2">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12.1.2</w:t>
            </w:r>
          </w:p>
        </w:tc>
        <w:tc>
          <w:tcPr>
            <w:tcW w:w="8754" w:type="dxa"/>
            <w:vAlign w:val="center"/>
          </w:tcPr>
          <w:p w14:paraId="25A990A8">
            <w:pPr>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rPr>
              <w:t>报价文件</w:t>
            </w:r>
          </w:p>
          <w:p w14:paraId="751F3779">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1.竞标报价表（格式后附）（必须提供，否则响应文件按无效响应处理）；</w:t>
            </w:r>
          </w:p>
          <w:p w14:paraId="49A010DF">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2.中小企业声明函（格式后附）（如有）。</w:t>
            </w:r>
          </w:p>
          <w:p w14:paraId="1CB414DA">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注：以上标明“必须提供”的材料属于复印件的，必须加盖供应商公章，否则响应文件按无效响应处理。</w:t>
            </w:r>
          </w:p>
        </w:tc>
      </w:tr>
      <w:tr w14:paraId="53714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2343DE0A">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12.2</w:t>
            </w:r>
          </w:p>
        </w:tc>
        <w:tc>
          <w:tcPr>
            <w:tcW w:w="8754" w:type="dxa"/>
            <w:vAlign w:val="center"/>
          </w:tcPr>
          <w:p w14:paraId="7DA9F3DB">
            <w:pPr>
              <w:spacing w:line="460" w:lineRule="exact"/>
              <w:jc w:val="left"/>
              <w:rPr>
                <w:rFonts w:ascii="宋体" w:hAnsi="宋体" w:cs="宋体"/>
                <w:b/>
                <w:bCs/>
                <w:color w:val="auto"/>
                <w:sz w:val="24"/>
                <w:highlight w:val="none"/>
              </w:rPr>
            </w:pPr>
            <w:r>
              <w:rPr>
                <w:rFonts w:hint="eastAsia" w:ascii="宋体" w:hAnsi="宋体" w:cs="宋体"/>
                <w:b/>
                <w:bCs/>
                <w:color w:val="auto"/>
                <w:sz w:val="24"/>
                <w:highlight w:val="none"/>
              </w:rPr>
              <w:t>商务技术文件</w:t>
            </w:r>
          </w:p>
          <w:p w14:paraId="7BFD0AAC">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1.无串通竞标行为的承诺函（格式后附）（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358F5AE7">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2.法定代表人身份证明书及法定代表人有效身份证正反面复印件（格式后附）（</w:t>
            </w:r>
            <w:r>
              <w:rPr>
                <w:rFonts w:hint="eastAsia" w:ascii="宋体" w:hAnsi="宋体" w:cs="宋体"/>
                <w:b/>
                <w:bCs/>
                <w:color w:val="auto"/>
                <w:sz w:val="24"/>
                <w:highlight w:val="none"/>
              </w:rPr>
              <w:t>除自然人竞标外</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579F117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3.法定代表人授权委托书及委托代理人有效身份证正反面复印件（格式后附）（</w:t>
            </w:r>
            <w:r>
              <w:rPr>
                <w:rFonts w:hint="eastAsia" w:ascii="宋体" w:hAnsi="宋体" w:cs="宋体"/>
                <w:b/>
                <w:color w:val="auto"/>
                <w:sz w:val="24"/>
                <w:highlight w:val="none"/>
              </w:rPr>
              <w:t>委托时必须提供，否则响应文件按无效响应处理</w:t>
            </w:r>
            <w:r>
              <w:rPr>
                <w:rFonts w:hint="eastAsia" w:ascii="宋体" w:hAnsi="宋体" w:cs="宋体"/>
                <w:color w:val="auto"/>
                <w:sz w:val="24"/>
                <w:highlight w:val="none"/>
              </w:rPr>
              <w:t>）；</w:t>
            </w:r>
          </w:p>
          <w:p w14:paraId="0C6E730E">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4.商务条款偏离表（格式后附）（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04408BA0">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5.技术需求偏离表（格式后附）（</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3B391AB2">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6.项目技术方案（格式自拟）（</w:t>
            </w:r>
            <w:r>
              <w:rPr>
                <w:rFonts w:hint="eastAsia" w:ascii="宋体" w:hAnsi="宋体" w:cs="宋体"/>
                <w:b/>
                <w:color w:val="auto"/>
                <w:sz w:val="24"/>
                <w:highlight w:val="none"/>
              </w:rPr>
              <w:t>必须提供，否则响应文件按无效响应处理</w:t>
            </w:r>
            <w:r>
              <w:rPr>
                <w:rFonts w:hint="eastAsia" w:ascii="宋体" w:hAnsi="宋体" w:cs="宋体"/>
                <w:color w:val="auto"/>
                <w:sz w:val="24"/>
                <w:highlight w:val="none"/>
              </w:rPr>
              <w:t>）；</w:t>
            </w:r>
          </w:p>
          <w:p w14:paraId="18C1E087">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7.项目实施人员一览表</w:t>
            </w:r>
            <w:r>
              <w:rPr>
                <w:rFonts w:hint="eastAsia" w:ascii="宋体" w:hAnsi="宋体" w:cs="宋体"/>
                <w:b/>
                <w:bCs/>
                <w:color w:val="auto"/>
                <w:sz w:val="24"/>
                <w:highlight w:val="none"/>
              </w:rPr>
              <w:t>（必须提供，否则响应文件按无效响应处理）</w:t>
            </w:r>
            <w:r>
              <w:rPr>
                <w:rFonts w:hint="eastAsia" w:ascii="宋体" w:hAnsi="宋体" w:cs="宋体"/>
                <w:color w:val="auto"/>
                <w:sz w:val="24"/>
                <w:highlight w:val="none"/>
              </w:rPr>
              <w:t>；</w:t>
            </w:r>
          </w:p>
          <w:p w14:paraId="60CF67EB">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pacing w:val="-1"/>
                <w:sz w:val="24"/>
                <w:highlight w:val="none"/>
              </w:rPr>
              <w:t>近年供应商的业绩证明</w:t>
            </w:r>
            <w:r>
              <w:rPr>
                <w:rFonts w:hint="eastAsia" w:ascii="宋体" w:hAnsi="宋体" w:cs="宋体"/>
                <w:color w:val="auto"/>
                <w:sz w:val="24"/>
                <w:highlight w:val="none"/>
              </w:rPr>
              <w:t>（格式自拟、如有请提供）；</w:t>
            </w:r>
          </w:p>
          <w:p w14:paraId="0FD28A26">
            <w:pPr>
              <w:spacing w:line="46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9.对应采购需求的技术需求、商务条款提供的其他文件资料（格式自拟、如有请提供）。</w:t>
            </w:r>
          </w:p>
          <w:p w14:paraId="1B0A9D3D">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注：（1）以上标明“必须提供”的材料属于复印件的，必须加盖供应商公章，否则响应文件按无效响应处理。</w:t>
            </w:r>
          </w:p>
          <w:p w14:paraId="013EE0F1">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（2）以上材料未附格式的，由供应商自行拟定。</w:t>
            </w:r>
          </w:p>
          <w:p w14:paraId="64481E5E">
            <w:pPr>
              <w:spacing w:line="4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（3）磋商文件标注“▲”或要求“必须提供”的证明等材料，磋商供应商必须全部提供，缺一不可，否则磋商无效。</w:t>
            </w:r>
          </w:p>
          <w:p w14:paraId="3DC1EB6B">
            <w:pPr>
              <w:spacing w:line="460" w:lineRule="exact"/>
              <w:ind w:firstLine="482" w:firstLineChars="200"/>
              <w:rPr>
                <w:rFonts w:ascii="宋体" w:hAnsi="宋体" w:cs="宋体"/>
                <w:color w:val="auto"/>
                <w:highlight w:val="none"/>
              </w:rPr>
            </w:pPr>
            <w:r>
              <w:rPr>
                <w:rFonts w:hint="eastAsia" w:ascii="宋体" w:hAnsi="宋体" w:cs="宋体"/>
                <w:b/>
                <w:color w:val="auto"/>
                <w:sz w:val="24"/>
                <w:highlight w:val="none"/>
              </w:rPr>
              <w:t>（4）所有材料均以经有效的CA认证电子文件为评审依据，供应商须对所提供材料的真实性和一致性负责。</w:t>
            </w:r>
          </w:p>
        </w:tc>
      </w:tr>
      <w:tr w14:paraId="5F19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3B267276">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15.2</w:t>
            </w:r>
          </w:p>
        </w:tc>
        <w:tc>
          <w:tcPr>
            <w:tcW w:w="8754" w:type="dxa"/>
            <w:vAlign w:val="center"/>
          </w:tcPr>
          <w:p w14:paraId="4D01F4CE">
            <w:pPr>
              <w:spacing w:line="460" w:lineRule="exact"/>
              <w:jc w:val="left"/>
              <w:rPr>
                <w:rFonts w:ascii="宋体" w:hAnsi="宋体" w:cs="宋体"/>
                <w:color w:val="auto"/>
                <w:sz w:val="24"/>
                <w:highlight w:val="none"/>
              </w:rPr>
            </w:pPr>
            <w:r>
              <w:rPr>
                <w:rFonts w:hint="eastAsia" w:ascii="宋体" w:hAnsi="宋体" w:cs="宋体"/>
                <w:color w:val="auto"/>
                <w:sz w:val="24"/>
                <w:highlight w:val="none"/>
              </w:rPr>
              <w:t>竞标报价必须包含满足本次竞标全部采购需求所应提供的服务，以及伴随的货物和工程（如有）的价格；包含竞标服务、货物、工程的成本、运输（含保险）、安装（如有）、调试、检验、技术服务、培训、税费等所有费用。</w:t>
            </w:r>
          </w:p>
        </w:tc>
      </w:tr>
      <w:tr w14:paraId="2A49D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6A4A52EC">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16.2</w:t>
            </w:r>
          </w:p>
        </w:tc>
        <w:tc>
          <w:tcPr>
            <w:tcW w:w="8754" w:type="dxa"/>
            <w:vAlign w:val="center"/>
          </w:tcPr>
          <w:p w14:paraId="405C26D0">
            <w:pPr>
              <w:pStyle w:val="11"/>
              <w:widowControl w:val="0"/>
              <w:tabs>
                <w:tab w:val="clear" w:pos="454"/>
              </w:tabs>
              <w:spacing w:after="0" w:afterLines="0" w:line="460" w:lineRule="exact"/>
              <w:ind w:left="324" w:hanging="324" w:hangingChars="135"/>
              <w:rPr>
                <w:rFonts w:ascii="宋体" w:hAnsi="宋体" w:cs="宋体"/>
                <w:color w:val="auto"/>
                <w:kern w:val="2"/>
                <w:szCs w:val="24"/>
                <w:highlight w:val="none"/>
              </w:rPr>
            </w:pPr>
            <w:r>
              <w:rPr>
                <w:rFonts w:hint="eastAsia" w:ascii="宋体" w:hAnsi="宋体" w:cs="宋体"/>
                <w:color w:val="auto"/>
                <w:kern w:val="2"/>
                <w:szCs w:val="24"/>
                <w:highlight w:val="none"/>
              </w:rPr>
              <w:t>竞标有效期：自首次响应文件提交截止之日起</w:t>
            </w:r>
            <w:r>
              <w:rPr>
                <w:rFonts w:hint="eastAsia" w:ascii="宋体" w:hAnsi="宋体" w:cs="宋体"/>
                <w:color w:val="auto"/>
                <w:kern w:val="2"/>
                <w:szCs w:val="24"/>
                <w:highlight w:val="none"/>
                <w:u w:val="single"/>
              </w:rPr>
              <w:t>60</w:t>
            </w:r>
            <w:r>
              <w:rPr>
                <w:rFonts w:hint="eastAsia" w:ascii="宋体" w:hAnsi="宋体" w:cs="宋体"/>
                <w:color w:val="auto"/>
                <w:kern w:val="2"/>
                <w:szCs w:val="24"/>
                <w:highlight w:val="none"/>
              </w:rPr>
              <w:t>日。</w:t>
            </w:r>
          </w:p>
        </w:tc>
      </w:tr>
      <w:tr w14:paraId="5235D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6D9BE3F3">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17.1</w:t>
            </w:r>
          </w:p>
        </w:tc>
        <w:tc>
          <w:tcPr>
            <w:tcW w:w="8754" w:type="dxa"/>
            <w:vAlign w:val="center"/>
          </w:tcPr>
          <w:p w14:paraId="1084D040">
            <w:pPr>
              <w:spacing w:line="460" w:lineRule="exact"/>
              <w:rPr>
                <w:rFonts w:ascii="宋体" w:hAnsi="宋体" w:cs="宋体"/>
                <w:color w:val="auto"/>
                <w:sz w:val="24"/>
                <w:highlight w:val="none"/>
              </w:rPr>
            </w:pPr>
            <w:r>
              <w:rPr>
                <w:rFonts w:hint="eastAsia" w:ascii="宋体" w:hAnsi="宋体" w:cs="宋体"/>
                <w:color w:val="auto"/>
                <w:kern w:val="0"/>
                <w:sz w:val="24"/>
                <w:highlight w:val="none"/>
              </w:rPr>
              <w:t>磋商保证金：本项目无需缴纳竞标保证金。</w:t>
            </w:r>
          </w:p>
        </w:tc>
      </w:tr>
      <w:tr w14:paraId="1733B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7262277">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18.2</w:t>
            </w:r>
          </w:p>
        </w:tc>
        <w:tc>
          <w:tcPr>
            <w:tcW w:w="8754" w:type="dxa"/>
            <w:vAlign w:val="center"/>
          </w:tcPr>
          <w:p w14:paraId="0D051643">
            <w:pPr>
              <w:spacing w:line="460" w:lineRule="exact"/>
              <w:rPr>
                <w:rFonts w:ascii="宋体" w:hAnsi="宋体" w:cs="宋体"/>
                <w:color w:val="auto"/>
                <w:sz w:val="24"/>
                <w:highlight w:val="none"/>
              </w:rPr>
            </w:pPr>
            <w:r>
              <w:rPr>
                <w:rFonts w:hint="eastAsia" w:ascii="宋体" w:hAnsi="宋体" w:cs="宋体"/>
                <w:color w:val="auto"/>
                <w:sz w:val="24"/>
                <w:highlight w:val="none"/>
              </w:rPr>
              <w:t>响应文件格式：资格审查部分、报价部分、商务技术部分三部分组成，分别对应上传至广西政府采购云平台系统。</w:t>
            </w:r>
          </w:p>
        </w:tc>
      </w:tr>
      <w:tr w14:paraId="26D96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3554A2A3">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20.1</w:t>
            </w:r>
          </w:p>
        </w:tc>
        <w:tc>
          <w:tcPr>
            <w:tcW w:w="8754" w:type="dxa"/>
            <w:vAlign w:val="center"/>
          </w:tcPr>
          <w:p w14:paraId="0AF00688">
            <w:pPr>
              <w:spacing w:line="440" w:lineRule="exact"/>
              <w:ind w:firstLine="468" w:firstLineChars="195"/>
              <w:rPr>
                <w:rFonts w:ascii="宋体" w:hAnsi="宋体" w:cs="宋体"/>
                <w:color w:val="auto"/>
                <w:spacing w:val="2"/>
                <w:sz w:val="24"/>
                <w:highlight w:val="none"/>
              </w:rPr>
            </w:pPr>
            <w:r>
              <w:rPr>
                <w:rFonts w:hint="eastAsia" w:ascii="宋体" w:hAnsi="宋体" w:cs="宋体"/>
                <w:color w:val="auto"/>
                <w:sz w:val="24"/>
                <w:highlight w:val="none"/>
              </w:rPr>
              <w:t>本项目为全流程电子化项目，没有现场递交投标文件及现场开标环节，通过广西政府采购云平台系统实行在线电子投标，供应商应先安装“广西政府采购云平台系统投标客户端”（请自行前往广西政府采购云平台系统进行下载），并按照本项目招标文件和广西政府采购云平台系统的要求使用CA认证编制、加密投标文件后在投标截止时间前上传至广西政府采购云平台系统，供应商在广西政府采购云平台系统提交电子版投标文件时，请填写参加远程开标活动经办人联系方式。</w:t>
            </w:r>
          </w:p>
          <w:p w14:paraId="3537558A">
            <w:pPr>
              <w:spacing w:line="46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注：所有材料均以经有效的CA认证电子文件为评审依据，供应商须对所提供材料的真实性和一致性负责。</w:t>
            </w:r>
          </w:p>
        </w:tc>
      </w:tr>
      <w:tr w14:paraId="3E0C5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DB3E917">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24.1</w:t>
            </w:r>
          </w:p>
        </w:tc>
        <w:tc>
          <w:tcPr>
            <w:tcW w:w="8754" w:type="dxa"/>
            <w:vAlign w:val="center"/>
          </w:tcPr>
          <w:p w14:paraId="7A021C80">
            <w:pPr>
              <w:spacing w:line="460" w:lineRule="exact"/>
              <w:jc w:val="left"/>
              <w:rPr>
                <w:rFonts w:ascii="宋体" w:hAnsi="宋体" w:cs="宋体"/>
                <w:color w:val="auto"/>
                <w:sz w:val="24"/>
                <w:highlight w:val="none"/>
                <w:u w:val="single"/>
              </w:rPr>
            </w:pPr>
            <w:r>
              <w:rPr>
                <w:rFonts w:hint="eastAsia" w:ascii="宋体" w:hAnsi="宋体" w:cs="宋体"/>
                <w:color w:val="auto"/>
                <w:sz w:val="24"/>
                <w:highlight w:val="none"/>
              </w:rPr>
              <w:t>磋商小组的人数：</w:t>
            </w:r>
            <w:r>
              <w:rPr>
                <w:rFonts w:hint="eastAsia" w:ascii="宋体" w:hAnsi="宋体" w:cs="宋体"/>
                <w:color w:val="auto"/>
                <w:sz w:val="24"/>
                <w:highlight w:val="none"/>
                <w:u w:val="single"/>
              </w:rPr>
              <w:t>3</w:t>
            </w:r>
            <w:r>
              <w:rPr>
                <w:rFonts w:hint="eastAsia" w:ascii="宋体" w:hAnsi="宋体" w:cs="宋体"/>
                <w:color w:val="auto"/>
                <w:sz w:val="24"/>
                <w:highlight w:val="none"/>
              </w:rPr>
              <w:t>人。</w:t>
            </w:r>
          </w:p>
        </w:tc>
      </w:tr>
      <w:tr w14:paraId="61152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030" w:type="dxa"/>
            <w:vMerge w:val="restart"/>
            <w:vAlign w:val="center"/>
          </w:tcPr>
          <w:p w14:paraId="79B8CBE1">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26.2</w:t>
            </w:r>
          </w:p>
        </w:tc>
        <w:tc>
          <w:tcPr>
            <w:tcW w:w="8754" w:type="dxa"/>
            <w:vAlign w:val="center"/>
          </w:tcPr>
          <w:p w14:paraId="4172608A">
            <w:pPr>
              <w:spacing w:line="460" w:lineRule="exact"/>
              <w:rPr>
                <w:rFonts w:ascii="宋体" w:hAnsi="宋体" w:cs="宋体"/>
                <w:color w:val="auto"/>
                <w:sz w:val="24"/>
                <w:highlight w:val="none"/>
              </w:rPr>
            </w:pPr>
            <w:r>
              <w:rPr>
                <w:rFonts w:hint="eastAsia" w:ascii="宋体" w:hAnsi="宋体" w:cs="宋体"/>
                <w:color w:val="auto"/>
                <w:sz w:val="24"/>
                <w:highlight w:val="none"/>
              </w:rPr>
              <w:t>商务条款评审中允许负偏离的条款数为</w:t>
            </w:r>
            <w:r>
              <w:rPr>
                <w:rFonts w:hint="eastAsia" w:ascii="宋体" w:hAnsi="宋体" w:cs="宋体"/>
                <w:color w:val="auto"/>
                <w:sz w:val="24"/>
                <w:highlight w:val="none"/>
                <w:u w:val="single"/>
              </w:rPr>
              <w:t>0</w:t>
            </w:r>
            <w:r>
              <w:rPr>
                <w:rFonts w:hint="eastAsia" w:ascii="宋体" w:hAnsi="宋体" w:cs="宋体"/>
                <w:color w:val="auto"/>
                <w:sz w:val="24"/>
                <w:highlight w:val="none"/>
              </w:rPr>
              <w:t>项。</w:t>
            </w:r>
          </w:p>
          <w:p w14:paraId="5BEE53E4">
            <w:pPr>
              <w:spacing w:line="460" w:lineRule="exact"/>
              <w:rPr>
                <w:rFonts w:ascii="宋体" w:hAnsi="宋体" w:cs="宋体"/>
                <w:color w:val="auto"/>
                <w:sz w:val="24"/>
                <w:highlight w:val="none"/>
              </w:rPr>
            </w:pPr>
            <w:r>
              <w:rPr>
                <w:rFonts w:hint="eastAsia" w:ascii="宋体" w:hAnsi="宋体" w:cs="宋体"/>
                <w:color w:val="auto"/>
                <w:sz w:val="24"/>
                <w:highlight w:val="none"/>
              </w:rPr>
              <w:t>技术需求评审中允许负偏离的条款数为</w:t>
            </w:r>
            <w:r>
              <w:rPr>
                <w:rFonts w:hint="eastAsia" w:ascii="宋体" w:hAnsi="宋体" w:cs="宋体"/>
                <w:color w:val="auto"/>
                <w:sz w:val="24"/>
                <w:highlight w:val="none"/>
                <w:u w:val="single"/>
              </w:rPr>
              <w:t>0</w:t>
            </w:r>
            <w:r>
              <w:rPr>
                <w:rFonts w:hint="eastAsia" w:ascii="宋体" w:hAnsi="宋体" w:cs="宋体"/>
                <w:color w:val="auto"/>
                <w:sz w:val="24"/>
                <w:highlight w:val="none"/>
              </w:rPr>
              <w:t>项。</w:t>
            </w:r>
          </w:p>
        </w:tc>
      </w:tr>
      <w:tr w14:paraId="7D0AE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Merge w:val="continue"/>
            <w:vAlign w:val="center"/>
          </w:tcPr>
          <w:p w14:paraId="04D729AF">
            <w:pPr>
              <w:spacing w:line="460" w:lineRule="exact"/>
              <w:jc w:val="center"/>
              <w:rPr>
                <w:rFonts w:ascii="宋体" w:hAnsi="宋体" w:cs="宋体"/>
                <w:color w:val="auto"/>
                <w:sz w:val="24"/>
                <w:highlight w:val="none"/>
              </w:rPr>
            </w:pPr>
          </w:p>
        </w:tc>
        <w:tc>
          <w:tcPr>
            <w:tcW w:w="8754" w:type="dxa"/>
            <w:vAlign w:val="center"/>
          </w:tcPr>
          <w:p w14:paraId="4D66D51F">
            <w:pPr>
              <w:pStyle w:val="13"/>
              <w:spacing w:line="460" w:lineRule="exact"/>
              <w:rPr>
                <w:rFonts w:ascii="宋体" w:hAnsi="宋体" w:cs="宋体"/>
                <w:b/>
                <w:color w:val="auto"/>
                <w:sz w:val="24"/>
                <w:highlight w:val="none"/>
              </w:rPr>
            </w:pPr>
            <w:r>
              <w:rPr>
                <w:rFonts w:hint="eastAsia" w:ascii="宋体" w:hAnsi="宋体" w:cs="宋体"/>
                <w:b/>
                <w:bCs/>
                <w:color w:val="auto"/>
                <w:sz w:val="24"/>
                <w:highlight w:val="none"/>
              </w:rPr>
              <w:t>磋商时间：</w:t>
            </w:r>
            <w:r>
              <w:rPr>
                <w:rFonts w:hint="eastAsia" w:ascii="宋体" w:hAnsi="宋体" w:cs="宋体"/>
                <w:color w:val="auto"/>
                <w:sz w:val="24"/>
                <w:highlight w:val="none"/>
              </w:rPr>
              <w:t>本项目不要求供应商到达开标现场，供应商应派法定代表人或委托代理人</w:t>
            </w:r>
            <w:r>
              <w:rPr>
                <w:rFonts w:hint="eastAsia" w:ascii="宋体" w:hAnsi="宋体" w:cs="宋体"/>
                <w:color w:val="auto"/>
                <w:sz w:val="24"/>
                <w:highlight w:val="none"/>
                <w:u w:val="single"/>
                <w:lang w:eastAsia="zh-CN"/>
              </w:rPr>
              <w:t>2025年04月22日15时00分</w:t>
            </w:r>
            <w:r>
              <w:rPr>
                <w:rFonts w:hint="eastAsia" w:ascii="宋体" w:hAnsi="宋体" w:cs="宋体"/>
                <w:color w:val="auto"/>
                <w:sz w:val="24"/>
                <w:highlight w:val="none"/>
              </w:rPr>
              <w:t>准时在线“政府采购云平台”出席电子开评标会议，随时关注开评标进度，如在开评标过程中有电子询标，应在规定的时间内对电子询标函进行澄清回复）</w:t>
            </w:r>
          </w:p>
        </w:tc>
      </w:tr>
      <w:tr w14:paraId="3FB1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269D079A">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28.1</w:t>
            </w:r>
          </w:p>
        </w:tc>
        <w:tc>
          <w:tcPr>
            <w:tcW w:w="8754" w:type="dxa"/>
            <w:vAlign w:val="center"/>
          </w:tcPr>
          <w:p w14:paraId="71395651">
            <w:pPr>
              <w:spacing w:line="460" w:lineRule="exact"/>
              <w:rPr>
                <w:rFonts w:ascii="宋体" w:hAnsi="宋体" w:cs="宋体"/>
                <w:color w:val="auto"/>
                <w:sz w:val="24"/>
                <w:highlight w:val="none"/>
              </w:rPr>
            </w:pPr>
            <w:r>
              <w:rPr>
                <w:rFonts w:hint="eastAsia" w:ascii="宋体" w:hAnsi="宋体" w:cs="宋体"/>
                <w:color w:val="auto"/>
                <w:sz w:val="24"/>
                <w:highlight w:val="none"/>
              </w:rPr>
              <w:t>履约保证金金额：</w:t>
            </w:r>
            <w:r>
              <w:rPr>
                <w:rFonts w:hint="eastAsia" w:ascii="宋体" w:hAnsi="宋体" w:cs="宋体"/>
                <w:b/>
                <w:bCs/>
                <w:color w:val="auto"/>
                <w:sz w:val="24"/>
                <w:highlight w:val="none"/>
              </w:rPr>
              <w:t>本项目无需缴纳履约保证金。</w:t>
            </w:r>
          </w:p>
        </w:tc>
      </w:tr>
      <w:tr w14:paraId="3CFB6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0E918223">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29.1</w:t>
            </w:r>
          </w:p>
        </w:tc>
        <w:tc>
          <w:tcPr>
            <w:tcW w:w="8754" w:type="dxa"/>
            <w:vAlign w:val="center"/>
          </w:tcPr>
          <w:p w14:paraId="7F3A41FE">
            <w:pPr>
              <w:spacing w:line="460" w:lineRule="exact"/>
              <w:rPr>
                <w:rFonts w:ascii="宋体" w:hAnsi="宋体" w:cs="宋体"/>
                <w:color w:val="auto"/>
                <w:sz w:val="24"/>
                <w:highlight w:val="none"/>
              </w:rPr>
            </w:pPr>
            <w:r>
              <w:rPr>
                <w:rFonts w:hint="eastAsia" w:ascii="宋体" w:hAnsi="宋体" w:cs="宋体"/>
                <w:color w:val="auto"/>
                <w:sz w:val="24"/>
                <w:highlight w:val="none"/>
              </w:rPr>
              <w:t xml:space="preserve">签订合同携带的证明材料： </w:t>
            </w:r>
          </w:p>
          <w:p w14:paraId="79029FD6">
            <w:pPr>
              <w:spacing w:line="460" w:lineRule="exact"/>
              <w:rPr>
                <w:rFonts w:ascii="宋体" w:hAnsi="宋体" w:cs="宋体"/>
                <w:color w:val="auto"/>
                <w:sz w:val="24"/>
                <w:highlight w:val="none"/>
              </w:rPr>
            </w:pPr>
            <w:r>
              <w:rPr>
                <w:rFonts w:hint="eastAsia" w:ascii="宋体" w:hAnsi="宋体" w:cs="宋体"/>
                <w:color w:val="auto"/>
                <w:sz w:val="24"/>
                <w:highlight w:val="none"/>
              </w:rPr>
              <w:t>（1）委托代理人负责签订合同的，须携带授权委托书及委托代理人身份证原件等其他资格证件。</w:t>
            </w:r>
          </w:p>
          <w:p w14:paraId="74BACA9A">
            <w:pPr>
              <w:spacing w:line="460" w:lineRule="exact"/>
              <w:rPr>
                <w:rFonts w:ascii="宋体" w:hAnsi="宋体" w:cs="宋体"/>
                <w:color w:val="auto"/>
                <w:sz w:val="24"/>
                <w:highlight w:val="none"/>
              </w:rPr>
            </w:pPr>
            <w:r>
              <w:rPr>
                <w:rFonts w:hint="eastAsia" w:ascii="宋体" w:hAnsi="宋体" w:cs="宋体"/>
                <w:color w:val="auto"/>
                <w:sz w:val="24"/>
                <w:highlight w:val="none"/>
              </w:rPr>
              <w:t>（2）法定代表人负责签订合同的，须携带法定代表人身份证明原件及身份证原件等其他证明材料。</w:t>
            </w:r>
          </w:p>
        </w:tc>
      </w:tr>
      <w:tr w14:paraId="1D021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145833EB">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31.2</w:t>
            </w:r>
          </w:p>
        </w:tc>
        <w:tc>
          <w:tcPr>
            <w:tcW w:w="8754" w:type="dxa"/>
            <w:vAlign w:val="center"/>
          </w:tcPr>
          <w:p w14:paraId="16CC821C">
            <w:pPr>
              <w:spacing w:line="460" w:lineRule="exact"/>
              <w:rPr>
                <w:rFonts w:ascii="宋体" w:hAnsi="宋体" w:cs="宋体"/>
                <w:color w:val="auto"/>
                <w:sz w:val="24"/>
                <w:highlight w:val="none"/>
              </w:rPr>
            </w:pPr>
            <w:r>
              <w:rPr>
                <w:rFonts w:hint="eastAsia" w:ascii="宋体" w:hAnsi="宋体" w:cs="宋体"/>
                <w:color w:val="auto"/>
                <w:sz w:val="24"/>
                <w:highlight w:val="none"/>
              </w:rPr>
              <w:t>接收质疑函方式：以书面形式。</w:t>
            </w:r>
          </w:p>
          <w:p w14:paraId="3EA82771">
            <w:pPr>
              <w:pStyle w:val="18"/>
              <w:spacing w:line="460" w:lineRule="exact"/>
              <w:rPr>
                <w:rFonts w:hAnsi="宋体" w:cs="宋体"/>
                <w:color w:val="auto"/>
                <w:kern w:val="2"/>
                <w:sz w:val="24"/>
                <w:szCs w:val="24"/>
                <w:highlight w:val="none"/>
              </w:rPr>
            </w:pPr>
            <w:r>
              <w:rPr>
                <w:rFonts w:hint="eastAsia" w:hAnsi="宋体" w:cs="宋体"/>
                <w:color w:val="auto"/>
                <w:kern w:val="2"/>
                <w:sz w:val="24"/>
                <w:szCs w:val="24"/>
                <w:highlight w:val="none"/>
              </w:rPr>
              <w:t>质疑联系部门及联系方式：东信工程项目管理有限公司，联系电话：0776-2847001，</w:t>
            </w:r>
          </w:p>
          <w:p w14:paraId="53FDE787">
            <w:pPr>
              <w:pStyle w:val="18"/>
              <w:spacing w:line="460" w:lineRule="exact"/>
              <w:rPr>
                <w:rFonts w:hAnsi="宋体" w:cs="宋体"/>
                <w:color w:val="auto"/>
                <w:kern w:val="2"/>
                <w:sz w:val="24"/>
                <w:szCs w:val="24"/>
                <w:highlight w:val="none"/>
              </w:rPr>
            </w:pPr>
            <w:r>
              <w:rPr>
                <w:rFonts w:hint="eastAsia" w:hAnsi="宋体" w:cs="宋体"/>
                <w:color w:val="auto"/>
                <w:kern w:val="2"/>
                <w:sz w:val="24"/>
                <w:szCs w:val="24"/>
                <w:highlight w:val="none"/>
              </w:rPr>
              <w:t>通讯地址：百色市右江区大湾社区第十四组“家和花园”2#公寓楼一单元510号。</w:t>
            </w:r>
          </w:p>
          <w:p w14:paraId="4EA7F8D7">
            <w:pPr>
              <w:spacing w:line="460" w:lineRule="exact"/>
              <w:rPr>
                <w:rFonts w:ascii="宋体" w:hAnsi="宋体" w:cs="宋体"/>
                <w:color w:val="auto"/>
                <w:sz w:val="24"/>
                <w:highlight w:val="none"/>
              </w:rPr>
            </w:pPr>
            <w:r>
              <w:rPr>
                <w:rFonts w:hint="eastAsia" w:ascii="宋体" w:hAnsi="宋体" w:cs="宋体"/>
                <w:color w:val="auto"/>
                <w:sz w:val="24"/>
                <w:highlight w:val="none"/>
              </w:rPr>
              <w:t>业务时间：上午8时00分到12时00分，下午15时00分到18时00分，业务时间以外、双休日和法定节假日不办理业务。</w:t>
            </w:r>
          </w:p>
        </w:tc>
      </w:tr>
      <w:tr w14:paraId="7661E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5696D98">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32.1</w:t>
            </w:r>
          </w:p>
        </w:tc>
        <w:tc>
          <w:tcPr>
            <w:tcW w:w="8754" w:type="dxa"/>
            <w:vAlign w:val="center"/>
          </w:tcPr>
          <w:p w14:paraId="689E57F4">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1.采购代理费支付方式：</w:t>
            </w:r>
          </w:p>
          <w:p w14:paraId="1DA10FAC">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☑本项目代理服务费由</w:t>
            </w:r>
            <w:r>
              <w:rPr>
                <w:rFonts w:hint="eastAsia" w:hAnsi="宋体" w:cs="宋体"/>
                <w:color w:val="auto"/>
                <w:sz w:val="24"/>
                <w:szCs w:val="24"/>
                <w:highlight w:val="none"/>
                <w:u w:val="single"/>
              </w:rPr>
              <w:t>成交供应商</w:t>
            </w:r>
            <w:r>
              <w:rPr>
                <w:rFonts w:hint="eastAsia" w:hAnsi="宋体" w:cs="宋体"/>
                <w:color w:val="auto"/>
                <w:sz w:val="24"/>
                <w:szCs w:val="24"/>
                <w:highlight w:val="none"/>
              </w:rPr>
              <w:t>领取成交通知书前，一次性向采购代理机构支付。</w:t>
            </w:r>
          </w:p>
          <w:p w14:paraId="46E2FFC4">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□采购人支付。</w:t>
            </w:r>
          </w:p>
          <w:p w14:paraId="0D7AEA95">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2.采购代理费收取标准：按国家发改委计价格[2002]1980号（服务类）规定累进计取。</w:t>
            </w:r>
          </w:p>
          <w:p w14:paraId="3F860A94">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☑以项目（☑成交金额/□采购预算/□暂定成交金额/□其他</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）为计费额，按本须知正文第31.2条规定的收费计算标准（□货物类/☑服务类/□工程类）采用差额定率累进法计算出收费基准价格，采购代理收费以（☑收费基准价格/□收费基准价格下浮</w:t>
            </w:r>
            <w:r>
              <w:rPr>
                <w:rFonts w:hint="eastAsia" w:hAnsi="宋体" w:cs="宋体"/>
                <w:color w:val="auto"/>
                <w:sz w:val="24"/>
                <w:szCs w:val="24"/>
                <w:highlight w:val="none"/>
                <w:u w:val="single"/>
              </w:rPr>
              <w:t>/%</w:t>
            </w:r>
            <w:r>
              <w:rPr>
                <w:rFonts w:hint="eastAsia" w:hAnsi="宋体" w:cs="宋体"/>
                <w:color w:val="auto"/>
                <w:sz w:val="24"/>
                <w:szCs w:val="24"/>
                <w:highlight w:val="none"/>
              </w:rPr>
              <w:t>/□收费基准价格上浮</w:t>
            </w:r>
            <w:r>
              <w:rPr>
                <w:rFonts w:hint="eastAsia" w:hAnsi="宋体" w:cs="宋体"/>
                <w:color w:val="auto"/>
                <w:sz w:val="24"/>
                <w:szCs w:val="24"/>
                <w:highlight w:val="none"/>
                <w:u w:val="single"/>
              </w:rPr>
              <w:t>/%</w:t>
            </w:r>
            <w:r>
              <w:rPr>
                <w:rFonts w:hint="eastAsia" w:hAnsi="宋体" w:cs="宋体"/>
                <w:color w:val="auto"/>
                <w:sz w:val="24"/>
                <w:szCs w:val="24"/>
                <w:highlight w:val="none"/>
              </w:rPr>
              <w:t>）收取。</w:t>
            </w:r>
          </w:p>
          <w:p w14:paraId="1450AF4D">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□固定采购代理收费</w:t>
            </w:r>
            <w:r>
              <w:rPr>
                <w:rFonts w:hint="eastAsia" w:hAnsi="宋体" w:cs="宋体"/>
                <w:color w:val="auto"/>
                <w:sz w:val="24"/>
                <w:szCs w:val="24"/>
                <w:highlight w:val="none"/>
                <w:u w:val="single"/>
              </w:rPr>
              <w:t xml:space="preserve">  / 。</w:t>
            </w:r>
          </w:p>
        </w:tc>
      </w:tr>
      <w:tr w14:paraId="2B0EF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24ED9644">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33.1</w:t>
            </w:r>
          </w:p>
        </w:tc>
        <w:tc>
          <w:tcPr>
            <w:tcW w:w="8754" w:type="dxa"/>
            <w:vAlign w:val="center"/>
          </w:tcPr>
          <w:p w14:paraId="49AA731D">
            <w:pPr>
              <w:pStyle w:val="18"/>
              <w:spacing w:line="460" w:lineRule="exact"/>
              <w:rPr>
                <w:rFonts w:hAnsi="宋体" w:cs="宋体"/>
                <w:color w:val="auto"/>
                <w:kern w:val="2"/>
                <w:sz w:val="24"/>
                <w:szCs w:val="24"/>
                <w:highlight w:val="none"/>
              </w:rPr>
            </w:pPr>
            <w:r>
              <w:rPr>
                <w:rFonts w:hint="eastAsia" w:hAnsi="宋体" w:cs="宋体"/>
                <w:color w:val="auto"/>
                <w:sz w:val="24"/>
                <w:szCs w:val="24"/>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3C37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7931447">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33.2</w:t>
            </w:r>
          </w:p>
        </w:tc>
        <w:tc>
          <w:tcPr>
            <w:tcW w:w="8754" w:type="dxa"/>
            <w:vAlign w:val="center"/>
          </w:tcPr>
          <w:p w14:paraId="607DE452">
            <w:pPr>
              <w:pStyle w:val="18"/>
              <w:spacing w:line="460" w:lineRule="exact"/>
              <w:rPr>
                <w:rFonts w:hAnsi="宋体" w:cs="宋体"/>
                <w:color w:val="auto"/>
                <w:sz w:val="24"/>
                <w:szCs w:val="24"/>
                <w:highlight w:val="none"/>
              </w:rPr>
            </w:pPr>
            <w:r>
              <w:rPr>
                <w:rFonts w:hint="eastAsia" w:hAnsi="宋体" w:cs="宋体"/>
                <w:color w:val="auto"/>
                <w:sz w:val="24"/>
                <w:szCs w:val="24"/>
                <w:highlight w:val="none"/>
              </w:rPr>
              <w:t>1.本磋商文件中描述供应商的“公章”是指根据我国对公章的管理规定，用供应商法定主体行为名称制作的印章，除本磋商文件有特殊规定外，供应商的财务章、部门章、分公司章、工会章、合同章、竞标/竞标专用章、业务专用章及银行的转账章、现金收讫章、现金付讫章等其他形式印章均不能代替公章。</w:t>
            </w:r>
          </w:p>
          <w:p w14:paraId="58AD19CB">
            <w:pPr>
              <w:pStyle w:val="18"/>
              <w:spacing w:line="460" w:lineRule="exact"/>
              <w:rPr>
                <w:rFonts w:hAnsi="宋体" w:cs="宋体"/>
                <w:color w:val="auto"/>
                <w:sz w:val="24"/>
                <w:szCs w:val="24"/>
                <w:highlight w:val="none"/>
              </w:rPr>
            </w:pPr>
            <w:r>
              <w:rPr>
                <w:rFonts w:hint="eastAsia" w:hAnsi="宋体" w:cs="宋体"/>
                <w:b/>
                <w:bCs/>
                <w:color w:val="auto"/>
                <w:sz w:val="24"/>
                <w:highlight w:val="none"/>
              </w:rPr>
              <w:t>法定代表人或其授权代表签字或盖章：</w:t>
            </w:r>
            <w:r>
              <w:rPr>
                <w:rFonts w:hint="eastAsia" w:hAnsi="宋体" w:cs="宋体"/>
                <w:color w:val="auto"/>
                <w:sz w:val="24"/>
                <w:highlight w:val="none"/>
              </w:rPr>
              <w:t>本竞争性磋商文件所涉及的法定代表人或其授权代表签字或盖章的内容，如果磋商单位没有法定代表人电子签章，涉及到法定代表人或其授权代表签字或盖章的内容，磋商单位可以线下签字或盖章后扫描上传。</w:t>
            </w:r>
          </w:p>
        </w:tc>
      </w:tr>
      <w:tr w14:paraId="484BE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30" w:type="dxa"/>
            <w:vAlign w:val="center"/>
          </w:tcPr>
          <w:p w14:paraId="7C00756C">
            <w:pPr>
              <w:spacing w:line="460" w:lineRule="exact"/>
              <w:jc w:val="center"/>
              <w:rPr>
                <w:rFonts w:ascii="宋体" w:hAnsi="宋体" w:cs="宋体"/>
                <w:color w:val="auto"/>
                <w:sz w:val="24"/>
                <w:highlight w:val="none"/>
              </w:rPr>
            </w:pPr>
            <w:r>
              <w:rPr>
                <w:rFonts w:hint="eastAsia" w:ascii="宋体" w:hAnsi="宋体" w:cs="宋体"/>
                <w:b/>
                <w:bCs/>
                <w:color w:val="auto"/>
                <w:sz w:val="24"/>
                <w:highlight w:val="none"/>
              </w:rPr>
              <w:t>其他</w:t>
            </w:r>
          </w:p>
        </w:tc>
        <w:tc>
          <w:tcPr>
            <w:tcW w:w="8754" w:type="dxa"/>
            <w:vAlign w:val="center"/>
          </w:tcPr>
          <w:p w14:paraId="38A5B635">
            <w:pPr>
              <w:pStyle w:val="18"/>
              <w:spacing w:line="460" w:lineRule="exact"/>
              <w:rPr>
                <w:rFonts w:hAnsi="宋体" w:cs="宋体"/>
                <w:b/>
                <w:bCs/>
                <w:color w:val="auto"/>
                <w:sz w:val="24"/>
                <w:highlight w:val="none"/>
              </w:rPr>
            </w:pPr>
            <w:r>
              <w:rPr>
                <w:rFonts w:hint="eastAsia" w:hAnsi="宋体" w:cs="宋体"/>
                <w:b/>
                <w:bCs/>
                <w:color w:val="auto"/>
                <w:sz w:val="24"/>
                <w:highlight w:val="none"/>
              </w:rPr>
              <w:t>本项目所属行业：其他未列明行业</w:t>
            </w:r>
          </w:p>
        </w:tc>
      </w:tr>
    </w:tbl>
    <w:p w14:paraId="21EC9E65">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0D854D67">
      <w:pPr>
        <w:spacing w:line="400" w:lineRule="exact"/>
        <w:jc w:val="center"/>
        <w:rPr>
          <w:rFonts w:ascii="宋体" w:hAnsi="宋体" w:cs="宋体"/>
          <w:b/>
          <w:color w:val="auto"/>
          <w:sz w:val="32"/>
          <w:szCs w:val="32"/>
          <w:highlight w:val="none"/>
        </w:rPr>
      </w:pPr>
    </w:p>
    <w:p w14:paraId="4DF7318C">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一、总则</w:t>
      </w:r>
    </w:p>
    <w:p w14:paraId="1F34AC7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42CA0F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CB139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1.2本竞争性磋商文件（以下简称磋商文件）适用于本项目的所有采购程序和环节（法律、法规另有规定的，从其规定）。</w:t>
      </w:r>
    </w:p>
    <w:p w14:paraId="15FE594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59B47B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2.1“采购人”是指依法进行政府采购的国家机关、事业单位、团体组织。</w:t>
      </w:r>
    </w:p>
    <w:p w14:paraId="7C04BE3E">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2.2“采购代理机构”是指政府采购代理机构（以下简称采购代理机构）是指集中采购机构以外、受采购人委托从事政府采购代理业务的社会中介机构。</w:t>
      </w:r>
    </w:p>
    <w:p w14:paraId="5D0358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2.3“供应商”是指向采购人提供货物、工程或者服务的法人、其他组织或者自然人。</w:t>
      </w:r>
    </w:p>
    <w:p w14:paraId="6478F3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2.4“服务”是指除货物和工程以外的其他政府采购对象。</w:t>
      </w:r>
    </w:p>
    <w:p w14:paraId="0F12A0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2.5“竞标”是指供应商按照本项目竞争性磋商公告或者邀请函规定的方式获取磋商文件、提交响应文件并希望获得标的的行为。</w:t>
      </w:r>
    </w:p>
    <w:p w14:paraId="58ADFF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2.6“响应文件”是指：供应商根据本磋商文件要求，编制包含资格证明、报价商务技术等所有内容的文件。</w:t>
      </w:r>
    </w:p>
    <w:p w14:paraId="262CE7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2.7“实质性要求”是指磋商文件中已经指明不满足则响应文件按无效响应处理的条款，或者不能负偏离的条款，或者采购需求中带“▲”的条款。</w:t>
      </w:r>
    </w:p>
    <w:p w14:paraId="23B3E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2.8“正偏离”，是指响应文件对磋商文件“采购需求”中有关条款作出的响应优于条款要求并有利于采购人的情形。</w:t>
      </w:r>
    </w:p>
    <w:p w14:paraId="46AFDE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2.9“负偏离”，是指响应文件对磋商文件“采购需求”中有关条款作出的响应不满足条款要求，导致采购人要求不能得到满足的情形。</w:t>
      </w:r>
    </w:p>
    <w:p w14:paraId="63F040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2.10“允许负偏离的条款”是指采购需求中的不属于“实质性要求”的条款。</w:t>
      </w:r>
    </w:p>
    <w:p w14:paraId="12E1E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2.11“书面形式”是指合同书、信件和数据电文（包括电报、电传、传真、电子数据交换和电子邮件）等可以有形地表现所载内容的形式。</w:t>
      </w:r>
    </w:p>
    <w:p w14:paraId="7EF7F1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2.12“首次报价”是指供应商提交的首次响应文件中的报价。</w:t>
      </w:r>
    </w:p>
    <w:p w14:paraId="08FC00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2.13“评审价”是指供应商提交的最后报价并经修正（如有）和政策功能价格扣除（如有）后的价格。</w:t>
      </w:r>
    </w:p>
    <w:p w14:paraId="46A3762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07F80E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供应商的资格条件详见“供应商须知前附表”。</w:t>
      </w:r>
    </w:p>
    <w:p w14:paraId="524F6E0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4C3BEB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供应商应承担参与本次采购活动有关的所有费用，包括但不限于获取磋商文件、勘查现场、编制和提交响应文件、参加磋商与应答、签订合同等，不论竞标结果如何，均应自行承担。</w:t>
      </w:r>
    </w:p>
    <w:p w14:paraId="31C5ED0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11241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5.1本项目是否接受联合体竞标，详见“供应商须知前附表”。</w:t>
      </w:r>
    </w:p>
    <w:p w14:paraId="30ECDD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5.2如接受联合体竞标，联合体竞标要求详见“供应商须知前附表”。</w:t>
      </w:r>
    </w:p>
    <w:p w14:paraId="09FEE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w:t>
      </w:r>
      <w:bookmarkStart w:id="59" w:name="_Hlk66782192"/>
      <w:r>
        <w:rPr>
          <w:rFonts w:hint="eastAsia" w:ascii="宋体" w:hAnsi="宋体" w:cs="宋体"/>
          <w:color w:val="auto"/>
          <w:sz w:val="24"/>
          <w:highlight w:val="none"/>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59"/>
    </w:p>
    <w:p w14:paraId="13E5B38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6E24FD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6.1本项目不允许转包。</w:t>
      </w:r>
    </w:p>
    <w:p w14:paraId="1C13D3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6.2本项目是否允许分包详见“供应商须知前附表”，本项目不允许违法分包。</w:t>
      </w:r>
    </w:p>
    <w:p w14:paraId="3FAC1E1D">
      <w:pPr>
        <w:spacing w:line="360" w:lineRule="auto"/>
        <w:ind w:firstLine="482" w:firstLineChars="200"/>
        <w:rPr>
          <w:rFonts w:ascii="宋体" w:hAnsi="宋体" w:cs="宋体"/>
          <w:b/>
          <w:bCs/>
          <w:color w:val="auto"/>
          <w:sz w:val="24"/>
          <w:highlight w:val="none"/>
        </w:rPr>
      </w:pPr>
      <w:bookmarkStart w:id="60" w:name="_Toc254970673"/>
      <w:bookmarkStart w:id="61" w:name="_Toc254970532"/>
      <w:r>
        <w:rPr>
          <w:rFonts w:hint="eastAsia" w:ascii="宋体" w:hAnsi="宋体" w:cs="宋体"/>
          <w:b/>
          <w:bCs/>
          <w:color w:val="auto"/>
          <w:sz w:val="24"/>
          <w:highlight w:val="none"/>
        </w:rPr>
        <w:t>7.特别说明</w:t>
      </w:r>
      <w:bookmarkEnd w:id="60"/>
      <w:bookmarkEnd w:id="61"/>
    </w:p>
    <w:p w14:paraId="490C13F4">
      <w:pPr>
        <w:spacing w:line="360" w:lineRule="auto"/>
        <w:ind w:firstLine="480" w:firstLineChars="200"/>
        <w:rPr>
          <w:rFonts w:ascii="宋体" w:hAnsi="宋体" w:cs="宋体"/>
          <w:color w:val="auto"/>
          <w:sz w:val="24"/>
          <w:highlight w:val="none"/>
        </w:rPr>
      </w:pPr>
      <w:bookmarkStart w:id="62" w:name="_8.1提供相同品牌产品且通过资格审查、符合性审查的不同投标人参加同一合"/>
      <w:bookmarkEnd w:id="62"/>
      <w:r>
        <w:rPr>
          <w:rFonts w:hint="eastAsia" w:ascii="宋体" w:hAnsi="宋体" w:cs="宋体"/>
          <w:color w:val="auto"/>
          <w:sz w:val="24"/>
          <w:highlight w:val="none"/>
        </w:rPr>
        <w:t>7.1如果本磋商文件要求供应商提供资格、信誉、荣誉、业绩与企业认证等材料的，则供应商所提供的以上材料必须为供应商所拥有。</w:t>
      </w:r>
    </w:p>
    <w:p w14:paraId="6F6654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7.2供应商应仔细阅读磋商文件的所有内容，按照磋商文件的要求提交响应文件，并对所提供的全部资料的真实性承担法律责任。</w:t>
      </w:r>
    </w:p>
    <w:p w14:paraId="43B828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AFE39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7.4在政府采购活动中，采购人员及相关人员与供应商有下列利害关系之一的，应当回避：</w:t>
      </w:r>
    </w:p>
    <w:p w14:paraId="55F6F2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（1）参加采购活动前3年内与供应商存在劳动关系；</w:t>
      </w:r>
    </w:p>
    <w:p w14:paraId="7DB06E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（2）参加采购活动前3年内担任供应商的董事、监事；</w:t>
      </w:r>
    </w:p>
    <w:p w14:paraId="747FC0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（3）参加采购活动前3年内是供应商的控股股东或者实际控制人；</w:t>
      </w:r>
    </w:p>
    <w:p w14:paraId="6418A1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（4）与供应商的法定代表人或者负责人有夫妻、直系血亲、三代以内旁系血亲或者近姻亲关系；</w:t>
      </w:r>
    </w:p>
    <w:p w14:paraId="1FFAA8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（5）与供应商有其他可能影响政府采购活动公平、公正进行的关系。</w:t>
      </w:r>
    </w:p>
    <w:p w14:paraId="6E237B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24CAA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7.5有下列情形之一的视为供应商相互串通竞标，响应文件将被视为无效：</w:t>
      </w:r>
    </w:p>
    <w:p w14:paraId="323917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（1）不同供应商的响应文件由同一单位或者个人编制；或者不同供应商报名的IP地址一致的；</w:t>
      </w:r>
    </w:p>
    <w:p w14:paraId="5342C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4468A1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（3）不同的供应商的响应文件载明的项目管理员为同一个人；</w:t>
      </w:r>
    </w:p>
    <w:p w14:paraId="7CF876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（4）不同供应商的响应文件异常一致或者报价呈规律性差异；</w:t>
      </w:r>
    </w:p>
    <w:p w14:paraId="62D784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r>
        <w:rPr>
          <w:rFonts w:hint="eastAsia" w:ascii="宋体" w:hAnsi="宋体" w:cs="宋体"/>
          <w:color w:val="auto"/>
          <w:sz w:val="24"/>
          <w:highlight w:val="none"/>
        </w:rPr>
        <w:tab/>
      </w:r>
    </w:p>
    <w:p w14:paraId="00F9B6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7.6供应商有下列情形之一的，属于恶意串通行为，将报同级监督管理部门：</w:t>
      </w:r>
    </w:p>
    <w:p w14:paraId="06D9A8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67251C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15B774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（3）供应商之间协商报价、技术方案等响应文件或者响应文件的实质性内容；</w:t>
      </w:r>
    </w:p>
    <w:p w14:paraId="3A06F6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38245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（5）供应商之间事先约定一致抬高或者压低报价，或者在政府采购活动中事先约定轮流以高价位或者低价位成交，或者事先约定由某一特定供应商成交，然后再参加竞标；</w:t>
      </w:r>
    </w:p>
    <w:p w14:paraId="6469A1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43621ED3">
      <w:pPr>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（7）供应商与采购人或者采购代理机构之间、供应商相互之间，为谋求特定供应商成交或者排斥其他供应商的其他串通行为。</w:t>
      </w:r>
    </w:p>
    <w:p w14:paraId="26454ACA">
      <w:pPr>
        <w:rPr>
          <w:color w:val="auto"/>
          <w:highlight w:val="none"/>
        </w:rPr>
      </w:pPr>
      <w:bookmarkStart w:id="63" w:name="_Toc254970675"/>
      <w:bookmarkStart w:id="64" w:name="_Toc254970534"/>
    </w:p>
    <w:p w14:paraId="4B52DB75">
      <w:pPr>
        <w:spacing w:line="360" w:lineRule="auto"/>
        <w:ind w:left="1" w:firstLine="639" w:firstLineChars="199"/>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二、磋商文件</w:t>
      </w:r>
      <w:bookmarkEnd w:id="63"/>
      <w:bookmarkEnd w:id="64"/>
    </w:p>
    <w:p w14:paraId="44B9FA8F">
      <w:pPr>
        <w:spacing w:line="360" w:lineRule="auto"/>
        <w:jc w:val="center"/>
        <w:rPr>
          <w:rFonts w:ascii="宋体" w:hAnsi="宋体" w:cs="宋体"/>
          <w:color w:val="auto"/>
          <w:szCs w:val="21"/>
          <w:highlight w:val="none"/>
        </w:rPr>
      </w:pPr>
    </w:p>
    <w:p w14:paraId="2DCE1EB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577DE38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（1）竞争性磋商公告或者邀请函；</w:t>
      </w:r>
    </w:p>
    <w:p w14:paraId="138E3B4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（2）供应商须知； </w:t>
      </w:r>
    </w:p>
    <w:p w14:paraId="528439E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（3）采购需求；</w:t>
      </w:r>
    </w:p>
    <w:p w14:paraId="35AF28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（4）评审程序、评审方法和评审标准；</w:t>
      </w:r>
    </w:p>
    <w:p w14:paraId="1BC36CD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（5）响应文件格式；</w:t>
      </w:r>
    </w:p>
    <w:p w14:paraId="3333372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（6）合同文本。</w:t>
      </w:r>
    </w:p>
    <w:p w14:paraId="4ED835E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5798AB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16E993B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19D38F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14:paraId="6425627C">
      <w:pPr>
        <w:spacing w:line="360" w:lineRule="auto"/>
        <w:rPr>
          <w:rFonts w:ascii="宋体" w:hAnsi="宋体" w:cs="宋体"/>
          <w:color w:val="auto"/>
          <w:szCs w:val="21"/>
          <w:highlight w:val="none"/>
        </w:rPr>
      </w:pPr>
    </w:p>
    <w:p w14:paraId="094015ED">
      <w:pPr>
        <w:spacing w:line="360" w:lineRule="auto"/>
        <w:jc w:val="center"/>
        <w:rPr>
          <w:rFonts w:ascii="宋体" w:hAnsi="宋体" w:cs="宋体"/>
          <w:b/>
          <w:bCs/>
          <w:color w:val="auto"/>
          <w:szCs w:val="21"/>
          <w:highlight w:val="none"/>
        </w:rPr>
      </w:pPr>
      <w:r>
        <w:rPr>
          <w:rFonts w:hint="eastAsia" w:ascii="宋体" w:hAnsi="宋体" w:cs="宋体"/>
          <w:b/>
          <w:bCs/>
          <w:color w:val="auto"/>
          <w:sz w:val="32"/>
          <w:szCs w:val="32"/>
          <w:highlight w:val="none"/>
        </w:rPr>
        <w:t>三、响应文件的编制</w:t>
      </w:r>
    </w:p>
    <w:p w14:paraId="7A95E7A1">
      <w:pPr>
        <w:spacing w:line="360" w:lineRule="auto"/>
        <w:rPr>
          <w:rFonts w:ascii="宋体" w:hAnsi="宋体" w:cs="宋体"/>
          <w:color w:val="auto"/>
          <w:sz w:val="24"/>
          <w:highlight w:val="none"/>
        </w:rPr>
      </w:pPr>
    </w:p>
    <w:p w14:paraId="63E4171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405643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供应商必须按照磋商文件的要求编制响应文件，并对其提交的响应文件的真实性、合法性承担法律责任。响应文件必须对磋商文件作出实质性响应。</w:t>
      </w:r>
    </w:p>
    <w:p w14:paraId="4864271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w:t>
      </w:r>
      <w:r>
        <w:rPr>
          <w:rFonts w:ascii="宋体" w:hAnsi="宋体" w:cs="宋体"/>
          <w:b/>
          <w:bCs/>
          <w:color w:val="auto"/>
          <w:sz w:val="24"/>
          <w:highlight w:val="none"/>
        </w:rPr>
        <w:t>.响应文件的组成</w:t>
      </w:r>
    </w:p>
    <w:p w14:paraId="453CC6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12.1响应文件由资格证明文件、报价、商务技术文件三部分组成。</w:t>
      </w:r>
    </w:p>
    <w:p w14:paraId="47A2417E">
      <w:p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rPr>
        <w:t>12.1.1资格证明文件：详见须知前附表</w:t>
      </w:r>
    </w:p>
    <w:p w14:paraId="36B75504">
      <w:p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rPr>
        <w:t>12.1.2报价文件：详见须知前附表</w:t>
      </w:r>
    </w:p>
    <w:p w14:paraId="324556EA">
      <w:pPr>
        <w:spacing w:line="360" w:lineRule="auto"/>
        <w:ind w:left="900" w:leftChars="200" w:hanging="480" w:hangingChars="200"/>
        <w:rPr>
          <w:rFonts w:ascii="宋体" w:hAnsi="宋体" w:cs="宋体"/>
          <w:color w:val="auto"/>
          <w:sz w:val="24"/>
          <w:highlight w:val="none"/>
        </w:rPr>
      </w:pPr>
      <w:r>
        <w:rPr>
          <w:rFonts w:hint="eastAsia" w:ascii="宋体" w:hAnsi="宋体" w:cs="宋体"/>
          <w:color w:val="auto"/>
          <w:sz w:val="24"/>
          <w:highlight w:val="none"/>
        </w:rPr>
        <w:t>12.2商务技术文件：详见须知前附表</w:t>
      </w:r>
    </w:p>
    <w:p w14:paraId="29242E65">
      <w:pPr>
        <w:pStyle w:val="2"/>
        <w:rPr>
          <w:rFonts w:ascii="宋体" w:hAnsi="宋体" w:cs="宋体"/>
          <w:color w:val="auto"/>
          <w:highlight w:val="none"/>
        </w:rPr>
      </w:pPr>
      <w:r>
        <w:rPr>
          <w:rFonts w:hint="eastAsia" w:ascii="宋体" w:hAnsi="宋体" w:cs="宋体"/>
          <w:color w:val="auto"/>
          <w:sz w:val="24"/>
          <w:highlight w:val="none"/>
        </w:rPr>
        <w:t>12.3</w:t>
      </w:r>
      <w:r>
        <w:rPr>
          <w:rFonts w:hint="eastAsia" w:ascii="宋体" w:hAnsi="宋体" w:cs="宋体"/>
          <w:b/>
          <w:color w:val="auto"/>
          <w:sz w:val="24"/>
          <w:szCs w:val="24"/>
          <w:highlight w:val="none"/>
        </w:rPr>
        <w:t>所有材料均以经有效的CA认证电子文件为评审依据，供应商须对所提供材料的真实性和一致性负责。</w:t>
      </w:r>
    </w:p>
    <w:p w14:paraId="6C1494E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6CA270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磋商文件已有明确规定的，使用磋商文件规定的计量单位；磋商文件没有规定的，应采用中华人民共和国法定计量单位，货币种类为人民币，否则视同未响应。</w:t>
      </w:r>
    </w:p>
    <w:p w14:paraId="2EB5BEE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0D6A1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供应商没有按照磋商文件要求提供全部资料，或者供应商没有对磋商文件在各方面作出实质性响应可能导致其响应无效，是供应商应当考虑的风险。</w:t>
      </w:r>
    </w:p>
    <w:p w14:paraId="3A2BC2B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15.竞标报价要求和构成</w:t>
      </w:r>
    </w:p>
    <w:p w14:paraId="3BDA9AF6">
      <w:pPr>
        <w:tabs>
          <w:tab w:val="left" w:pos="249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15.1竞标报价应按磋商文件中“竞标报价表”格式填写。</w:t>
      </w:r>
    </w:p>
    <w:p w14:paraId="4C77A216">
      <w:pPr>
        <w:tabs>
          <w:tab w:val="left" w:pos="249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15.2竞标报价的价格构成见“供应商须知前附表”。</w:t>
      </w:r>
    </w:p>
    <w:p w14:paraId="24921437">
      <w:pPr>
        <w:spacing w:line="360" w:lineRule="auto"/>
        <w:ind w:left="426" w:leftChars="203"/>
        <w:rPr>
          <w:rFonts w:ascii="宋体" w:hAnsi="宋体" w:cs="宋体"/>
          <w:color w:val="auto"/>
          <w:sz w:val="24"/>
          <w:highlight w:val="none"/>
        </w:rPr>
      </w:pPr>
      <w:r>
        <w:rPr>
          <w:rFonts w:hint="eastAsia" w:ascii="宋体" w:hAnsi="宋体" w:cs="宋体"/>
          <w:color w:val="auto"/>
          <w:sz w:val="24"/>
          <w:highlight w:val="none"/>
        </w:rPr>
        <w:t>15.3竞标报价要求</w:t>
      </w:r>
    </w:p>
    <w:p w14:paraId="131E3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15.3.1供应商的竞标报价应符合以下要求，否则响应文件按无效响应处理：</w:t>
      </w:r>
    </w:p>
    <w:p w14:paraId="0A122E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（1）供应商必须就“采购需求”中所竞标的每个分标的全部内容分别作完整唯一总价报价，不得存在漏项报价；</w:t>
      </w:r>
    </w:p>
    <w:p w14:paraId="7689D9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（2）供应商必须就所竞标的分标的单项内容作唯一报价。</w:t>
      </w:r>
    </w:p>
    <w:p w14:paraId="2179B2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15.3.2竞标报价（包含首次报价、最后报价）超过所竞标分标规定的采购预算金额或者最高限价的，其响应文件将作无效处理。</w:t>
      </w:r>
    </w:p>
    <w:p w14:paraId="54D34F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15.3.3</w:t>
      </w:r>
      <w:bookmarkStart w:id="65" w:name="_Hlk42592874"/>
      <w:r>
        <w:rPr>
          <w:rFonts w:hint="eastAsia" w:ascii="宋体" w:hAnsi="宋体" w:cs="宋体"/>
          <w:color w:val="auto"/>
          <w:sz w:val="24"/>
          <w:highlight w:val="none"/>
        </w:rPr>
        <w:t>竞标报价（包含首次报价、最后报价）超过分项采购预算金额或者最高限价的，其响应文件将作无效处理。</w:t>
      </w:r>
    </w:p>
    <w:bookmarkEnd w:id="65"/>
    <w:p w14:paraId="49AA1DE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1E4B09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16.1竞标有效期是指为保证采购人有足够的时间在提交响应文件后完成评审、确定成交供应商、合同签订等工作而要求供应商提交的响应文件在一定时间内保持有效的期限。</w:t>
      </w:r>
    </w:p>
    <w:p w14:paraId="3FC5DA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 竞标有效期应由供应商按“供应商须知前附表”规定的期限作出响应。</w:t>
      </w:r>
    </w:p>
    <w:p w14:paraId="245FD0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16.3供应商的响应文件在竞标有效期内均保持有效。</w:t>
      </w:r>
    </w:p>
    <w:p w14:paraId="0AC93CC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652D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本项目无需缴纳竞标保证金。</w:t>
      </w:r>
    </w:p>
    <w:p w14:paraId="1B91CB99">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18.响应文件编制的要求</w:t>
      </w:r>
    </w:p>
    <w:p w14:paraId="433C5D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18.1供应商应按本磋商文件规定的格式和顺序编制，响应文件并标注页码，响应文件内容不完整、编排混乱导致响应文件被误读、漏读或者查找不到相关内容的，由此引发的后果由供应商承担。</w:t>
      </w:r>
    </w:p>
    <w:p w14:paraId="7DE1F5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18.2响应文件应按资格证明文件、报价、商务技术文件分别编制，资格证明文件、报价、商务技术文件对应上传至广西政府采购云平台系统。</w:t>
      </w:r>
    </w:p>
    <w:p w14:paraId="608ACF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法定代表人或其授权代表签字或盖章：本竞争性磋商文件所涉及的法定代表人或其授权代表签字或盖章的内容，如果磋商单位没有法定代表人电子签章，涉及到法定代表人或其授权代表签字或盖章的内容，磋商单位可以线下签字或盖章后扫描上传。</w:t>
      </w:r>
    </w:p>
    <w:p w14:paraId="4839CD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18.4响应文件中标注的供应商名称应与营业执照（事业单位法人证书、执业许可证、自然人身份证）及公章一致，否则其响应文件按无效响应处理。</w:t>
      </w:r>
    </w:p>
    <w:p w14:paraId="6C8CB8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6D7BF3C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19.响应文件的形式</w:t>
      </w:r>
    </w:p>
    <w:p w14:paraId="4743E5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19.1磋商供应商应准备电子响应文件。</w:t>
      </w:r>
    </w:p>
    <w:p w14:paraId="12B6C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电子响应文件是指通过“广西政府采购云平台电子交易客户端”完成响应文件编制后生成并加密的数据电文形式的电子加密响应文件。</w:t>
      </w:r>
    </w:p>
    <w:p w14:paraId="0959A90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4FB50F09">
      <w:pPr>
        <w:spacing w:line="440" w:lineRule="exact"/>
        <w:ind w:firstLine="468" w:firstLineChars="195"/>
        <w:rPr>
          <w:rFonts w:ascii="宋体" w:hAnsi="宋体" w:cs="宋体"/>
          <w:color w:val="auto"/>
          <w:spacing w:val="2"/>
          <w:sz w:val="24"/>
          <w:highlight w:val="none"/>
        </w:rPr>
      </w:pPr>
      <w:r>
        <w:rPr>
          <w:rFonts w:hint="eastAsia" w:ascii="宋体" w:hAnsi="宋体" w:cs="宋体"/>
          <w:color w:val="auto"/>
          <w:sz w:val="24"/>
          <w:highlight w:val="none"/>
        </w:rPr>
        <w:t>20.1本项目为全流程电子化项目，没有现场递交投标文件及现场开标环节，通过广西政府采购云平台系统实行在线电子投标，供应商应先安装“广西政府采购云平台系统投标客户端”（请自行前往广西政府采购云平台系统进行下载），并按照本项目招标文件和广西政府采购云平台系统的要求使用CA认证编制、加密投标文件后在投标截止时间前上传至广西政府采购云平台系统，供应商在广西政府采购云平台系统提交电子版投标文件时，请填写参加远程开标活动经办人联系方式。</w:t>
      </w:r>
    </w:p>
    <w:p w14:paraId="700EA249">
      <w:pPr>
        <w:spacing w:line="440" w:lineRule="exact"/>
        <w:ind w:firstLine="475" w:firstLineChars="195"/>
        <w:rPr>
          <w:rFonts w:ascii="宋体" w:hAnsi="宋体" w:cs="宋体"/>
          <w:color w:val="auto"/>
          <w:sz w:val="24"/>
          <w:highlight w:val="none"/>
        </w:rPr>
      </w:pPr>
      <w:r>
        <w:rPr>
          <w:rFonts w:hint="eastAsia" w:ascii="宋体" w:hAnsi="宋体" w:cs="宋体"/>
          <w:color w:val="auto"/>
          <w:spacing w:val="2"/>
          <w:sz w:val="24"/>
          <w:highlight w:val="none"/>
        </w:rPr>
        <w:t>20.2供应商进行电子投标应安装客户端软件，并按照采购文件和电子交易平台的要求编制并加密磋商响应文件。供应商未按规定加密的磋商响应文件，电子交易平台将拒收。</w:t>
      </w:r>
    </w:p>
    <w:p w14:paraId="7C74B87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24D48C83">
      <w:pPr>
        <w:spacing w:line="360" w:lineRule="auto"/>
        <w:ind w:firstLine="488" w:firstLineChars="200"/>
        <w:rPr>
          <w:rFonts w:ascii="宋体" w:hAnsi="宋体" w:cs="宋体"/>
          <w:color w:val="auto"/>
          <w:sz w:val="24"/>
          <w:highlight w:val="none"/>
        </w:rPr>
      </w:pPr>
      <w:r>
        <w:rPr>
          <w:rFonts w:hint="eastAsia" w:ascii="宋体" w:hAnsi="宋体" w:cs="宋体"/>
          <w:color w:val="auto"/>
          <w:spacing w:val="2"/>
          <w:sz w:val="24"/>
          <w:highlight w:val="none"/>
        </w:rPr>
        <w:t>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w:t>
      </w:r>
    </w:p>
    <w:p w14:paraId="091F3FC1">
      <w:pPr>
        <w:spacing w:line="360" w:lineRule="auto"/>
        <w:ind w:firstLine="482" w:firstLineChars="200"/>
        <w:rPr>
          <w:rFonts w:ascii="宋体" w:hAnsi="宋体" w:cs="宋体"/>
          <w:b/>
          <w:bCs/>
          <w:color w:val="auto"/>
          <w:sz w:val="24"/>
          <w:highlight w:val="none"/>
        </w:rPr>
      </w:pPr>
      <w:bookmarkStart w:id="66" w:name="_Hlk45702405"/>
      <w:r>
        <w:rPr>
          <w:rFonts w:hint="eastAsia" w:ascii="宋体" w:hAnsi="宋体" w:cs="宋体"/>
          <w:b/>
          <w:bCs/>
          <w:color w:val="auto"/>
          <w:sz w:val="24"/>
          <w:highlight w:val="none"/>
        </w:rPr>
        <w:t>22.首次响应文件的退回</w:t>
      </w:r>
    </w:p>
    <w:p w14:paraId="0EDD91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在首次响应文件提交截止时间止提交响应文件的供应商不足3家时，应当由供应商签字领回响应文件，除此之外采购人和采购代理机构对已提交的响应文件概不退回。</w:t>
      </w:r>
    </w:p>
    <w:p w14:paraId="6523B2C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p w14:paraId="258EE0AD">
      <w:pPr>
        <w:spacing w:line="360" w:lineRule="auto"/>
        <w:ind w:firstLine="488" w:firstLineChars="200"/>
        <w:rPr>
          <w:rFonts w:ascii="宋体" w:hAnsi="宋体" w:cs="宋体"/>
          <w:color w:val="auto"/>
          <w:sz w:val="24"/>
          <w:highlight w:val="none"/>
        </w:rPr>
      </w:pPr>
      <w:r>
        <w:rPr>
          <w:rFonts w:hint="eastAsia" w:ascii="宋体" w:hAnsi="宋体" w:cs="宋体"/>
          <w:color w:val="auto"/>
          <w:spacing w:val="2"/>
          <w:sz w:val="24"/>
          <w:highlight w:val="none"/>
        </w:rPr>
        <w:t>截止时间后，供应商不得撤回、修改响应文件。</w:t>
      </w:r>
    </w:p>
    <w:bookmarkEnd w:id="66"/>
    <w:p w14:paraId="754E18E6">
      <w:pPr>
        <w:spacing w:line="360" w:lineRule="auto"/>
        <w:ind w:left="420" w:firstLine="42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14:paraId="501E176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2D74C1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32997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DA4BC4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53D78F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首次响应文件由磋商小组或者采购代理机构在“供应商须知前附表”规定的时间开启。</w:t>
      </w:r>
    </w:p>
    <w:p w14:paraId="0FAE41A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2B184FB3">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26.1本项目的评审方法为</w:t>
      </w:r>
      <w:r>
        <w:rPr>
          <w:rFonts w:hint="eastAsia" w:ascii="宋体" w:hAnsi="宋体" w:cs="宋体"/>
          <w:b/>
          <w:bCs/>
          <w:color w:val="auto"/>
          <w:sz w:val="24"/>
          <w:highlight w:val="none"/>
        </w:rPr>
        <w:t>综合评分法。</w:t>
      </w:r>
    </w:p>
    <w:p w14:paraId="5EB63E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26.2磋商小组按照“第四章评审程序、评审方法和评审标准”规定的方法、评审因素、标准和程序对响应文件进行评审。</w:t>
      </w:r>
    </w:p>
    <w:p w14:paraId="1094F25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3D224E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82661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27.2采购代理机构应当在</w:t>
      </w:r>
      <w:r>
        <w:rPr>
          <w:rFonts w:hint="eastAsia" w:ascii="宋体" w:hAnsi="宋体" w:cs="宋体"/>
          <w:color w:val="auto"/>
          <w:kern w:val="0"/>
          <w:sz w:val="24"/>
          <w:highlight w:val="none"/>
        </w:rPr>
        <w:t>成交</w:t>
      </w:r>
      <w:r>
        <w:rPr>
          <w:rFonts w:hint="eastAsia" w:ascii="宋体" w:hAnsi="宋体" w:cs="宋体"/>
          <w:color w:val="auto"/>
          <w:sz w:val="24"/>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2377E3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9547BCA">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491DC0C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157AA988">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本项目无需缴纳履约保证金。</w:t>
      </w:r>
    </w:p>
    <w:p w14:paraId="1DC6823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637DB66B">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29.1成交供应商在收到成交通知书后，应当在签订合同时向采购人出示相关证明材料，具体内容详见 “供应商须知前附表”，经采购人核验合格后方可签订合同。</w:t>
      </w:r>
    </w:p>
    <w:p w14:paraId="68CC032E">
      <w:pPr>
        <w:spacing w:line="360" w:lineRule="auto"/>
        <w:ind w:firstLine="487" w:firstLineChars="202"/>
        <w:rPr>
          <w:rFonts w:ascii="宋体" w:hAnsi="宋体" w:cs="宋体"/>
          <w:b/>
          <w:bCs/>
          <w:color w:val="auto"/>
          <w:sz w:val="24"/>
          <w:highlight w:val="none"/>
        </w:rPr>
      </w:pPr>
      <w:r>
        <w:rPr>
          <w:rFonts w:hint="eastAsia" w:ascii="宋体" w:hAnsi="宋体" w:cs="宋体"/>
          <w:b/>
          <w:bCs/>
          <w:color w:val="auto"/>
          <w:sz w:val="24"/>
          <w:highlight w:val="none"/>
        </w:rPr>
        <w:t>29.2 签订合同时间：成交人在收到成交通知书后25个自然日内与与采购人签订合同。</w:t>
      </w:r>
    </w:p>
    <w:p w14:paraId="75A2F385">
      <w:pPr>
        <w:spacing w:line="360" w:lineRule="auto"/>
        <w:ind w:firstLine="484" w:firstLineChars="202"/>
        <w:rPr>
          <w:rFonts w:ascii="宋体" w:hAnsi="宋体" w:cs="宋体"/>
          <w:color w:val="auto"/>
          <w:sz w:val="24"/>
          <w:highlight w:val="none"/>
        </w:rPr>
      </w:pPr>
      <w:r>
        <w:rPr>
          <w:rFonts w:hint="eastAsia" w:ascii="宋体" w:hAnsi="宋体" w:cs="宋体"/>
          <w:color w:val="auto"/>
          <w:sz w:val="24"/>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0765202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4D8FC5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FABA03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162DB9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31.1供应商对政府采购活动事项有疑问的，可以向采购人、采购代理机构提出询问，采购人或者采购代理机构应当在3个工作日内对供应商依法提出的询问作出答复。</w:t>
      </w:r>
    </w:p>
    <w:p w14:paraId="73265F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sz w:val="24"/>
          <w:highlight w:val="none"/>
          <w:shd w:val="clear" w:color="auto" w:fill="FFFFFF"/>
        </w:rPr>
        <w:t>接收质疑函的方式、联系部门、联系电话和通讯地址等信息详见</w:t>
      </w:r>
      <w:r>
        <w:rPr>
          <w:rFonts w:hint="eastAsia" w:ascii="宋体" w:hAnsi="宋体" w:cs="宋体"/>
          <w:color w:val="auto"/>
          <w:sz w:val="24"/>
          <w:highlight w:val="none"/>
        </w:rPr>
        <w:t>“供应商须知前附表”。具体质疑起算时间如下：</w:t>
      </w:r>
    </w:p>
    <w:p w14:paraId="222B5F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（1）对可以质疑的磋商文件提出质疑的，为收到磋商文件之日或者竞争性磋商公告期限届满之日；</w:t>
      </w:r>
    </w:p>
    <w:p w14:paraId="74FCEC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（2）对采购过程提出质疑的，为各采购程序环节结束之日；</w:t>
      </w:r>
    </w:p>
    <w:p w14:paraId="25FA7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（3）对成交结果提出质疑的，为成交结果公告期限届满之日。</w:t>
      </w:r>
    </w:p>
    <w:p w14:paraId="151094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820A6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sz w:val="24"/>
          <w:highlight w:val="none"/>
        </w:rPr>
        <w:t>（质疑函格式后附）</w:t>
      </w:r>
      <w:r>
        <w:rPr>
          <w:rFonts w:hint="eastAsia" w:ascii="宋体" w:hAnsi="宋体" w:cs="宋体"/>
          <w:color w:val="auto"/>
          <w:sz w:val="24"/>
          <w:highlight w:val="none"/>
        </w:rPr>
        <w:t>：</w:t>
      </w:r>
    </w:p>
    <w:p w14:paraId="57A6A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（1）供应商的姓名或者名称、地址、邮编、联系人及联系电话；</w:t>
      </w:r>
    </w:p>
    <w:p w14:paraId="2FF0EC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（2）质疑项目的名称、编号；</w:t>
      </w:r>
    </w:p>
    <w:p w14:paraId="48ACD9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（3）具体、明确的质疑事项和与质疑事项相关的请求；</w:t>
      </w:r>
    </w:p>
    <w:p w14:paraId="2A2724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（4）事实依据；</w:t>
      </w:r>
    </w:p>
    <w:p w14:paraId="3AA96E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（5）必要的法律依据；</w:t>
      </w:r>
    </w:p>
    <w:p w14:paraId="1105CE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（6）提出质疑的日期。</w:t>
      </w:r>
    </w:p>
    <w:p w14:paraId="26C5B3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供应商为自然人的，应当由本人签字；供应商为法人或者其他组织的，应当由法定代表人、主要负责人，或者其委托代理人签字或者盖章，并加盖公章。</w:t>
      </w:r>
    </w:p>
    <w:p w14:paraId="09720E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31.5采购人、采购代理机构认为供应商质疑不成立，或者成立但未对成交结果构成影响的，继续开展采购活动；认为供应商质疑成立且影响或者可能影响成交结果的，按照下列情况处理：</w:t>
      </w:r>
    </w:p>
    <w:p w14:paraId="77A600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（一）对采购文件提出的质疑，依法通过澄清或者修改可以继续开展采购活动的，澄清或者修改采购文件后继续开展采购活动；否则应当修改采购文件后重新开展采购活动。</w:t>
      </w:r>
    </w:p>
    <w:p w14:paraId="368086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7BB038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质疑答复导致成交结果改变的，采购人或者采购代理机构应当将有关情况书面报告本级财政部门。</w:t>
      </w:r>
    </w:p>
    <w:p w14:paraId="326E3A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9BA78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11AB1AFC">
      <w:pPr>
        <w:tabs>
          <w:tab w:val="left" w:pos="283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32.1代理服务收费标准及缴费账户详见“供应商须知前附表”，供应商为联合体的，可以由联合体中的一方或者多方共同交纳代理服务费。</w:t>
      </w:r>
    </w:p>
    <w:p w14:paraId="6C36F529">
      <w:pPr>
        <w:tabs>
          <w:tab w:val="left" w:pos="2835"/>
        </w:tabs>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32.2代理服务费收费计算标准：</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15C4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36807E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费率</w:t>
            </w:r>
          </w:p>
          <w:p w14:paraId="1903F2E0">
            <w:pPr>
              <w:spacing w:line="360" w:lineRule="auto"/>
              <w:rPr>
                <w:rFonts w:ascii="宋体" w:hAnsi="宋体" w:cs="宋体"/>
                <w:color w:val="auto"/>
                <w:sz w:val="24"/>
                <w:highlight w:val="none"/>
              </w:rPr>
            </w:pPr>
            <w:r>
              <w:rPr>
                <w:rFonts w:hint="eastAsia" w:ascii="宋体" w:hAnsi="宋体" w:cs="宋体"/>
                <w:color w:val="auto"/>
                <w:sz w:val="24"/>
                <w:highlight w:val="none"/>
              </w:rPr>
              <w:t>金额</w:t>
            </w:r>
          </w:p>
        </w:tc>
        <w:tc>
          <w:tcPr>
            <w:tcW w:w="1659" w:type="dxa"/>
            <w:vAlign w:val="center"/>
          </w:tcPr>
          <w:p w14:paraId="47893991">
            <w:pPr>
              <w:spacing w:line="360" w:lineRule="auto"/>
              <w:ind w:firstLine="120" w:firstLineChars="50"/>
              <w:jc w:val="center"/>
              <w:rPr>
                <w:rFonts w:ascii="宋体" w:hAnsi="宋体" w:cs="宋体"/>
                <w:color w:val="auto"/>
                <w:sz w:val="24"/>
                <w:highlight w:val="none"/>
              </w:rPr>
            </w:pPr>
            <w:r>
              <w:rPr>
                <w:rFonts w:hint="eastAsia" w:ascii="宋体" w:hAnsi="宋体" w:cs="宋体"/>
                <w:color w:val="auto"/>
                <w:sz w:val="24"/>
                <w:highlight w:val="none"/>
              </w:rPr>
              <w:t>货物类</w:t>
            </w:r>
          </w:p>
        </w:tc>
        <w:tc>
          <w:tcPr>
            <w:tcW w:w="1532" w:type="dxa"/>
            <w:vAlign w:val="center"/>
          </w:tcPr>
          <w:p w14:paraId="7672405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服务类</w:t>
            </w:r>
          </w:p>
        </w:tc>
        <w:tc>
          <w:tcPr>
            <w:tcW w:w="1546" w:type="dxa"/>
            <w:vAlign w:val="center"/>
          </w:tcPr>
          <w:p w14:paraId="181C6E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工程类</w:t>
            </w:r>
          </w:p>
        </w:tc>
      </w:tr>
      <w:tr w14:paraId="7687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5459271">
            <w:pPr>
              <w:spacing w:line="360" w:lineRule="auto"/>
              <w:rPr>
                <w:rFonts w:ascii="宋体" w:hAnsi="宋体" w:cs="宋体"/>
                <w:color w:val="auto"/>
                <w:sz w:val="24"/>
                <w:highlight w:val="none"/>
              </w:rPr>
            </w:pPr>
            <w:r>
              <w:rPr>
                <w:rFonts w:hint="eastAsia" w:ascii="宋体" w:hAnsi="宋体" w:cs="宋体"/>
                <w:color w:val="auto"/>
                <w:sz w:val="24"/>
                <w:highlight w:val="none"/>
              </w:rPr>
              <w:t>100万元以下</w:t>
            </w:r>
          </w:p>
        </w:tc>
        <w:tc>
          <w:tcPr>
            <w:tcW w:w="1659" w:type="dxa"/>
          </w:tcPr>
          <w:p w14:paraId="790FCC71">
            <w:pPr>
              <w:spacing w:line="360" w:lineRule="auto"/>
              <w:rPr>
                <w:rFonts w:ascii="宋体" w:hAnsi="宋体" w:cs="宋体"/>
                <w:color w:val="auto"/>
                <w:sz w:val="24"/>
                <w:highlight w:val="none"/>
              </w:rPr>
            </w:pPr>
            <w:r>
              <w:rPr>
                <w:rFonts w:hint="eastAsia" w:ascii="宋体" w:hAnsi="宋体" w:cs="宋体"/>
                <w:color w:val="auto"/>
                <w:kern w:val="0"/>
                <w:sz w:val="24"/>
                <w:highlight w:val="none"/>
              </w:rPr>
              <w:t xml:space="preserve">  1.5%                </w:t>
            </w:r>
          </w:p>
        </w:tc>
        <w:tc>
          <w:tcPr>
            <w:tcW w:w="1532" w:type="dxa"/>
          </w:tcPr>
          <w:p w14:paraId="6E23119F">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1.5%</w:t>
            </w:r>
          </w:p>
        </w:tc>
        <w:tc>
          <w:tcPr>
            <w:tcW w:w="1546" w:type="dxa"/>
          </w:tcPr>
          <w:p w14:paraId="5267E34B">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1.0% </w:t>
            </w:r>
          </w:p>
        </w:tc>
      </w:tr>
      <w:tr w14:paraId="77FC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893BCFA">
            <w:pPr>
              <w:spacing w:line="360" w:lineRule="auto"/>
              <w:rPr>
                <w:rFonts w:ascii="宋体" w:hAnsi="宋体" w:cs="宋体"/>
                <w:color w:val="auto"/>
                <w:sz w:val="24"/>
                <w:highlight w:val="none"/>
              </w:rPr>
            </w:pPr>
            <w:r>
              <w:rPr>
                <w:rFonts w:hint="eastAsia" w:ascii="宋体" w:hAnsi="宋体" w:cs="宋体"/>
                <w:color w:val="auto"/>
                <w:sz w:val="24"/>
                <w:highlight w:val="none"/>
              </w:rPr>
              <w:t>100～500万元</w:t>
            </w:r>
          </w:p>
        </w:tc>
        <w:tc>
          <w:tcPr>
            <w:tcW w:w="1659" w:type="dxa"/>
          </w:tcPr>
          <w:p w14:paraId="66C5922B">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1.1%                 </w:t>
            </w:r>
          </w:p>
        </w:tc>
        <w:tc>
          <w:tcPr>
            <w:tcW w:w="1532" w:type="dxa"/>
          </w:tcPr>
          <w:p w14:paraId="4485632C">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0.8%</w:t>
            </w:r>
          </w:p>
        </w:tc>
        <w:tc>
          <w:tcPr>
            <w:tcW w:w="1546" w:type="dxa"/>
          </w:tcPr>
          <w:p w14:paraId="4C3A69DF">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0.7% </w:t>
            </w:r>
          </w:p>
        </w:tc>
      </w:tr>
      <w:tr w14:paraId="6AC6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B5B6C03">
            <w:pPr>
              <w:spacing w:line="360" w:lineRule="auto"/>
              <w:rPr>
                <w:rFonts w:ascii="宋体" w:hAnsi="宋体" w:cs="宋体"/>
                <w:color w:val="auto"/>
                <w:sz w:val="24"/>
                <w:highlight w:val="none"/>
              </w:rPr>
            </w:pPr>
            <w:r>
              <w:rPr>
                <w:rFonts w:hint="eastAsia" w:ascii="宋体" w:hAnsi="宋体" w:cs="宋体"/>
                <w:color w:val="auto"/>
                <w:sz w:val="24"/>
                <w:highlight w:val="none"/>
              </w:rPr>
              <w:t>500～1000万元</w:t>
            </w:r>
          </w:p>
        </w:tc>
        <w:tc>
          <w:tcPr>
            <w:tcW w:w="1659" w:type="dxa"/>
          </w:tcPr>
          <w:p w14:paraId="6D4B82A2">
            <w:pPr>
              <w:spacing w:line="360" w:lineRule="auto"/>
              <w:rPr>
                <w:rFonts w:ascii="宋体" w:hAnsi="宋体" w:cs="宋体"/>
                <w:color w:val="auto"/>
                <w:sz w:val="24"/>
                <w:highlight w:val="none"/>
              </w:rPr>
            </w:pPr>
            <w:r>
              <w:rPr>
                <w:rFonts w:hint="eastAsia" w:ascii="宋体" w:hAnsi="宋体" w:cs="宋体"/>
                <w:color w:val="auto"/>
                <w:kern w:val="0"/>
                <w:sz w:val="24"/>
                <w:highlight w:val="none"/>
              </w:rPr>
              <w:t xml:space="preserve">  0.8%                </w:t>
            </w:r>
          </w:p>
        </w:tc>
        <w:tc>
          <w:tcPr>
            <w:tcW w:w="1532" w:type="dxa"/>
          </w:tcPr>
          <w:p w14:paraId="04DF6F00">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0.45%</w:t>
            </w:r>
          </w:p>
        </w:tc>
        <w:tc>
          <w:tcPr>
            <w:tcW w:w="1546" w:type="dxa"/>
          </w:tcPr>
          <w:p w14:paraId="0AB20714">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0.55%</w:t>
            </w:r>
          </w:p>
        </w:tc>
      </w:tr>
      <w:tr w14:paraId="4DCD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9D03CA">
            <w:pPr>
              <w:spacing w:line="360" w:lineRule="auto"/>
              <w:rPr>
                <w:rFonts w:ascii="宋体" w:hAnsi="宋体" w:cs="宋体"/>
                <w:color w:val="auto"/>
                <w:sz w:val="24"/>
                <w:highlight w:val="none"/>
              </w:rPr>
            </w:pPr>
            <w:r>
              <w:rPr>
                <w:rFonts w:hint="eastAsia" w:ascii="宋体" w:hAnsi="宋体" w:cs="宋体"/>
                <w:color w:val="auto"/>
                <w:sz w:val="24"/>
                <w:highlight w:val="none"/>
              </w:rPr>
              <w:t>1000～5000万元</w:t>
            </w:r>
          </w:p>
        </w:tc>
        <w:tc>
          <w:tcPr>
            <w:tcW w:w="1659" w:type="dxa"/>
          </w:tcPr>
          <w:p w14:paraId="49A72DAE">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0.5%                </w:t>
            </w:r>
          </w:p>
        </w:tc>
        <w:tc>
          <w:tcPr>
            <w:tcW w:w="1532" w:type="dxa"/>
          </w:tcPr>
          <w:p w14:paraId="2D904920">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0.25%</w:t>
            </w:r>
          </w:p>
        </w:tc>
        <w:tc>
          <w:tcPr>
            <w:tcW w:w="1546" w:type="dxa"/>
          </w:tcPr>
          <w:p w14:paraId="13520D18">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0.35% </w:t>
            </w:r>
          </w:p>
        </w:tc>
      </w:tr>
      <w:tr w14:paraId="3D69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0A89A2B">
            <w:pPr>
              <w:spacing w:line="360" w:lineRule="auto"/>
              <w:rPr>
                <w:rFonts w:ascii="宋体" w:hAnsi="宋体" w:cs="宋体"/>
                <w:color w:val="auto"/>
                <w:sz w:val="24"/>
                <w:highlight w:val="none"/>
              </w:rPr>
            </w:pPr>
            <w:r>
              <w:rPr>
                <w:rFonts w:hint="eastAsia" w:ascii="宋体" w:hAnsi="宋体" w:cs="宋体"/>
                <w:color w:val="auto"/>
                <w:sz w:val="24"/>
                <w:highlight w:val="none"/>
              </w:rPr>
              <w:t>5000万元～1亿元</w:t>
            </w:r>
          </w:p>
        </w:tc>
        <w:tc>
          <w:tcPr>
            <w:tcW w:w="1659" w:type="dxa"/>
          </w:tcPr>
          <w:p w14:paraId="6F2F3870">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 xml:space="preserve">0.25%                 </w:t>
            </w:r>
          </w:p>
        </w:tc>
        <w:tc>
          <w:tcPr>
            <w:tcW w:w="1532" w:type="dxa"/>
          </w:tcPr>
          <w:p w14:paraId="01951235">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0.1%</w:t>
            </w:r>
          </w:p>
        </w:tc>
        <w:tc>
          <w:tcPr>
            <w:tcW w:w="1546" w:type="dxa"/>
          </w:tcPr>
          <w:p w14:paraId="4EE835EC">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0.2%</w:t>
            </w:r>
          </w:p>
        </w:tc>
      </w:tr>
      <w:tr w14:paraId="6F87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38E0DAB">
            <w:pPr>
              <w:spacing w:line="360" w:lineRule="auto"/>
              <w:rPr>
                <w:rFonts w:ascii="宋体" w:hAnsi="宋体" w:cs="宋体"/>
                <w:color w:val="auto"/>
                <w:sz w:val="24"/>
                <w:highlight w:val="none"/>
              </w:rPr>
            </w:pPr>
            <w:r>
              <w:rPr>
                <w:rFonts w:hint="eastAsia" w:ascii="宋体" w:hAnsi="宋体" w:cs="宋体"/>
                <w:color w:val="auto"/>
                <w:sz w:val="24"/>
                <w:highlight w:val="none"/>
              </w:rPr>
              <w:t>1～5亿元</w:t>
            </w:r>
          </w:p>
        </w:tc>
        <w:tc>
          <w:tcPr>
            <w:tcW w:w="1659" w:type="dxa"/>
          </w:tcPr>
          <w:p w14:paraId="4BAF1CE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0.05%</w:t>
            </w:r>
          </w:p>
        </w:tc>
        <w:tc>
          <w:tcPr>
            <w:tcW w:w="1532" w:type="dxa"/>
          </w:tcPr>
          <w:p w14:paraId="17F5BF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0.05%</w:t>
            </w:r>
          </w:p>
        </w:tc>
        <w:tc>
          <w:tcPr>
            <w:tcW w:w="1546" w:type="dxa"/>
          </w:tcPr>
          <w:p w14:paraId="49AF922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0.05%</w:t>
            </w:r>
          </w:p>
        </w:tc>
      </w:tr>
      <w:tr w14:paraId="645B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4E68D0D">
            <w:pPr>
              <w:spacing w:line="360" w:lineRule="auto"/>
              <w:rPr>
                <w:rFonts w:ascii="宋体" w:hAnsi="宋体" w:cs="宋体"/>
                <w:color w:val="auto"/>
                <w:sz w:val="24"/>
                <w:highlight w:val="none"/>
              </w:rPr>
            </w:pPr>
            <w:r>
              <w:rPr>
                <w:rFonts w:hint="eastAsia" w:ascii="宋体" w:hAnsi="宋体" w:cs="宋体"/>
                <w:color w:val="auto"/>
                <w:sz w:val="24"/>
                <w:highlight w:val="none"/>
              </w:rPr>
              <w:t>5～10亿元</w:t>
            </w:r>
          </w:p>
        </w:tc>
        <w:tc>
          <w:tcPr>
            <w:tcW w:w="1659" w:type="dxa"/>
          </w:tcPr>
          <w:p w14:paraId="0BBDF455">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0.035%</w:t>
            </w:r>
          </w:p>
        </w:tc>
        <w:tc>
          <w:tcPr>
            <w:tcW w:w="1532" w:type="dxa"/>
          </w:tcPr>
          <w:p w14:paraId="115314B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0.035%</w:t>
            </w:r>
          </w:p>
        </w:tc>
        <w:tc>
          <w:tcPr>
            <w:tcW w:w="1546" w:type="dxa"/>
          </w:tcPr>
          <w:p w14:paraId="3B4F1816">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0.035%</w:t>
            </w:r>
          </w:p>
        </w:tc>
      </w:tr>
      <w:tr w14:paraId="20D7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0324A65">
            <w:pPr>
              <w:spacing w:line="360" w:lineRule="auto"/>
              <w:rPr>
                <w:rFonts w:ascii="宋体" w:hAnsi="宋体" w:cs="宋体"/>
                <w:color w:val="auto"/>
                <w:sz w:val="24"/>
                <w:highlight w:val="none"/>
              </w:rPr>
            </w:pPr>
            <w:r>
              <w:rPr>
                <w:rFonts w:hint="eastAsia" w:ascii="宋体" w:hAnsi="宋体" w:cs="宋体"/>
                <w:color w:val="auto"/>
                <w:sz w:val="24"/>
                <w:highlight w:val="none"/>
              </w:rPr>
              <w:t>10～50亿元</w:t>
            </w:r>
          </w:p>
        </w:tc>
        <w:tc>
          <w:tcPr>
            <w:tcW w:w="1659" w:type="dxa"/>
          </w:tcPr>
          <w:p w14:paraId="145CBED7">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0.008%</w:t>
            </w:r>
          </w:p>
        </w:tc>
        <w:tc>
          <w:tcPr>
            <w:tcW w:w="1532" w:type="dxa"/>
          </w:tcPr>
          <w:p w14:paraId="4511EF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0.008%</w:t>
            </w:r>
          </w:p>
        </w:tc>
        <w:tc>
          <w:tcPr>
            <w:tcW w:w="1546" w:type="dxa"/>
          </w:tcPr>
          <w:p w14:paraId="5C28B5E7">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0.008%</w:t>
            </w:r>
          </w:p>
        </w:tc>
      </w:tr>
      <w:tr w14:paraId="1A44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EEAD6A4">
            <w:pPr>
              <w:spacing w:line="360" w:lineRule="auto"/>
              <w:rPr>
                <w:rFonts w:ascii="宋体" w:hAnsi="宋体" w:cs="宋体"/>
                <w:color w:val="auto"/>
                <w:sz w:val="24"/>
                <w:highlight w:val="none"/>
              </w:rPr>
            </w:pPr>
            <w:r>
              <w:rPr>
                <w:rFonts w:hint="eastAsia" w:ascii="宋体" w:hAnsi="宋体" w:cs="宋体"/>
                <w:color w:val="auto"/>
                <w:sz w:val="24"/>
                <w:highlight w:val="none"/>
              </w:rPr>
              <w:t>50～100亿元</w:t>
            </w:r>
          </w:p>
        </w:tc>
        <w:tc>
          <w:tcPr>
            <w:tcW w:w="1659" w:type="dxa"/>
          </w:tcPr>
          <w:p w14:paraId="12394B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0.006%</w:t>
            </w:r>
          </w:p>
        </w:tc>
        <w:tc>
          <w:tcPr>
            <w:tcW w:w="1532" w:type="dxa"/>
          </w:tcPr>
          <w:p w14:paraId="3B11C24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0.006%</w:t>
            </w:r>
          </w:p>
        </w:tc>
        <w:tc>
          <w:tcPr>
            <w:tcW w:w="1546" w:type="dxa"/>
          </w:tcPr>
          <w:p w14:paraId="33568BF6">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0.006%</w:t>
            </w:r>
          </w:p>
        </w:tc>
      </w:tr>
      <w:tr w14:paraId="3439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48D3030">
            <w:pPr>
              <w:spacing w:line="360" w:lineRule="auto"/>
              <w:rPr>
                <w:rFonts w:ascii="宋体" w:hAnsi="宋体" w:cs="宋体"/>
                <w:color w:val="auto"/>
                <w:sz w:val="24"/>
                <w:highlight w:val="none"/>
              </w:rPr>
            </w:pPr>
            <w:r>
              <w:rPr>
                <w:rFonts w:hint="eastAsia" w:ascii="宋体" w:hAnsi="宋体" w:cs="宋体"/>
                <w:color w:val="auto"/>
                <w:sz w:val="24"/>
                <w:highlight w:val="none"/>
              </w:rPr>
              <w:t>100亿以上</w:t>
            </w:r>
          </w:p>
        </w:tc>
        <w:tc>
          <w:tcPr>
            <w:tcW w:w="1659" w:type="dxa"/>
          </w:tcPr>
          <w:p w14:paraId="777E6E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0.004%</w:t>
            </w:r>
          </w:p>
        </w:tc>
        <w:tc>
          <w:tcPr>
            <w:tcW w:w="1532" w:type="dxa"/>
          </w:tcPr>
          <w:p w14:paraId="485DBAB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0.004%</w:t>
            </w:r>
          </w:p>
        </w:tc>
        <w:tc>
          <w:tcPr>
            <w:tcW w:w="1546" w:type="dxa"/>
          </w:tcPr>
          <w:p w14:paraId="4ED09D93">
            <w:pPr>
              <w:spacing w:line="360" w:lineRule="auto"/>
              <w:ind w:firstLine="120" w:firstLineChars="50"/>
              <w:rPr>
                <w:rFonts w:ascii="宋体" w:hAnsi="宋体" w:cs="宋体"/>
                <w:color w:val="auto"/>
                <w:sz w:val="24"/>
                <w:highlight w:val="none"/>
              </w:rPr>
            </w:pPr>
            <w:r>
              <w:rPr>
                <w:rFonts w:hint="eastAsia" w:ascii="宋体" w:hAnsi="宋体" w:cs="宋体"/>
                <w:color w:val="auto"/>
                <w:sz w:val="24"/>
                <w:highlight w:val="none"/>
              </w:rPr>
              <w:t>0.004%</w:t>
            </w:r>
          </w:p>
        </w:tc>
      </w:tr>
    </w:tbl>
    <w:p w14:paraId="2F0CA4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321E6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（1）按本表费率计算的收费为采购代理的收费基准价格；</w:t>
      </w:r>
    </w:p>
    <w:p w14:paraId="168A56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（2）采购代理收费按差额定率累进法计算。</w:t>
      </w:r>
    </w:p>
    <w:p w14:paraId="541F8A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例如：某服务采购代理业务成交金额或者暂定价为150万元，计算采购代理收费额如下：</w:t>
      </w:r>
    </w:p>
    <w:p w14:paraId="59084F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100万元×l.5％＝ 1.5万元</w:t>
      </w:r>
    </w:p>
    <w:p w14:paraId="2ED1A6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（150－100）万元×0.8％＝0.4万元</w:t>
      </w:r>
    </w:p>
    <w:p w14:paraId="3BEA3E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合计收费＝1.5 ＋0.4＝ 1.9万元</w:t>
      </w:r>
    </w:p>
    <w:p w14:paraId="246C6FF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33.验收要求</w:t>
      </w:r>
    </w:p>
    <w:p w14:paraId="6F1145A7">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w:t>
      </w:r>
    </w:p>
    <w:p w14:paraId="04AA047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097A19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34.1本磋商文件解释规则详见“供应商须知前附表”。</w:t>
      </w:r>
    </w:p>
    <w:p w14:paraId="2C24CC49">
      <w:pPr>
        <w:pStyle w:val="18"/>
        <w:spacing w:line="360" w:lineRule="auto"/>
        <w:ind w:firstLine="480" w:firstLineChars="200"/>
        <w:contextualSpacing/>
        <w:rPr>
          <w:rFonts w:hAnsi="宋体" w:cs="宋体"/>
          <w:color w:val="auto"/>
          <w:sz w:val="24"/>
          <w:highlight w:val="none"/>
        </w:rPr>
      </w:pPr>
      <w:r>
        <w:rPr>
          <w:rFonts w:hint="eastAsia" w:hAnsi="宋体" w:cs="宋体"/>
          <w:color w:val="auto"/>
          <w:sz w:val="24"/>
          <w:highlight w:val="none"/>
        </w:rPr>
        <w:t>34.2 其他事项详见“供应商须知前附表”。</w:t>
      </w:r>
    </w:p>
    <w:p w14:paraId="1ABDC671">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作出要求的，享受本文件规定的中小企业扶持政策。</w:t>
      </w:r>
    </w:p>
    <w:p w14:paraId="7D72A02F">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以联合体形式参加政府采购活动，联合体各方均为中小企业的，联合体视同中小企业。其中，联合体各方均为小微企业的，联合体视同小微企业。</w:t>
      </w:r>
    </w:p>
    <w:p w14:paraId="317821B0">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依据本文件规定享受扶持政策获得政府采购合同的，小微企业不得将合同分包给大中型企业，中型企业不得将合同分包给大型企业。</w:t>
      </w:r>
      <w:r>
        <w:rPr>
          <w:rFonts w:hint="eastAsia" w:ascii="宋体" w:hAnsi="宋体" w:cs="宋体"/>
          <w:b/>
          <w:color w:val="auto"/>
          <w:sz w:val="24"/>
          <w:highlight w:val="none"/>
        </w:rPr>
        <w:br w:type="page"/>
      </w:r>
      <w:r>
        <w:rPr>
          <w:rFonts w:hint="eastAsia" w:ascii="宋体" w:hAnsi="宋体" w:cs="宋体"/>
          <w:bCs/>
          <w:color w:val="auto"/>
          <w:sz w:val="32"/>
          <w:szCs w:val="32"/>
          <w:highlight w:val="none"/>
        </w:rPr>
        <w:t>附件1：</w:t>
      </w:r>
    </w:p>
    <w:p w14:paraId="68B12517">
      <w:pPr>
        <w:widowControl/>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6EE8E07C">
      <w:pPr>
        <w:widowControl/>
        <w:shd w:val="clear" w:color="auto" w:fill="FFFFFF"/>
        <w:spacing w:line="480" w:lineRule="atLeast"/>
        <w:jc w:val="center"/>
        <w:rPr>
          <w:rFonts w:ascii="宋体" w:hAnsi="宋体" w:cs="宋体"/>
          <w:color w:val="auto"/>
          <w:kern w:val="0"/>
          <w:sz w:val="32"/>
          <w:szCs w:val="32"/>
          <w:highlight w:val="none"/>
        </w:rPr>
      </w:pPr>
    </w:p>
    <w:p w14:paraId="76F8DBEC">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2"/>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5FEB6B13">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4419D5B6">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2E286D07">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委托验收</w:t>
            </w:r>
          </w:p>
        </w:tc>
      </w:tr>
      <w:tr w14:paraId="5C44AF08">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6577A75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3A5AD27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49486190">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8D3BEB4">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6E480715">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57529C52">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1FBB03B">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FA4979B">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858FCC9">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8E67EF0">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DA0A7D0">
            <w:pPr>
              <w:widowControl/>
              <w:spacing w:before="100" w:beforeAutospacing="1" w:after="100" w:afterAutospacing="1" w:line="240" w:lineRule="atLeast"/>
              <w:jc w:val="center"/>
              <w:rPr>
                <w:rFonts w:ascii="宋体" w:hAnsi="宋体" w:cs="宋体"/>
                <w:color w:val="auto"/>
                <w:kern w:val="0"/>
                <w:szCs w:val="21"/>
                <w:highlight w:val="none"/>
              </w:rPr>
            </w:pPr>
          </w:p>
        </w:tc>
      </w:tr>
      <w:tr w14:paraId="4203C8E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743D3C0">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201F3E0D">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99C2F45">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7CE4CE6">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068DD6F">
            <w:pPr>
              <w:widowControl/>
              <w:spacing w:before="100" w:beforeAutospacing="1" w:after="100" w:afterAutospacing="1" w:line="240" w:lineRule="atLeast"/>
              <w:jc w:val="center"/>
              <w:rPr>
                <w:rFonts w:ascii="宋体" w:hAnsi="宋体" w:cs="宋体"/>
                <w:color w:val="auto"/>
                <w:kern w:val="0"/>
                <w:szCs w:val="21"/>
                <w:highlight w:val="none"/>
              </w:rPr>
            </w:pPr>
          </w:p>
        </w:tc>
      </w:tr>
      <w:tr w14:paraId="1F42F11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63F6777">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9710B62">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0CE8F8F">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F663C6F">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0296636">
            <w:pPr>
              <w:widowControl/>
              <w:spacing w:before="100" w:beforeAutospacing="1" w:after="100" w:afterAutospacing="1" w:line="240" w:lineRule="atLeast"/>
              <w:jc w:val="center"/>
              <w:rPr>
                <w:rFonts w:ascii="宋体" w:hAnsi="宋体" w:cs="宋体"/>
                <w:color w:val="auto"/>
                <w:kern w:val="0"/>
                <w:szCs w:val="21"/>
                <w:highlight w:val="none"/>
              </w:rPr>
            </w:pPr>
          </w:p>
        </w:tc>
      </w:tr>
      <w:tr w14:paraId="434D695F">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6271601">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048415BC">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5A4279F4">
            <w:pPr>
              <w:widowControl/>
              <w:spacing w:before="100" w:beforeAutospacing="1" w:after="100" w:afterAutospacing="1" w:line="240" w:lineRule="atLeast"/>
              <w:jc w:val="center"/>
              <w:rPr>
                <w:rFonts w:ascii="宋体" w:hAnsi="宋体" w:cs="宋体"/>
                <w:color w:val="auto"/>
                <w:kern w:val="0"/>
                <w:szCs w:val="21"/>
                <w:highlight w:val="none"/>
              </w:rPr>
            </w:pPr>
          </w:p>
        </w:tc>
      </w:tr>
      <w:tr w14:paraId="4D25ED04">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BD0324A">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6455216B">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43028BC5">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53B8CBD3">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3702D86">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318F5FA6">
            <w:pPr>
              <w:widowControl/>
              <w:spacing w:before="100" w:beforeAutospacing="1" w:after="100" w:afterAutospacing="1" w:line="240" w:lineRule="atLeast"/>
              <w:jc w:val="center"/>
              <w:rPr>
                <w:rFonts w:ascii="宋体" w:hAnsi="宋体" w:cs="宋体"/>
                <w:color w:val="auto"/>
                <w:kern w:val="0"/>
                <w:szCs w:val="21"/>
                <w:highlight w:val="none"/>
              </w:rPr>
            </w:pPr>
          </w:p>
        </w:tc>
      </w:tr>
      <w:tr w14:paraId="40CF6A4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0EFF5F7">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0BBD462">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17C72400">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2DD660">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29861457">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5123ADCB">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4DBCD809">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0B8A869">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2721A780">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06D1FB47">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CF2BD9">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41AF897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A1854C">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0F83786C">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19D63448">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0639B05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6E2DC03B">
            <w:pPr>
              <w:widowControl/>
              <w:spacing w:before="100" w:beforeAutospacing="1" w:after="100" w:afterAutospacing="1" w:line="320" w:lineRule="atLeast"/>
              <w:jc w:val="left"/>
              <w:rPr>
                <w:rFonts w:ascii="宋体" w:hAnsi="宋体" w:cs="宋体"/>
                <w:color w:val="auto"/>
                <w:kern w:val="0"/>
                <w:szCs w:val="21"/>
                <w:highlight w:val="none"/>
              </w:rPr>
            </w:pPr>
          </w:p>
          <w:p w14:paraId="6C348919">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367C730D">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5F569402">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17790C36">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49A07EA1">
      <w:pPr>
        <w:pStyle w:val="4"/>
        <w:numPr>
          <w:ilvl w:val="0"/>
          <w:numId w:val="3"/>
        </w:numPr>
        <w:jc w:val="center"/>
        <w:rPr>
          <w:rFonts w:ascii="宋体" w:hAnsi="宋体" w:cs="宋体"/>
          <w:color w:val="auto"/>
          <w:highlight w:val="none"/>
        </w:rPr>
      </w:pPr>
      <w:r>
        <w:rPr>
          <w:rFonts w:hint="eastAsia" w:ascii="宋体" w:hAnsi="宋体" w:cs="宋体"/>
          <w:color w:val="auto"/>
          <w:highlight w:val="none"/>
        </w:rPr>
        <w:br w:type="page"/>
      </w:r>
      <w:bookmarkStart w:id="67" w:name="_Toc30239"/>
      <w:r>
        <w:rPr>
          <w:rFonts w:hint="eastAsia" w:ascii="宋体" w:hAnsi="宋体" w:cs="宋体"/>
          <w:color w:val="auto"/>
          <w:highlight w:val="none"/>
        </w:rPr>
        <w:t>项目需求和说明</w:t>
      </w:r>
      <w:bookmarkEnd w:id="67"/>
    </w:p>
    <w:p w14:paraId="2D26C37A">
      <w:pPr>
        <w:spacing w:line="440" w:lineRule="exact"/>
        <w:jc w:val="left"/>
        <w:rPr>
          <w:rFonts w:ascii="宋体" w:hAnsi="宋体" w:cs="宋体"/>
          <w:color w:val="auto"/>
          <w:sz w:val="24"/>
          <w:highlight w:val="none"/>
        </w:rPr>
      </w:pPr>
      <w:r>
        <w:rPr>
          <w:rFonts w:hint="eastAsia" w:ascii="宋体" w:hAnsi="宋体" w:cs="宋体"/>
          <w:color w:val="auto"/>
          <w:sz w:val="24"/>
          <w:highlight w:val="none"/>
        </w:rPr>
        <w:t>说明：</w:t>
      </w:r>
    </w:p>
    <w:p w14:paraId="4325E2C2">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1.为落实政府采购政策需满足的要求（根据项目实际情况填写内容）</w:t>
      </w:r>
    </w:p>
    <w:p w14:paraId="1F78F23D">
      <w:pPr>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（1）本竞争性磋商采购文件所称中小企业必须符合《政府采购促进中小企业发展管理办法》（财库〔2020〕46号）的规定。</w:t>
      </w:r>
    </w:p>
    <w:p w14:paraId="7DF1C5C1">
      <w:pPr>
        <w:tabs>
          <w:tab w:val="left" w:pos="180"/>
          <w:tab w:val="left" w:pos="1620"/>
        </w:tabs>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3F3C74C6">
      <w:pPr>
        <w:spacing w:line="440" w:lineRule="exact"/>
        <w:ind w:firstLine="487" w:firstLineChars="202"/>
        <w:jc w:val="left"/>
        <w:rPr>
          <w:rFonts w:ascii="宋体" w:hAnsi="宋体" w:cs="宋体"/>
          <w:b/>
          <w:bCs/>
          <w:color w:val="auto"/>
          <w:sz w:val="24"/>
          <w:highlight w:val="none"/>
        </w:rPr>
      </w:pPr>
      <w:r>
        <w:rPr>
          <w:rFonts w:hint="eastAsia" w:ascii="宋体" w:hAnsi="宋体" w:cs="宋体"/>
          <w:b/>
          <w:bCs/>
          <w:color w:val="auto"/>
          <w:sz w:val="24"/>
          <w:highlight w:val="none"/>
        </w:rPr>
        <w:t>2.“实质性要求”是指采购需求中带“▲”的条款或者不能负偏离的条款或者已经指明不满足按响应文件作无效处理的条款。</w:t>
      </w:r>
    </w:p>
    <w:p w14:paraId="0D58ACEB">
      <w:pPr>
        <w:spacing w:line="44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3.采购需求中如出现的品牌、型号或者生产供应商仅起参考作用，不属于指定品牌、型号或者生产供应商的情形。供应商可参照或者选用其他相当的品牌、型号或者生产供应商替代。</w:t>
      </w:r>
    </w:p>
    <w:p w14:paraId="1DEE76CF">
      <w:pPr>
        <w:spacing w:line="44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4.供应商必须自行为其竞标产品侵犯他人的知识产权或者专利成果的行为承担相应法律责任。</w:t>
      </w:r>
    </w:p>
    <w:p w14:paraId="6050A8F5">
      <w:pPr>
        <w:spacing w:line="44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5.“采购文件”等同于“招标文件”。</w:t>
      </w:r>
    </w:p>
    <w:p w14:paraId="116E9CF8">
      <w:pPr>
        <w:spacing w:line="440" w:lineRule="exact"/>
        <w:ind w:firstLine="484" w:firstLineChars="202"/>
        <w:jc w:val="left"/>
        <w:rPr>
          <w:rFonts w:ascii="宋体" w:hAnsi="宋体" w:cs="宋体"/>
          <w:color w:val="auto"/>
          <w:sz w:val="24"/>
          <w:highlight w:val="none"/>
        </w:rPr>
      </w:pPr>
      <w:r>
        <w:rPr>
          <w:rFonts w:hint="eastAsia" w:ascii="宋体" w:hAnsi="宋体" w:cs="宋体"/>
          <w:color w:val="auto"/>
          <w:sz w:val="24"/>
          <w:highlight w:val="none"/>
        </w:rPr>
        <w:t>6.本项目对应的中小企业划分标准所属行业名称：</w:t>
      </w:r>
      <w:r>
        <w:rPr>
          <w:rFonts w:hint="eastAsia" w:ascii="宋体" w:hAnsi="宋体" w:cs="宋体"/>
          <w:color w:val="auto"/>
          <w:sz w:val="24"/>
          <w:highlight w:val="none"/>
          <w:u w:val="single"/>
        </w:rPr>
        <w:t>其他未列明行业</w:t>
      </w:r>
      <w:r>
        <w:rPr>
          <w:rFonts w:hint="eastAsia" w:ascii="宋体" w:hAnsi="宋体" w:cs="宋体"/>
          <w:color w:val="auto"/>
          <w:sz w:val="24"/>
          <w:highlight w:val="none"/>
        </w:rPr>
        <w:t>。</w:t>
      </w:r>
    </w:p>
    <w:p w14:paraId="5B888107">
      <w:pPr>
        <w:tabs>
          <w:tab w:val="left" w:pos="180"/>
          <w:tab w:val="left" w:pos="1620"/>
        </w:tabs>
        <w:spacing w:line="360" w:lineRule="auto"/>
        <w:ind w:firstLine="422" w:firstLineChars="200"/>
        <w:jc w:val="center"/>
        <w:rPr>
          <w:rFonts w:ascii="宋体" w:hAnsi="宋体" w:cs="宋体"/>
          <w:b/>
          <w:bCs/>
          <w:color w:val="auto"/>
          <w:sz w:val="24"/>
          <w:highlight w:val="none"/>
        </w:rPr>
      </w:pPr>
      <w:r>
        <w:rPr>
          <w:rFonts w:hint="eastAsia" w:ascii="宋体" w:hAnsi="宋体" w:cs="宋体"/>
          <w:b/>
          <w:bCs/>
          <w:color w:val="auto"/>
          <w:szCs w:val="21"/>
          <w:highlight w:val="none"/>
        </w:rPr>
        <w:br w:type="page"/>
      </w:r>
    </w:p>
    <w:tbl>
      <w:tblPr>
        <w:tblStyle w:val="32"/>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098"/>
        <w:gridCol w:w="576"/>
        <w:gridCol w:w="624"/>
        <w:gridCol w:w="6023"/>
        <w:gridCol w:w="710"/>
      </w:tblGrid>
      <w:tr w14:paraId="642C3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vAlign w:val="center"/>
          </w:tcPr>
          <w:p w14:paraId="1ECAC675">
            <w:pPr>
              <w:spacing w:line="40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0E8FD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bottom w:val="single" w:color="auto" w:sz="4" w:space="0"/>
              <w:right w:val="single" w:color="auto" w:sz="4" w:space="0"/>
            </w:tcBorders>
          </w:tcPr>
          <w:p w14:paraId="0EAC445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采购清单及服务数</w:t>
            </w:r>
          </w:p>
        </w:tc>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C674D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98" w:type="dxa"/>
            <w:tcBorders>
              <w:top w:val="single" w:color="auto" w:sz="4" w:space="0"/>
              <w:left w:val="single" w:color="auto" w:sz="4" w:space="0"/>
              <w:bottom w:val="single" w:color="auto" w:sz="4" w:space="0"/>
              <w:right w:val="single" w:color="auto" w:sz="4" w:space="0"/>
            </w:tcBorders>
            <w:vAlign w:val="center"/>
          </w:tcPr>
          <w:p w14:paraId="357CBDD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576" w:type="dxa"/>
            <w:tcBorders>
              <w:top w:val="single" w:color="auto" w:sz="4" w:space="0"/>
              <w:left w:val="single" w:color="auto" w:sz="4" w:space="0"/>
              <w:bottom w:val="single" w:color="auto" w:sz="4" w:space="0"/>
              <w:right w:val="single" w:color="auto" w:sz="4" w:space="0"/>
            </w:tcBorders>
            <w:vAlign w:val="center"/>
          </w:tcPr>
          <w:p w14:paraId="0D8B85E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24" w:type="dxa"/>
            <w:tcBorders>
              <w:top w:val="single" w:color="auto" w:sz="4" w:space="0"/>
              <w:left w:val="single" w:color="auto" w:sz="4" w:space="0"/>
              <w:bottom w:val="single" w:color="auto" w:sz="4" w:space="0"/>
              <w:right w:val="single" w:color="auto" w:sz="4" w:space="0"/>
            </w:tcBorders>
            <w:vAlign w:val="center"/>
          </w:tcPr>
          <w:p w14:paraId="3C9C9A2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023" w:type="dxa"/>
            <w:tcBorders>
              <w:top w:val="single" w:color="auto" w:sz="4" w:space="0"/>
              <w:left w:val="single" w:color="auto" w:sz="4" w:space="0"/>
              <w:bottom w:val="single" w:color="auto" w:sz="4" w:space="0"/>
              <w:right w:val="single" w:color="auto" w:sz="4" w:space="0"/>
            </w:tcBorders>
            <w:vAlign w:val="center"/>
          </w:tcPr>
          <w:p w14:paraId="5ED29C9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710" w:type="dxa"/>
            <w:tcBorders>
              <w:top w:val="single" w:color="auto" w:sz="4" w:space="0"/>
              <w:left w:val="single" w:color="auto" w:sz="4" w:space="0"/>
              <w:bottom w:val="single" w:color="auto" w:sz="4" w:space="0"/>
              <w:right w:val="single" w:color="auto" w:sz="4" w:space="0"/>
            </w:tcBorders>
            <w:vAlign w:val="center"/>
          </w:tcPr>
          <w:p w14:paraId="50CE1F3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18F32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8"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3F8EFB91">
            <w:pPr>
              <w:widowControl/>
              <w:spacing w:line="400" w:lineRule="exact"/>
              <w:jc w:val="left"/>
              <w:rPr>
                <w:rFonts w:ascii="宋体" w:hAnsi="宋体" w:cs="宋体"/>
                <w:color w:val="auto"/>
                <w:sz w:val="24"/>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14:paraId="6B55B8C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98" w:type="dxa"/>
            <w:tcBorders>
              <w:top w:val="single" w:color="auto" w:sz="4" w:space="0"/>
              <w:left w:val="single" w:color="auto" w:sz="4" w:space="0"/>
              <w:bottom w:val="single" w:color="auto" w:sz="4" w:space="0"/>
              <w:right w:val="single" w:color="auto" w:sz="4" w:space="0"/>
            </w:tcBorders>
            <w:vAlign w:val="center"/>
          </w:tcPr>
          <w:p w14:paraId="529F631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德保县森林草原湿地荒漠化普查项目</w:t>
            </w:r>
          </w:p>
        </w:tc>
        <w:tc>
          <w:tcPr>
            <w:tcW w:w="576" w:type="dxa"/>
            <w:tcBorders>
              <w:top w:val="single" w:color="auto" w:sz="4" w:space="0"/>
              <w:left w:val="single" w:color="auto" w:sz="4" w:space="0"/>
              <w:bottom w:val="single" w:color="auto" w:sz="4" w:space="0"/>
              <w:right w:val="single" w:color="auto" w:sz="4" w:space="0"/>
            </w:tcBorders>
            <w:vAlign w:val="center"/>
          </w:tcPr>
          <w:p w14:paraId="47AA5D3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624" w:type="dxa"/>
            <w:tcBorders>
              <w:top w:val="single" w:color="auto" w:sz="4" w:space="0"/>
              <w:left w:val="single" w:color="auto" w:sz="4" w:space="0"/>
              <w:bottom w:val="single" w:color="auto" w:sz="4" w:space="0"/>
              <w:right w:val="single" w:color="auto" w:sz="4" w:space="0"/>
            </w:tcBorders>
            <w:vAlign w:val="center"/>
          </w:tcPr>
          <w:p w14:paraId="6DC7400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023" w:type="dxa"/>
            <w:tcBorders>
              <w:top w:val="single" w:color="auto" w:sz="4" w:space="0"/>
              <w:left w:val="single" w:color="auto" w:sz="4" w:space="0"/>
              <w:bottom w:val="single" w:color="auto" w:sz="4" w:space="0"/>
              <w:right w:val="single" w:color="auto" w:sz="4" w:space="0"/>
            </w:tcBorders>
          </w:tcPr>
          <w:p w14:paraId="0FF12597">
            <w:pPr>
              <w:spacing w:line="400" w:lineRule="exact"/>
              <w:ind w:firstLine="422" w:firstLineChars="200"/>
              <w:jc w:val="left"/>
              <w:rPr>
                <w:color w:val="auto"/>
                <w:highlight w:val="none"/>
              </w:rPr>
            </w:pPr>
            <w:r>
              <w:rPr>
                <w:rFonts w:hint="eastAsia"/>
                <w:b/>
                <w:bCs/>
                <w:color w:val="auto"/>
                <w:highlight w:val="none"/>
              </w:rPr>
              <w:t>一、项目基本情况</w:t>
            </w:r>
          </w:p>
          <w:p w14:paraId="313BD6DE">
            <w:pPr>
              <w:spacing w:line="400" w:lineRule="exact"/>
              <w:ind w:firstLine="420" w:firstLineChars="200"/>
              <w:jc w:val="left"/>
              <w:rPr>
                <w:color w:val="auto"/>
                <w:highlight w:val="none"/>
              </w:rPr>
            </w:pPr>
            <w:r>
              <w:rPr>
                <w:rFonts w:hint="eastAsia"/>
                <w:color w:val="auto"/>
                <w:highlight w:val="none"/>
              </w:rPr>
              <w:t>（一）采购单位：德保县林业局</w:t>
            </w:r>
          </w:p>
          <w:p w14:paraId="5FAEC149">
            <w:pPr>
              <w:spacing w:line="400" w:lineRule="exact"/>
              <w:ind w:firstLine="420" w:firstLineChars="200"/>
              <w:jc w:val="left"/>
              <w:rPr>
                <w:color w:val="auto"/>
                <w:highlight w:val="none"/>
              </w:rPr>
            </w:pPr>
            <w:r>
              <w:rPr>
                <w:rFonts w:hint="eastAsia"/>
                <w:color w:val="auto"/>
                <w:highlight w:val="none"/>
              </w:rPr>
              <w:t>（二）项目地点：德保县</w:t>
            </w:r>
          </w:p>
          <w:p w14:paraId="4E3A0807">
            <w:pPr>
              <w:spacing w:line="400" w:lineRule="exact"/>
              <w:ind w:firstLine="420" w:firstLineChars="200"/>
              <w:jc w:val="left"/>
              <w:rPr>
                <w:color w:val="auto"/>
                <w:highlight w:val="none"/>
              </w:rPr>
            </w:pPr>
            <w:r>
              <w:rPr>
                <w:rFonts w:hint="eastAsia"/>
                <w:color w:val="auto"/>
                <w:highlight w:val="none"/>
              </w:rPr>
              <w:t>（三）实施规模和内容：</w:t>
            </w:r>
          </w:p>
          <w:p w14:paraId="2352CDB6">
            <w:pPr>
              <w:spacing w:line="400" w:lineRule="exact"/>
              <w:ind w:firstLine="420" w:firstLineChars="200"/>
              <w:jc w:val="left"/>
              <w:rPr>
                <w:color w:val="auto"/>
                <w:highlight w:val="none"/>
              </w:rPr>
            </w:pPr>
            <w:r>
              <w:rPr>
                <w:rFonts w:hint="eastAsia"/>
                <w:color w:val="auto"/>
                <w:highlight w:val="none"/>
              </w:rPr>
              <w:t>根据《广西壮族自治区林业局 广西壮族自治区自然资源厅关于印发&lt;广西森林草原湿地荒漠化普查工作方案&gt;的通知》（桂林资发﹝2024﹞31 号）和《广西壮族自治区自然资源厅办公室 广西壮族自治区林业局办公室关于印发&lt;广西国土调查与林草湿地类对接工作方案&gt;的通知》（桂自然资办字﹝2024﹞164 号）。</w:t>
            </w:r>
          </w:p>
          <w:p w14:paraId="3AAA7870">
            <w:pPr>
              <w:spacing w:line="400" w:lineRule="exact"/>
              <w:ind w:firstLine="420" w:firstLineChars="200"/>
              <w:jc w:val="left"/>
              <w:rPr>
                <w:color w:val="auto"/>
                <w:highlight w:val="none"/>
              </w:rPr>
            </w:pPr>
            <w:r>
              <w:rPr>
                <w:rFonts w:hint="eastAsia"/>
                <w:color w:val="auto"/>
                <w:highlight w:val="none"/>
              </w:rPr>
              <w:t>构建“10 年一次普查、年度动态监测”的森林草原湿地荒漠化综合调查监测体系，开展国土调查与林草湿调查地类专项对接，同时开展森林草原湿地普查和荒漠化沙化土地、石漠化土地调查监测，查清县域森林草原湿地资源的数量、质量、结构及其管理等情况，荒漠化沙化和石漠化状况、沙化和石漠化土地治理情况，进一步丰富县域自然资源调查成果，深化完善“三调”一张图，为森林草原湿地管理、造林绿化。</w:t>
            </w:r>
          </w:p>
          <w:p w14:paraId="38DB38CE">
            <w:pPr>
              <w:spacing w:line="400" w:lineRule="exact"/>
              <w:ind w:firstLine="422" w:firstLineChars="200"/>
              <w:jc w:val="left"/>
              <w:rPr>
                <w:b/>
                <w:bCs/>
                <w:color w:val="auto"/>
                <w:highlight w:val="none"/>
              </w:rPr>
            </w:pPr>
            <w:r>
              <w:rPr>
                <w:rFonts w:hint="eastAsia"/>
                <w:b/>
                <w:bCs/>
                <w:color w:val="auto"/>
                <w:highlight w:val="none"/>
              </w:rPr>
              <w:t>二、工作任务</w:t>
            </w:r>
          </w:p>
          <w:p w14:paraId="4D1F01B0">
            <w:pPr>
              <w:spacing w:line="400" w:lineRule="exact"/>
              <w:ind w:firstLine="420" w:firstLineChars="200"/>
              <w:jc w:val="left"/>
              <w:rPr>
                <w:color w:val="auto"/>
                <w:highlight w:val="none"/>
              </w:rPr>
            </w:pPr>
            <w:r>
              <w:rPr>
                <w:rFonts w:hint="eastAsia"/>
                <w:color w:val="auto"/>
                <w:highlight w:val="none"/>
              </w:rPr>
              <w:t>（一）地类对接</w:t>
            </w:r>
          </w:p>
          <w:p w14:paraId="3990A863">
            <w:pPr>
              <w:spacing w:line="400" w:lineRule="exact"/>
              <w:ind w:firstLine="420" w:firstLineChars="200"/>
              <w:jc w:val="left"/>
              <w:rPr>
                <w:color w:val="auto"/>
                <w:highlight w:val="none"/>
              </w:rPr>
            </w:pPr>
            <w:r>
              <w:rPr>
                <w:rFonts w:hint="eastAsia"/>
                <w:color w:val="auto"/>
                <w:highlight w:val="none"/>
              </w:rPr>
              <w:t>以自然资源部、国家林业和草原 局提取下发的内业预判不一致图斑为基础，县级自然资源主管部门和林业主管部门依据《国土空间调查、规划、用途管 制用地用海分类指南》的统一标准，按照国土调查以实地现状认定地类原则，对预判图斑逐一进行内业核实确认，对双方认定有分歧，或 2023 年“一上”成果、林草湿调查监测成果、国家内业预判地类均不同，或对国家下发的林地不一致图斑外的图斑重新确定地类的，需开展实地核实拍照举证工作。地类对接形成的林地、草地、湿地等 范围内的二级地类图斑作为 普查 基本单元 。普查可在国土调查确定的同一个二级地类图斑内，根据林地经营管理需要，对原有的细碎散乱林地小班进行调整优化，但不得突破国土调查的二级地类图斑。</w:t>
            </w:r>
          </w:p>
          <w:p w14:paraId="7D98A392">
            <w:pPr>
              <w:pStyle w:val="41"/>
              <w:ind w:firstLine="480" w:firstLineChars="200"/>
              <w:rPr>
                <w:color w:val="auto"/>
                <w:highlight w:val="none"/>
              </w:rPr>
            </w:pPr>
            <w:r>
              <w:rPr>
                <w:rFonts w:hint="eastAsia"/>
                <w:color w:val="auto"/>
                <w:highlight w:val="none"/>
              </w:rPr>
              <w:t>（二）开展图斑区划和属性调查</w:t>
            </w:r>
          </w:p>
          <w:p w14:paraId="63C80E6D">
            <w:pPr>
              <w:pStyle w:val="41"/>
              <w:ind w:firstLine="480" w:firstLineChars="200"/>
              <w:rPr>
                <w:color w:val="auto"/>
                <w:highlight w:val="none"/>
              </w:rPr>
            </w:pPr>
            <w:r>
              <w:rPr>
                <w:rFonts w:hint="eastAsia"/>
                <w:color w:val="auto"/>
                <w:highlight w:val="none"/>
              </w:rPr>
              <w:t>以 2023 年国土变更调查成果为基础，参考林草湿年度监测 、石漠化调查 、荒漠化沙化监测等有关调查成果，基于数字正射影像图，开展林草湿图斑区划。采取样地调查、遥感监测、档案更新、补充调查、现地核实等方法，摸清林草湿资源数量、质量 、结构等情况，</w:t>
            </w:r>
          </w:p>
          <w:p w14:paraId="0CDE4524">
            <w:pPr>
              <w:pStyle w:val="41"/>
              <w:rPr>
                <w:color w:val="auto"/>
                <w:highlight w:val="none"/>
              </w:rPr>
            </w:pPr>
            <w:r>
              <w:rPr>
                <w:rFonts w:hint="eastAsia"/>
                <w:color w:val="auto"/>
                <w:highlight w:val="none"/>
              </w:rPr>
              <w:t>以及荒漠化沙化土地、石漠化土地的类型、面积、程度、分布、治理情况。</w:t>
            </w:r>
          </w:p>
          <w:p w14:paraId="460F2BE0">
            <w:pPr>
              <w:pStyle w:val="41"/>
              <w:ind w:firstLine="480" w:firstLineChars="200"/>
              <w:rPr>
                <w:color w:val="auto"/>
                <w:highlight w:val="none"/>
              </w:rPr>
            </w:pPr>
            <w:r>
              <w:rPr>
                <w:rFonts w:hint="eastAsia"/>
                <w:color w:val="auto"/>
                <w:highlight w:val="none"/>
              </w:rPr>
              <w:t>（三）落实管理属性和管理边界</w:t>
            </w:r>
          </w:p>
          <w:p w14:paraId="4F131A40">
            <w:pPr>
              <w:pStyle w:val="41"/>
              <w:ind w:firstLine="480" w:firstLineChars="200"/>
              <w:rPr>
                <w:color w:val="auto"/>
                <w:highlight w:val="none"/>
              </w:rPr>
            </w:pPr>
            <w:r>
              <w:rPr>
                <w:rFonts w:hint="eastAsia"/>
                <w:color w:val="auto"/>
                <w:highlight w:val="none"/>
              </w:rPr>
              <w:t>以不一致图斑地类核实确认结果、图斑区划和属性调查成果为基础 ，按照《自然资源部 农业农村部 国家林业和草原局关于严格耕地用途管制有关问题的通知》（自然资发〔2021〕166 号），《自然资源部 国家林业和草原局关于以第三次全国国土调查成果为基础明确林地管理边界规范林地管理的通知》（自然资发〔2023〕</w:t>
            </w:r>
          </w:p>
          <w:p w14:paraId="2AE2D5FA">
            <w:pPr>
              <w:pStyle w:val="41"/>
              <w:rPr>
                <w:color w:val="auto"/>
                <w:highlight w:val="none"/>
              </w:rPr>
            </w:pPr>
            <w:r>
              <w:rPr>
                <w:rFonts w:hint="eastAsia"/>
                <w:color w:val="auto"/>
                <w:highlight w:val="none"/>
              </w:rPr>
              <w:t>53 ）及其他有关要求，落实林地管理属性和管理边界，形成林地管理数据库，作为林地保护利用规划的基础 。</w:t>
            </w:r>
          </w:p>
          <w:p w14:paraId="5B37B1A8">
            <w:pPr>
              <w:pStyle w:val="41"/>
              <w:ind w:firstLine="480" w:firstLineChars="200"/>
              <w:rPr>
                <w:color w:val="auto"/>
                <w:highlight w:val="none"/>
              </w:rPr>
            </w:pPr>
            <w:r>
              <w:rPr>
                <w:rFonts w:hint="eastAsia"/>
                <w:color w:val="auto"/>
                <w:highlight w:val="none"/>
              </w:rPr>
              <w:t>（四）标记可造林绿化图斑</w:t>
            </w:r>
          </w:p>
          <w:p w14:paraId="02A77212">
            <w:pPr>
              <w:pStyle w:val="41"/>
              <w:ind w:firstLine="480" w:firstLineChars="200"/>
              <w:rPr>
                <w:color w:val="auto"/>
                <w:highlight w:val="none"/>
              </w:rPr>
            </w:pPr>
            <w:r>
              <w:rPr>
                <w:rFonts w:hint="eastAsia"/>
                <w:color w:val="auto"/>
                <w:highlight w:val="none"/>
              </w:rPr>
              <w:t>以统一地类对接完成后的年度国土变更调查成果中的二级地类图斑为基础，充分利用图斑区划和属性调查成果，标记可造林绿化的图斑。</w:t>
            </w:r>
          </w:p>
          <w:p w14:paraId="6CCFCF90">
            <w:pPr>
              <w:pStyle w:val="41"/>
              <w:ind w:firstLine="480" w:firstLineChars="200"/>
              <w:rPr>
                <w:color w:val="auto"/>
                <w:highlight w:val="none"/>
              </w:rPr>
            </w:pPr>
            <w:r>
              <w:rPr>
                <w:rFonts w:hint="eastAsia"/>
                <w:color w:val="auto"/>
                <w:highlight w:val="none"/>
              </w:rPr>
              <w:t>（五）数据库汇交</w:t>
            </w:r>
          </w:p>
          <w:p w14:paraId="7B5ABBE6">
            <w:pPr>
              <w:pStyle w:val="41"/>
              <w:ind w:firstLine="480" w:firstLineChars="200"/>
              <w:rPr>
                <w:color w:val="auto"/>
                <w:highlight w:val="none"/>
              </w:rPr>
            </w:pPr>
            <w:r>
              <w:rPr>
                <w:rFonts w:hint="eastAsia"/>
                <w:color w:val="auto"/>
                <w:highlight w:val="none"/>
              </w:rPr>
              <w:t>按照统一的数据库标准和建库规范，建设森林草原湿地荒漠化普查数据库逐级汇交。积极配合国家做好需要形成总体面积的调查监测指标相关调查工作。</w:t>
            </w:r>
          </w:p>
          <w:p w14:paraId="62E76FBF">
            <w:pPr>
              <w:pStyle w:val="41"/>
              <w:ind w:firstLine="480" w:firstLineChars="200"/>
              <w:rPr>
                <w:color w:val="auto"/>
                <w:highlight w:val="none"/>
              </w:rPr>
            </w:pPr>
            <w:r>
              <w:rPr>
                <w:rFonts w:hint="eastAsia"/>
                <w:color w:val="auto"/>
                <w:highlight w:val="none"/>
              </w:rPr>
              <w:t>（六）汇总分析</w:t>
            </w:r>
          </w:p>
          <w:p w14:paraId="63B6E2B4">
            <w:pPr>
              <w:pStyle w:val="41"/>
              <w:ind w:firstLine="480" w:firstLineChars="200"/>
              <w:rPr>
                <w:color w:val="auto"/>
                <w:highlight w:val="none"/>
              </w:rPr>
            </w:pPr>
            <w:r>
              <w:rPr>
                <w:rFonts w:hint="eastAsia"/>
                <w:color w:val="auto"/>
                <w:highlight w:val="none"/>
              </w:rPr>
              <w:t>基于数据库，汇集和处理调查数据 ，开展县森林草原湿地保护利用状况、森林草原湿地植被状况、生产力状况和荒漠化沙化、石漠化状况及沙化 、石漠化土地治理情况析，编制县级森林草原湿地荒漠化普查报告，制作专题图件 ，产出森林草原湿地荒漠化普查成果，形成国土绿化空间基础数据。</w:t>
            </w:r>
          </w:p>
          <w:p w14:paraId="7A23F7F1">
            <w:pPr>
              <w:pStyle w:val="41"/>
              <w:ind w:firstLine="482" w:firstLineChars="200"/>
              <w:rPr>
                <w:b/>
                <w:bCs/>
                <w:color w:val="auto"/>
                <w:highlight w:val="none"/>
              </w:rPr>
            </w:pPr>
            <w:r>
              <w:rPr>
                <w:rFonts w:hint="eastAsia"/>
                <w:b/>
                <w:bCs/>
                <w:color w:val="auto"/>
                <w:highlight w:val="none"/>
              </w:rPr>
              <w:t>三、基本依据</w:t>
            </w:r>
          </w:p>
          <w:p w14:paraId="50EBCF9C">
            <w:pPr>
              <w:pStyle w:val="41"/>
              <w:ind w:firstLine="480" w:firstLineChars="200"/>
              <w:rPr>
                <w:color w:val="auto"/>
                <w:highlight w:val="none"/>
              </w:rPr>
            </w:pPr>
            <w:r>
              <w:rPr>
                <w:rFonts w:hint="eastAsia"/>
                <w:color w:val="auto"/>
                <w:highlight w:val="none"/>
              </w:rPr>
              <w:t>1.《自然资源部 国家林业和草原局关于开展 2023 年全国森林、草原、湿地调查工作的通知》（自然资发﹝2023﹞78 号）；</w:t>
            </w:r>
          </w:p>
          <w:p w14:paraId="018885A4">
            <w:pPr>
              <w:pStyle w:val="41"/>
              <w:ind w:firstLine="480" w:firstLineChars="200"/>
              <w:rPr>
                <w:color w:val="auto"/>
                <w:highlight w:val="none"/>
              </w:rPr>
            </w:pPr>
            <w:r>
              <w:rPr>
                <w:rFonts w:hint="eastAsia"/>
                <w:color w:val="auto"/>
                <w:highlight w:val="none"/>
              </w:rPr>
              <w:t>2.《国家林业和草原局办公室关于印发 2023 年林草综合监测技术方案和技术规程的通知》（办资﹝2023﹞34 号）；</w:t>
            </w:r>
          </w:p>
          <w:p w14:paraId="6D7BA29E">
            <w:pPr>
              <w:pStyle w:val="41"/>
              <w:ind w:firstLine="480" w:firstLineChars="200"/>
              <w:rPr>
                <w:color w:val="auto"/>
                <w:highlight w:val="none"/>
              </w:rPr>
            </w:pPr>
            <w:r>
              <w:rPr>
                <w:rFonts w:hint="eastAsia"/>
                <w:color w:val="auto"/>
                <w:highlight w:val="none"/>
              </w:rPr>
              <w:t>3.《自然资源调查监测质量管理导则（试行）》（自然资发﹝2021﹞49 号）；</w:t>
            </w:r>
          </w:p>
          <w:p w14:paraId="3B1A7086">
            <w:pPr>
              <w:pStyle w:val="41"/>
              <w:ind w:firstLine="480" w:firstLineChars="200"/>
              <w:rPr>
                <w:color w:val="auto"/>
                <w:highlight w:val="none"/>
              </w:rPr>
            </w:pPr>
            <w:r>
              <w:rPr>
                <w:rFonts w:hint="eastAsia"/>
                <w:color w:val="auto"/>
                <w:highlight w:val="none"/>
              </w:rPr>
              <w:t>4.《2022 年全国森林、草原、湿地调查监测质量检查办法（试行）》；</w:t>
            </w:r>
          </w:p>
          <w:p w14:paraId="005BA411">
            <w:pPr>
              <w:pStyle w:val="41"/>
              <w:ind w:firstLine="480" w:firstLineChars="200"/>
              <w:rPr>
                <w:color w:val="auto"/>
                <w:highlight w:val="none"/>
              </w:rPr>
            </w:pPr>
            <w:r>
              <w:rPr>
                <w:rFonts w:hint="eastAsia"/>
                <w:color w:val="auto"/>
                <w:highlight w:val="none"/>
              </w:rPr>
              <w:t>5.《国家森林资源连续清查质量管理办法》；</w:t>
            </w:r>
          </w:p>
          <w:p w14:paraId="56B1DC6B">
            <w:pPr>
              <w:pStyle w:val="41"/>
              <w:ind w:firstLine="480" w:firstLineChars="200"/>
              <w:rPr>
                <w:color w:val="auto"/>
                <w:highlight w:val="none"/>
              </w:rPr>
            </w:pPr>
            <w:r>
              <w:rPr>
                <w:rFonts w:hint="eastAsia"/>
                <w:color w:val="auto"/>
                <w:highlight w:val="none"/>
              </w:rPr>
              <w:t>6. 《广西壮族自治区自然资源厅办公室 广西壮族自治区林业局办公室关于印发&lt;广西国土调查与林草湿地类对接工作方案&gt;的通知》（桂自然资办字﹝2024﹞164 号）风险普查工作的通知》（桂政办发﹝2020﹞49 号）；</w:t>
            </w:r>
          </w:p>
          <w:p w14:paraId="0061D037">
            <w:pPr>
              <w:pStyle w:val="41"/>
              <w:ind w:firstLine="480" w:firstLineChars="200"/>
              <w:rPr>
                <w:color w:val="auto"/>
                <w:highlight w:val="none"/>
              </w:rPr>
            </w:pPr>
            <w:r>
              <w:rPr>
                <w:rFonts w:hint="eastAsia"/>
                <w:color w:val="auto"/>
                <w:highlight w:val="none"/>
              </w:rPr>
              <w:t>7.《广西壮族自治区林业局 广西壮族自治区自然资源厅关于印发&lt;广西森林草原湿地荒漠化普查工作方案&gt;的通知》（桂林资发﹝2024﹞31 号）。</w:t>
            </w:r>
          </w:p>
          <w:p w14:paraId="437D7997">
            <w:pPr>
              <w:pStyle w:val="41"/>
              <w:ind w:firstLine="482" w:firstLineChars="200"/>
              <w:rPr>
                <w:b/>
                <w:bCs/>
                <w:color w:val="auto"/>
                <w:highlight w:val="none"/>
              </w:rPr>
            </w:pPr>
            <w:r>
              <w:rPr>
                <w:rFonts w:hint="eastAsia"/>
                <w:b/>
                <w:bCs/>
                <w:color w:val="auto"/>
                <w:highlight w:val="none"/>
              </w:rPr>
              <w:t>四、提交成果</w:t>
            </w:r>
          </w:p>
          <w:p w14:paraId="3FAE64C2">
            <w:pPr>
              <w:pStyle w:val="41"/>
              <w:ind w:firstLine="480" w:firstLineChars="200"/>
              <w:rPr>
                <w:color w:val="auto"/>
                <w:highlight w:val="none"/>
              </w:rPr>
            </w:pPr>
            <w:r>
              <w:rPr>
                <w:rFonts w:hint="eastAsia"/>
                <w:color w:val="auto"/>
                <w:highlight w:val="none"/>
              </w:rPr>
              <w:t>主要包括数据库、统计表、专题图、成果报告等。</w:t>
            </w:r>
          </w:p>
          <w:p w14:paraId="205C329B">
            <w:pPr>
              <w:pStyle w:val="41"/>
              <w:ind w:firstLine="480" w:firstLineChars="200"/>
              <w:rPr>
                <w:color w:val="auto"/>
                <w:highlight w:val="none"/>
              </w:rPr>
            </w:pPr>
            <w:r>
              <w:rPr>
                <w:rFonts w:hint="eastAsia"/>
                <w:color w:val="auto"/>
                <w:highlight w:val="none"/>
              </w:rPr>
              <w:t>（一）数据库。包括森林草原 湿地荒漠化样地数据库、图斑数据库等成果数据库，基础数表 、计量模型及参数数据库等基础支撑数据 ，地类对接增量更新数据和数据库、高清影像举证成果，国土造林绿化空间基础数据库 。</w:t>
            </w:r>
          </w:p>
          <w:p w14:paraId="0C0E2CC5">
            <w:pPr>
              <w:pStyle w:val="41"/>
              <w:ind w:firstLine="480" w:firstLineChars="200"/>
              <w:rPr>
                <w:color w:val="auto"/>
                <w:highlight w:val="none"/>
              </w:rPr>
            </w:pPr>
            <w:r>
              <w:rPr>
                <w:rFonts w:hint="eastAsia"/>
                <w:color w:val="auto"/>
                <w:highlight w:val="none"/>
              </w:rPr>
              <w:t>（二）统计表。包括反映森林草原湿地保护利用状况、林草植被状况、湿地健康状况、森林草原湿地生产力，以及荒漠化沙化、石漠化状况、可治理沙化土地及沙化、石漠化土地治理情况等一系列成果统计表。</w:t>
            </w:r>
          </w:p>
          <w:p w14:paraId="16D8277C">
            <w:pPr>
              <w:pStyle w:val="41"/>
              <w:ind w:firstLine="480" w:firstLineChars="200"/>
              <w:rPr>
                <w:color w:val="auto"/>
                <w:highlight w:val="none"/>
              </w:rPr>
            </w:pPr>
            <w:r>
              <w:rPr>
                <w:rFonts w:hint="eastAsia"/>
                <w:color w:val="auto"/>
                <w:highlight w:val="none"/>
              </w:rPr>
              <w:t>（三）专题图。包括林草资源分布图、林草生态评价图、荒漠化沙化和石漠化土地分布图 ，以及重点区域专题图、林地管理边界及属性专题图、可造林绿化专题图等 。</w:t>
            </w:r>
          </w:p>
          <w:p w14:paraId="7D6F7013">
            <w:pPr>
              <w:pStyle w:val="41"/>
              <w:ind w:firstLine="480" w:firstLineChars="200"/>
              <w:rPr>
                <w:color w:val="auto"/>
                <w:highlight w:val="none"/>
              </w:rPr>
            </w:pPr>
            <w:r>
              <w:rPr>
                <w:rFonts w:hint="eastAsia"/>
                <w:color w:val="auto"/>
                <w:highlight w:val="none"/>
              </w:rPr>
              <w:t>（四）成果报告。</w:t>
            </w:r>
          </w:p>
        </w:tc>
        <w:tc>
          <w:tcPr>
            <w:tcW w:w="710" w:type="dxa"/>
            <w:tcBorders>
              <w:top w:val="single" w:color="auto" w:sz="4" w:space="0"/>
              <w:left w:val="single" w:color="auto" w:sz="4" w:space="0"/>
              <w:bottom w:val="single" w:color="auto" w:sz="4" w:space="0"/>
              <w:right w:val="single" w:color="auto" w:sz="4" w:space="0"/>
            </w:tcBorders>
            <w:vAlign w:val="center"/>
          </w:tcPr>
          <w:p w14:paraId="372B734D">
            <w:pPr>
              <w:spacing w:line="400" w:lineRule="exact"/>
              <w:jc w:val="center"/>
              <w:rPr>
                <w:rFonts w:ascii="宋体" w:hAnsi="宋体" w:cs="宋体"/>
                <w:b/>
                <w:bCs/>
                <w:color w:val="auto"/>
                <w:szCs w:val="21"/>
                <w:highlight w:val="none"/>
              </w:rPr>
            </w:pPr>
          </w:p>
        </w:tc>
      </w:tr>
      <w:tr w14:paraId="72A5D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10121" w:type="dxa"/>
            <w:gridSpan w:val="7"/>
            <w:tcBorders>
              <w:left w:val="single" w:color="auto" w:sz="4" w:space="0"/>
              <w:bottom w:val="single" w:color="auto" w:sz="4" w:space="0"/>
              <w:right w:val="single" w:color="auto" w:sz="4" w:space="0"/>
            </w:tcBorders>
            <w:vAlign w:val="center"/>
          </w:tcPr>
          <w:p w14:paraId="4356C3E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商务条款（标项一、标项二、标项三）</w:t>
            </w:r>
          </w:p>
        </w:tc>
      </w:tr>
      <w:tr w14:paraId="30BB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0121" w:type="dxa"/>
            <w:gridSpan w:val="7"/>
            <w:tcBorders>
              <w:top w:val="single" w:color="auto" w:sz="4" w:space="0"/>
              <w:left w:val="single" w:color="auto" w:sz="4" w:space="0"/>
              <w:bottom w:val="single" w:color="auto" w:sz="4" w:space="0"/>
              <w:right w:val="single" w:color="auto" w:sz="4" w:space="0"/>
            </w:tcBorders>
          </w:tcPr>
          <w:p w14:paraId="5F144A5D">
            <w:pPr>
              <w:spacing w:line="400" w:lineRule="exact"/>
              <w:rPr>
                <w:rFonts w:ascii="宋体" w:hAnsi="宋体" w:cs="宋体"/>
                <w:color w:val="auto"/>
                <w:highlight w:val="none"/>
              </w:rPr>
            </w:pPr>
            <w:r>
              <w:rPr>
                <w:rFonts w:hint="eastAsia"/>
                <w:color w:val="auto"/>
                <w:highlight w:val="none"/>
              </w:rPr>
              <w:t>一、▲合同签订期：自中标通知书发出之</w:t>
            </w:r>
            <w:r>
              <w:rPr>
                <w:rFonts w:hint="eastAsia" w:ascii="宋体" w:hAnsi="宋体" w:cs="宋体"/>
                <w:color w:val="auto"/>
                <w:highlight w:val="none"/>
              </w:rPr>
              <w:t>日起25日内</w:t>
            </w:r>
          </w:p>
          <w:p w14:paraId="2875A93A">
            <w:pPr>
              <w:spacing w:line="400" w:lineRule="exact"/>
              <w:rPr>
                <w:rFonts w:ascii="宋体" w:hAnsi="宋体" w:cs="宋体"/>
                <w:color w:val="auto"/>
                <w:highlight w:val="none"/>
              </w:rPr>
            </w:pPr>
            <w:r>
              <w:rPr>
                <w:rFonts w:hint="eastAsia" w:ascii="宋体" w:hAnsi="宋体" w:cs="宋体"/>
                <w:color w:val="auto"/>
                <w:highlight w:val="none"/>
              </w:rPr>
              <w:t>二、▲提供服务时间：</w:t>
            </w:r>
            <w:r>
              <w:rPr>
                <w:rFonts w:hint="eastAsia" w:ascii="宋体" w:hAnsi="宋体" w:cs="宋体"/>
                <w:color w:val="auto"/>
                <w:szCs w:val="21"/>
                <w:highlight w:val="none"/>
                <w:lang w:eastAsia="zh-CN"/>
              </w:rPr>
              <w:t>合同签订之日起至60天内提交成果（如自治区林业局另有规定的，从其规定）</w:t>
            </w:r>
            <w:r>
              <w:rPr>
                <w:rFonts w:hint="eastAsia" w:ascii="宋体" w:hAnsi="宋体" w:cs="宋体"/>
                <w:color w:val="auto"/>
                <w:szCs w:val="21"/>
                <w:highlight w:val="none"/>
              </w:rPr>
              <w:t>。</w:t>
            </w:r>
          </w:p>
          <w:p w14:paraId="44E9EEEF">
            <w:pPr>
              <w:spacing w:line="400" w:lineRule="exact"/>
              <w:rPr>
                <w:rFonts w:ascii="宋体" w:hAnsi="宋体" w:cs="宋体"/>
                <w:color w:val="auto"/>
                <w:highlight w:val="none"/>
              </w:rPr>
            </w:pPr>
            <w:r>
              <w:rPr>
                <w:rFonts w:hint="eastAsia" w:ascii="宋体" w:hAnsi="宋体" w:cs="宋体"/>
                <w:color w:val="auto"/>
                <w:highlight w:val="none"/>
              </w:rPr>
              <w:t>三、▲服务地点：采购人指定地点。</w:t>
            </w:r>
          </w:p>
          <w:p w14:paraId="5D8030FF">
            <w:pPr>
              <w:spacing w:line="400" w:lineRule="exact"/>
              <w:rPr>
                <w:color w:val="auto"/>
                <w:highlight w:val="none"/>
              </w:rPr>
            </w:pPr>
            <w:r>
              <w:rPr>
                <w:rFonts w:hint="eastAsia"/>
                <w:color w:val="auto"/>
                <w:highlight w:val="none"/>
              </w:rPr>
              <w:t>四、▲服务质量：服务质量确保符合国家或专业的现行质量检验评定标准的规定及合同约定服务质量标准，并达到约定质量的验评标准。</w:t>
            </w:r>
          </w:p>
          <w:p w14:paraId="19E48F3D">
            <w:pPr>
              <w:numPr>
                <w:ilvl w:val="0"/>
                <w:numId w:val="4"/>
              </w:numPr>
              <w:spacing w:line="400" w:lineRule="exact"/>
              <w:rPr>
                <w:color w:val="auto"/>
                <w:highlight w:val="none"/>
              </w:rPr>
            </w:pPr>
            <w:r>
              <w:rPr>
                <w:rFonts w:hint="eastAsia"/>
                <w:color w:val="auto"/>
                <w:highlight w:val="none"/>
              </w:rPr>
              <w:t>▲保密要求：工作过程中所使用到的相关数据、图表等资料及工作完成后提交的成果资料涉及保密要求的，均要按照《中华人民共和国保密法》及其相关条例中的保密规定进行使用。成果所有权归采购方所有，成交供应商有义务对成果保密，不得擅自截留使用和转卖或提供他人使用，违反本规定的将追还一切合同款项，情节严重按有关法律处理。</w:t>
            </w:r>
          </w:p>
          <w:p w14:paraId="7057E083">
            <w:pPr>
              <w:numPr>
                <w:ilvl w:val="0"/>
                <w:numId w:val="4"/>
              </w:numPr>
              <w:spacing w:line="400" w:lineRule="exact"/>
              <w:rPr>
                <w:color w:val="auto"/>
                <w:highlight w:val="none"/>
              </w:rPr>
            </w:pPr>
            <w:r>
              <w:rPr>
                <w:rFonts w:hint="eastAsia"/>
                <w:color w:val="auto"/>
                <w:highlight w:val="none"/>
              </w:rPr>
              <w:t>▲报价要求：</w:t>
            </w:r>
          </w:p>
          <w:p w14:paraId="764CFB1F">
            <w:pPr>
              <w:widowControl/>
              <w:shd w:val="clear" w:color="auto" w:fill="FFFFFF"/>
              <w:spacing w:line="400" w:lineRule="exact"/>
              <w:ind w:firstLine="420" w:firstLineChars="200"/>
              <w:rPr>
                <w:color w:val="auto"/>
                <w:highlight w:val="none"/>
              </w:rPr>
            </w:pPr>
            <w:r>
              <w:rPr>
                <w:rFonts w:hint="eastAsia"/>
                <w:color w:val="auto"/>
                <w:highlight w:val="none"/>
              </w:rPr>
              <w:t>1、本项目采用固定报价的方式进行报价，磋商供应商须就《第三章 项目采购需求》中全部的服务内容作完整唯一报价。</w:t>
            </w:r>
          </w:p>
          <w:p w14:paraId="024AC615">
            <w:pPr>
              <w:widowControl/>
              <w:shd w:val="clear" w:color="auto" w:fill="FFFFFF"/>
              <w:spacing w:line="400" w:lineRule="exact"/>
              <w:ind w:firstLine="420" w:firstLineChars="200"/>
              <w:rPr>
                <w:color w:val="auto"/>
                <w:highlight w:val="none"/>
              </w:rPr>
            </w:pPr>
            <w:r>
              <w:rPr>
                <w:rFonts w:hint="eastAsia"/>
                <w:color w:val="auto"/>
                <w:highlight w:val="none"/>
              </w:rPr>
              <w:t>2、报价必须含以下部分，包括：</w:t>
            </w:r>
          </w:p>
          <w:p w14:paraId="099DC3D0">
            <w:pPr>
              <w:widowControl/>
              <w:shd w:val="clear" w:color="auto" w:fill="FFFFFF"/>
              <w:spacing w:line="400" w:lineRule="exact"/>
              <w:ind w:firstLine="420" w:firstLineChars="200"/>
              <w:rPr>
                <w:color w:val="auto"/>
                <w:highlight w:val="none"/>
              </w:rPr>
            </w:pPr>
            <w:r>
              <w:rPr>
                <w:rFonts w:hint="eastAsia"/>
                <w:color w:val="auto"/>
                <w:highlight w:val="none"/>
              </w:rPr>
              <w:t>（1）服务的价格；</w:t>
            </w:r>
          </w:p>
          <w:p w14:paraId="046DAE2D">
            <w:pPr>
              <w:widowControl/>
              <w:shd w:val="clear" w:color="auto" w:fill="FFFFFF"/>
              <w:spacing w:line="400" w:lineRule="exact"/>
              <w:ind w:firstLine="420" w:firstLineChars="200"/>
              <w:rPr>
                <w:color w:val="auto"/>
                <w:highlight w:val="none"/>
              </w:rPr>
            </w:pPr>
            <w:r>
              <w:rPr>
                <w:rFonts w:hint="eastAsia"/>
                <w:color w:val="auto"/>
                <w:highlight w:val="none"/>
              </w:rPr>
              <w:t>（2）必要的保险费用和各项税金；</w:t>
            </w:r>
          </w:p>
          <w:p w14:paraId="7EBFB3E0">
            <w:pPr>
              <w:widowControl/>
              <w:shd w:val="clear" w:color="auto" w:fill="FFFFFF"/>
              <w:spacing w:line="400" w:lineRule="exact"/>
              <w:ind w:firstLine="420" w:firstLineChars="200"/>
              <w:rPr>
                <w:color w:val="auto"/>
                <w:highlight w:val="none"/>
              </w:rPr>
            </w:pPr>
            <w:r>
              <w:rPr>
                <w:rFonts w:hint="eastAsia"/>
                <w:color w:val="auto"/>
                <w:highlight w:val="none"/>
              </w:rPr>
              <w:t>（3）项目验收、评审相关的专家评审费用；</w:t>
            </w:r>
          </w:p>
          <w:p w14:paraId="1B648A85">
            <w:pPr>
              <w:widowControl/>
              <w:shd w:val="clear" w:color="auto" w:fill="FFFFFF"/>
              <w:spacing w:line="400" w:lineRule="exact"/>
              <w:ind w:firstLine="420" w:firstLineChars="200"/>
              <w:rPr>
                <w:color w:val="auto"/>
                <w:highlight w:val="none"/>
              </w:rPr>
            </w:pPr>
            <w:r>
              <w:rPr>
                <w:rFonts w:hint="eastAsia"/>
                <w:color w:val="auto"/>
                <w:highlight w:val="none"/>
              </w:rPr>
              <w:t>（4）技术支持、售后服务费用；</w:t>
            </w:r>
          </w:p>
          <w:p w14:paraId="7B22E3B5">
            <w:pPr>
              <w:widowControl/>
              <w:shd w:val="clear" w:color="auto" w:fill="FFFFFF"/>
              <w:spacing w:line="400" w:lineRule="exact"/>
              <w:ind w:firstLine="420" w:firstLineChars="200"/>
              <w:rPr>
                <w:color w:val="auto"/>
                <w:highlight w:val="none"/>
              </w:rPr>
            </w:pPr>
            <w:r>
              <w:rPr>
                <w:rFonts w:hint="eastAsia"/>
                <w:color w:val="auto"/>
                <w:highlight w:val="none"/>
              </w:rPr>
              <w:t>（5）实施和完成服务工作所需的设备、劳务、技术服务费、交通、维护、保险、办公场地、管理费、税费、利润、交通、损耗及人员劳务等费用和政策性文件规定及合同包含的所有风险、责任等各项应有的费用。</w:t>
            </w:r>
          </w:p>
          <w:p w14:paraId="04869D54">
            <w:pPr>
              <w:spacing w:line="400" w:lineRule="exact"/>
              <w:rPr>
                <w:color w:val="auto"/>
                <w:highlight w:val="none"/>
              </w:rPr>
            </w:pPr>
            <w:r>
              <w:rPr>
                <w:rFonts w:hint="eastAsia"/>
                <w:color w:val="auto"/>
                <w:highlight w:val="none"/>
              </w:rPr>
              <w:t>七、▲售后服务要求：</w:t>
            </w:r>
          </w:p>
          <w:p w14:paraId="3B4E5BAF">
            <w:pPr>
              <w:widowControl/>
              <w:shd w:val="clear" w:color="auto" w:fill="FFFFFF"/>
              <w:spacing w:line="400" w:lineRule="exact"/>
              <w:ind w:firstLine="420" w:firstLineChars="200"/>
              <w:rPr>
                <w:color w:val="auto"/>
                <w:highlight w:val="none"/>
              </w:rPr>
            </w:pPr>
            <w:r>
              <w:rPr>
                <w:rFonts w:hint="eastAsia"/>
                <w:color w:val="auto"/>
                <w:highlight w:val="none"/>
              </w:rPr>
              <w:t>1、质量保证期 1 年(自提交服务成果并验收合格之日起计) 。在质保期内，当国家标准、技术规范发生改变或出现质量问题时，中标供应商须免费修改相关内容。</w:t>
            </w:r>
          </w:p>
          <w:p w14:paraId="48201CF1">
            <w:pPr>
              <w:widowControl/>
              <w:shd w:val="clear" w:color="auto" w:fill="FFFFFF"/>
              <w:spacing w:line="400" w:lineRule="exact"/>
              <w:ind w:firstLine="420" w:firstLineChars="200"/>
              <w:rPr>
                <w:color w:val="auto"/>
                <w:highlight w:val="none"/>
              </w:rPr>
            </w:pPr>
            <w:r>
              <w:rPr>
                <w:rFonts w:hint="eastAsia"/>
                <w:color w:val="auto"/>
                <w:highlight w:val="none"/>
              </w:rPr>
              <w:t>2、处理问题响应时间：接到采购人处理问题通知后 5 小时内到达采购人指定现场，24 小时内提出解决方案，3个工作日内完成问题处理。</w:t>
            </w:r>
          </w:p>
          <w:p w14:paraId="130337A0">
            <w:pPr>
              <w:spacing w:line="400" w:lineRule="exact"/>
              <w:rPr>
                <w:color w:val="auto"/>
                <w:highlight w:val="none"/>
              </w:rPr>
            </w:pPr>
            <w:r>
              <w:rPr>
                <w:rFonts w:hint="eastAsia"/>
                <w:color w:val="auto"/>
                <w:highlight w:val="none"/>
              </w:rPr>
              <w:t>八、▲付款方式：</w:t>
            </w:r>
          </w:p>
          <w:p w14:paraId="375D770F">
            <w:pPr>
              <w:spacing w:line="400" w:lineRule="exact"/>
              <w:ind w:firstLine="420" w:firstLineChars="200"/>
              <w:rPr>
                <w:rFonts w:hint="eastAsia"/>
                <w:color w:val="auto"/>
                <w:highlight w:val="none"/>
              </w:rPr>
            </w:pPr>
            <w:r>
              <w:rPr>
                <w:rFonts w:hint="eastAsia"/>
                <w:color w:val="auto"/>
                <w:highlight w:val="none"/>
              </w:rPr>
              <w:t>（1）合同签订后10个工作日内，采购人向成交供应商支付合同总价30%作为预付款；</w:t>
            </w:r>
          </w:p>
          <w:p w14:paraId="5555E66D">
            <w:pPr>
              <w:spacing w:line="400" w:lineRule="exact"/>
              <w:ind w:firstLine="420" w:firstLineChars="200"/>
              <w:rPr>
                <w:rFonts w:hint="eastAsia"/>
                <w:color w:val="auto"/>
                <w:highlight w:val="none"/>
              </w:rPr>
            </w:pPr>
            <w:r>
              <w:rPr>
                <w:rFonts w:hint="eastAsia"/>
                <w:color w:val="auto"/>
                <w:highlight w:val="none"/>
              </w:rPr>
              <w:t>（2）完成项目总工作量的70%后，采购人向成交供应商支付合同总价的30%；</w:t>
            </w:r>
          </w:p>
          <w:p w14:paraId="6C4C8FA9">
            <w:pPr>
              <w:spacing w:line="400" w:lineRule="exact"/>
              <w:ind w:firstLine="420" w:firstLineChars="200"/>
              <w:rPr>
                <w:rFonts w:hint="eastAsia"/>
                <w:color w:val="auto"/>
                <w:highlight w:val="none"/>
              </w:rPr>
            </w:pPr>
            <w:r>
              <w:rPr>
                <w:rFonts w:hint="eastAsia"/>
                <w:color w:val="auto"/>
                <w:highlight w:val="none"/>
              </w:rPr>
              <w:t>（3）成交供应商完成成果，并通过市级论证后10个工作日内，采购人向成交供应商支付合同总价的30%；</w:t>
            </w:r>
          </w:p>
          <w:p w14:paraId="3975FDD0">
            <w:pPr>
              <w:spacing w:line="400" w:lineRule="exact"/>
              <w:ind w:firstLine="420" w:firstLineChars="200"/>
              <w:rPr>
                <w:rFonts w:hint="eastAsia"/>
                <w:color w:val="auto"/>
                <w:highlight w:val="none"/>
              </w:rPr>
            </w:pPr>
            <w:r>
              <w:rPr>
                <w:rFonts w:hint="eastAsia"/>
                <w:color w:val="auto"/>
                <w:highlight w:val="none"/>
              </w:rPr>
              <w:t>（4）最终通过各级部门评审合格后支付尾款；</w:t>
            </w:r>
          </w:p>
          <w:p w14:paraId="015A235E">
            <w:pPr>
              <w:spacing w:line="400" w:lineRule="exact"/>
              <w:ind w:firstLine="420" w:firstLineChars="200"/>
              <w:rPr>
                <w:color w:val="auto"/>
                <w:highlight w:val="none"/>
              </w:rPr>
            </w:pPr>
            <w:r>
              <w:rPr>
                <w:rFonts w:hint="eastAsia"/>
                <w:color w:val="auto"/>
                <w:highlight w:val="none"/>
              </w:rPr>
              <w:t>（5）成交供应商按规定向采购人开具正式发票。</w:t>
            </w:r>
          </w:p>
          <w:p w14:paraId="7A0B76A8">
            <w:pPr>
              <w:pStyle w:val="41"/>
              <w:rPr>
                <w:rFonts w:ascii="Times New Roman" w:hAnsi="Times New Roman" w:cs="Times New Roman"/>
                <w:color w:val="auto"/>
                <w:kern w:val="2"/>
                <w:sz w:val="21"/>
                <w:highlight w:val="none"/>
              </w:rPr>
            </w:pPr>
            <w:r>
              <w:rPr>
                <w:rFonts w:hint="eastAsia" w:ascii="Times New Roman" w:hAnsi="Times New Roman" w:cs="Times New Roman"/>
                <w:color w:val="auto"/>
                <w:kern w:val="2"/>
                <w:sz w:val="21"/>
                <w:highlight w:val="none"/>
              </w:rPr>
              <w:t>九、▲验收要求：</w:t>
            </w:r>
          </w:p>
          <w:p w14:paraId="24D3FD00">
            <w:pPr>
              <w:pStyle w:val="41"/>
              <w:ind w:firstLine="420" w:firstLineChars="200"/>
              <w:rPr>
                <w:rFonts w:ascii="Times New Roman" w:hAnsi="Times New Roman" w:cs="Times New Roman"/>
                <w:color w:val="auto"/>
                <w:kern w:val="2"/>
                <w:sz w:val="21"/>
                <w:highlight w:val="none"/>
              </w:rPr>
            </w:pPr>
            <w:r>
              <w:rPr>
                <w:rFonts w:hint="eastAsia" w:ascii="Times New Roman" w:hAnsi="Times New Roman" w:cs="Times New Roman"/>
                <w:color w:val="auto"/>
                <w:kern w:val="2"/>
                <w:sz w:val="21"/>
                <w:highlight w:val="none"/>
              </w:rPr>
              <w:t>符合《全国森林草原湿地荒漠化普查技术规程》、《全国森林草原湿地荒漠化普查技术方案》、《广西森林草原湿地荒漠化普查操作细则》的要求。</w:t>
            </w:r>
          </w:p>
          <w:p w14:paraId="739DB2A7">
            <w:pPr>
              <w:spacing w:line="400" w:lineRule="exact"/>
              <w:rPr>
                <w:color w:val="auto"/>
                <w:highlight w:val="none"/>
              </w:rPr>
            </w:pPr>
            <w:r>
              <w:rPr>
                <w:rFonts w:hint="eastAsia"/>
                <w:color w:val="auto"/>
                <w:highlight w:val="none"/>
              </w:rPr>
              <w:t>十、其他要求：</w:t>
            </w:r>
          </w:p>
          <w:p w14:paraId="03DB9FB7">
            <w:pPr>
              <w:spacing w:line="400" w:lineRule="exact"/>
              <w:ind w:firstLine="420" w:firstLineChars="200"/>
              <w:rPr>
                <w:color w:val="auto"/>
                <w:highlight w:val="none"/>
              </w:rPr>
            </w:pPr>
            <w:r>
              <w:rPr>
                <w:rFonts w:hint="eastAsia"/>
                <w:color w:val="auto"/>
                <w:highlight w:val="none"/>
              </w:rPr>
              <w:t>1.采购人在中华人民共和国境内使用供应商提供的成果时免受第三方提出的侵犯其专利权或其它知识产权的起诉。如果第三方提出侵权指控，成交供应商应承担由此而引起的一切法律责任和费用。</w:t>
            </w:r>
          </w:p>
          <w:p w14:paraId="1B8AEA74">
            <w:pPr>
              <w:spacing w:line="400" w:lineRule="exact"/>
              <w:ind w:firstLine="420" w:firstLineChars="200"/>
              <w:rPr>
                <w:color w:val="auto"/>
                <w:highlight w:val="none"/>
              </w:rPr>
            </w:pPr>
            <w:r>
              <w:rPr>
                <w:rFonts w:hint="eastAsia"/>
                <w:color w:val="auto"/>
                <w:highlight w:val="none"/>
              </w:rPr>
              <w:t>2.成交后，若成交供应商所供产品及售后服务不按竞争性磋商文件要求履约的，将按照《中华人民共和国政府采购法》及其实施条例等有关规定严肃处理。</w:t>
            </w:r>
          </w:p>
          <w:p w14:paraId="3B5115BE">
            <w:pPr>
              <w:spacing w:line="400" w:lineRule="exact"/>
              <w:ind w:firstLine="420" w:firstLineChars="200"/>
              <w:rPr>
                <w:color w:val="auto"/>
                <w:highlight w:val="none"/>
              </w:rPr>
            </w:pPr>
            <w:r>
              <w:rPr>
                <w:rFonts w:hint="eastAsia"/>
                <w:color w:val="auto"/>
                <w:highlight w:val="none"/>
              </w:rPr>
              <w:t>3. 供应商须对业主提供的资料及完成的成果进行保密，不经业主同意，不对外公布和透露项目相关信息和资料。</w:t>
            </w:r>
          </w:p>
        </w:tc>
      </w:tr>
    </w:tbl>
    <w:p w14:paraId="36F166AA">
      <w:pPr>
        <w:pStyle w:val="18"/>
        <w:jc w:val="left"/>
        <w:rPr>
          <w:rFonts w:hAnsi="宋体" w:cs="宋体"/>
          <w:color w:val="auto"/>
          <w:sz w:val="32"/>
          <w:szCs w:val="32"/>
          <w:highlight w:val="none"/>
        </w:rPr>
      </w:pPr>
    </w:p>
    <w:p w14:paraId="65FC4C9D">
      <w:pPr>
        <w:pStyle w:val="18"/>
        <w:jc w:val="left"/>
        <w:rPr>
          <w:rFonts w:hAnsi="宋体" w:cs="宋体"/>
          <w:color w:val="auto"/>
          <w:sz w:val="32"/>
          <w:szCs w:val="32"/>
          <w:highlight w:val="none"/>
        </w:rPr>
      </w:pPr>
    </w:p>
    <w:p w14:paraId="1B142078">
      <w:pPr>
        <w:pStyle w:val="18"/>
        <w:jc w:val="left"/>
        <w:rPr>
          <w:rFonts w:hAnsi="宋体" w:cs="宋体"/>
          <w:color w:val="auto"/>
          <w:sz w:val="32"/>
          <w:szCs w:val="32"/>
          <w:highlight w:val="none"/>
        </w:rPr>
      </w:pPr>
    </w:p>
    <w:p w14:paraId="6E2E519D">
      <w:pPr>
        <w:pStyle w:val="18"/>
        <w:jc w:val="left"/>
        <w:rPr>
          <w:rFonts w:hAnsi="宋体" w:cs="宋体"/>
          <w:color w:val="auto"/>
          <w:sz w:val="32"/>
          <w:szCs w:val="32"/>
          <w:highlight w:val="none"/>
        </w:rPr>
      </w:pPr>
    </w:p>
    <w:p w14:paraId="01FDF2D1">
      <w:pPr>
        <w:pStyle w:val="18"/>
        <w:jc w:val="left"/>
        <w:rPr>
          <w:rFonts w:hAnsi="宋体" w:cs="宋体"/>
          <w:color w:val="auto"/>
          <w:sz w:val="32"/>
          <w:szCs w:val="32"/>
          <w:highlight w:val="none"/>
        </w:rPr>
      </w:pPr>
    </w:p>
    <w:p w14:paraId="0658FC4B">
      <w:pPr>
        <w:pStyle w:val="18"/>
        <w:jc w:val="left"/>
        <w:rPr>
          <w:rFonts w:hAnsi="宋体" w:cs="宋体"/>
          <w:color w:val="auto"/>
          <w:sz w:val="32"/>
          <w:szCs w:val="32"/>
          <w:highlight w:val="none"/>
        </w:rPr>
      </w:pPr>
    </w:p>
    <w:p w14:paraId="1ED37DDA">
      <w:pPr>
        <w:pStyle w:val="18"/>
        <w:jc w:val="left"/>
        <w:rPr>
          <w:rFonts w:hAnsi="宋体" w:cs="宋体"/>
          <w:color w:val="auto"/>
          <w:sz w:val="32"/>
          <w:szCs w:val="32"/>
          <w:highlight w:val="none"/>
        </w:rPr>
      </w:pPr>
    </w:p>
    <w:p w14:paraId="328FCBEF">
      <w:pPr>
        <w:pStyle w:val="18"/>
        <w:jc w:val="left"/>
        <w:rPr>
          <w:rFonts w:hAnsi="宋体" w:cs="宋体"/>
          <w:color w:val="auto"/>
          <w:sz w:val="32"/>
          <w:szCs w:val="32"/>
          <w:highlight w:val="none"/>
        </w:rPr>
      </w:pPr>
    </w:p>
    <w:p w14:paraId="518F5FCF">
      <w:pPr>
        <w:pStyle w:val="18"/>
        <w:jc w:val="left"/>
        <w:rPr>
          <w:rFonts w:hAnsi="宋体" w:cs="宋体"/>
          <w:color w:val="auto"/>
          <w:sz w:val="32"/>
          <w:szCs w:val="32"/>
          <w:highlight w:val="none"/>
        </w:rPr>
      </w:pPr>
      <w:r>
        <w:rPr>
          <w:rFonts w:hint="eastAsia" w:hAnsi="宋体" w:cs="宋体"/>
          <w:color w:val="auto"/>
          <w:sz w:val="32"/>
          <w:szCs w:val="32"/>
          <w:highlight w:val="none"/>
        </w:rPr>
        <w:t>附件1：</w:t>
      </w:r>
    </w:p>
    <w:p w14:paraId="045B7171">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32"/>
        <w:tblW w:w="9497" w:type="dxa"/>
        <w:jc w:val="center"/>
        <w:tblLayout w:type="fixed"/>
        <w:tblCellMar>
          <w:top w:w="0" w:type="dxa"/>
          <w:left w:w="108" w:type="dxa"/>
          <w:bottom w:w="0" w:type="dxa"/>
          <w:right w:w="108" w:type="dxa"/>
        </w:tblCellMar>
      </w:tblPr>
      <w:tblGrid>
        <w:gridCol w:w="1985"/>
        <w:gridCol w:w="1984"/>
        <w:gridCol w:w="851"/>
        <w:gridCol w:w="1842"/>
        <w:gridCol w:w="1701"/>
        <w:gridCol w:w="1134"/>
      </w:tblGrid>
      <w:tr w14:paraId="464FFE00">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31BA0C4">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vAlign w:val="center"/>
          </w:tcPr>
          <w:p w14:paraId="15F35932">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33B18C69">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3D64694B">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50283138">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30F51C6B">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163EA7B">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05D02AA2">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vAlign w:val="center"/>
          </w:tcPr>
          <w:p w14:paraId="1E003A2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9C3D7F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93FF00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64E6F35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0B12F59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E4D8C2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12767F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vAlign w:val="center"/>
          </w:tcPr>
          <w:p w14:paraId="7FCC758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1C58D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2C3800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51146FD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813E53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2CC368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0079DB3">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F399F7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0A75DF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FCD90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2C3B8C4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03828F9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429464E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F53BCBE">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vAlign w:val="center"/>
          </w:tcPr>
          <w:p w14:paraId="3A7CA29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A770F7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49A1F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47C7A80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5186FC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F074B08">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1F0A38D">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7BF2EB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C6F074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A780E5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1ACB9C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104AC22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5915E51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5D624D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vAlign w:val="center"/>
          </w:tcPr>
          <w:p w14:paraId="3350D3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EC25BA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14334F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4A53C80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0B2D04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408F39D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80304E4">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6DF6EA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4A3DB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D1A1CC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2DCF33C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0101E3D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593E36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51AB2C3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vAlign w:val="center"/>
          </w:tcPr>
          <w:p w14:paraId="2ECD603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7F0734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E8309B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0419722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5F3DEC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D28F07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58744EC">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16C0A8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8DC62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9C1DF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6D9A11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4A933A1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C78B6C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69D7964">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vAlign w:val="center"/>
          </w:tcPr>
          <w:p w14:paraId="1246D6B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2A7AE7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5DC63A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62E8748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ACC58D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D412D5F">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E08AA24">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D73E33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1E1BC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7BFFF7A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25CDC7F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627D55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16BF02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8768C1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vAlign w:val="center"/>
          </w:tcPr>
          <w:p w14:paraId="06EA6FC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ACF226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276870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6CA1CB2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15FB36A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D89422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4E8889F">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67CDF2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2E402E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04F73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6317F9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29BCDD79">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14921D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5BC7C4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vAlign w:val="center"/>
          </w:tcPr>
          <w:p w14:paraId="4AF9B2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84FFC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F961B5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1CA3502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40463AC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EE369A">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DA3BDCC">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DB517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758FB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BAD4AB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0218C3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0B16775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5E17E5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8B1A08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vAlign w:val="center"/>
          </w:tcPr>
          <w:p w14:paraId="2168500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9D224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DE0A8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3EB63D6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05EF4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8EE03C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6B98A3B">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06F8C81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1121A96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36B7B2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5D5F5DC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2E9C9A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1B89567">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E12B311">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vAlign w:val="center"/>
          </w:tcPr>
          <w:p w14:paraId="5E6C769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20EF3A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2A5EAE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0231008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CEE016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D7FA28B">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14857BF">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2F5B379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97089B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D5F7CC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6343D070">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3BA03E37">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AFA5BBB">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748B6AC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vAlign w:val="center"/>
          </w:tcPr>
          <w:p w14:paraId="238D8F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08D51D7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2D8A56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7C4DBF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DB95B8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A4C36E7">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519E0C85">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753204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B096A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357F5F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6083E5D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3F152C2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0B72C1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48E3081F">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vAlign w:val="center"/>
          </w:tcPr>
          <w:p w14:paraId="48BB5CA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6DF941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A41337C">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26102E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EBA00A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57BFE9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E22E450">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1B9DC4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E7DC5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A1FF62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0733588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57D87136">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E4181D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20E35FEB">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vAlign w:val="center"/>
          </w:tcPr>
          <w:p w14:paraId="4DE38B8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D6C3C4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C51CDF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5956F92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78A071F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8B2742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21F4FC0">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3643647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2733DC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A157C0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154484C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00A72E9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0E3C214E">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611FB3B8">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vAlign w:val="center"/>
          </w:tcPr>
          <w:p w14:paraId="183E893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2233D1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CEBEF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525A7D4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748430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149A065">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33D67232">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44E7BF3B">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9A016D3">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D984EB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3710361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03F8F7D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5C86FD3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vAlign w:val="bottom"/>
          </w:tcPr>
          <w:p w14:paraId="009B04A2">
            <w:pPr>
              <w:widowControl/>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vAlign w:val="center"/>
          </w:tcPr>
          <w:p w14:paraId="560D68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B68740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1383EC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75CC68D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DE02F6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DE9A5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1AE45A2">
            <w:pPr>
              <w:widowControl/>
              <w:jc w:val="left"/>
              <w:rPr>
                <w:rFonts w:ascii="宋体" w:hAnsi="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vAlign w:val="center"/>
          </w:tcPr>
          <w:p w14:paraId="55B23955">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314E57C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58A6EB2">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4AC570BD">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1382E6D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B43A13A">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vAlign w:val="bottom"/>
          </w:tcPr>
          <w:p w14:paraId="39D34249">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vAlign w:val="center"/>
          </w:tcPr>
          <w:p w14:paraId="78A2C614">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795EC1F">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D9028AA">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4E7505E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A71652E">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C8D104E">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宋体" w:hAnsi="宋体" w:cs="宋体"/>
          <w:color w:val="auto"/>
          <w:szCs w:val="21"/>
          <w:highlight w:val="none"/>
        </w:rPr>
        <w:tab/>
      </w:r>
      <w:r>
        <w:rPr>
          <w:rFonts w:hint="eastAsia" w:ascii="宋体" w:hAnsi="宋体" w:cs="宋体"/>
          <w:color w:val="auto"/>
          <w:szCs w:val="21"/>
          <w:highlight w:val="none"/>
        </w:rPr>
        <w:t>。</w:t>
      </w:r>
    </w:p>
    <w:p w14:paraId="6AB738E8">
      <w:pPr>
        <w:tabs>
          <w:tab w:val="left" w:pos="180"/>
          <w:tab w:val="left" w:pos="1620"/>
        </w:tabs>
        <w:spacing w:line="440" w:lineRule="exact"/>
        <w:ind w:firstLine="480" w:firstLineChars="200"/>
        <w:rPr>
          <w:rFonts w:ascii="宋体" w:hAnsi="宋体" w:cs="宋体"/>
          <w:color w:val="auto"/>
          <w:sz w:val="24"/>
          <w:highlight w:val="none"/>
        </w:rPr>
      </w:pPr>
    </w:p>
    <w:p w14:paraId="120EFB71">
      <w:pPr>
        <w:pStyle w:val="31"/>
        <w:ind w:firstLine="480"/>
        <w:rPr>
          <w:rFonts w:ascii="宋体" w:hAnsi="宋体" w:eastAsia="宋体" w:cs="宋体"/>
          <w:color w:val="auto"/>
          <w:sz w:val="24"/>
          <w:highlight w:val="none"/>
        </w:rPr>
      </w:pPr>
    </w:p>
    <w:p w14:paraId="63D0EBC0">
      <w:pPr>
        <w:pStyle w:val="4"/>
        <w:jc w:val="center"/>
        <w:rPr>
          <w:rFonts w:ascii="宋体" w:hAnsi="宋体" w:cs="宋体"/>
          <w:color w:val="auto"/>
          <w:highlight w:val="none"/>
        </w:rPr>
      </w:pPr>
      <w:bookmarkStart w:id="68" w:name="_Toc24265"/>
      <w:bookmarkStart w:id="69" w:name="_Toc489"/>
      <w:r>
        <w:rPr>
          <w:rFonts w:hint="eastAsia" w:ascii="宋体" w:hAnsi="宋体" w:cs="宋体"/>
          <w:color w:val="auto"/>
          <w:highlight w:val="none"/>
        </w:rPr>
        <w:t>第四章  评审程序、评审方法和评审标准</w:t>
      </w:r>
      <w:bookmarkEnd w:id="68"/>
      <w:bookmarkEnd w:id="69"/>
    </w:p>
    <w:p w14:paraId="60F10C7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1A77809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758D72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1.1响应文件开启后，磋商小组依法对供应商的资格证明文件进行审查。</w:t>
      </w:r>
    </w:p>
    <w:p w14:paraId="4E632210">
      <w:pPr>
        <w:spacing w:line="360" w:lineRule="auto"/>
        <w:rPr>
          <w:rFonts w:ascii="宋体" w:hAnsi="宋体" w:cs="宋体"/>
          <w:color w:val="auto"/>
          <w:sz w:val="24"/>
          <w:highlight w:val="none"/>
        </w:rPr>
      </w:pPr>
      <w:r>
        <w:rPr>
          <w:rFonts w:hint="eastAsia" w:ascii="宋体" w:hAnsi="宋体" w:cs="宋体"/>
          <w:color w:val="auto"/>
          <w:sz w:val="24"/>
          <w:highlight w:val="none"/>
        </w:rPr>
        <w:t>注：资格审查小组在资格审查结束前，对供应商进行信用查询。</w:t>
      </w:r>
    </w:p>
    <w:p w14:paraId="4C1E8C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（1）查询渠道：“广西政府采购云平台”平台“信用中国”网站(www.creditchina.gov.cn)、中国政府采购网(www.ccgp.gov.cn)链接入口。</w:t>
      </w:r>
    </w:p>
    <w:p w14:paraId="4AF9C4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（2）信用查询截止时点：资格审查结束前。</w:t>
      </w:r>
    </w:p>
    <w:p w14:paraId="6AEEDB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（3）查询记录和证据留存方式：在查询网站中直接查询，截图另存为电子文档作为评审资料保存。</w:t>
      </w:r>
    </w:p>
    <w:p w14:paraId="6865EF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29AC31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1.2资格审查标准为本磋商文件中载明对供应商资格要求的条件。资格审查采用合格制，凡符合磋商文件规定的供应商资格要求的响应文件均通过资格审查。</w:t>
      </w:r>
    </w:p>
    <w:p w14:paraId="4DF413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1.3供应商有下列情形之一的，资格审查不通过，其响应文件按无效响应处理：</w:t>
      </w:r>
    </w:p>
    <w:p w14:paraId="2789F1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（1）不具备磋商文件中规定的资格要求的；</w:t>
      </w:r>
    </w:p>
    <w:p w14:paraId="720FB5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（2）响应文件未提供任一项“供应商须知前附表”资格证明文件规定的“必须提供”的文件资料的；</w:t>
      </w:r>
    </w:p>
    <w:p w14:paraId="5FA735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（3）响应文件提供的资格证明文件出现任一项不符合“供应商须知前附表”资格证明文件规定的“必须提供”的文件资料要求或者无效的。</w:t>
      </w:r>
    </w:p>
    <w:p w14:paraId="2CAFDC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1.4通过资格审查的合格供应商不足3家的，不得进入符合性审查环节，采购人或者采购代理机构应当重新开展采购活动。</w:t>
      </w:r>
    </w:p>
    <w:p w14:paraId="71AA526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2E28B6C0">
      <w:pPr>
        <w:spacing w:line="360" w:lineRule="auto"/>
        <w:ind w:firstLine="480" w:firstLineChars="200"/>
        <w:rPr>
          <w:rFonts w:ascii="宋体" w:hAnsi="宋体" w:cs="宋体"/>
          <w:color w:val="auto"/>
          <w:sz w:val="24"/>
          <w:highlight w:val="none"/>
        </w:rPr>
      </w:pPr>
      <w:bookmarkStart w:id="70" w:name="_Hlk42528882"/>
      <w:r>
        <w:rPr>
          <w:rFonts w:hint="eastAsia" w:ascii="宋体" w:hAnsi="宋体" w:cs="宋体"/>
          <w:color w:val="auto"/>
          <w:sz w:val="24"/>
          <w:highlight w:val="none"/>
        </w:rPr>
        <w:t>2.1由磋商小组对通过资格审查的合格供应商的响应文件的竞标报价、商务、技术等实质性要求进行符合性审查，以确定其是否满足磋商文件的实质性要求。</w:t>
      </w:r>
    </w:p>
    <w:bookmarkEnd w:id="70"/>
    <w:p w14:paraId="6AF7C2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EED2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 w:val="24"/>
          <w:highlight w:val="none"/>
        </w:rPr>
        <w:t>若委托代理人不是响应文件中授权的委托代理人时，必须同时出示有效的法定代表人授权委托书原件</w:t>
      </w:r>
      <w:r>
        <w:rPr>
          <w:rFonts w:hint="eastAsia" w:ascii="宋体" w:hAnsi="宋体" w:cs="宋体"/>
          <w:color w:val="auto"/>
          <w:sz w:val="24"/>
          <w:highlight w:val="none"/>
        </w:rPr>
        <w:t>。供应商为自然人的，必须由本人签字并附身份证明。</w:t>
      </w:r>
    </w:p>
    <w:p w14:paraId="0E2130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2.4首次响应文件报价出现前后不一致的，按照下列规定修正： </w:t>
      </w:r>
    </w:p>
    <w:p w14:paraId="2A4394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（1）响应文件中报价表内容与响应文件中相应内容不一致的，以报价表为准；</w:t>
      </w:r>
    </w:p>
    <w:p w14:paraId="7DB55E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31F09D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（3）单价金额小数点或者百分比有明显错位的，以报价表的总价为准，并修改单价；</w:t>
      </w:r>
    </w:p>
    <w:p w14:paraId="76DBC6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684EE8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同时出现两种以上不一致的，按照以上（1）-（4）规定的顺序逐条进行修正。修正后的报价经供应商确认后产生约束力，供应商不确认的，其响应文件按无效响应处理。</w:t>
      </w:r>
    </w:p>
    <w:p w14:paraId="3642A7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2.5商务技术报价评审</w:t>
      </w:r>
    </w:p>
    <w:p w14:paraId="361506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在评审时，如发现下列情形之一的，将被视为响应文件无效处理：</w:t>
      </w:r>
    </w:p>
    <w:p w14:paraId="5FA82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（1）商务技术评审</w:t>
      </w:r>
    </w:p>
    <w:p w14:paraId="513816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1）响应文件未按磋商文件要求签署、盖章；</w:t>
      </w:r>
    </w:p>
    <w:p w14:paraId="6FC4CC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2）响应文件未提供任一项“供应商须知前附表” 报价商务技术文件中 “必须提供”或者“委托时必须提供”的文件资料；响应文件提供的报价商务技术文件出现任一项不符合“供应商须知前附表” 报价商务技术文件中 “必须提供”文件资料要求的规定或者提供的报价商务技术文件无效。</w:t>
      </w:r>
    </w:p>
    <w:p w14:paraId="6BD8B3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3）商务条款中标“▲”的条款发生负偏离的或者允许负偏离的条款数超过“供应商须知前附表”规定项数的或者标明实质性的要求发生负偏离；</w:t>
      </w:r>
    </w:p>
    <w:p w14:paraId="7378C1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4）未对竞标有效期作出响应或者响应文件承诺的竞标有效期不满足磋商文件要求；</w:t>
      </w:r>
    </w:p>
    <w:p w14:paraId="7AAB2A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5）响应文件的实质性内容未使用中文表述、使用计量单位不符合磋商文件要求；</w:t>
      </w:r>
    </w:p>
    <w:p w14:paraId="13872E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6）响应文件中的文件资料因填写不齐全或者内容虚假或者出现其他情形而导致被磋商小组认定无效；</w:t>
      </w:r>
    </w:p>
    <w:p w14:paraId="44139A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7）响应文件含有采购人不能接受的附加条件；</w:t>
      </w:r>
    </w:p>
    <w:p w14:paraId="3F2637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8）属于“供应商须知正文”第7.5条情形；</w:t>
      </w:r>
    </w:p>
    <w:p w14:paraId="3820E7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9）明显不满足磋商文件要求的技术规格、安全、质量标准，或者与磋商文件中标“▲”的技术需求或者标明实质性的要求发生负偏离；</w:t>
      </w:r>
    </w:p>
    <w:p w14:paraId="6169DE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10）技术需求允许负偏离的条款数超过“供应商须知前附表”规定项数；</w:t>
      </w:r>
    </w:p>
    <w:p w14:paraId="357DF0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11）竞标技术方案不明确，磋商文件未允许但响应文件中存在一个或者一个以上备选（替代）竞标方案；</w:t>
      </w:r>
    </w:p>
    <w:p w14:paraId="3B80D5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12）未响应磋商文件实质性要求；</w:t>
      </w:r>
    </w:p>
    <w:p w14:paraId="588444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13）法律、法规和磋商文件规定的其他无效情形。</w:t>
      </w:r>
    </w:p>
    <w:p w14:paraId="653E95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（2）报价评审</w:t>
      </w:r>
    </w:p>
    <w:p w14:paraId="2CEBA6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响应文件未提供“供应商须知前附表” 报价商务技术文件中规定的“竞标报价表”；</w:t>
      </w:r>
    </w:p>
    <w:p w14:paraId="674FCC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2）未采用人民币报价或者未按照磋商文件标明的币种报价；</w:t>
      </w:r>
    </w:p>
    <w:p w14:paraId="7B6F8A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122B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4）竞标报价（包含首次报价、最后报价）超过所竞标分标规定的采购预算金额或者最高限价的（如本项目公布了最高限价）；</w:t>
      </w:r>
      <w:bookmarkStart w:id="71" w:name="_Hlk42596405"/>
      <w:r>
        <w:rPr>
          <w:rFonts w:hint="eastAsia" w:ascii="宋体" w:hAnsi="宋体" w:cs="宋体"/>
          <w:color w:val="auto"/>
          <w:sz w:val="24"/>
          <w:highlight w:val="none"/>
        </w:rPr>
        <w:t>竞标报价（包含首次报价、最后报价）</w:t>
      </w:r>
      <w:bookmarkEnd w:id="71"/>
      <w:bookmarkStart w:id="72" w:name="_Hlk42596276"/>
      <w:r>
        <w:rPr>
          <w:rFonts w:hint="eastAsia" w:ascii="宋体" w:hAnsi="宋体" w:cs="宋体"/>
          <w:color w:val="auto"/>
          <w:sz w:val="24"/>
          <w:highlight w:val="none"/>
        </w:rPr>
        <w:t>超过磋商文件分项采购预算金额或者最高限价的</w:t>
      </w:r>
      <w:bookmarkEnd w:id="72"/>
      <w:r>
        <w:rPr>
          <w:rFonts w:hint="eastAsia" w:ascii="宋体" w:hAnsi="宋体" w:cs="宋体"/>
          <w:color w:val="auto"/>
          <w:sz w:val="24"/>
          <w:highlight w:val="none"/>
        </w:rPr>
        <w:t>（如本项目公布了最高限价）；</w:t>
      </w:r>
    </w:p>
    <w:p w14:paraId="2C9FC7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08B32D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5CE8E2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2.7通过符合性审查的合格供应商不足3家的，不得进入磋商环节，采购人或者采购代理机构应当重新开展采购活动。</w:t>
      </w:r>
    </w:p>
    <w:p w14:paraId="6D4B9B8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w:t>
      </w:r>
    </w:p>
    <w:p w14:paraId="089AB2C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3.1磋商的程序</w:t>
      </w:r>
    </w:p>
    <w:p w14:paraId="31C97E98">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（1）在磋商开始时间截止后30分钟内由各供应商自行对磋商响应文件进行解密；</w:t>
      </w:r>
    </w:p>
    <w:p w14:paraId="1A0A6231">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（2）由资格审查小组对供应商进行资格审查；</w:t>
      </w:r>
    </w:p>
    <w:p w14:paraId="1B65A488">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（3）由磋商小组对通过资格审查的供应商进行符合性审查，审查结束后，在线通知无效磋商供应商磋商响应文件无效理由，有效磋商供应商进入磋商程序。</w:t>
      </w:r>
    </w:p>
    <w:p w14:paraId="2565A7C3">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（4）系统对各供应商的商务技术进行汇总；</w:t>
      </w:r>
    </w:p>
    <w:p w14:paraId="47E199B7">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（5）磋商小组所有成员应当集中与单一供应商分别进行在线磋商，并给予所有参加磋商的供应商平等的磋商机会。</w:t>
      </w:r>
    </w:p>
    <w:p w14:paraId="34D2CBF6">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6）当磋商小组一致确定供应商的竞争性磋商响应文件能够详细列明采购标的的技术、服务要求且符合竞争性磋商文件要求，无需再磋商的，磋商小组按磋商评审标准确定成交候选供应商。第一轮磋商后竞争性磋商文件有实质性变动或仍需磋商的，磋商小组对竞争性磋商文件变动或提出磋商意见后进行第二轮磋商。</w:t>
      </w:r>
    </w:p>
    <w:p w14:paraId="15E764FA">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3.2竞争性磋商文件变动</w:t>
      </w:r>
    </w:p>
    <w:p w14:paraId="69197EAB">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⑴第一轮磋商结束后，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121D5AA3">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对竞争性磋商文件作出的实质性变动是竞争性磋商文件的有效组成部分，磋商小组应当在询标规定时间内及时通知所有参加磋商的供应商，并要求供应商做出响应（需盖 CA 电子签章）。</w:t>
      </w:r>
    </w:p>
    <w:p w14:paraId="0B2AE401">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3.3第二轮磋商</w:t>
      </w:r>
    </w:p>
    <w:p w14:paraId="0779A41A">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3.3.1磋商小组集中就重新提交的响应材料或磋商小组提出的磋商意见与单一响应供应商分别进行在线磋商。</w:t>
      </w:r>
    </w:p>
    <w:p w14:paraId="60993397">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3.3.2磋商后，在询标规定时间内供应商根据磋商小组统一整理的磋商记录要求做出承诺（需盖 CA 电子签章）。</w:t>
      </w:r>
    </w:p>
    <w:p w14:paraId="705CFFE5">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3.3.3当磋商小组一致确定供应商的竞争性磋商响应文件能够详细列明采购标的的技术、服务要求且符合竞争性磋商文件要求，无需再磋商的，磋商小组按 磋商评审标准确定成交候选供应商。第二轮磋商后竞争性磋商文件仍有实质性变动的或仍需磋商的，磋商小组对竞争性磋商文件变动或提出磋商意见后进行第三轮磋商。以此类推。</w:t>
      </w:r>
    </w:p>
    <w:p w14:paraId="3AD1DE71">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3.3.4特别说明</w:t>
      </w:r>
    </w:p>
    <w:p w14:paraId="204F5E68">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（1）广西政府采购云平台公司如对电子化开标及评审程序有调整的，按调整后的程序操作。</w:t>
      </w:r>
    </w:p>
    <w:p w14:paraId="1FE58EF4">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（2）磋商评审在严格保密的情况下进行，磋商的任何一方不得透露与磋商有关的其他供应商的技术资料、价格和其他信息。</w:t>
      </w:r>
    </w:p>
    <w:p w14:paraId="44A9F1F2">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（3）电子磋商过程中需要供应商在线确认的所有内容，供应商不予确认的应说明理由，超过规定时间未确认的，将被视为放弃确认或者无异议。</w:t>
      </w:r>
    </w:p>
    <w:p w14:paraId="46B399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澄清问题的形式：对响应文件中含义不明确、同类问题表述不一致或者有明显文字和计算错误的内容，磋商小组可要求供应商作出必要的澄清、说明或者纠正，供应商应在询标规定时间内进行澄清或说明（需盖 CA 电子签章），并不得超出采购文件的范围或者改变磋商响应文件的实质性内容。</w:t>
      </w:r>
    </w:p>
    <w:p w14:paraId="73127DA8">
      <w:pPr>
        <w:widowControl/>
        <w:tabs>
          <w:tab w:val="left" w:pos="54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3.4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76B8EAB">
      <w:pPr>
        <w:tabs>
          <w:tab w:val="left" w:pos="283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3.5对磋商过程提交的响应文件进行有效性、完整性和响应程度审查，通过审查的合格供应商不足3家的，除本章第3.4条的情形外，采购人或者采购代理机构应当重新开展采购活动。</w:t>
      </w:r>
    </w:p>
    <w:p w14:paraId="644CFAAE">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4. 最后报价</w:t>
      </w:r>
    </w:p>
    <w:p w14:paraId="7839C6C4">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4.1磋商文件能够详细列明采购标的的技术、服务要求的，磋商结束后，由磋商小组要求所有继续参加磋商的供应商在规定时间内在线提交最后报价，由其法定代表人(负责人)或授权代表 CA 电子签章后提交。提交最后报价的供应商不得少于3家，除本章第4.3条外，否则必须重新采购。</w:t>
      </w:r>
    </w:p>
    <w:p w14:paraId="5B8B3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73FC1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33FE43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4.4供应商未在规定时间内提交最后报价的，视为退出磋商，其响应文件作无效处理。</w:t>
      </w:r>
    </w:p>
    <w:p w14:paraId="3C7494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4.5磋商小组收齐某一分标最后报价后统一开启，磋商小组对最后报价进行有效性、完整性和响应程度的审查。</w:t>
      </w:r>
    </w:p>
    <w:p w14:paraId="5F669B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4.6响应文件最后报价出现前后不一致的，按照本章第2.4条的规定修正。 </w:t>
      </w:r>
    </w:p>
    <w:p w14:paraId="7E6C67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4.7修正后的报价出现下列情形的，按无效响应处理：</w:t>
      </w:r>
    </w:p>
    <w:p w14:paraId="1FD6B2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（1）供应商不确认的；</w:t>
      </w:r>
    </w:p>
    <w:p w14:paraId="0A8918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（2）经供应商确认修正后的竞标报价（包含首次报价、最后报价）超过所竞标分标规定的采购预算金额或者最高限价的（如本项目公布了最高限价）；</w:t>
      </w:r>
    </w:p>
    <w:p w14:paraId="488E47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（3）经供应商确认修正后的竞标报价（包含首次报价、最后报价）超过分项采购预算金额或者最高限价的（如本项目公布了最高限价）。</w:t>
      </w:r>
    </w:p>
    <w:p w14:paraId="1569B3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4.8经供应商确认修正后的最后报价作为评审及签订合同的依据。</w:t>
      </w:r>
    </w:p>
    <w:p w14:paraId="131BDB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4.9最后报价结束后，磋商小组不得再与供应商进行任何形式的商谈。</w:t>
      </w:r>
    </w:p>
    <w:p w14:paraId="2EBC208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0238EAC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5.1评审方法：综合评分法。</w:t>
      </w:r>
    </w:p>
    <w:p w14:paraId="5C92D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5.2经磋商确定最终采购需求和提交最后报价的供应商后，由磋商小组采用综合评分法对提交最后报价的供应商的响应文件和最后报价进行综合评分。</w:t>
      </w:r>
    </w:p>
    <w:p w14:paraId="0846D3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5.3评审时，磋商小组各成员应当独立对每个有效响应的文件进行评价、打分，然后汇总每个供应商每项评分因素的得分。</w:t>
      </w:r>
    </w:p>
    <w:p w14:paraId="2034A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（1）磋商小组按照磋商文件中规定的评审标准计算各供应商的报价得分。项目评审过程中，不得去掉最后报价中的最高报价和最低报价。</w:t>
      </w:r>
    </w:p>
    <w:p w14:paraId="1FD643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（2）各供应商的得分为磋商小组所有成员的有效评分的算术平均数。</w:t>
      </w:r>
    </w:p>
    <w:p w14:paraId="79F448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5.4评审价为供应商的最后报价进行政策性扣除后的价格，评审价只是作为评审时使用。最终成交供应商的成交金额等于最后报价（如有修正，以确认修正后的最后报价为准）。</w:t>
      </w:r>
    </w:p>
    <w:p w14:paraId="2B8A2F9F">
      <w:pP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5.5由磋商小组根据综合评分情况，按照评审得分由高到低顺序推荐3名以上成交候选供应商，并编写评</w:t>
      </w:r>
      <w:r>
        <w:rPr>
          <w:rFonts w:hint="eastAsia" w:ascii="宋体" w:hAnsi="宋体" w:cs="宋体"/>
          <w:color w:val="auto"/>
          <w:kern w:val="0"/>
          <w:sz w:val="24"/>
          <w:highlight w:val="none"/>
        </w:rPr>
        <w:t>审报告。符合本章第4.3条情形的，可以推荐2家成交候选供应商。评审得分相同的，按照最后报价由低到高的顺序推荐。评审得分且最后报价相同的，按照技术指标优劣顺序推荐。</w:t>
      </w:r>
    </w:p>
    <w:p w14:paraId="6F51B403">
      <w:pPr>
        <w:spacing w:line="360" w:lineRule="auto"/>
        <w:ind w:firstLine="480" w:firstLineChars="200"/>
        <w:rPr>
          <w:rFonts w:ascii="宋体" w:hAnsi="宋体" w:cs="宋体"/>
          <w:color w:val="auto"/>
          <w:szCs w:val="21"/>
          <w:highlight w:val="none"/>
        </w:rPr>
      </w:pPr>
      <w:r>
        <w:rPr>
          <w:rFonts w:hint="eastAsia" w:ascii="宋体" w:hAnsi="宋体" w:cs="宋体"/>
          <w:color w:val="auto"/>
          <w:kern w:val="0"/>
          <w:sz w:val="24"/>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C73BB5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二、评审标准</w:t>
      </w:r>
    </w:p>
    <w:tbl>
      <w:tblPr>
        <w:tblStyle w:val="32"/>
        <w:tblW w:w="52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859"/>
        <w:gridCol w:w="6772"/>
        <w:gridCol w:w="960"/>
      </w:tblGrid>
      <w:tr w14:paraId="637E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6" w:type="pct"/>
            <w:vAlign w:val="center"/>
          </w:tcPr>
          <w:p w14:paraId="6EE6FA4E">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902" w:type="pct"/>
            <w:vAlign w:val="center"/>
          </w:tcPr>
          <w:p w14:paraId="2E1D6C49">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评审因素</w:t>
            </w:r>
          </w:p>
        </w:tc>
        <w:tc>
          <w:tcPr>
            <w:tcW w:w="3286" w:type="pct"/>
            <w:vAlign w:val="center"/>
          </w:tcPr>
          <w:p w14:paraId="39D0005D">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评审因素具体内容</w:t>
            </w:r>
          </w:p>
        </w:tc>
        <w:tc>
          <w:tcPr>
            <w:tcW w:w="463" w:type="pct"/>
            <w:vAlign w:val="center"/>
          </w:tcPr>
          <w:p w14:paraId="7BAAD37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分值</w:t>
            </w:r>
          </w:p>
        </w:tc>
      </w:tr>
      <w:tr w14:paraId="3FC3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346" w:type="pct"/>
            <w:vAlign w:val="center"/>
          </w:tcPr>
          <w:p w14:paraId="02302B4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02" w:type="pct"/>
            <w:vAlign w:val="center"/>
          </w:tcPr>
          <w:p w14:paraId="0CF81629">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价格分</w:t>
            </w:r>
          </w:p>
          <w:p w14:paraId="2476E98E">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（满分10分）</w:t>
            </w:r>
          </w:p>
        </w:tc>
        <w:tc>
          <w:tcPr>
            <w:tcW w:w="3286" w:type="pct"/>
            <w:vAlign w:val="center"/>
          </w:tcPr>
          <w:p w14:paraId="00EAC213">
            <w:pPr>
              <w:rPr>
                <w:rFonts w:ascii="宋体" w:hAnsi="宋体" w:cs="宋体"/>
                <w:bCs/>
                <w:color w:val="auto"/>
                <w:sz w:val="24"/>
                <w:highlight w:val="none"/>
              </w:rPr>
            </w:pPr>
            <w:r>
              <w:rPr>
                <w:rFonts w:hint="eastAsia" w:ascii="宋体" w:hAnsi="宋体" w:cs="宋体"/>
                <w:bCs/>
                <w:color w:val="auto"/>
                <w:sz w:val="24"/>
                <w:highlight w:val="none"/>
              </w:rPr>
              <w:t>本项目属于非专门面向中小企业项目</w:t>
            </w:r>
          </w:p>
          <w:p w14:paraId="492400CC">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（1）评审价为供应商的最后报价进行政策性扣除后的价格，评审价只是作为评审时使用。最终成交供应商的成交金额等于最后报价（如有修正，以确认修正后的最后报价为准）。</w:t>
            </w:r>
          </w:p>
          <w:p w14:paraId="053F628D">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（2）价格评审优惠政策：</w:t>
            </w:r>
          </w:p>
          <w:p w14:paraId="6BB466AE">
            <w:pPr>
              <w:rPr>
                <w:rFonts w:ascii="宋体" w:hAnsi="宋体" w:cs="宋体"/>
                <w:bCs/>
                <w:color w:val="auto"/>
                <w:sz w:val="24"/>
                <w:highlight w:val="none"/>
              </w:rPr>
            </w:pPr>
            <w:r>
              <w:rPr>
                <w:rFonts w:hint="eastAsia" w:ascii="宋体" w:hAnsi="宋体" w:cs="宋体"/>
                <w:bCs/>
                <w:color w:val="auto"/>
                <w:sz w:val="24"/>
                <w:highlight w:val="none"/>
              </w:rPr>
              <w:t>根据《广西壮族自治区财政厅关于贯彻落实政府采购支持中小企业发展政策的通知》（桂财采〔2022〕31号）第三条第二、三款的规定，货物服务采购项目，给予小微企业20%的价格扣除，用扣除后的价格参加评审。大中型企业与小微企业组成联合体或者大中型企业向小微分包的采购项目，采购人、采购代理机构应当对联合体或者大中型企业的报价给予6%（货物服务项目为4%～6%）的扣除，用扣除后的价格（即评标报价）参加评审，即评标报价=投标报价×（1-价格扣除比例）；除上述情况外，评标报价=投标报价。</w:t>
            </w:r>
          </w:p>
          <w:p w14:paraId="02D4088B">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（2）按照《财政部、司法部关于政府采购支持监狱企业发展有关问题的通知》（财库〔2014〕68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1B585C31">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（3）按照《关于促进残疾人就业政府采购政策的通知》（财库〔2017〕141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 声明函》，并对声明的真实性负责。残疾人福利性单位属于小型、微型企业的，不重复享受政策。</w:t>
            </w:r>
          </w:p>
          <w:p w14:paraId="27D59746">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（4）以进入综合评分环节的最低的评标报价为基准价，基准价报价得分为10分。</w:t>
            </w:r>
          </w:p>
          <w:p w14:paraId="4819303F">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（5）价格分计算公式：</w:t>
            </w:r>
          </w:p>
          <w:p w14:paraId="095CB63C">
            <w:pPr>
              <w:ind w:firstLine="480" w:firstLineChars="200"/>
              <w:rPr>
                <w:rFonts w:ascii="宋体" w:hAnsi="宋体" w:cs="宋体"/>
                <w:bCs/>
                <w:color w:val="auto"/>
                <w:sz w:val="24"/>
                <w:highlight w:val="none"/>
              </w:rPr>
            </w:pPr>
            <w:r>
              <w:rPr>
                <w:rFonts w:hint="eastAsia" w:ascii="宋体" w:hAnsi="宋体" w:cs="宋体"/>
                <w:bCs/>
                <w:color w:val="auto"/>
                <w:sz w:val="24"/>
                <w:highlight w:val="none"/>
              </w:rPr>
              <w:t>价格分=(评标基准价／评标报价)×10 分</w:t>
            </w:r>
          </w:p>
        </w:tc>
        <w:tc>
          <w:tcPr>
            <w:tcW w:w="463" w:type="pct"/>
            <w:vAlign w:val="center"/>
          </w:tcPr>
          <w:p w14:paraId="44C7CB00">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10分</w:t>
            </w:r>
          </w:p>
        </w:tc>
      </w:tr>
      <w:tr w14:paraId="49CD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46" w:type="pct"/>
            <w:vAlign w:val="center"/>
          </w:tcPr>
          <w:p w14:paraId="50496511">
            <w:pPr>
              <w:widowControl/>
              <w:spacing w:line="360" w:lineRule="auto"/>
              <w:jc w:val="center"/>
              <w:rPr>
                <w:rFonts w:ascii="宋体" w:hAnsi="宋体" w:cs="宋体"/>
                <w:color w:val="auto"/>
                <w:kern w:val="0"/>
                <w:sz w:val="24"/>
                <w:highlight w:val="none"/>
              </w:rPr>
            </w:pPr>
            <w:r>
              <w:rPr>
                <w:rFonts w:hint="eastAsia" w:ascii="宋体" w:hAnsi="宋体" w:cs="宋体"/>
                <w:bCs/>
                <w:color w:val="auto"/>
                <w:kern w:val="0"/>
                <w:sz w:val="24"/>
                <w:highlight w:val="none"/>
              </w:rPr>
              <w:t>2</w:t>
            </w:r>
          </w:p>
        </w:tc>
        <w:tc>
          <w:tcPr>
            <w:tcW w:w="902" w:type="pct"/>
            <w:vAlign w:val="center"/>
          </w:tcPr>
          <w:p w14:paraId="2AB71C69">
            <w:pPr>
              <w:widowControl/>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技术分</w:t>
            </w:r>
          </w:p>
          <w:p w14:paraId="4DC9BCD0">
            <w:pPr>
              <w:widowControl/>
              <w:spacing w:line="360" w:lineRule="auto"/>
              <w:jc w:val="center"/>
              <w:rPr>
                <w:rFonts w:ascii="宋体" w:hAnsi="宋体" w:cs="宋体"/>
                <w:color w:val="auto"/>
                <w:kern w:val="0"/>
                <w:sz w:val="24"/>
                <w:highlight w:val="none"/>
              </w:rPr>
            </w:pPr>
            <w:r>
              <w:rPr>
                <w:rFonts w:hint="eastAsia" w:ascii="宋体" w:hAnsi="宋体" w:cs="宋体"/>
                <w:bCs/>
                <w:color w:val="auto"/>
                <w:sz w:val="24"/>
                <w:highlight w:val="none"/>
              </w:rPr>
              <w:t>（满分70分）</w:t>
            </w:r>
          </w:p>
        </w:tc>
        <w:tc>
          <w:tcPr>
            <w:tcW w:w="3286" w:type="pct"/>
            <w:vAlign w:val="center"/>
          </w:tcPr>
          <w:p w14:paraId="4F5D5B2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评审因素</w:t>
            </w:r>
          </w:p>
        </w:tc>
        <w:tc>
          <w:tcPr>
            <w:tcW w:w="463" w:type="pct"/>
            <w:vAlign w:val="center"/>
          </w:tcPr>
          <w:p w14:paraId="4B7E5D4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70分</w:t>
            </w:r>
          </w:p>
        </w:tc>
      </w:tr>
      <w:tr w14:paraId="4A54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46" w:type="pct"/>
            <w:vAlign w:val="center"/>
          </w:tcPr>
          <w:p w14:paraId="633E04F8">
            <w:pPr>
              <w:adjustRightInd w:val="0"/>
              <w:spacing w:line="360" w:lineRule="auto"/>
              <w:ind w:left="-105" w:leftChars="-50" w:right="-105" w:rightChars="-50"/>
              <w:jc w:val="center"/>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2.1</w:t>
            </w:r>
          </w:p>
        </w:tc>
        <w:tc>
          <w:tcPr>
            <w:tcW w:w="902" w:type="pct"/>
            <w:vAlign w:val="center"/>
          </w:tcPr>
          <w:p w14:paraId="5D5192C1">
            <w:pPr>
              <w:adjustRightInd w:val="0"/>
              <w:spacing w:line="360" w:lineRule="auto"/>
              <w:jc w:val="center"/>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对项目内容的分析理解</w:t>
            </w:r>
          </w:p>
          <w:p w14:paraId="1D77EF33">
            <w:pPr>
              <w:adjustRightInd w:val="0"/>
              <w:spacing w:line="360" w:lineRule="auto"/>
              <w:jc w:val="center"/>
              <w:textAlignment w:val="baseline"/>
              <w:rPr>
                <w:rFonts w:ascii="宋体" w:hAnsi="宋体" w:cs="宋体"/>
                <w:bCs/>
                <w:color w:val="auto"/>
                <w:kern w:val="0"/>
                <w:sz w:val="24"/>
                <w:highlight w:val="none"/>
              </w:rPr>
            </w:pPr>
          </w:p>
        </w:tc>
        <w:tc>
          <w:tcPr>
            <w:tcW w:w="3286" w:type="pct"/>
          </w:tcPr>
          <w:p w14:paraId="1D203F63">
            <w:pPr>
              <w:adjustRightInd w:val="0"/>
              <w:spacing w:line="360" w:lineRule="auto"/>
              <w:ind w:firstLine="480" w:firstLineChars="200"/>
              <w:jc w:val="left"/>
              <w:textAlignment w:val="baseline"/>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一档（</w:t>
            </w:r>
            <w:r>
              <w:rPr>
                <w:rFonts w:hint="eastAsia" w:ascii="宋体" w:hAnsi="宋体" w:cs="宋体"/>
                <w:bCs/>
                <w:color w:val="auto"/>
                <w:kern w:val="0"/>
                <w:sz w:val="24"/>
                <w:highlight w:val="none"/>
              </w:rPr>
              <w:t>4</w:t>
            </w:r>
            <w:r>
              <w:rPr>
                <w:rFonts w:ascii="宋体" w:hAnsi="宋体" w:cs="宋体"/>
                <w:bCs/>
                <w:color w:val="auto"/>
                <w:kern w:val="0"/>
                <w:sz w:val="24"/>
                <w:highlight w:val="none"/>
                <w:lang w:val="zh-CN"/>
              </w:rPr>
              <w:t>分）：</w:t>
            </w:r>
            <w:r>
              <w:rPr>
                <w:rFonts w:hint="eastAsia" w:ascii="宋体" w:hAnsi="宋体" w:cs="宋体"/>
                <w:bCs/>
                <w:color w:val="auto"/>
                <w:kern w:val="0"/>
                <w:sz w:val="24"/>
                <w:highlight w:val="none"/>
                <w:lang w:val="zh-CN"/>
              </w:rPr>
              <w:t>供应商</w:t>
            </w:r>
            <w:r>
              <w:rPr>
                <w:rFonts w:ascii="宋体" w:hAnsi="宋体" w:cs="宋体"/>
                <w:bCs/>
                <w:color w:val="auto"/>
                <w:kern w:val="0"/>
                <w:sz w:val="24"/>
                <w:highlight w:val="none"/>
                <w:lang w:val="zh-CN"/>
              </w:rPr>
              <w:t>没有</w:t>
            </w:r>
            <w:r>
              <w:rPr>
                <w:rFonts w:hint="eastAsia" w:ascii="宋体" w:hAnsi="宋体" w:cs="宋体"/>
                <w:bCs/>
                <w:color w:val="auto"/>
                <w:kern w:val="0"/>
                <w:sz w:val="24"/>
                <w:highlight w:val="none"/>
                <w:lang w:val="zh-CN"/>
              </w:rPr>
              <w:t>提供项目情况分析内容，或提供的项目分析情况内容不符合相关技术标准及</w:t>
            </w:r>
            <w:r>
              <w:rPr>
                <w:rFonts w:ascii="宋体" w:hAnsi="宋体" w:cs="宋体"/>
                <w:bCs/>
                <w:color w:val="auto"/>
                <w:kern w:val="0"/>
                <w:sz w:val="24"/>
                <w:highlight w:val="none"/>
                <w:lang w:val="zh-CN"/>
              </w:rPr>
              <w:t>规范</w:t>
            </w:r>
            <w:r>
              <w:rPr>
                <w:rFonts w:hint="eastAsia" w:ascii="宋体" w:hAnsi="宋体" w:cs="宋体"/>
                <w:bCs/>
                <w:color w:val="auto"/>
                <w:kern w:val="0"/>
                <w:sz w:val="24"/>
                <w:highlight w:val="none"/>
                <w:lang w:val="zh-CN"/>
              </w:rPr>
              <w:t>的要求</w:t>
            </w:r>
            <w:r>
              <w:rPr>
                <w:rFonts w:ascii="宋体" w:hAnsi="宋体" w:cs="宋体"/>
                <w:bCs/>
                <w:color w:val="auto"/>
                <w:kern w:val="0"/>
                <w:sz w:val="24"/>
                <w:highlight w:val="none"/>
                <w:lang w:val="zh-CN"/>
              </w:rPr>
              <w:t>；</w:t>
            </w:r>
          </w:p>
          <w:p w14:paraId="792C73DB">
            <w:pPr>
              <w:adjustRightInd w:val="0"/>
              <w:spacing w:line="360" w:lineRule="auto"/>
              <w:ind w:firstLine="480" w:firstLineChars="200"/>
              <w:jc w:val="left"/>
              <w:textAlignment w:val="baseline"/>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二档（</w:t>
            </w:r>
            <w:r>
              <w:rPr>
                <w:rFonts w:hint="eastAsia" w:ascii="宋体" w:hAnsi="宋体" w:cs="宋体"/>
                <w:bCs/>
                <w:color w:val="auto"/>
                <w:kern w:val="0"/>
                <w:sz w:val="24"/>
                <w:highlight w:val="none"/>
              </w:rPr>
              <w:t>8</w:t>
            </w:r>
            <w:r>
              <w:rPr>
                <w:rFonts w:ascii="宋体" w:hAnsi="宋体" w:cs="宋体"/>
                <w:bCs/>
                <w:color w:val="auto"/>
                <w:kern w:val="0"/>
                <w:sz w:val="24"/>
                <w:highlight w:val="none"/>
                <w:lang w:val="zh-CN"/>
              </w:rPr>
              <w:t>分）：</w:t>
            </w:r>
            <w:r>
              <w:rPr>
                <w:rFonts w:hint="eastAsia" w:ascii="宋体" w:hAnsi="宋体" w:cs="宋体"/>
                <w:bCs/>
                <w:color w:val="auto"/>
                <w:kern w:val="0"/>
                <w:sz w:val="24"/>
                <w:highlight w:val="none"/>
                <w:lang w:val="zh-CN"/>
              </w:rPr>
              <w:t>供应商有简单的项目情况分析内容</w:t>
            </w:r>
            <w:r>
              <w:rPr>
                <w:rFonts w:ascii="宋体" w:hAnsi="宋体" w:cs="宋体"/>
                <w:bCs/>
                <w:color w:val="auto"/>
                <w:kern w:val="0"/>
                <w:sz w:val="24"/>
                <w:highlight w:val="none"/>
                <w:lang w:val="zh-CN"/>
              </w:rPr>
              <w:t>，</w:t>
            </w:r>
            <w:r>
              <w:rPr>
                <w:rFonts w:hint="eastAsia" w:ascii="宋体" w:hAnsi="宋体" w:cs="宋体"/>
                <w:bCs/>
                <w:color w:val="auto"/>
                <w:kern w:val="0"/>
                <w:sz w:val="24"/>
                <w:highlight w:val="none"/>
                <w:lang w:val="zh-CN"/>
              </w:rPr>
              <w:t>能简单</w:t>
            </w:r>
            <w:r>
              <w:rPr>
                <w:rFonts w:ascii="宋体" w:hAnsi="宋体" w:cs="宋体"/>
                <w:bCs/>
                <w:color w:val="auto"/>
                <w:kern w:val="0"/>
                <w:sz w:val="24"/>
                <w:highlight w:val="none"/>
                <w:lang w:val="zh-CN"/>
              </w:rPr>
              <w:t>描述项目的</w:t>
            </w:r>
            <w:r>
              <w:rPr>
                <w:rFonts w:hint="eastAsia" w:ascii="宋体" w:hAnsi="宋体" w:cs="宋体"/>
                <w:bCs/>
                <w:color w:val="auto"/>
                <w:kern w:val="0"/>
                <w:sz w:val="24"/>
                <w:highlight w:val="none"/>
                <w:lang w:val="zh-CN"/>
              </w:rPr>
              <w:t>建设</w:t>
            </w:r>
            <w:r>
              <w:rPr>
                <w:rFonts w:ascii="宋体" w:hAnsi="宋体" w:cs="宋体"/>
                <w:bCs/>
                <w:color w:val="auto"/>
                <w:kern w:val="0"/>
                <w:sz w:val="24"/>
                <w:highlight w:val="none"/>
                <w:lang w:val="zh-CN"/>
              </w:rPr>
              <w:t>内容</w:t>
            </w: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建设目标；</w:t>
            </w:r>
          </w:p>
          <w:p w14:paraId="39658FEC">
            <w:pPr>
              <w:adjustRightInd w:val="0"/>
              <w:spacing w:line="360" w:lineRule="auto"/>
              <w:ind w:firstLine="480" w:firstLineChars="200"/>
              <w:jc w:val="left"/>
              <w:textAlignment w:val="baseline"/>
              <w:rPr>
                <w:rFonts w:ascii="宋体" w:hAnsi="宋体" w:cs="宋体"/>
                <w:bCs/>
                <w:color w:val="auto"/>
                <w:kern w:val="0"/>
                <w:sz w:val="24"/>
                <w:highlight w:val="none"/>
                <w:lang w:val="zh-CN"/>
              </w:rPr>
            </w:pPr>
            <w:r>
              <w:rPr>
                <w:rFonts w:hint="eastAsia" w:ascii="宋体" w:hAnsi="宋体" w:cs="宋体"/>
                <w:bCs/>
                <w:color w:val="auto"/>
                <w:kern w:val="0"/>
                <w:sz w:val="24"/>
                <w:highlight w:val="none"/>
              </w:rPr>
              <w:t>三</w:t>
            </w:r>
            <w:r>
              <w:rPr>
                <w:rFonts w:hint="eastAsia" w:ascii="宋体" w:hAnsi="宋体" w:cs="宋体"/>
                <w:bCs/>
                <w:color w:val="auto"/>
                <w:kern w:val="0"/>
                <w:sz w:val="24"/>
                <w:highlight w:val="none"/>
                <w:lang w:val="zh-CN"/>
              </w:rPr>
              <w:t>档（</w:t>
            </w:r>
            <w:r>
              <w:rPr>
                <w:rFonts w:hint="eastAsia" w:ascii="宋体" w:hAnsi="宋体" w:cs="宋体"/>
                <w:bCs/>
                <w:color w:val="auto"/>
                <w:kern w:val="0"/>
                <w:sz w:val="24"/>
                <w:highlight w:val="none"/>
              </w:rPr>
              <w:t>12</w:t>
            </w:r>
            <w:r>
              <w:rPr>
                <w:rFonts w:ascii="宋体" w:hAnsi="宋体" w:cs="宋体"/>
                <w:bCs/>
                <w:color w:val="auto"/>
                <w:kern w:val="0"/>
                <w:sz w:val="24"/>
                <w:highlight w:val="none"/>
                <w:lang w:val="zh-CN"/>
              </w:rPr>
              <w:t>分）：</w:t>
            </w:r>
            <w:r>
              <w:rPr>
                <w:rFonts w:hint="eastAsia" w:ascii="宋体" w:hAnsi="宋体" w:cs="宋体"/>
                <w:bCs/>
                <w:color w:val="auto"/>
                <w:kern w:val="0"/>
                <w:sz w:val="24"/>
                <w:highlight w:val="none"/>
                <w:lang w:val="zh-CN"/>
              </w:rPr>
              <w:t>供应商有详细的项目情况分析内容</w:t>
            </w:r>
            <w:r>
              <w:rPr>
                <w:rFonts w:ascii="宋体" w:hAnsi="宋体" w:cs="宋体"/>
                <w:bCs/>
                <w:color w:val="auto"/>
                <w:kern w:val="0"/>
                <w:sz w:val="24"/>
                <w:highlight w:val="none"/>
                <w:lang w:val="zh-CN"/>
              </w:rPr>
              <w:t>，</w:t>
            </w:r>
            <w:r>
              <w:rPr>
                <w:rFonts w:hint="eastAsia" w:ascii="宋体" w:hAnsi="宋体" w:cs="宋体"/>
                <w:bCs/>
                <w:color w:val="auto"/>
                <w:kern w:val="0"/>
                <w:sz w:val="24"/>
                <w:highlight w:val="none"/>
                <w:lang w:val="zh-CN"/>
              </w:rPr>
              <w:t>能详细</w:t>
            </w:r>
            <w:r>
              <w:rPr>
                <w:rFonts w:ascii="宋体" w:hAnsi="宋体" w:cs="宋体"/>
                <w:bCs/>
                <w:color w:val="auto"/>
                <w:kern w:val="0"/>
                <w:sz w:val="24"/>
                <w:highlight w:val="none"/>
                <w:lang w:val="zh-CN"/>
              </w:rPr>
              <w:t>的描述项目</w:t>
            </w:r>
            <w:r>
              <w:rPr>
                <w:rFonts w:hint="eastAsia" w:ascii="宋体" w:hAnsi="宋体" w:cs="宋体"/>
                <w:bCs/>
                <w:color w:val="auto"/>
                <w:kern w:val="0"/>
                <w:sz w:val="24"/>
                <w:highlight w:val="none"/>
                <w:lang w:val="zh-CN"/>
              </w:rPr>
              <w:t>建设</w:t>
            </w:r>
            <w:r>
              <w:rPr>
                <w:rFonts w:ascii="宋体" w:hAnsi="宋体" w:cs="宋体"/>
                <w:bCs/>
                <w:color w:val="auto"/>
                <w:kern w:val="0"/>
                <w:sz w:val="24"/>
                <w:highlight w:val="none"/>
                <w:lang w:val="zh-CN"/>
              </w:rPr>
              <w:t>内容</w:t>
            </w: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建设目标</w:t>
            </w:r>
            <w:r>
              <w:rPr>
                <w:rFonts w:hint="eastAsia" w:ascii="宋体" w:hAnsi="宋体" w:cs="宋体"/>
                <w:bCs/>
                <w:color w:val="auto"/>
                <w:kern w:val="0"/>
                <w:sz w:val="24"/>
                <w:highlight w:val="none"/>
                <w:lang w:val="zh-CN"/>
              </w:rPr>
              <w:t>，建设</w:t>
            </w:r>
            <w:r>
              <w:rPr>
                <w:rFonts w:ascii="宋体" w:hAnsi="宋体" w:cs="宋体"/>
                <w:bCs/>
                <w:color w:val="auto"/>
                <w:kern w:val="0"/>
                <w:sz w:val="24"/>
                <w:highlight w:val="none"/>
                <w:lang w:val="zh-CN"/>
              </w:rPr>
              <w:t>内容可行，</w:t>
            </w:r>
            <w:r>
              <w:rPr>
                <w:rFonts w:hint="eastAsia" w:ascii="宋体" w:hAnsi="宋体" w:cs="宋体"/>
                <w:bCs/>
                <w:color w:val="auto"/>
                <w:kern w:val="0"/>
                <w:sz w:val="24"/>
                <w:highlight w:val="none"/>
                <w:lang w:val="zh-CN"/>
              </w:rPr>
              <w:t>项目建设目标明确，符合相关技术标准及</w:t>
            </w:r>
            <w:r>
              <w:rPr>
                <w:rFonts w:ascii="宋体" w:hAnsi="宋体" w:cs="宋体"/>
                <w:bCs/>
                <w:color w:val="auto"/>
                <w:kern w:val="0"/>
                <w:sz w:val="24"/>
                <w:highlight w:val="none"/>
                <w:lang w:val="zh-CN"/>
              </w:rPr>
              <w:t>规范</w:t>
            </w:r>
            <w:r>
              <w:rPr>
                <w:rFonts w:hint="eastAsia" w:ascii="宋体" w:hAnsi="宋体" w:cs="宋体"/>
                <w:bCs/>
                <w:color w:val="auto"/>
                <w:kern w:val="0"/>
                <w:sz w:val="24"/>
                <w:highlight w:val="none"/>
                <w:lang w:val="zh-CN"/>
              </w:rPr>
              <w:t>的要求</w:t>
            </w:r>
            <w:r>
              <w:rPr>
                <w:rFonts w:ascii="宋体" w:hAnsi="宋体" w:cs="宋体"/>
                <w:bCs/>
                <w:color w:val="auto"/>
                <w:kern w:val="0"/>
                <w:sz w:val="24"/>
                <w:highlight w:val="none"/>
                <w:lang w:val="zh-CN"/>
              </w:rPr>
              <w:t>。</w:t>
            </w:r>
          </w:p>
          <w:p w14:paraId="084F11DA">
            <w:pPr>
              <w:adjustRightInd w:val="0"/>
              <w:spacing w:line="360" w:lineRule="auto"/>
              <w:ind w:firstLine="480" w:firstLineChars="200"/>
              <w:jc w:val="left"/>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四</w:t>
            </w:r>
            <w:r>
              <w:rPr>
                <w:rFonts w:hint="eastAsia" w:ascii="宋体" w:hAnsi="宋体" w:cs="宋体"/>
                <w:bCs/>
                <w:color w:val="auto"/>
                <w:kern w:val="0"/>
                <w:sz w:val="24"/>
                <w:highlight w:val="none"/>
                <w:lang w:val="zh-CN"/>
              </w:rPr>
              <w:t>档（</w:t>
            </w:r>
            <w:r>
              <w:rPr>
                <w:rFonts w:hint="eastAsia" w:ascii="宋体" w:hAnsi="宋体" w:cs="宋体"/>
                <w:bCs/>
                <w:color w:val="auto"/>
                <w:kern w:val="0"/>
                <w:sz w:val="24"/>
                <w:highlight w:val="none"/>
              </w:rPr>
              <w:t>16</w:t>
            </w:r>
            <w:r>
              <w:rPr>
                <w:rFonts w:ascii="宋体" w:hAnsi="宋体" w:cs="宋体"/>
                <w:bCs/>
                <w:color w:val="auto"/>
                <w:kern w:val="0"/>
                <w:sz w:val="24"/>
                <w:highlight w:val="none"/>
                <w:lang w:val="zh-CN"/>
              </w:rPr>
              <w:t>分）：</w:t>
            </w:r>
            <w:r>
              <w:rPr>
                <w:rFonts w:hint="eastAsia" w:ascii="宋体" w:hAnsi="宋体" w:cs="宋体"/>
                <w:bCs/>
                <w:color w:val="auto"/>
                <w:kern w:val="0"/>
                <w:sz w:val="24"/>
                <w:highlight w:val="none"/>
                <w:lang w:val="zh-CN"/>
              </w:rPr>
              <w:t>供应商有详细、</w:t>
            </w:r>
            <w:r>
              <w:rPr>
                <w:rFonts w:hint="eastAsia" w:ascii="宋体" w:hAnsi="宋体" w:cs="宋体"/>
                <w:bCs/>
                <w:color w:val="auto"/>
                <w:kern w:val="0"/>
                <w:sz w:val="24"/>
                <w:highlight w:val="none"/>
              </w:rPr>
              <w:t>完善</w:t>
            </w:r>
            <w:r>
              <w:rPr>
                <w:rFonts w:hint="eastAsia" w:ascii="宋体" w:hAnsi="宋体" w:cs="宋体"/>
                <w:bCs/>
                <w:color w:val="auto"/>
                <w:kern w:val="0"/>
                <w:sz w:val="24"/>
                <w:highlight w:val="none"/>
                <w:lang w:val="zh-CN"/>
              </w:rPr>
              <w:t>的项目情况分析内容</w:t>
            </w:r>
            <w:r>
              <w:rPr>
                <w:rFonts w:ascii="宋体" w:hAnsi="宋体" w:cs="宋体"/>
                <w:bCs/>
                <w:color w:val="auto"/>
                <w:kern w:val="0"/>
                <w:sz w:val="24"/>
                <w:highlight w:val="none"/>
                <w:lang w:val="zh-CN"/>
              </w:rPr>
              <w:t>，</w:t>
            </w:r>
            <w:r>
              <w:rPr>
                <w:rFonts w:hint="eastAsia" w:ascii="宋体" w:hAnsi="宋体" w:cs="宋体"/>
                <w:bCs/>
                <w:color w:val="auto"/>
                <w:kern w:val="0"/>
                <w:sz w:val="24"/>
                <w:highlight w:val="none"/>
                <w:lang w:val="zh-CN"/>
              </w:rPr>
              <w:t>能详细、</w:t>
            </w:r>
            <w:r>
              <w:rPr>
                <w:rFonts w:hint="eastAsia" w:ascii="宋体" w:hAnsi="宋体" w:cs="宋体"/>
                <w:bCs/>
                <w:color w:val="auto"/>
                <w:kern w:val="0"/>
                <w:sz w:val="24"/>
                <w:highlight w:val="none"/>
              </w:rPr>
              <w:t>合理</w:t>
            </w:r>
            <w:r>
              <w:rPr>
                <w:rFonts w:ascii="宋体" w:hAnsi="宋体" w:cs="宋体"/>
                <w:bCs/>
                <w:color w:val="auto"/>
                <w:kern w:val="0"/>
                <w:sz w:val="24"/>
                <w:highlight w:val="none"/>
                <w:lang w:val="zh-CN"/>
              </w:rPr>
              <w:t>的描述项目</w:t>
            </w:r>
            <w:r>
              <w:rPr>
                <w:rFonts w:hint="eastAsia" w:ascii="宋体" w:hAnsi="宋体" w:cs="宋体"/>
                <w:bCs/>
                <w:color w:val="auto"/>
                <w:kern w:val="0"/>
                <w:sz w:val="24"/>
                <w:highlight w:val="none"/>
                <w:lang w:val="zh-CN"/>
              </w:rPr>
              <w:t>建设</w:t>
            </w:r>
            <w:r>
              <w:rPr>
                <w:rFonts w:ascii="宋体" w:hAnsi="宋体" w:cs="宋体"/>
                <w:bCs/>
                <w:color w:val="auto"/>
                <w:kern w:val="0"/>
                <w:sz w:val="24"/>
                <w:highlight w:val="none"/>
                <w:lang w:val="zh-CN"/>
              </w:rPr>
              <w:t>内容</w:t>
            </w:r>
            <w:r>
              <w:rPr>
                <w:rFonts w:hint="eastAsia" w:ascii="宋体" w:hAnsi="宋体" w:cs="宋体"/>
                <w:bCs/>
                <w:color w:val="auto"/>
                <w:kern w:val="0"/>
                <w:sz w:val="24"/>
                <w:highlight w:val="none"/>
                <w:lang w:val="zh-CN"/>
              </w:rPr>
              <w:t>、</w:t>
            </w:r>
            <w:r>
              <w:rPr>
                <w:rFonts w:ascii="宋体" w:hAnsi="宋体" w:cs="宋体"/>
                <w:bCs/>
                <w:color w:val="auto"/>
                <w:kern w:val="0"/>
                <w:sz w:val="24"/>
                <w:highlight w:val="none"/>
                <w:lang w:val="zh-CN"/>
              </w:rPr>
              <w:t>建设目标</w:t>
            </w:r>
            <w:r>
              <w:rPr>
                <w:rFonts w:hint="eastAsia" w:ascii="宋体" w:hAnsi="宋体" w:cs="宋体"/>
                <w:bCs/>
                <w:color w:val="auto"/>
                <w:kern w:val="0"/>
                <w:sz w:val="24"/>
                <w:highlight w:val="none"/>
                <w:lang w:val="zh-CN"/>
              </w:rPr>
              <w:t>，建设</w:t>
            </w:r>
            <w:r>
              <w:rPr>
                <w:rFonts w:ascii="宋体" w:hAnsi="宋体" w:cs="宋体"/>
                <w:bCs/>
                <w:color w:val="auto"/>
                <w:kern w:val="0"/>
                <w:sz w:val="24"/>
                <w:highlight w:val="none"/>
                <w:lang w:val="zh-CN"/>
              </w:rPr>
              <w:t>内容完善可行，</w:t>
            </w:r>
            <w:r>
              <w:rPr>
                <w:rFonts w:hint="eastAsia" w:ascii="宋体" w:hAnsi="宋体" w:cs="宋体"/>
                <w:bCs/>
                <w:color w:val="auto"/>
                <w:kern w:val="0"/>
                <w:sz w:val="24"/>
                <w:highlight w:val="none"/>
                <w:lang w:val="zh-CN"/>
              </w:rPr>
              <w:t>项目建设目标明确，</w:t>
            </w:r>
            <w:r>
              <w:rPr>
                <w:rFonts w:hint="eastAsia" w:ascii="宋体" w:hAnsi="宋体" w:cs="宋体"/>
                <w:bCs/>
                <w:color w:val="auto"/>
                <w:kern w:val="0"/>
                <w:sz w:val="24"/>
                <w:highlight w:val="none"/>
              </w:rPr>
              <w:t>有重难点分析并有合理应对措施，有突发性事件预防及可见有效的应对措施；</w:t>
            </w:r>
            <w:r>
              <w:rPr>
                <w:rFonts w:hint="eastAsia" w:ascii="宋体" w:hAnsi="宋体" w:cs="宋体"/>
                <w:bCs/>
                <w:color w:val="auto"/>
                <w:kern w:val="0"/>
                <w:sz w:val="24"/>
                <w:highlight w:val="none"/>
                <w:lang w:val="zh-CN"/>
              </w:rPr>
              <w:t>符合相关技术标准及</w:t>
            </w:r>
            <w:r>
              <w:rPr>
                <w:rFonts w:ascii="宋体" w:hAnsi="宋体" w:cs="宋体"/>
                <w:bCs/>
                <w:color w:val="auto"/>
                <w:kern w:val="0"/>
                <w:sz w:val="24"/>
                <w:highlight w:val="none"/>
                <w:lang w:val="zh-CN"/>
              </w:rPr>
              <w:t>规范</w:t>
            </w:r>
            <w:r>
              <w:rPr>
                <w:rFonts w:hint="eastAsia" w:ascii="宋体" w:hAnsi="宋体" w:cs="宋体"/>
                <w:bCs/>
                <w:color w:val="auto"/>
                <w:kern w:val="0"/>
                <w:sz w:val="24"/>
                <w:highlight w:val="none"/>
                <w:lang w:val="zh-CN"/>
              </w:rPr>
              <w:t>的要求</w:t>
            </w:r>
            <w:r>
              <w:rPr>
                <w:rFonts w:ascii="宋体" w:hAnsi="宋体" w:cs="宋体"/>
                <w:bCs/>
                <w:color w:val="auto"/>
                <w:kern w:val="0"/>
                <w:sz w:val="24"/>
                <w:highlight w:val="none"/>
                <w:lang w:val="zh-CN"/>
              </w:rPr>
              <w:t>。</w:t>
            </w:r>
          </w:p>
        </w:tc>
        <w:tc>
          <w:tcPr>
            <w:tcW w:w="463" w:type="pct"/>
            <w:vAlign w:val="center"/>
          </w:tcPr>
          <w:p w14:paraId="5C6C85C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16分</w:t>
            </w:r>
          </w:p>
        </w:tc>
      </w:tr>
      <w:tr w14:paraId="3E9C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346" w:type="pct"/>
            <w:vAlign w:val="center"/>
          </w:tcPr>
          <w:p w14:paraId="13C58590">
            <w:pPr>
              <w:adjustRightInd w:val="0"/>
              <w:spacing w:line="360" w:lineRule="auto"/>
              <w:ind w:left="-105" w:leftChars="-50" w:right="-105" w:rightChars="-50"/>
              <w:jc w:val="center"/>
              <w:textAlignment w:val="baseline"/>
              <w:rPr>
                <w:rFonts w:ascii="宋体" w:hAnsi="宋体" w:cs="宋体"/>
                <w:bCs/>
                <w:color w:val="auto"/>
                <w:kern w:val="0"/>
                <w:sz w:val="24"/>
                <w:highlight w:val="none"/>
              </w:rPr>
            </w:pPr>
          </w:p>
        </w:tc>
        <w:tc>
          <w:tcPr>
            <w:tcW w:w="902" w:type="pct"/>
            <w:vAlign w:val="center"/>
          </w:tcPr>
          <w:p w14:paraId="1BA195F2">
            <w:pPr>
              <w:adjustRightInd w:val="0"/>
              <w:spacing w:line="360" w:lineRule="auto"/>
              <w:jc w:val="center"/>
              <w:textAlignment w:val="baseline"/>
              <w:rPr>
                <w:rFonts w:ascii="宋体" w:hAnsi="宋体" w:cs="宋体"/>
                <w:bCs/>
                <w:color w:val="auto"/>
                <w:kern w:val="0"/>
                <w:sz w:val="24"/>
                <w:highlight w:val="none"/>
              </w:rPr>
            </w:pPr>
            <w:r>
              <w:rPr>
                <w:rFonts w:hint="eastAsia" w:ascii="宋体" w:hAnsi="宋体" w:cs="宋体"/>
                <w:bCs/>
                <w:color w:val="auto"/>
                <w:kern w:val="0"/>
                <w:sz w:val="24"/>
                <w:highlight w:val="none"/>
              </w:rPr>
              <w:t>实施方案</w:t>
            </w:r>
          </w:p>
        </w:tc>
        <w:tc>
          <w:tcPr>
            <w:tcW w:w="3286" w:type="pct"/>
            <w:vAlign w:val="center"/>
          </w:tcPr>
          <w:p w14:paraId="210213F9">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一档（6分）：项目实施方案基本满足项目采购需求。</w:t>
            </w:r>
          </w:p>
          <w:p w14:paraId="67C4EDA1">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二档（12分）：项目实施方案符合采购需求且包含有①项目组织计划②进度计划③人员安排④技术路线等，方案切实可行。</w:t>
            </w:r>
          </w:p>
          <w:p w14:paraId="08DD1FD8">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三档（18分）：项目实施方案符合采购需求且包含有①项目组织计划②进度计划③人员安排④技术路线⑤进度保障措施等，方案描述比较详细、考虑比较全面。</w:t>
            </w:r>
          </w:p>
          <w:p w14:paraId="261B5998">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四档（24分）：项目实施方案符合采购需求且包含有①项目组织计划②进度计划③人员安排④技术路线⑤进度保障措施⑥项目保密措施等，方案中描述了进度保障措施的方法和实现方式并且考虑周全完整，有明确的工程进度和管理措施，完全满足本项目工作需要。</w:t>
            </w:r>
          </w:p>
        </w:tc>
        <w:tc>
          <w:tcPr>
            <w:tcW w:w="463" w:type="pct"/>
            <w:vAlign w:val="center"/>
          </w:tcPr>
          <w:p w14:paraId="0248D192">
            <w:pPr>
              <w:spacing w:line="360" w:lineRule="auto"/>
              <w:jc w:val="center"/>
              <w:rPr>
                <w:rFonts w:ascii="宋体" w:hAnsi="宋体" w:cs="宋体"/>
                <w:color w:val="auto"/>
                <w:kern w:val="0"/>
                <w:sz w:val="24"/>
                <w:highlight w:val="none"/>
              </w:rPr>
            </w:pPr>
            <w:r>
              <w:rPr>
                <w:rFonts w:hint="eastAsia" w:ascii="宋体" w:hAnsi="宋体" w:cs="宋体"/>
                <w:bCs/>
                <w:color w:val="auto"/>
                <w:sz w:val="24"/>
                <w:highlight w:val="none"/>
              </w:rPr>
              <w:t>24分</w:t>
            </w:r>
          </w:p>
        </w:tc>
      </w:tr>
      <w:tr w14:paraId="5E68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46" w:type="pct"/>
            <w:vAlign w:val="center"/>
          </w:tcPr>
          <w:p w14:paraId="170460E7">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2.2</w:t>
            </w:r>
          </w:p>
        </w:tc>
        <w:tc>
          <w:tcPr>
            <w:tcW w:w="902" w:type="pct"/>
            <w:vAlign w:val="center"/>
          </w:tcPr>
          <w:p w14:paraId="1E064627">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质量保</w:t>
            </w:r>
          </w:p>
          <w:p w14:paraId="71BDFD8A">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障措施</w:t>
            </w:r>
          </w:p>
        </w:tc>
        <w:tc>
          <w:tcPr>
            <w:tcW w:w="3286" w:type="pct"/>
            <w:vAlign w:val="center"/>
          </w:tcPr>
          <w:p w14:paraId="20B479E4">
            <w:pPr>
              <w:tabs>
                <w:tab w:val="left" w:pos="668"/>
                <w:tab w:val="left" w:pos="680"/>
                <w:tab w:val="left" w:pos="1190"/>
                <w:tab w:val="left" w:pos="1264"/>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一档（4分）：质量保证措施方案基本满足项目采购需求。</w:t>
            </w:r>
          </w:p>
          <w:p w14:paraId="46B4E2E4">
            <w:pPr>
              <w:tabs>
                <w:tab w:val="left" w:pos="668"/>
                <w:tab w:val="left" w:pos="680"/>
                <w:tab w:val="left" w:pos="1190"/>
                <w:tab w:val="left" w:pos="1264"/>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二档（8分）：质量保证措施方案满足项目采购需求且有质量保障措施，可行性与详细程度一般。</w:t>
            </w:r>
          </w:p>
          <w:p w14:paraId="24710E1C">
            <w:pPr>
              <w:tabs>
                <w:tab w:val="left" w:pos="668"/>
                <w:tab w:val="left" w:pos="680"/>
                <w:tab w:val="left" w:pos="1190"/>
                <w:tab w:val="left" w:pos="1264"/>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三档（12分）：质量保证措施方案符合采购需求且包含有①质量标准②质量保障措施，方案相对完整、 科学、具有可行性和可操作性。</w:t>
            </w:r>
          </w:p>
          <w:p w14:paraId="20371460">
            <w:pPr>
              <w:tabs>
                <w:tab w:val="left" w:pos="668"/>
                <w:tab w:val="left" w:pos="680"/>
                <w:tab w:val="left" w:pos="1190"/>
                <w:tab w:val="left" w:pos="1264"/>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四档（15分）：质量保证措施方案符合采购需求且包含有①质量标准②质量保障措施③质量保障程序 ④质量检查措施，方案完整、详细、全面、科学、有针对性、可行性和操作性强，能有效的对项目的所有 环节进行质量控制。</w:t>
            </w:r>
          </w:p>
        </w:tc>
        <w:tc>
          <w:tcPr>
            <w:tcW w:w="463" w:type="pct"/>
            <w:vAlign w:val="center"/>
          </w:tcPr>
          <w:p w14:paraId="7C15764C">
            <w:pPr>
              <w:spacing w:line="360" w:lineRule="auto"/>
              <w:jc w:val="center"/>
              <w:rPr>
                <w:rFonts w:ascii="宋体" w:hAnsi="宋体" w:cs="宋体"/>
                <w:bCs/>
                <w:color w:val="auto"/>
                <w:kern w:val="0"/>
                <w:sz w:val="24"/>
                <w:highlight w:val="none"/>
              </w:rPr>
            </w:pPr>
            <w:r>
              <w:rPr>
                <w:rFonts w:hint="eastAsia" w:ascii="宋体" w:hAnsi="宋体" w:cs="宋体"/>
                <w:color w:val="auto"/>
                <w:kern w:val="0"/>
                <w:sz w:val="24"/>
                <w:highlight w:val="none"/>
              </w:rPr>
              <w:t>15分</w:t>
            </w:r>
          </w:p>
        </w:tc>
      </w:tr>
      <w:tr w14:paraId="002C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346" w:type="pct"/>
            <w:vAlign w:val="center"/>
          </w:tcPr>
          <w:p w14:paraId="5E0B38D4">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2.3</w:t>
            </w:r>
          </w:p>
        </w:tc>
        <w:tc>
          <w:tcPr>
            <w:tcW w:w="902" w:type="pct"/>
            <w:vAlign w:val="center"/>
          </w:tcPr>
          <w:p w14:paraId="6F900ADC">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售后服</w:t>
            </w:r>
          </w:p>
          <w:p w14:paraId="03FD7EB4">
            <w:pPr>
              <w:spacing w:line="360" w:lineRule="auto"/>
              <w:jc w:val="center"/>
              <w:rPr>
                <w:rFonts w:ascii="宋体" w:hAnsi="宋体" w:cs="宋体"/>
                <w:bCs/>
                <w:color w:val="auto"/>
                <w:kern w:val="0"/>
                <w:sz w:val="24"/>
                <w:highlight w:val="none"/>
              </w:rPr>
            </w:pPr>
            <w:r>
              <w:rPr>
                <w:rFonts w:hint="eastAsia" w:ascii="宋体" w:hAnsi="宋体" w:cs="宋体"/>
                <w:bCs/>
                <w:color w:val="auto"/>
                <w:kern w:val="0"/>
                <w:sz w:val="24"/>
                <w:highlight w:val="none"/>
              </w:rPr>
              <w:t>务方案</w:t>
            </w:r>
          </w:p>
        </w:tc>
        <w:tc>
          <w:tcPr>
            <w:tcW w:w="3286" w:type="pct"/>
            <w:vAlign w:val="center"/>
          </w:tcPr>
          <w:p w14:paraId="2EF27EB5">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一档（4分）：后续服务能力、响应时间等方案满足要求；</w:t>
            </w:r>
          </w:p>
          <w:p w14:paraId="27F3ABE3">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二档（8分）：后续服务能力、响应时间等方案科学合理程度和完善度满足要求且包含人员保障；</w:t>
            </w:r>
          </w:p>
          <w:p w14:paraId="4A15FDE7">
            <w:pPr>
              <w:tabs>
                <w:tab w:val="left" w:pos="668"/>
                <w:tab w:val="left" w:pos="680"/>
                <w:tab w:val="left" w:pos="1190"/>
                <w:tab w:val="left" w:pos="1264"/>
              </w:tabs>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三档（12分）：后续服务能力、响应时间等方案科学合理程度和完善度满足要求且包含人员保障、设备保障。</w:t>
            </w:r>
          </w:p>
          <w:p w14:paraId="48BA69F9">
            <w:pPr>
              <w:tabs>
                <w:tab w:val="left" w:pos="668"/>
                <w:tab w:val="left" w:pos="680"/>
                <w:tab w:val="left" w:pos="1190"/>
                <w:tab w:val="left" w:pos="1264"/>
              </w:tabs>
              <w:spacing w:line="400" w:lineRule="exact"/>
              <w:ind w:firstLine="480" w:firstLineChars="200"/>
              <w:rPr>
                <w:rFonts w:ascii="宋体" w:hAnsi="宋体" w:cs="宋体"/>
                <w:bCs/>
                <w:color w:val="auto"/>
                <w:kern w:val="0"/>
                <w:sz w:val="24"/>
                <w:highlight w:val="none"/>
              </w:rPr>
            </w:pPr>
            <w:r>
              <w:rPr>
                <w:rFonts w:hint="eastAsia" w:ascii="宋体" w:hAnsi="宋体" w:cs="宋体"/>
                <w:bCs/>
                <w:color w:val="auto"/>
                <w:sz w:val="24"/>
                <w:highlight w:val="none"/>
              </w:rPr>
              <w:t>四档（15分）：后续服务能力、响应时间等方案科学合理程度和完善度满足要求且包含人员保障、设备保障、能力优势保障。</w:t>
            </w:r>
          </w:p>
        </w:tc>
        <w:tc>
          <w:tcPr>
            <w:tcW w:w="463" w:type="pct"/>
            <w:vAlign w:val="center"/>
          </w:tcPr>
          <w:p w14:paraId="3280543E">
            <w:pPr>
              <w:spacing w:line="360" w:lineRule="auto"/>
              <w:jc w:val="center"/>
              <w:rPr>
                <w:rFonts w:ascii="宋体" w:hAnsi="宋体" w:cs="宋体"/>
                <w:bCs/>
                <w:color w:val="auto"/>
                <w:kern w:val="0"/>
                <w:sz w:val="24"/>
                <w:highlight w:val="none"/>
              </w:rPr>
            </w:pPr>
            <w:r>
              <w:rPr>
                <w:rFonts w:hint="eastAsia" w:ascii="宋体" w:hAnsi="宋体" w:cs="宋体"/>
                <w:color w:val="auto"/>
                <w:kern w:val="0"/>
                <w:sz w:val="24"/>
                <w:highlight w:val="none"/>
              </w:rPr>
              <w:t>15分</w:t>
            </w:r>
          </w:p>
        </w:tc>
      </w:tr>
      <w:tr w14:paraId="0D6D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46" w:type="pct"/>
            <w:vAlign w:val="center"/>
          </w:tcPr>
          <w:p w14:paraId="4AF93854">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902" w:type="pct"/>
            <w:vAlign w:val="center"/>
          </w:tcPr>
          <w:p w14:paraId="55F2D578">
            <w:pPr>
              <w:widowControl/>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商务分</w:t>
            </w:r>
          </w:p>
          <w:p w14:paraId="5FF4347C">
            <w:pPr>
              <w:widowControl/>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（满分20分）</w:t>
            </w:r>
          </w:p>
        </w:tc>
        <w:tc>
          <w:tcPr>
            <w:tcW w:w="3750" w:type="pct"/>
            <w:gridSpan w:val="2"/>
            <w:vAlign w:val="center"/>
          </w:tcPr>
          <w:p w14:paraId="368E555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评审因素</w:t>
            </w:r>
          </w:p>
        </w:tc>
      </w:tr>
      <w:tr w14:paraId="4561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46" w:type="pct"/>
            <w:vAlign w:val="center"/>
          </w:tcPr>
          <w:p w14:paraId="3C35DE7F">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3.1</w:t>
            </w:r>
          </w:p>
        </w:tc>
        <w:tc>
          <w:tcPr>
            <w:tcW w:w="902" w:type="pct"/>
            <w:vAlign w:val="center"/>
          </w:tcPr>
          <w:p w14:paraId="79A588B9">
            <w:pPr>
              <w:widowControl/>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拟投入本项目人员</w:t>
            </w:r>
          </w:p>
        </w:tc>
        <w:tc>
          <w:tcPr>
            <w:tcW w:w="3286" w:type="pct"/>
            <w:vAlign w:val="center"/>
          </w:tcPr>
          <w:p w14:paraId="5E7B123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①拟投入项目负责人具有正高级职称的得4分，副高级职称的得3分，中级级职称的得2分，满分4分； </w:t>
            </w:r>
          </w:p>
          <w:p w14:paraId="3276051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②拟投入其他人员中具有副高级及以上职称的，每人得2分，中级及初级职称的，每人得1分，满分6；</w:t>
            </w:r>
          </w:p>
          <w:p w14:paraId="74AD558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注：拟投入人员必须提供投标人为拟投入人员缴纳</w:t>
            </w:r>
            <w:r>
              <w:rPr>
                <w:rFonts w:hint="eastAsia" w:ascii="宋体" w:hAnsi="宋体" w:cs="宋体"/>
                <w:color w:val="auto"/>
                <w:sz w:val="24"/>
                <w:highlight w:val="none"/>
              </w:rPr>
              <w:t>（2025年1月至2025年3月内任意1个月）的</w:t>
            </w:r>
            <w:r>
              <w:rPr>
                <w:rFonts w:hint="eastAsia" w:ascii="宋体" w:hAnsi="宋体" w:cs="宋体"/>
                <w:color w:val="auto"/>
                <w:kern w:val="0"/>
                <w:sz w:val="24"/>
                <w:highlight w:val="none"/>
              </w:rPr>
              <w:t>社保缴纳证明复印件，提供相应的职称证书复印件，退休聘用人员，提供退休证明复印件代替社保证明。则不按照上述要求提供资料者，不作为评分依据。（以上拟投入技术人员须提供证书复印件,否则不记分。）</w:t>
            </w:r>
          </w:p>
        </w:tc>
        <w:tc>
          <w:tcPr>
            <w:tcW w:w="463" w:type="pct"/>
            <w:vAlign w:val="center"/>
          </w:tcPr>
          <w:p w14:paraId="38B6517D">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10分</w:t>
            </w:r>
          </w:p>
        </w:tc>
      </w:tr>
      <w:tr w14:paraId="510A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46" w:type="pct"/>
            <w:vAlign w:val="center"/>
          </w:tcPr>
          <w:p w14:paraId="372CD11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3.2</w:t>
            </w:r>
          </w:p>
        </w:tc>
        <w:tc>
          <w:tcPr>
            <w:tcW w:w="902" w:type="pct"/>
            <w:vAlign w:val="center"/>
          </w:tcPr>
          <w:p w14:paraId="4D5DA60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业绩</w:t>
            </w:r>
          </w:p>
        </w:tc>
        <w:tc>
          <w:tcPr>
            <w:tcW w:w="3286" w:type="pct"/>
            <w:vAlign w:val="center"/>
          </w:tcPr>
          <w:p w14:paraId="1CB782D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（1）20</w:t>
            </w:r>
            <w:r>
              <w:rPr>
                <w:rFonts w:ascii="宋体" w:hAnsi="宋体" w:cs="宋体"/>
                <w:bCs/>
                <w:color w:val="auto"/>
                <w:sz w:val="24"/>
                <w:highlight w:val="none"/>
              </w:rPr>
              <w:t>15</w:t>
            </w:r>
            <w:r>
              <w:rPr>
                <w:rFonts w:hint="eastAsia" w:ascii="宋体" w:hAnsi="宋体" w:cs="宋体"/>
                <w:bCs/>
                <w:color w:val="auto"/>
                <w:sz w:val="24"/>
                <w:highlight w:val="none"/>
              </w:rPr>
              <w:t>年以来服务类项目的业绩，每提供一个项目业绩得2分，满分</w:t>
            </w:r>
            <w:r>
              <w:rPr>
                <w:rFonts w:ascii="宋体" w:hAnsi="宋体" w:cs="宋体"/>
                <w:bCs/>
                <w:color w:val="auto"/>
                <w:sz w:val="24"/>
                <w:highlight w:val="none"/>
              </w:rPr>
              <w:t>6</w:t>
            </w:r>
            <w:r>
              <w:rPr>
                <w:rFonts w:hint="eastAsia" w:ascii="宋体" w:hAnsi="宋体" w:cs="宋体"/>
                <w:bCs/>
                <w:color w:val="auto"/>
                <w:sz w:val="24"/>
                <w:highlight w:val="none"/>
              </w:rPr>
              <w:t>分。</w:t>
            </w:r>
          </w:p>
          <w:p w14:paraId="4722FDDE">
            <w:pPr>
              <w:pStyle w:val="2"/>
              <w:rPr>
                <w:rFonts w:ascii="宋体" w:hAnsi="宋体" w:cs="宋体"/>
                <w:bCs/>
                <w:color w:val="auto"/>
                <w:sz w:val="24"/>
                <w:highlight w:val="none"/>
              </w:rPr>
            </w:pPr>
            <w:r>
              <w:rPr>
                <w:rFonts w:hint="eastAsia"/>
                <w:color w:val="auto"/>
                <w:highlight w:val="none"/>
              </w:rPr>
              <w:t>（2）2015年以来获省部级以上（含）科技进步奖每项得2分，满分</w:t>
            </w:r>
            <w:r>
              <w:rPr>
                <w:color w:val="auto"/>
                <w:highlight w:val="none"/>
              </w:rPr>
              <w:t>4</w:t>
            </w:r>
            <w:r>
              <w:rPr>
                <w:rFonts w:hint="eastAsia"/>
                <w:color w:val="auto"/>
                <w:highlight w:val="none"/>
              </w:rPr>
              <w:t>分。</w:t>
            </w:r>
          </w:p>
          <w:p w14:paraId="24721B58">
            <w:pPr>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注：业绩证明材料以合同书或中标（成交）通知书复印件、获奖证书复印件为准，并加盖供应商公章，未提供业绩证明材料的项目不得分。</w:t>
            </w:r>
          </w:p>
        </w:tc>
        <w:tc>
          <w:tcPr>
            <w:tcW w:w="463" w:type="pct"/>
            <w:vAlign w:val="center"/>
          </w:tcPr>
          <w:p w14:paraId="488FD5CF">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10分</w:t>
            </w:r>
          </w:p>
        </w:tc>
      </w:tr>
      <w:tr w14:paraId="050E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00" w:type="pct"/>
            <w:gridSpan w:val="4"/>
            <w:vAlign w:val="center"/>
          </w:tcPr>
          <w:p w14:paraId="14470EC7">
            <w:pPr>
              <w:widowControl/>
              <w:spacing w:line="360" w:lineRule="auto"/>
              <w:rPr>
                <w:rFonts w:ascii="宋体" w:hAnsi="宋体" w:cs="宋体"/>
                <w:color w:val="auto"/>
                <w:kern w:val="0"/>
                <w:sz w:val="24"/>
                <w:highlight w:val="none"/>
              </w:rPr>
            </w:pPr>
            <w:r>
              <w:rPr>
                <w:rFonts w:hint="eastAsia" w:ascii="宋体" w:hAnsi="宋体" w:cs="宋体"/>
                <w:bCs/>
                <w:color w:val="auto"/>
                <w:sz w:val="24"/>
                <w:highlight w:val="none"/>
              </w:rPr>
              <w:t>总得分＝1＋2</w:t>
            </w:r>
          </w:p>
        </w:tc>
      </w:tr>
    </w:tbl>
    <w:p w14:paraId="1E3DF1F0">
      <w:pPr>
        <w:pStyle w:val="42"/>
        <w:ind w:firstLine="420"/>
        <w:rPr>
          <w:color w:val="auto"/>
          <w:highlight w:val="none"/>
        </w:rPr>
      </w:pPr>
    </w:p>
    <w:p w14:paraId="49773C62">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6.评审依据：磋商小组将以磋商响应文件为评审依据，对供应商的报价、技术、商务等方面内容按百分制打分。（计分方法按四舍五入取至百分位）</w:t>
      </w:r>
    </w:p>
    <w:p w14:paraId="7E545E47">
      <w:pPr>
        <w:pStyle w:val="41"/>
        <w:rPr>
          <w:color w:val="auto"/>
          <w:highlight w:val="none"/>
        </w:rPr>
      </w:pPr>
    </w:p>
    <w:p w14:paraId="05B1D277">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需求偏离分由高到低排序）。评审得分、最后报价（不计算价格折扣）、技术得分、技术需求偏离分均相同的，由磋商小组随机抽取推荐。</w:t>
      </w:r>
    </w:p>
    <w:p w14:paraId="11E3DEB3">
      <w:pPr>
        <w:spacing w:line="400" w:lineRule="exact"/>
        <w:ind w:firstLine="420" w:firstLineChars="200"/>
        <w:rPr>
          <w:rFonts w:ascii="宋体" w:hAnsi="宋体" w:cs="宋体"/>
          <w:color w:val="auto"/>
          <w:highlight w:val="none"/>
        </w:rPr>
      </w:pPr>
    </w:p>
    <w:p w14:paraId="6DE326BB">
      <w:pPr>
        <w:spacing w:line="400" w:lineRule="exact"/>
        <w:ind w:firstLine="420" w:firstLineChars="200"/>
        <w:rPr>
          <w:rFonts w:ascii="宋体" w:hAnsi="宋体" w:cs="宋体"/>
          <w:color w:val="auto"/>
          <w:highlight w:val="none"/>
        </w:rPr>
      </w:pPr>
    </w:p>
    <w:p w14:paraId="3E51CC7E">
      <w:pPr>
        <w:pStyle w:val="4"/>
        <w:jc w:val="center"/>
        <w:rPr>
          <w:rFonts w:ascii="宋体" w:hAnsi="宋体" w:cs="宋体"/>
          <w:color w:val="auto"/>
          <w:highlight w:val="none"/>
        </w:rPr>
      </w:pPr>
      <w:r>
        <w:rPr>
          <w:rFonts w:hint="eastAsia" w:ascii="宋体" w:hAnsi="宋体" w:cs="宋体"/>
          <w:color w:val="auto"/>
          <w:highlight w:val="none"/>
        </w:rPr>
        <w:br w:type="page"/>
      </w:r>
      <w:bookmarkStart w:id="73" w:name="_Toc25516"/>
      <w:bookmarkStart w:id="74" w:name="_Toc31802"/>
      <w:r>
        <w:rPr>
          <w:rFonts w:hint="eastAsia" w:ascii="宋体" w:hAnsi="宋体" w:cs="宋体"/>
          <w:color w:val="auto"/>
          <w:highlight w:val="none"/>
        </w:rPr>
        <w:t>第五章 响应文件格式</w:t>
      </w:r>
      <w:bookmarkEnd w:id="73"/>
      <w:bookmarkEnd w:id="74"/>
    </w:p>
    <w:p w14:paraId="631EE1A7">
      <w:pPr>
        <w:snapToGrid w:val="0"/>
        <w:spacing w:before="156" w:beforeLines="50" w:after="50"/>
        <w:jc w:val="center"/>
        <w:rPr>
          <w:rFonts w:ascii="宋体" w:hAnsi="宋体" w:cs="宋体"/>
          <w:bCs/>
          <w:color w:val="auto"/>
          <w:sz w:val="32"/>
          <w:szCs w:val="32"/>
          <w:highlight w:val="none"/>
        </w:rPr>
      </w:pPr>
    </w:p>
    <w:p w14:paraId="32C3A261">
      <w:pPr>
        <w:snapToGrid w:val="0"/>
        <w:spacing w:before="156" w:beforeLines="50" w:after="50" w:line="360" w:lineRule="auto"/>
        <w:jc w:val="center"/>
        <w:outlineLvl w:val="1"/>
        <w:rPr>
          <w:rFonts w:ascii="宋体" w:hAnsi="宋体" w:cs="宋体"/>
          <w:b/>
          <w:bCs/>
          <w:color w:val="auto"/>
          <w:sz w:val="32"/>
          <w:szCs w:val="32"/>
          <w:highlight w:val="none"/>
        </w:rPr>
      </w:pPr>
      <w:bookmarkStart w:id="75" w:name="_Toc31723070"/>
      <w:bookmarkStart w:id="76" w:name="_Toc35611516"/>
      <w:bookmarkStart w:id="77" w:name="_Toc35611438"/>
      <w:bookmarkStart w:id="78" w:name="_Toc1012"/>
      <w:bookmarkStart w:id="79" w:name="_Toc44229899"/>
      <w:bookmarkStart w:id="80" w:name="_Toc31728084"/>
      <w:r>
        <w:rPr>
          <w:rFonts w:hint="eastAsia" w:ascii="宋体" w:hAnsi="宋体" w:cs="宋体"/>
          <w:b/>
          <w:bCs/>
          <w:color w:val="auto"/>
          <w:sz w:val="32"/>
          <w:szCs w:val="32"/>
          <w:highlight w:val="none"/>
        </w:rPr>
        <w:t>一、资格证明文件格式</w:t>
      </w:r>
      <w:bookmarkEnd w:id="75"/>
      <w:bookmarkEnd w:id="76"/>
      <w:bookmarkEnd w:id="77"/>
      <w:bookmarkEnd w:id="78"/>
      <w:bookmarkEnd w:id="79"/>
      <w:bookmarkEnd w:id="80"/>
    </w:p>
    <w:p w14:paraId="16392D7F">
      <w:pPr>
        <w:snapToGrid w:val="0"/>
        <w:spacing w:before="156" w:beforeLines="50" w:after="50" w:line="360" w:lineRule="auto"/>
        <w:jc w:val="center"/>
        <w:rPr>
          <w:rFonts w:ascii="宋体" w:hAnsi="宋体" w:cs="宋体"/>
          <w:b/>
          <w:color w:val="auto"/>
          <w:sz w:val="24"/>
          <w:highlight w:val="none"/>
        </w:rPr>
      </w:pPr>
      <w:r>
        <w:rPr>
          <w:rFonts w:hint="eastAsia" w:ascii="宋体" w:hAnsi="宋体" w:cs="宋体"/>
          <w:b/>
          <w:color w:val="auto"/>
          <w:sz w:val="32"/>
          <w:szCs w:val="32"/>
          <w:highlight w:val="none"/>
        </w:rPr>
        <w:t>资格证明文件封面格式：</w:t>
      </w:r>
    </w:p>
    <w:p w14:paraId="2A9314D7">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67933C51">
      <w:pPr>
        <w:snapToGrid w:val="0"/>
        <w:spacing w:before="156" w:beforeLines="50" w:after="50"/>
        <w:rPr>
          <w:rFonts w:ascii="宋体" w:hAnsi="宋体" w:cs="宋体"/>
          <w:color w:val="auto"/>
          <w:sz w:val="24"/>
          <w:szCs w:val="20"/>
          <w:highlight w:val="none"/>
        </w:rPr>
      </w:pPr>
    </w:p>
    <w:p w14:paraId="167DE2D1">
      <w:pPr>
        <w:snapToGrid w:val="0"/>
        <w:spacing w:before="156" w:beforeLines="50" w:after="50"/>
        <w:rPr>
          <w:rFonts w:ascii="宋体" w:hAnsi="宋体" w:cs="宋体"/>
          <w:color w:val="auto"/>
          <w:sz w:val="24"/>
          <w:szCs w:val="20"/>
          <w:highlight w:val="none"/>
        </w:rPr>
      </w:pPr>
    </w:p>
    <w:p w14:paraId="76733B46">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3DB5D3FB">
      <w:pPr>
        <w:snapToGrid w:val="0"/>
        <w:spacing w:before="156" w:beforeLines="50" w:after="50"/>
        <w:rPr>
          <w:rFonts w:ascii="宋体" w:hAnsi="宋体" w:cs="宋体"/>
          <w:bCs/>
          <w:color w:val="auto"/>
          <w:sz w:val="24"/>
          <w:szCs w:val="20"/>
          <w:highlight w:val="none"/>
        </w:rPr>
      </w:pPr>
    </w:p>
    <w:p w14:paraId="03921F3A">
      <w:pPr>
        <w:snapToGrid w:val="0"/>
        <w:spacing w:before="156" w:beforeLines="50" w:after="50"/>
        <w:rPr>
          <w:rFonts w:ascii="宋体" w:hAnsi="宋体" w:cs="宋体"/>
          <w:bCs/>
          <w:color w:val="auto"/>
          <w:sz w:val="24"/>
          <w:szCs w:val="20"/>
          <w:highlight w:val="none"/>
        </w:rPr>
      </w:pPr>
    </w:p>
    <w:p w14:paraId="17C49BC9">
      <w:pPr>
        <w:snapToGrid w:val="0"/>
        <w:spacing w:before="156" w:beforeLines="50" w:after="50"/>
        <w:rPr>
          <w:rFonts w:ascii="宋体" w:hAnsi="宋体" w:cs="宋体"/>
          <w:bCs/>
          <w:color w:val="auto"/>
          <w:sz w:val="24"/>
          <w:szCs w:val="20"/>
          <w:highlight w:val="none"/>
        </w:rPr>
      </w:pPr>
    </w:p>
    <w:p w14:paraId="6C992BD5">
      <w:pPr>
        <w:snapToGrid w:val="0"/>
        <w:spacing w:before="156" w:beforeLines="50" w:after="50"/>
        <w:rPr>
          <w:rFonts w:ascii="宋体" w:hAnsi="宋体" w:cs="宋体"/>
          <w:bCs/>
          <w:color w:val="auto"/>
          <w:sz w:val="24"/>
          <w:szCs w:val="20"/>
          <w:highlight w:val="none"/>
        </w:rPr>
      </w:pPr>
    </w:p>
    <w:p w14:paraId="4B3384F6">
      <w:pPr>
        <w:snapToGrid w:val="0"/>
        <w:spacing w:before="156" w:beforeLines="50" w:after="50"/>
        <w:rPr>
          <w:rFonts w:ascii="宋体" w:hAnsi="宋体" w:cs="宋体"/>
          <w:bCs/>
          <w:color w:val="auto"/>
          <w:sz w:val="24"/>
          <w:szCs w:val="20"/>
          <w:highlight w:val="none"/>
        </w:rPr>
      </w:pPr>
    </w:p>
    <w:p w14:paraId="1280B181">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E26570F">
      <w:pPr>
        <w:snapToGrid w:val="0"/>
        <w:spacing w:before="156" w:beforeLines="50" w:after="50"/>
        <w:ind w:firstLine="720" w:firstLineChars="225"/>
        <w:rPr>
          <w:rFonts w:ascii="宋体" w:hAnsi="宋体" w:cs="宋体"/>
          <w:bCs/>
          <w:color w:val="auto"/>
          <w:sz w:val="32"/>
          <w:szCs w:val="32"/>
          <w:highlight w:val="none"/>
        </w:rPr>
      </w:pPr>
    </w:p>
    <w:p w14:paraId="4FE6D94D">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662B4CBE">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262BF2D6">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7F0FBF19">
      <w:pPr>
        <w:snapToGrid w:val="0"/>
        <w:spacing w:before="156" w:beforeLines="50" w:after="50"/>
        <w:ind w:firstLine="720" w:firstLineChars="225"/>
        <w:rPr>
          <w:rFonts w:ascii="宋体" w:hAnsi="宋体" w:cs="宋体"/>
          <w:bCs/>
          <w:color w:val="auto"/>
          <w:sz w:val="32"/>
          <w:szCs w:val="32"/>
          <w:highlight w:val="none"/>
        </w:rPr>
      </w:pPr>
    </w:p>
    <w:p w14:paraId="1A232D9A">
      <w:pPr>
        <w:pStyle w:val="2"/>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529928D0">
      <w:pPr>
        <w:pStyle w:val="2"/>
        <w:snapToGrid w:val="0"/>
        <w:spacing w:before="50" w:after="50"/>
        <w:ind w:firstLine="720" w:firstLineChars="225"/>
        <w:rPr>
          <w:rFonts w:ascii="宋体" w:hAnsi="宋体" w:cs="宋体"/>
          <w:bCs/>
          <w:color w:val="auto"/>
          <w:sz w:val="32"/>
          <w:szCs w:val="32"/>
          <w:highlight w:val="none"/>
        </w:rPr>
      </w:pPr>
    </w:p>
    <w:p w14:paraId="58BF926C">
      <w:pPr>
        <w:pStyle w:val="2"/>
        <w:snapToGrid w:val="0"/>
        <w:spacing w:before="50" w:after="50"/>
        <w:ind w:firstLine="1280" w:firstLineChars="400"/>
        <w:rPr>
          <w:rFonts w:ascii="宋体" w:hAnsi="宋体" w:cs="宋体"/>
          <w:bCs/>
          <w:color w:val="auto"/>
          <w:sz w:val="32"/>
          <w:szCs w:val="32"/>
          <w:highlight w:val="none"/>
        </w:rPr>
      </w:pPr>
    </w:p>
    <w:p w14:paraId="4861116D">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4EE6546B">
      <w:pPr>
        <w:snapToGrid w:val="0"/>
        <w:spacing w:before="156" w:beforeLines="50" w:after="50" w:line="360" w:lineRule="auto"/>
        <w:ind w:left="142"/>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资格证明文件目录</w:t>
      </w:r>
    </w:p>
    <w:p w14:paraId="75417432">
      <w:pPr>
        <w:snapToGrid w:val="0"/>
        <w:spacing w:line="400" w:lineRule="exact"/>
        <w:ind w:firstLine="640" w:firstLineChars="200"/>
        <w:jc w:val="left"/>
        <w:rPr>
          <w:rFonts w:ascii="宋体" w:hAnsi="宋体" w:cs="宋体"/>
          <w:b/>
          <w:color w:val="auto"/>
          <w:sz w:val="24"/>
          <w:highlight w:val="none"/>
        </w:rPr>
      </w:pPr>
      <w:r>
        <w:rPr>
          <w:rFonts w:hint="eastAsia" w:ascii="宋体" w:hAnsi="宋体" w:cs="宋体"/>
          <w:color w:val="auto"/>
          <w:sz w:val="32"/>
          <w:szCs w:val="32"/>
          <w:highlight w:val="none"/>
        </w:rPr>
        <w:t>根据磋商文件规定及供应商提供的材料自行编写目录（部分格式后附）。</w:t>
      </w:r>
    </w:p>
    <w:p w14:paraId="6B138E82">
      <w:pPr>
        <w:spacing w:before="312" w:beforeLines="100" w:after="156" w:afterLines="50" w:line="520" w:lineRule="exact"/>
        <w:ind w:left="540"/>
        <w:jc w:val="center"/>
        <w:rPr>
          <w:rFonts w:ascii="宋体" w:hAnsi="宋体" w:cs="宋体"/>
          <w:b/>
          <w:color w:val="auto"/>
          <w:sz w:val="24"/>
          <w:highlight w:val="none"/>
        </w:rPr>
      </w:pPr>
    </w:p>
    <w:p w14:paraId="684F043D">
      <w:pPr>
        <w:spacing w:before="312" w:beforeLines="100" w:after="156" w:afterLines="50" w:line="520" w:lineRule="exact"/>
        <w:ind w:left="540"/>
        <w:jc w:val="center"/>
        <w:rPr>
          <w:rFonts w:ascii="宋体" w:hAnsi="宋体" w:cs="宋体"/>
          <w:bCs/>
          <w:color w:val="auto"/>
          <w:sz w:val="44"/>
          <w:szCs w:val="44"/>
          <w:highlight w:val="none"/>
        </w:rPr>
      </w:pPr>
    </w:p>
    <w:p w14:paraId="3A629178">
      <w:pPr>
        <w:spacing w:before="312" w:beforeLines="100" w:after="156" w:afterLines="50" w:line="520" w:lineRule="exact"/>
        <w:ind w:left="540"/>
        <w:jc w:val="center"/>
        <w:rPr>
          <w:rFonts w:ascii="宋体" w:hAnsi="宋体" w:cs="宋体"/>
          <w:bCs/>
          <w:color w:val="auto"/>
          <w:sz w:val="44"/>
          <w:szCs w:val="44"/>
          <w:highlight w:val="none"/>
        </w:rPr>
      </w:pPr>
    </w:p>
    <w:p w14:paraId="7273855A">
      <w:pPr>
        <w:spacing w:before="312" w:beforeLines="100" w:after="156" w:afterLines="50" w:line="520" w:lineRule="exact"/>
        <w:ind w:left="540"/>
        <w:jc w:val="center"/>
        <w:rPr>
          <w:rFonts w:ascii="宋体" w:hAnsi="宋体" w:cs="宋体"/>
          <w:bCs/>
          <w:color w:val="auto"/>
          <w:sz w:val="44"/>
          <w:szCs w:val="44"/>
          <w:highlight w:val="none"/>
        </w:rPr>
      </w:pPr>
    </w:p>
    <w:p w14:paraId="54CFC8F4">
      <w:pPr>
        <w:spacing w:before="312" w:beforeLines="100" w:after="156" w:afterLines="50" w:line="520" w:lineRule="exact"/>
        <w:ind w:left="540"/>
        <w:jc w:val="center"/>
        <w:rPr>
          <w:rFonts w:ascii="宋体" w:hAnsi="宋体" w:cs="宋体"/>
          <w:bCs/>
          <w:color w:val="auto"/>
          <w:sz w:val="44"/>
          <w:szCs w:val="44"/>
          <w:highlight w:val="none"/>
        </w:rPr>
      </w:pPr>
    </w:p>
    <w:p w14:paraId="425D0AD6">
      <w:pPr>
        <w:spacing w:before="312" w:beforeLines="100" w:after="156" w:afterLines="50" w:line="520" w:lineRule="exact"/>
        <w:ind w:left="540"/>
        <w:jc w:val="center"/>
        <w:rPr>
          <w:rFonts w:ascii="宋体" w:hAnsi="宋体" w:cs="宋体"/>
          <w:bCs/>
          <w:color w:val="auto"/>
          <w:sz w:val="44"/>
          <w:szCs w:val="44"/>
          <w:highlight w:val="none"/>
        </w:rPr>
      </w:pPr>
    </w:p>
    <w:p w14:paraId="0675978D">
      <w:pPr>
        <w:spacing w:before="312" w:beforeLines="100" w:after="156" w:afterLines="50" w:line="520" w:lineRule="exact"/>
        <w:ind w:left="540"/>
        <w:jc w:val="center"/>
        <w:rPr>
          <w:rFonts w:ascii="宋体" w:hAnsi="宋体" w:cs="宋体"/>
          <w:bCs/>
          <w:color w:val="auto"/>
          <w:sz w:val="44"/>
          <w:szCs w:val="44"/>
          <w:highlight w:val="none"/>
        </w:rPr>
      </w:pPr>
    </w:p>
    <w:p w14:paraId="6843AD99">
      <w:pPr>
        <w:spacing w:before="312" w:beforeLines="100" w:after="156" w:afterLines="50" w:line="520" w:lineRule="exact"/>
        <w:ind w:left="540"/>
        <w:jc w:val="center"/>
        <w:rPr>
          <w:rFonts w:ascii="宋体" w:hAnsi="宋体" w:cs="宋体"/>
          <w:bCs/>
          <w:color w:val="auto"/>
          <w:sz w:val="44"/>
          <w:szCs w:val="44"/>
          <w:highlight w:val="none"/>
        </w:rPr>
      </w:pPr>
    </w:p>
    <w:p w14:paraId="0767BB53">
      <w:pPr>
        <w:spacing w:before="312" w:beforeLines="100" w:after="156" w:afterLines="50" w:line="520" w:lineRule="exact"/>
        <w:ind w:left="540"/>
        <w:jc w:val="center"/>
        <w:rPr>
          <w:rFonts w:ascii="宋体" w:hAnsi="宋体" w:cs="宋体"/>
          <w:bCs/>
          <w:color w:val="auto"/>
          <w:sz w:val="44"/>
          <w:szCs w:val="44"/>
          <w:highlight w:val="none"/>
        </w:rPr>
      </w:pPr>
    </w:p>
    <w:p w14:paraId="318A127B">
      <w:pPr>
        <w:spacing w:before="312" w:beforeLines="100" w:after="156" w:afterLines="50" w:line="520" w:lineRule="exact"/>
        <w:ind w:left="540"/>
        <w:jc w:val="center"/>
        <w:rPr>
          <w:rFonts w:ascii="宋体" w:hAnsi="宋体" w:cs="宋体"/>
          <w:bCs/>
          <w:color w:val="auto"/>
          <w:sz w:val="44"/>
          <w:szCs w:val="44"/>
          <w:highlight w:val="none"/>
        </w:rPr>
      </w:pPr>
    </w:p>
    <w:p w14:paraId="18F3BC6C">
      <w:pPr>
        <w:spacing w:before="312" w:beforeLines="100" w:after="156" w:afterLines="50" w:line="520" w:lineRule="exact"/>
        <w:ind w:left="540"/>
        <w:jc w:val="center"/>
        <w:rPr>
          <w:rFonts w:ascii="宋体" w:hAnsi="宋体" w:cs="宋体"/>
          <w:bCs/>
          <w:color w:val="auto"/>
          <w:sz w:val="44"/>
          <w:szCs w:val="44"/>
          <w:highlight w:val="none"/>
        </w:rPr>
      </w:pPr>
    </w:p>
    <w:p w14:paraId="59903680">
      <w:pPr>
        <w:spacing w:before="312" w:beforeLines="100" w:after="156" w:afterLines="50" w:line="520" w:lineRule="exact"/>
        <w:ind w:left="540"/>
        <w:jc w:val="center"/>
        <w:rPr>
          <w:rFonts w:ascii="宋体" w:hAnsi="宋体" w:cs="宋体"/>
          <w:bCs/>
          <w:color w:val="auto"/>
          <w:sz w:val="44"/>
          <w:szCs w:val="44"/>
          <w:highlight w:val="none"/>
        </w:rPr>
      </w:pPr>
    </w:p>
    <w:p w14:paraId="0C87C058">
      <w:pPr>
        <w:spacing w:line="360" w:lineRule="auto"/>
        <w:ind w:firstLine="420" w:firstLineChars="200"/>
        <w:jc w:val="left"/>
        <w:rPr>
          <w:rFonts w:ascii="宋体" w:hAnsi="宋体" w:cs="宋体"/>
          <w:color w:val="auto"/>
          <w:szCs w:val="21"/>
          <w:highlight w:val="none"/>
        </w:rPr>
      </w:pPr>
    </w:p>
    <w:p w14:paraId="4EEA9C67">
      <w:pPr>
        <w:spacing w:line="300" w:lineRule="auto"/>
        <w:rPr>
          <w:rFonts w:ascii="宋体" w:hAnsi="宋体" w:cs="宋体"/>
          <w:color w:val="auto"/>
          <w:szCs w:val="21"/>
          <w:highlight w:val="none"/>
        </w:rPr>
      </w:pPr>
      <w:r>
        <w:rPr>
          <w:rFonts w:hint="eastAsia" w:ascii="宋体" w:hAnsi="宋体" w:cs="宋体"/>
          <w:color w:val="auto"/>
          <w:szCs w:val="21"/>
          <w:highlight w:val="none"/>
        </w:rPr>
        <w:br w:type="page"/>
      </w:r>
    </w:p>
    <w:p w14:paraId="197EEA3F">
      <w:pPr>
        <w:wordWrap w:val="0"/>
        <w:spacing w:before="156" w:beforeLines="50" w:after="50" w:line="320" w:lineRule="exact"/>
        <w:ind w:right="482" w:firstLine="210" w:firstLineChars="100"/>
        <w:contextualSpacing/>
        <w:jc w:val="center"/>
        <w:rPr>
          <w:rFonts w:ascii="宋体" w:hAnsi="宋体" w:cs="宋体"/>
          <w:color w:val="auto"/>
          <w:szCs w:val="21"/>
          <w:highlight w:val="none"/>
        </w:rPr>
      </w:pPr>
    </w:p>
    <w:p w14:paraId="34ED29A9">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096409C5">
      <w:pPr>
        <w:snapToGrid w:val="0"/>
        <w:spacing w:before="156" w:beforeLines="50" w:after="50" w:line="360" w:lineRule="auto"/>
        <w:jc w:val="center"/>
        <w:rPr>
          <w:rFonts w:ascii="宋体" w:hAnsi="宋体" w:cs="宋体"/>
          <w:b/>
          <w:color w:val="auto"/>
          <w:sz w:val="24"/>
          <w:highlight w:val="none"/>
        </w:rPr>
      </w:pPr>
    </w:p>
    <w:p w14:paraId="5DD78815">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308C6C57">
      <w:pPr>
        <w:snapToGrid w:val="0"/>
        <w:spacing w:before="50" w:after="156" w:afterLines="50" w:line="360" w:lineRule="auto"/>
        <w:jc w:val="center"/>
        <w:rPr>
          <w:rFonts w:ascii="宋体" w:hAnsi="宋体" w:cs="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F376D02">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250FDD">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DE44FD">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095E20">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6CBEA6">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DADC05">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774A2D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5D9A41">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F36FC1">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13052C">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BA3C75">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AE1550">
            <w:pPr>
              <w:widowControl/>
              <w:spacing w:line="360" w:lineRule="auto"/>
              <w:jc w:val="center"/>
              <w:rPr>
                <w:rFonts w:ascii="宋体" w:hAnsi="宋体" w:cs="宋体"/>
                <w:color w:val="auto"/>
                <w:kern w:val="0"/>
                <w:sz w:val="24"/>
                <w:highlight w:val="none"/>
              </w:rPr>
            </w:pPr>
          </w:p>
        </w:tc>
      </w:tr>
      <w:tr w14:paraId="5AB45DA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97C07C">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C03FAB">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576F2B">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509B9C">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6EAB74">
            <w:pPr>
              <w:widowControl/>
              <w:spacing w:line="360" w:lineRule="auto"/>
              <w:jc w:val="center"/>
              <w:rPr>
                <w:rFonts w:ascii="宋体" w:hAnsi="宋体" w:cs="宋体"/>
                <w:color w:val="auto"/>
                <w:kern w:val="0"/>
                <w:sz w:val="24"/>
                <w:highlight w:val="none"/>
              </w:rPr>
            </w:pPr>
          </w:p>
        </w:tc>
      </w:tr>
      <w:tr w14:paraId="28ADE05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47A9C33">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C72F02">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6361CE">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ABDBE7">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1FEC03">
            <w:pPr>
              <w:widowControl/>
              <w:spacing w:line="360" w:lineRule="auto"/>
              <w:jc w:val="center"/>
              <w:rPr>
                <w:rFonts w:ascii="宋体" w:hAnsi="宋体" w:cs="宋体"/>
                <w:color w:val="auto"/>
                <w:kern w:val="0"/>
                <w:sz w:val="24"/>
                <w:highlight w:val="none"/>
              </w:rPr>
            </w:pPr>
          </w:p>
        </w:tc>
      </w:tr>
      <w:tr w14:paraId="41CA73C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836A3B">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8F1501">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258A5A">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396102">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4B5A0E">
            <w:pPr>
              <w:widowControl/>
              <w:spacing w:line="360" w:lineRule="auto"/>
              <w:jc w:val="center"/>
              <w:rPr>
                <w:rFonts w:ascii="宋体" w:hAnsi="宋体" w:cs="宋体"/>
                <w:color w:val="auto"/>
                <w:kern w:val="0"/>
                <w:sz w:val="24"/>
                <w:highlight w:val="none"/>
              </w:rPr>
            </w:pPr>
          </w:p>
        </w:tc>
      </w:tr>
    </w:tbl>
    <w:p w14:paraId="0EC83E9C">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3316ABA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7C5173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2F186D2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571F3DCA">
      <w:pPr>
        <w:snapToGrid w:val="0"/>
        <w:spacing w:line="360" w:lineRule="auto"/>
        <w:jc w:val="left"/>
        <w:rPr>
          <w:rFonts w:ascii="宋体" w:hAnsi="宋体" w:cs="宋体"/>
          <w:color w:val="auto"/>
          <w:sz w:val="24"/>
          <w:highlight w:val="none"/>
        </w:rPr>
      </w:pPr>
    </w:p>
    <w:p w14:paraId="64924E10">
      <w:pPr>
        <w:snapToGrid w:val="0"/>
        <w:spacing w:line="360" w:lineRule="auto"/>
        <w:jc w:val="left"/>
        <w:rPr>
          <w:rFonts w:ascii="宋体" w:hAnsi="宋体" w:cs="宋体"/>
          <w:color w:val="auto"/>
          <w:sz w:val="24"/>
          <w:highlight w:val="none"/>
        </w:rPr>
      </w:pPr>
    </w:p>
    <w:p w14:paraId="5BC9BA4A">
      <w:pPr>
        <w:snapToGrid w:val="0"/>
        <w:spacing w:line="360" w:lineRule="auto"/>
        <w:jc w:val="left"/>
        <w:rPr>
          <w:rFonts w:ascii="宋体" w:hAnsi="宋体" w:cs="宋体"/>
          <w:color w:val="auto"/>
          <w:sz w:val="24"/>
          <w:highlight w:val="none"/>
        </w:rPr>
      </w:pPr>
    </w:p>
    <w:p w14:paraId="64FC9A19">
      <w:pPr>
        <w:snapToGrid w:val="0"/>
        <w:spacing w:before="156" w:beforeLines="50" w:line="360" w:lineRule="auto"/>
        <w:ind w:right="480" w:firstLine="1920" w:firstLineChars="80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法定代表人或者委托代理人（签字或签章）：</w:t>
      </w:r>
      <w:r>
        <w:rPr>
          <w:rFonts w:hint="eastAsia" w:ascii="宋体" w:hAnsi="宋体" w:cs="宋体"/>
          <w:color w:val="auto"/>
          <w:sz w:val="24"/>
          <w:highlight w:val="none"/>
          <w:u w:val="single"/>
        </w:rPr>
        <w:t xml:space="preserve">                </w:t>
      </w:r>
    </w:p>
    <w:p w14:paraId="49B09C87">
      <w:pPr>
        <w:snapToGrid w:val="0"/>
        <w:spacing w:before="156" w:beforeLines="50" w:after="50" w:line="360" w:lineRule="auto"/>
        <w:ind w:right="480" w:firstLine="3000" w:firstLineChars="1250"/>
        <w:rPr>
          <w:rFonts w:ascii="宋体" w:hAnsi="宋体" w:cs="宋体"/>
          <w:color w:val="auto"/>
          <w:sz w:val="24"/>
          <w:highlight w:val="none"/>
          <w:u w:val="single"/>
        </w:rPr>
      </w:pPr>
      <w:r>
        <w:rPr>
          <w:rFonts w:hint="eastAsia" w:ascii="宋体" w:hAnsi="宋体" w:cs="宋体"/>
          <w:color w:val="auto"/>
          <w:sz w:val="24"/>
          <w:highlight w:val="none"/>
        </w:rPr>
        <w:t>供应商（盖公章或电子签章）：</w:t>
      </w:r>
      <w:r>
        <w:rPr>
          <w:rFonts w:hint="eastAsia" w:ascii="宋体" w:hAnsi="宋体" w:cs="宋体"/>
          <w:color w:val="auto"/>
          <w:sz w:val="24"/>
          <w:highlight w:val="none"/>
          <w:u w:val="single"/>
        </w:rPr>
        <w:t xml:space="preserve">                              </w:t>
      </w:r>
    </w:p>
    <w:p w14:paraId="1771D304">
      <w:pPr>
        <w:snapToGrid w:val="0"/>
        <w:spacing w:before="156" w:beforeLines="50" w:after="50" w:line="360" w:lineRule="auto"/>
        <w:ind w:right="480" w:firstLine="5280" w:firstLineChars="2200"/>
        <w:rPr>
          <w:rFonts w:ascii="宋体" w:hAnsi="宋体" w:cs="宋体"/>
          <w:color w:val="auto"/>
          <w:sz w:val="28"/>
          <w:szCs w:val="28"/>
          <w:highlight w:val="none"/>
        </w:rPr>
      </w:pPr>
      <w:r>
        <w:rPr>
          <w:rFonts w:hint="eastAsia" w:ascii="宋体" w:hAnsi="宋体" w:cs="宋体"/>
          <w:color w:val="auto"/>
          <w:sz w:val="24"/>
          <w:highlight w:val="none"/>
        </w:rPr>
        <w:t>年    月    日</w:t>
      </w:r>
    </w:p>
    <w:p w14:paraId="04B9107B">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AB9F1DC">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5A806115">
      <w:pPr>
        <w:snapToGrid w:val="0"/>
        <w:spacing w:line="360" w:lineRule="auto"/>
        <w:jc w:val="center"/>
        <w:rPr>
          <w:rFonts w:ascii="宋体" w:hAnsi="宋体" w:cs="宋体"/>
          <w:b/>
          <w:color w:val="auto"/>
          <w:sz w:val="24"/>
          <w:highlight w:val="none"/>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1BB6FDA2">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194C82">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98BD98">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AE23B3">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9C3555">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3DDE06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2CFE2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1EF0E4">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0C22B0">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9B74D6">
            <w:pPr>
              <w:widowControl/>
              <w:spacing w:line="360" w:lineRule="auto"/>
              <w:jc w:val="center"/>
              <w:rPr>
                <w:rFonts w:ascii="宋体" w:hAnsi="宋体" w:cs="宋体"/>
                <w:color w:val="auto"/>
                <w:kern w:val="0"/>
                <w:sz w:val="24"/>
                <w:highlight w:val="none"/>
              </w:rPr>
            </w:pPr>
          </w:p>
        </w:tc>
      </w:tr>
      <w:tr w14:paraId="7E9B15E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F5AA47">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923E36">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695DFB">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474126">
            <w:pPr>
              <w:widowControl/>
              <w:spacing w:line="360" w:lineRule="auto"/>
              <w:jc w:val="center"/>
              <w:rPr>
                <w:rFonts w:ascii="宋体" w:hAnsi="宋体" w:cs="宋体"/>
                <w:color w:val="auto"/>
                <w:kern w:val="0"/>
                <w:sz w:val="24"/>
                <w:highlight w:val="none"/>
              </w:rPr>
            </w:pPr>
          </w:p>
        </w:tc>
      </w:tr>
      <w:tr w14:paraId="56226B2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A473F2">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00DEC3">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6E9C23">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688E28">
            <w:pPr>
              <w:widowControl/>
              <w:spacing w:line="360" w:lineRule="auto"/>
              <w:jc w:val="center"/>
              <w:rPr>
                <w:rFonts w:ascii="宋体" w:hAnsi="宋体" w:cs="宋体"/>
                <w:color w:val="auto"/>
                <w:kern w:val="0"/>
                <w:sz w:val="24"/>
                <w:highlight w:val="none"/>
              </w:rPr>
            </w:pPr>
          </w:p>
        </w:tc>
      </w:tr>
      <w:tr w14:paraId="6067E61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7569C0">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668F2B">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8F22BD">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3481E5">
            <w:pPr>
              <w:widowControl/>
              <w:spacing w:line="360" w:lineRule="auto"/>
              <w:jc w:val="center"/>
              <w:rPr>
                <w:rFonts w:ascii="宋体" w:hAnsi="宋体" w:cs="宋体"/>
                <w:color w:val="auto"/>
                <w:kern w:val="0"/>
                <w:sz w:val="24"/>
                <w:highlight w:val="none"/>
              </w:rPr>
            </w:pPr>
          </w:p>
        </w:tc>
      </w:tr>
    </w:tbl>
    <w:p w14:paraId="0CF2C72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58CF62A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2709B7E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2.本表所指的管理关系仅限于直接管理关系，不包括间接的管理关系。</w:t>
      </w:r>
    </w:p>
    <w:p w14:paraId="3AE0FB13">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640CDFCB">
      <w:pPr>
        <w:snapToGrid w:val="0"/>
        <w:spacing w:line="360" w:lineRule="auto"/>
        <w:jc w:val="left"/>
        <w:rPr>
          <w:rFonts w:ascii="宋体" w:hAnsi="宋体" w:cs="宋体"/>
          <w:color w:val="auto"/>
          <w:sz w:val="24"/>
          <w:highlight w:val="none"/>
        </w:rPr>
      </w:pPr>
    </w:p>
    <w:p w14:paraId="5CF24B0E">
      <w:pPr>
        <w:snapToGrid w:val="0"/>
        <w:spacing w:line="360" w:lineRule="auto"/>
        <w:jc w:val="left"/>
        <w:rPr>
          <w:rFonts w:ascii="宋体" w:hAnsi="宋体" w:cs="宋体"/>
          <w:color w:val="auto"/>
          <w:sz w:val="24"/>
          <w:highlight w:val="none"/>
        </w:rPr>
      </w:pPr>
    </w:p>
    <w:p w14:paraId="56364FE5">
      <w:pPr>
        <w:snapToGrid w:val="0"/>
        <w:spacing w:line="360" w:lineRule="auto"/>
        <w:jc w:val="left"/>
        <w:rPr>
          <w:rFonts w:ascii="宋体" w:hAnsi="宋体" w:cs="宋体"/>
          <w:color w:val="auto"/>
          <w:sz w:val="24"/>
          <w:highlight w:val="none"/>
        </w:rPr>
      </w:pPr>
    </w:p>
    <w:p w14:paraId="7CA3EF09">
      <w:pPr>
        <w:snapToGrid w:val="0"/>
        <w:spacing w:line="360" w:lineRule="auto"/>
        <w:jc w:val="left"/>
        <w:rPr>
          <w:rFonts w:ascii="宋体" w:hAnsi="宋体" w:cs="宋体"/>
          <w:color w:val="auto"/>
          <w:sz w:val="24"/>
          <w:highlight w:val="none"/>
        </w:rPr>
      </w:pPr>
    </w:p>
    <w:p w14:paraId="38162D39">
      <w:pPr>
        <w:snapToGrid w:val="0"/>
        <w:spacing w:line="360" w:lineRule="auto"/>
        <w:jc w:val="left"/>
        <w:rPr>
          <w:rFonts w:ascii="宋体" w:hAnsi="宋体" w:cs="宋体"/>
          <w:color w:val="auto"/>
          <w:sz w:val="24"/>
          <w:highlight w:val="none"/>
        </w:rPr>
      </w:pPr>
    </w:p>
    <w:p w14:paraId="45D1AE69">
      <w:pPr>
        <w:snapToGrid w:val="0"/>
        <w:spacing w:line="360" w:lineRule="auto"/>
        <w:jc w:val="left"/>
        <w:rPr>
          <w:rFonts w:ascii="宋体" w:hAnsi="宋体" w:cs="宋体"/>
          <w:color w:val="auto"/>
          <w:sz w:val="24"/>
          <w:highlight w:val="none"/>
        </w:rPr>
      </w:pPr>
    </w:p>
    <w:p w14:paraId="181CCFA8">
      <w:pPr>
        <w:snapToGrid w:val="0"/>
        <w:spacing w:before="156" w:beforeLines="50" w:line="360" w:lineRule="auto"/>
        <w:ind w:right="480" w:firstLine="2160" w:firstLineChars="900"/>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法定代表人或者委托代理人（签字或签章）：</w:t>
      </w:r>
      <w:r>
        <w:rPr>
          <w:rFonts w:hint="eastAsia" w:ascii="宋体" w:hAnsi="宋体" w:cs="宋体"/>
          <w:color w:val="auto"/>
          <w:sz w:val="24"/>
          <w:highlight w:val="none"/>
          <w:u w:val="single"/>
        </w:rPr>
        <w:t xml:space="preserve">               </w:t>
      </w:r>
    </w:p>
    <w:p w14:paraId="24572DE2">
      <w:pPr>
        <w:snapToGrid w:val="0"/>
        <w:spacing w:before="156" w:beforeLines="50" w:after="50" w:line="360" w:lineRule="auto"/>
        <w:ind w:right="480" w:firstLine="3360" w:firstLineChars="1400"/>
        <w:rPr>
          <w:rFonts w:ascii="宋体" w:hAnsi="宋体" w:cs="宋体"/>
          <w:color w:val="auto"/>
          <w:sz w:val="24"/>
          <w:highlight w:val="none"/>
        </w:rPr>
      </w:pPr>
      <w:r>
        <w:rPr>
          <w:rFonts w:hint="eastAsia" w:ascii="宋体" w:hAnsi="宋体" w:cs="宋体"/>
          <w:color w:val="auto"/>
          <w:sz w:val="24"/>
          <w:highlight w:val="none"/>
        </w:rPr>
        <w:t>供应商（盖公章或电子签章）：</w:t>
      </w:r>
      <w:r>
        <w:rPr>
          <w:rFonts w:hint="eastAsia" w:ascii="宋体" w:hAnsi="宋体" w:cs="宋体"/>
          <w:color w:val="auto"/>
          <w:sz w:val="24"/>
          <w:highlight w:val="none"/>
          <w:u w:val="single"/>
        </w:rPr>
        <w:t xml:space="preserve">                </w:t>
      </w:r>
    </w:p>
    <w:p w14:paraId="3F880660">
      <w:pPr>
        <w:snapToGrid w:val="0"/>
        <w:spacing w:before="156" w:beforeLines="50" w:after="50" w:line="360" w:lineRule="auto"/>
        <w:ind w:right="480" w:firstLine="240" w:firstLineChars="100"/>
        <w:jc w:val="center"/>
        <w:rPr>
          <w:rFonts w:ascii="宋体" w:hAnsi="宋体" w:cs="宋体"/>
          <w:color w:val="auto"/>
          <w:sz w:val="28"/>
          <w:szCs w:val="28"/>
          <w:highlight w:val="none"/>
        </w:rPr>
      </w:pPr>
      <w:r>
        <w:rPr>
          <w:rFonts w:hint="eastAsia" w:ascii="宋体" w:hAnsi="宋体" w:cs="宋体"/>
          <w:color w:val="auto"/>
          <w:sz w:val="24"/>
          <w:highlight w:val="none"/>
        </w:rPr>
        <w:t xml:space="preserve">                                        年    月    日</w:t>
      </w:r>
    </w:p>
    <w:p w14:paraId="60697175">
      <w:pPr>
        <w:spacing w:line="320" w:lineRule="exact"/>
        <w:jc w:val="center"/>
        <w:rPr>
          <w:rFonts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竞标声明</w:t>
      </w:r>
    </w:p>
    <w:p w14:paraId="48327483">
      <w:pPr>
        <w:spacing w:line="320" w:lineRule="exact"/>
        <w:jc w:val="center"/>
        <w:rPr>
          <w:rFonts w:ascii="宋体" w:hAnsi="宋体" w:cs="宋体"/>
          <w:color w:val="auto"/>
          <w:sz w:val="24"/>
          <w:szCs w:val="20"/>
          <w:highlight w:val="none"/>
        </w:rPr>
      </w:pPr>
    </w:p>
    <w:p w14:paraId="52ACABB7">
      <w:pPr>
        <w:spacing w:before="156" w:beforeLines="50" w:after="50"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p>
    <w:p w14:paraId="45447B6C">
      <w:pPr>
        <w:spacing w:before="156" w:beforeLines="50" w:after="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3FC64F">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（项目名称及项目编号）</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7CA7AA00">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4731B205">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8873292">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55ABF330">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09D64B6">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712D5FA6">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74BB52B8">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516160F1">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FD0E062">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B3CD97C">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58702145">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0B928E2">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A62579E">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9C8295A">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3EE7638C">
      <w:pPr>
        <w:spacing w:before="156" w:beforeLines="50"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DE2C361">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w:t>
      </w:r>
    </w:p>
    <w:p w14:paraId="0F6E520F">
      <w:pPr>
        <w:pStyle w:val="18"/>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164EB98E">
      <w:pPr>
        <w:pStyle w:val="18"/>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5314796">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2E943EE1">
      <w:pPr>
        <w:pStyle w:val="17"/>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083CFB1C">
      <w:pPr>
        <w:pStyle w:val="17"/>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267A0B95">
      <w:pPr>
        <w:spacing w:line="360" w:lineRule="auto"/>
        <w:contextualSpacing/>
        <w:rPr>
          <w:rFonts w:ascii="宋体" w:hAnsi="宋体" w:cs="仿宋_GB2312"/>
          <w:color w:val="auto"/>
          <w:sz w:val="24"/>
          <w:highlight w:val="none"/>
        </w:rPr>
      </w:pPr>
    </w:p>
    <w:p w14:paraId="331B25A0">
      <w:pPr>
        <w:spacing w:line="360" w:lineRule="auto"/>
        <w:contextualSpacing/>
        <w:rPr>
          <w:color w:val="auto"/>
          <w:sz w:val="24"/>
          <w:highlight w:val="none"/>
          <w:u w:val="single"/>
        </w:rPr>
      </w:pPr>
      <w:r>
        <w:rPr>
          <w:rFonts w:hint="eastAsia" w:ascii="宋体" w:hAnsi="宋体" w:cs="宋体"/>
          <w:color w:val="auto"/>
          <w:sz w:val="24"/>
          <w:highlight w:val="none"/>
        </w:rPr>
        <w:t>供应商（盖公章或电子签章）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337F4471">
      <w:pPr>
        <w:spacing w:line="360" w:lineRule="auto"/>
        <w:contextualSpacing/>
        <w:rPr>
          <w:rFonts w:ascii="宋体" w:hAnsi="宋体" w:cs="宋体"/>
          <w:color w:val="auto"/>
          <w:sz w:val="24"/>
          <w:highlight w:val="none"/>
          <w:u w:val="single"/>
        </w:rPr>
      </w:pPr>
      <w:r>
        <w:rPr>
          <w:rFonts w:hint="eastAsia" w:ascii="宋体" w:hAnsi="宋体" w:cs="仿宋_GB2312"/>
          <w:color w:val="auto"/>
          <w:sz w:val="24"/>
          <w:highlight w:val="none"/>
        </w:rPr>
        <w:t>法定代表人（单位负责人）（</w:t>
      </w:r>
      <w:r>
        <w:rPr>
          <w:rFonts w:hint="eastAsia" w:ascii="宋体" w:hAnsi="宋体" w:cs="宋体"/>
          <w:color w:val="auto"/>
          <w:sz w:val="24"/>
          <w:highlight w:val="none"/>
        </w:rPr>
        <w:t>签字或签章</w:t>
      </w:r>
      <w:r>
        <w:rPr>
          <w:rFonts w:hint="eastAsia" w:ascii="宋体" w:hAnsi="宋体" w:cs="仿宋_GB2312"/>
          <w:color w:val="auto"/>
          <w:sz w:val="24"/>
          <w:highlight w:val="none"/>
        </w:rPr>
        <w:t>）：</w:t>
      </w:r>
      <w:r>
        <w:rPr>
          <w:rFonts w:hint="eastAsia"/>
          <w:color w:val="auto"/>
          <w:sz w:val="24"/>
          <w:highlight w:val="none"/>
          <w:u w:val="single"/>
        </w:rPr>
        <w:t xml:space="preserve">           </w:t>
      </w:r>
    </w:p>
    <w:p w14:paraId="34716A4F">
      <w:pPr>
        <w:spacing w:line="360" w:lineRule="auto"/>
        <w:ind w:right="482" w:firstLine="240" w:firstLineChars="100"/>
        <w:contextualSpacing/>
        <w:rPr>
          <w:color w:val="auto"/>
          <w:sz w:val="24"/>
          <w:highlight w:val="none"/>
        </w:rPr>
      </w:pPr>
      <w:r>
        <w:rPr>
          <w:rFonts w:hint="eastAsia" w:ascii="宋体" w:hAnsi="宋体" w:cs="宋体"/>
          <w:color w:val="auto"/>
          <w:sz w:val="24"/>
          <w:highlight w:val="none"/>
        </w:rPr>
        <w:t>2024</w:t>
      </w:r>
      <w:r>
        <w:rPr>
          <w:rFonts w:hint="eastAsia"/>
          <w:color w:val="auto"/>
          <w:sz w:val="24"/>
          <w:highlight w:val="none"/>
        </w:rPr>
        <w:t xml:space="preserve">年    月    日 </w:t>
      </w:r>
    </w:p>
    <w:p w14:paraId="7E082892">
      <w:pPr>
        <w:pStyle w:val="2"/>
        <w:spacing w:line="360" w:lineRule="auto"/>
        <w:ind w:firstLine="0"/>
        <w:rPr>
          <w:color w:val="auto"/>
          <w:sz w:val="24"/>
          <w:highlight w:val="none"/>
        </w:rPr>
      </w:pPr>
    </w:p>
    <w:p w14:paraId="1A095B02">
      <w:pPr>
        <w:snapToGrid w:val="0"/>
        <w:spacing w:before="156" w:beforeLines="50" w:after="50" w:line="360" w:lineRule="auto"/>
        <w:ind w:right="480" w:firstLine="280" w:firstLineChars="100"/>
        <w:jc w:val="center"/>
        <w:rPr>
          <w:rFonts w:ascii="宋体" w:hAnsi="宋体" w:cs="宋体"/>
          <w:color w:val="auto"/>
          <w:sz w:val="28"/>
          <w:szCs w:val="28"/>
          <w:highlight w:val="none"/>
        </w:rPr>
      </w:pPr>
    </w:p>
    <w:p w14:paraId="73F519D7">
      <w:pPr>
        <w:pStyle w:val="2"/>
        <w:overflowPunct w:val="0"/>
        <w:ind w:firstLine="0"/>
        <w:rPr>
          <w:rFonts w:ascii="宋体" w:hAnsi="宋体" w:cs="宋体"/>
          <w:color w:val="auto"/>
          <w:sz w:val="30"/>
          <w:highlight w:val="none"/>
        </w:rPr>
      </w:pPr>
    </w:p>
    <w:p w14:paraId="1CED3D33">
      <w:pPr>
        <w:snapToGrid w:val="0"/>
        <w:spacing w:before="156" w:beforeLines="50" w:after="50" w:line="360" w:lineRule="auto"/>
        <w:ind w:right="480"/>
        <w:jc w:val="center"/>
        <w:rPr>
          <w:rFonts w:ascii="宋体" w:hAnsi="宋体" w:cs="宋体"/>
          <w:b/>
          <w:color w:val="auto"/>
          <w:sz w:val="32"/>
          <w:szCs w:val="32"/>
          <w:highlight w:val="none"/>
        </w:rPr>
      </w:pPr>
    </w:p>
    <w:p w14:paraId="54519D2D">
      <w:pPr>
        <w:snapToGrid w:val="0"/>
        <w:spacing w:before="156" w:beforeLines="50" w:after="50" w:line="360" w:lineRule="auto"/>
        <w:ind w:right="480"/>
        <w:jc w:val="center"/>
        <w:rPr>
          <w:rFonts w:ascii="宋体" w:hAnsi="宋体" w:cs="宋体"/>
          <w:b/>
          <w:color w:val="auto"/>
          <w:sz w:val="32"/>
          <w:szCs w:val="32"/>
          <w:highlight w:val="none"/>
        </w:rPr>
      </w:pPr>
    </w:p>
    <w:p w14:paraId="5A07A468">
      <w:pPr>
        <w:snapToGrid w:val="0"/>
        <w:spacing w:before="156" w:beforeLines="50" w:after="50" w:line="360" w:lineRule="auto"/>
        <w:ind w:right="480"/>
        <w:jc w:val="center"/>
        <w:rPr>
          <w:rFonts w:ascii="宋体" w:hAnsi="宋体" w:cs="宋体"/>
          <w:b/>
          <w:color w:val="auto"/>
          <w:sz w:val="32"/>
          <w:szCs w:val="32"/>
          <w:highlight w:val="none"/>
        </w:rPr>
      </w:pPr>
    </w:p>
    <w:p w14:paraId="723B1A8C">
      <w:pPr>
        <w:snapToGrid w:val="0"/>
        <w:spacing w:before="156" w:beforeLines="50" w:after="50" w:line="360" w:lineRule="auto"/>
        <w:ind w:right="480"/>
        <w:jc w:val="center"/>
        <w:rPr>
          <w:rFonts w:ascii="宋体" w:hAnsi="宋体" w:cs="宋体"/>
          <w:b/>
          <w:color w:val="auto"/>
          <w:sz w:val="32"/>
          <w:szCs w:val="32"/>
          <w:highlight w:val="none"/>
        </w:rPr>
      </w:pPr>
    </w:p>
    <w:p w14:paraId="607654DC">
      <w:pPr>
        <w:snapToGrid w:val="0"/>
        <w:spacing w:before="156" w:beforeLines="50" w:after="50" w:line="360" w:lineRule="auto"/>
        <w:ind w:right="480"/>
        <w:jc w:val="center"/>
        <w:rPr>
          <w:rFonts w:ascii="宋体" w:hAnsi="宋体" w:cs="宋体"/>
          <w:b/>
          <w:color w:val="auto"/>
          <w:sz w:val="32"/>
          <w:szCs w:val="32"/>
          <w:highlight w:val="none"/>
        </w:rPr>
      </w:pPr>
    </w:p>
    <w:p w14:paraId="36A25A42">
      <w:pPr>
        <w:snapToGrid w:val="0"/>
        <w:spacing w:before="156" w:beforeLines="50" w:after="50" w:line="360" w:lineRule="auto"/>
        <w:ind w:right="480"/>
        <w:jc w:val="center"/>
        <w:rPr>
          <w:rFonts w:ascii="宋体" w:hAnsi="宋体" w:cs="宋体"/>
          <w:b/>
          <w:color w:val="auto"/>
          <w:sz w:val="32"/>
          <w:szCs w:val="32"/>
          <w:highlight w:val="none"/>
        </w:rPr>
      </w:pPr>
    </w:p>
    <w:p w14:paraId="0D6D63C1">
      <w:pPr>
        <w:snapToGrid w:val="0"/>
        <w:spacing w:before="156" w:beforeLines="50" w:after="50" w:line="360" w:lineRule="auto"/>
        <w:ind w:right="480"/>
        <w:jc w:val="center"/>
        <w:rPr>
          <w:rFonts w:ascii="宋体" w:hAnsi="宋体" w:cs="宋体"/>
          <w:b/>
          <w:color w:val="auto"/>
          <w:sz w:val="32"/>
          <w:szCs w:val="32"/>
          <w:highlight w:val="none"/>
        </w:rPr>
      </w:pPr>
    </w:p>
    <w:p w14:paraId="3898AB6B">
      <w:pPr>
        <w:snapToGrid w:val="0"/>
        <w:spacing w:before="156" w:beforeLines="50" w:after="50" w:line="360" w:lineRule="auto"/>
        <w:ind w:right="480"/>
        <w:jc w:val="center"/>
        <w:rPr>
          <w:rFonts w:ascii="宋体" w:hAnsi="宋体" w:cs="宋体"/>
          <w:b/>
          <w:color w:val="auto"/>
          <w:sz w:val="32"/>
          <w:szCs w:val="32"/>
          <w:highlight w:val="none"/>
        </w:rPr>
      </w:pPr>
    </w:p>
    <w:p w14:paraId="53F50C93">
      <w:pPr>
        <w:snapToGrid w:val="0"/>
        <w:spacing w:before="156" w:beforeLines="50" w:after="50" w:line="360" w:lineRule="auto"/>
        <w:ind w:right="480"/>
        <w:jc w:val="center"/>
        <w:rPr>
          <w:rFonts w:ascii="宋体" w:hAnsi="宋体" w:cs="宋体"/>
          <w:b/>
          <w:color w:val="auto"/>
          <w:sz w:val="32"/>
          <w:szCs w:val="32"/>
          <w:highlight w:val="none"/>
        </w:rPr>
      </w:pPr>
    </w:p>
    <w:p w14:paraId="7AF04209">
      <w:pPr>
        <w:snapToGrid w:val="0"/>
        <w:spacing w:before="156" w:beforeLines="50" w:after="50" w:line="360" w:lineRule="auto"/>
        <w:ind w:right="480"/>
        <w:rPr>
          <w:rFonts w:ascii="宋体" w:hAnsi="宋体" w:cs="宋体"/>
          <w:b/>
          <w:color w:val="auto"/>
          <w:sz w:val="32"/>
          <w:szCs w:val="32"/>
          <w:highlight w:val="none"/>
        </w:rPr>
      </w:pPr>
    </w:p>
    <w:p w14:paraId="6E223CEA">
      <w:pPr>
        <w:snapToGrid w:val="0"/>
        <w:spacing w:before="156" w:beforeLines="50" w:after="50" w:line="360" w:lineRule="auto"/>
        <w:jc w:val="center"/>
        <w:outlineLvl w:val="1"/>
        <w:rPr>
          <w:rFonts w:ascii="宋体" w:hAnsi="宋体" w:cs="宋体"/>
          <w:b/>
          <w:bCs/>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bCs/>
          <w:color w:val="auto"/>
          <w:sz w:val="32"/>
          <w:szCs w:val="32"/>
          <w:highlight w:val="none"/>
        </w:rPr>
        <w:t>二、报价文件格式</w:t>
      </w:r>
    </w:p>
    <w:p w14:paraId="3287E1B5">
      <w:pPr>
        <w:snapToGrid w:val="0"/>
        <w:spacing w:before="156"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报价文件封面格式</w:t>
      </w:r>
    </w:p>
    <w:p w14:paraId="21EAAA9B">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429FCB95">
      <w:pPr>
        <w:snapToGrid w:val="0"/>
        <w:spacing w:before="156" w:beforeLines="50" w:after="50"/>
        <w:rPr>
          <w:rFonts w:ascii="宋体" w:hAnsi="宋体" w:cs="宋体"/>
          <w:color w:val="auto"/>
          <w:sz w:val="24"/>
          <w:szCs w:val="20"/>
          <w:highlight w:val="none"/>
        </w:rPr>
      </w:pPr>
    </w:p>
    <w:p w14:paraId="0751F3B7">
      <w:pPr>
        <w:snapToGrid w:val="0"/>
        <w:spacing w:before="156" w:beforeLines="50" w:after="50"/>
        <w:rPr>
          <w:rFonts w:ascii="宋体" w:hAnsi="宋体" w:cs="宋体"/>
          <w:color w:val="auto"/>
          <w:sz w:val="24"/>
          <w:szCs w:val="20"/>
          <w:highlight w:val="none"/>
        </w:rPr>
      </w:pPr>
    </w:p>
    <w:p w14:paraId="6DFF6C20">
      <w:pPr>
        <w:snapToGrid w:val="0"/>
        <w:spacing w:before="156" w:beforeLines="50" w:after="50"/>
        <w:rPr>
          <w:rFonts w:ascii="宋体" w:hAnsi="宋体" w:cs="宋体"/>
          <w:color w:val="auto"/>
          <w:sz w:val="24"/>
          <w:szCs w:val="20"/>
          <w:highlight w:val="none"/>
        </w:rPr>
      </w:pPr>
    </w:p>
    <w:p w14:paraId="7AE3EDC0">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w:t>
      </w:r>
    </w:p>
    <w:p w14:paraId="1524CEC5">
      <w:pPr>
        <w:snapToGrid w:val="0"/>
        <w:spacing w:before="156" w:beforeLines="50" w:after="50"/>
        <w:rPr>
          <w:rFonts w:ascii="宋体" w:hAnsi="宋体" w:cs="宋体"/>
          <w:bCs/>
          <w:color w:val="auto"/>
          <w:sz w:val="24"/>
          <w:szCs w:val="20"/>
          <w:highlight w:val="none"/>
        </w:rPr>
      </w:pPr>
    </w:p>
    <w:p w14:paraId="401D2452">
      <w:pPr>
        <w:snapToGrid w:val="0"/>
        <w:spacing w:before="156" w:beforeLines="50" w:after="50"/>
        <w:rPr>
          <w:rFonts w:ascii="宋体" w:hAnsi="宋体" w:cs="宋体"/>
          <w:bCs/>
          <w:color w:val="auto"/>
          <w:sz w:val="24"/>
          <w:szCs w:val="20"/>
          <w:highlight w:val="none"/>
        </w:rPr>
      </w:pPr>
    </w:p>
    <w:p w14:paraId="390745F1">
      <w:pPr>
        <w:snapToGrid w:val="0"/>
        <w:spacing w:before="156" w:beforeLines="50" w:after="50"/>
        <w:rPr>
          <w:rFonts w:ascii="宋体" w:hAnsi="宋体" w:cs="宋体"/>
          <w:bCs/>
          <w:color w:val="auto"/>
          <w:sz w:val="24"/>
          <w:szCs w:val="20"/>
          <w:highlight w:val="none"/>
        </w:rPr>
      </w:pPr>
    </w:p>
    <w:p w14:paraId="6712F475">
      <w:pPr>
        <w:snapToGrid w:val="0"/>
        <w:spacing w:before="156" w:beforeLines="50" w:after="50"/>
        <w:rPr>
          <w:rFonts w:ascii="宋体" w:hAnsi="宋体" w:cs="宋体"/>
          <w:bCs/>
          <w:color w:val="auto"/>
          <w:sz w:val="24"/>
          <w:szCs w:val="20"/>
          <w:highlight w:val="none"/>
        </w:rPr>
      </w:pPr>
    </w:p>
    <w:p w14:paraId="5D391866">
      <w:pPr>
        <w:snapToGrid w:val="0"/>
        <w:spacing w:before="156" w:beforeLines="50" w:after="50"/>
        <w:rPr>
          <w:rFonts w:ascii="宋体" w:hAnsi="宋体" w:cs="宋体"/>
          <w:bCs/>
          <w:color w:val="auto"/>
          <w:sz w:val="24"/>
          <w:szCs w:val="20"/>
          <w:highlight w:val="none"/>
        </w:rPr>
      </w:pPr>
    </w:p>
    <w:p w14:paraId="7269F078">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653B2F9E">
      <w:pPr>
        <w:snapToGrid w:val="0"/>
        <w:spacing w:before="156" w:beforeLines="50" w:after="50"/>
        <w:ind w:firstLine="720" w:firstLineChars="225"/>
        <w:rPr>
          <w:rFonts w:ascii="宋体" w:hAnsi="宋体" w:cs="宋体"/>
          <w:bCs/>
          <w:color w:val="auto"/>
          <w:sz w:val="32"/>
          <w:szCs w:val="32"/>
          <w:highlight w:val="none"/>
        </w:rPr>
      </w:pPr>
    </w:p>
    <w:p w14:paraId="2A9E9C56">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21E06437">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387144B5">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6C65AC77">
      <w:pPr>
        <w:snapToGrid w:val="0"/>
        <w:spacing w:before="156" w:beforeLines="50" w:after="50"/>
        <w:ind w:firstLine="720" w:firstLineChars="225"/>
        <w:rPr>
          <w:rFonts w:ascii="宋体" w:hAnsi="宋体" w:cs="宋体"/>
          <w:bCs/>
          <w:color w:val="auto"/>
          <w:sz w:val="32"/>
          <w:szCs w:val="32"/>
          <w:highlight w:val="none"/>
        </w:rPr>
      </w:pPr>
    </w:p>
    <w:p w14:paraId="139653D5">
      <w:pPr>
        <w:pStyle w:val="2"/>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091ADCF0">
      <w:pPr>
        <w:pStyle w:val="2"/>
        <w:snapToGrid w:val="0"/>
        <w:spacing w:before="50" w:after="50"/>
        <w:ind w:firstLine="720" w:firstLineChars="225"/>
        <w:rPr>
          <w:rFonts w:ascii="宋体" w:hAnsi="宋体" w:cs="宋体"/>
          <w:bCs/>
          <w:color w:val="auto"/>
          <w:sz w:val="32"/>
          <w:szCs w:val="32"/>
          <w:highlight w:val="none"/>
        </w:rPr>
      </w:pPr>
    </w:p>
    <w:p w14:paraId="669A8C65">
      <w:pPr>
        <w:pStyle w:val="2"/>
        <w:snapToGrid w:val="0"/>
        <w:spacing w:before="50" w:after="50"/>
        <w:ind w:firstLine="720" w:firstLineChars="225"/>
        <w:rPr>
          <w:rFonts w:ascii="宋体" w:hAnsi="宋体" w:cs="宋体"/>
          <w:bCs/>
          <w:color w:val="auto"/>
          <w:sz w:val="32"/>
          <w:szCs w:val="32"/>
          <w:highlight w:val="none"/>
        </w:rPr>
      </w:pPr>
    </w:p>
    <w:p w14:paraId="5208FB26">
      <w:pPr>
        <w:pStyle w:val="2"/>
        <w:snapToGrid w:val="0"/>
        <w:spacing w:before="50" w:after="50"/>
        <w:ind w:firstLine="1280" w:firstLineChars="400"/>
        <w:rPr>
          <w:rFonts w:ascii="宋体" w:hAnsi="宋体" w:cs="宋体"/>
          <w:bCs/>
          <w:color w:val="auto"/>
          <w:sz w:val="32"/>
          <w:szCs w:val="32"/>
          <w:highlight w:val="none"/>
        </w:rPr>
      </w:pPr>
    </w:p>
    <w:p w14:paraId="3D97AF54">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F2E1123">
      <w:pPr>
        <w:snapToGrid w:val="0"/>
        <w:spacing w:before="156" w:beforeLines="50" w:after="50" w:line="360" w:lineRule="auto"/>
        <w:ind w:left="142"/>
        <w:jc w:val="center"/>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255473F0">
      <w:pPr>
        <w:snapToGrid w:val="0"/>
        <w:spacing w:line="400" w:lineRule="exact"/>
        <w:ind w:firstLine="640" w:firstLineChars="200"/>
        <w:jc w:val="left"/>
        <w:rPr>
          <w:rFonts w:ascii="宋体" w:hAnsi="宋体" w:cs="宋体"/>
          <w:b/>
          <w:color w:val="auto"/>
          <w:sz w:val="24"/>
          <w:highlight w:val="none"/>
        </w:rPr>
      </w:pPr>
      <w:r>
        <w:rPr>
          <w:rFonts w:hint="eastAsia" w:ascii="宋体" w:hAnsi="宋体" w:cs="宋体"/>
          <w:color w:val="auto"/>
          <w:sz w:val="32"/>
          <w:szCs w:val="32"/>
          <w:highlight w:val="none"/>
        </w:rPr>
        <w:t>根据磋商文件规定及供应商提供的材料自行编写目录（部分格式后附）。</w:t>
      </w:r>
    </w:p>
    <w:p w14:paraId="33F07A5B">
      <w:pPr>
        <w:spacing w:line="360" w:lineRule="auto"/>
        <w:ind w:firstLine="880" w:firstLineChars="200"/>
        <w:jc w:val="center"/>
        <w:rPr>
          <w:rFonts w:ascii="宋体" w:hAnsi="宋体" w:cs="宋体"/>
          <w:color w:val="auto"/>
          <w:sz w:val="32"/>
          <w:szCs w:val="32"/>
          <w:highlight w:val="none"/>
        </w:rPr>
      </w:pPr>
      <w:r>
        <w:rPr>
          <w:rFonts w:hint="eastAsia" w:ascii="宋体" w:hAnsi="宋体" w:cs="宋体"/>
          <w:color w:val="auto"/>
          <w:sz w:val="44"/>
          <w:szCs w:val="44"/>
          <w:highlight w:val="none"/>
        </w:rPr>
        <w:br w:type="page"/>
      </w:r>
    </w:p>
    <w:p w14:paraId="2B92C96E">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t>竞  标  报  价  表</w:t>
      </w:r>
    </w:p>
    <w:p w14:paraId="394648AB">
      <w:pPr>
        <w:spacing w:line="440" w:lineRule="exact"/>
        <w:jc w:val="center"/>
        <w:rPr>
          <w:rFonts w:ascii="宋体" w:hAnsi="宋体" w:cs="宋体"/>
          <w:bCs/>
          <w:color w:val="auto"/>
          <w:sz w:val="32"/>
          <w:szCs w:val="32"/>
          <w:highlight w:val="none"/>
        </w:rPr>
      </w:pPr>
    </w:p>
    <w:p w14:paraId="585E9B71">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07E174A">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0505889">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56153C3">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1D7516E">
      <w:pPr>
        <w:snapToGrid w:val="0"/>
        <w:spacing w:before="50" w:after="50" w:line="360" w:lineRule="auto"/>
        <w:jc w:val="right"/>
        <w:rPr>
          <w:rFonts w:ascii="宋体" w:hAnsi="宋体" w:cs="宋体"/>
          <w:color w:val="auto"/>
          <w:sz w:val="24"/>
          <w:highlight w:val="none"/>
        </w:rPr>
      </w:pPr>
      <w:r>
        <w:rPr>
          <w:rFonts w:hint="eastAsia" w:ascii="宋体" w:hAnsi="宋体" w:cs="宋体"/>
          <w:color w:val="auto"/>
          <w:sz w:val="24"/>
          <w:highlight w:val="none"/>
        </w:rPr>
        <w:t xml:space="preserve"> 单位：元</w:t>
      </w:r>
    </w:p>
    <w:tbl>
      <w:tblPr>
        <w:tblStyle w:val="3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59976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C5BD0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09696BD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2C5A9C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2B2A17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08DCFC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20CCFB3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72CDBB4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5759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209B015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758F5426">
            <w:pPr>
              <w:spacing w:line="360" w:lineRule="auto"/>
              <w:jc w:val="center"/>
              <w:rPr>
                <w:rFonts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vAlign w:val="center"/>
          </w:tcPr>
          <w:p w14:paraId="169C2513">
            <w:pPr>
              <w:spacing w:line="360" w:lineRule="auto"/>
              <w:jc w:val="center"/>
              <w:rPr>
                <w:rFonts w:ascii="宋体" w:hAnsi="宋体" w:cs="宋体"/>
                <w:color w:val="auto"/>
                <w:sz w:val="24"/>
                <w:highlight w:val="none"/>
              </w:rPr>
            </w:pPr>
          </w:p>
        </w:tc>
        <w:tc>
          <w:tcPr>
            <w:tcW w:w="617" w:type="dxa"/>
            <w:tcBorders>
              <w:top w:val="single" w:color="auto" w:sz="4" w:space="0"/>
              <w:left w:val="single" w:color="auto" w:sz="4" w:space="0"/>
              <w:bottom w:val="single" w:color="auto" w:sz="4" w:space="0"/>
              <w:right w:val="single" w:color="auto" w:sz="4" w:space="0"/>
            </w:tcBorders>
          </w:tcPr>
          <w:p w14:paraId="7F4719B3">
            <w:pPr>
              <w:spacing w:line="360" w:lineRule="auto"/>
              <w:rPr>
                <w:rFonts w:ascii="宋体" w:hAnsi="宋体" w:cs="宋体"/>
                <w:color w:val="auto"/>
                <w:sz w:val="24"/>
                <w:highlight w:val="none"/>
              </w:rPr>
            </w:pPr>
          </w:p>
        </w:tc>
        <w:tc>
          <w:tcPr>
            <w:tcW w:w="2194" w:type="dxa"/>
            <w:tcBorders>
              <w:top w:val="single" w:color="auto" w:sz="4" w:space="0"/>
              <w:left w:val="single" w:color="auto" w:sz="4" w:space="0"/>
              <w:bottom w:val="single" w:color="auto" w:sz="4" w:space="0"/>
              <w:right w:val="single" w:color="auto" w:sz="4" w:space="0"/>
            </w:tcBorders>
          </w:tcPr>
          <w:p w14:paraId="65B1D306">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tcPr>
          <w:p w14:paraId="71F975B4">
            <w:pPr>
              <w:spacing w:line="360" w:lineRule="auto"/>
              <w:rPr>
                <w:rFonts w:ascii="宋体" w:hAnsi="宋体" w:cs="宋体"/>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A256325">
            <w:pPr>
              <w:spacing w:line="360" w:lineRule="auto"/>
              <w:rPr>
                <w:rFonts w:ascii="宋体" w:hAnsi="宋体" w:cs="宋体"/>
                <w:color w:val="auto"/>
                <w:sz w:val="24"/>
                <w:highlight w:val="none"/>
              </w:rPr>
            </w:pPr>
          </w:p>
        </w:tc>
      </w:tr>
      <w:tr w14:paraId="5036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7"/>
            <w:tcBorders>
              <w:top w:val="single" w:color="auto" w:sz="4" w:space="0"/>
              <w:left w:val="single" w:color="auto" w:sz="4" w:space="0"/>
              <w:bottom w:val="single" w:color="auto" w:sz="4" w:space="0"/>
              <w:right w:val="single" w:color="auto" w:sz="4" w:space="0"/>
            </w:tcBorders>
            <w:vAlign w:val="center"/>
          </w:tcPr>
          <w:p w14:paraId="141A4E2F">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bl>
    <w:p w14:paraId="4831DAB4">
      <w:pPr>
        <w:snapToGrid w:val="0"/>
        <w:spacing w:before="50" w:after="50" w:line="360" w:lineRule="auto"/>
        <w:jc w:val="left"/>
        <w:rPr>
          <w:rFonts w:ascii="宋体" w:hAnsi="宋体" w:cs="宋体"/>
          <w:color w:val="auto"/>
          <w:sz w:val="24"/>
          <w:highlight w:val="none"/>
        </w:rPr>
      </w:pPr>
    </w:p>
    <w:p w14:paraId="3B9FF4BF">
      <w:pPr>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027D1690">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1.供应商的报价表必须加盖供应商公章并由法定代表人或者委托代理人签字，</w:t>
      </w:r>
      <w:r>
        <w:rPr>
          <w:rFonts w:hint="eastAsia" w:ascii="宋体" w:hAnsi="宋体" w:cs="宋体"/>
          <w:b/>
          <w:color w:val="auto"/>
          <w:sz w:val="24"/>
          <w:highlight w:val="none"/>
        </w:rPr>
        <w:t>否则其响应文件按无效响应处理</w:t>
      </w:r>
      <w:r>
        <w:rPr>
          <w:rFonts w:hint="eastAsia" w:ascii="宋体" w:hAnsi="宋体" w:cs="宋体"/>
          <w:color w:val="auto"/>
          <w:sz w:val="24"/>
          <w:highlight w:val="none"/>
        </w:rPr>
        <w:t>。</w:t>
      </w:r>
    </w:p>
    <w:p w14:paraId="13D73741">
      <w:pPr>
        <w:snapToGrid w:val="0"/>
        <w:spacing w:before="50" w:after="50" w:line="360" w:lineRule="auto"/>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报价一经涂改，应在涂改处加盖供应商公章或者由法定代表人或者委托代理人签字或者盖章</w:t>
      </w:r>
      <w:r>
        <w:rPr>
          <w:rFonts w:hint="eastAsia" w:ascii="宋体" w:hAnsi="宋体" w:cs="宋体"/>
          <w:b/>
          <w:color w:val="auto"/>
          <w:sz w:val="24"/>
          <w:highlight w:val="none"/>
        </w:rPr>
        <w:t>，否则其响应文件按无效响应处理。</w:t>
      </w:r>
    </w:p>
    <w:p w14:paraId="426F8125">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w:t>
      </w:r>
      <w:r>
        <w:rPr>
          <w:rFonts w:hint="eastAsia" w:ascii="宋体" w:hAnsi="宋体" w:cs="宋体"/>
          <w:b/>
          <w:color w:val="auto"/>
          <w:sz w:val="24"/>
          <w:highlight w:val="none"/>
        </w:rPr>
        <w:t>否则其响应文件按无效响应处理。</w:t>
      </w:r>
    </w:p>
    <w:p w14:paraId="4ABA52B0">
      <w:pPr>
        <w:snapToGrid w:val="0"/>
        <w:spacing w:before="50" w:after="5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4.如有多分标，分别列明各分标的报价表，</w:t>
      </w:r>
      <w:r>
        <w:rPr>
          <w:rFonts w:hint="eastAsia" w:ascii="宋体" w:hAnsi="宋体" w:cs="宋体"/>
          <w:b/>
          <w:color w:val="auto"/>
          <w:sz w:val="24"/>
          <w:highlight w:val="none"/>
        </w:rPr>
        <w:t>否则其响应文件按无效响应处理。</w:t>
      </w:r>
    </w:p>
    <w:p w14:paraId="69031981">
      <w:pPr>
        <w:snapToGrid w:val="0"/>
        <w:spacing w:before="50" w:after="50" w:line="360" w:lineRule="auto"/>
        <w:ind w:right="-817" w:rightChars="-389"/>
        <w:rPr>
          <w:rFonts w:ascii="宋体" w:hAnsi="宋体" w:cs="宋体"/>
          <w:color w:val="auto"/>
          <w:sz w:val="24"/>
          <w:highlight w:val="none"/>
        </w:rPr>
      </w:pPr>
    </w:p>
    <w:p w14:paraId="36F65576">
      <w:pPr>
        <w:snapToGrid w:val="0"/>
        <w:spacing w:before="50" w:after="50" w:line="360" w:lineRule="auto"/>
        <w:ind w:right="-817" w:rightChars="-389" w:firstLine="960" w:firstLineChars="400"/>
        <w:rPr>
          <w:rFonts w:ascii="宋体" w:hAnsi="宋体" w:cs="宋体"/>
          <w:color w:val="auto"/>
          <w:sz w:val="24"/>
          <w:highlight w:val="none"/>
        </w:rPr>
      </w:pPr>
    </w:p>
    <w:p w14:paraId="2339636A">
      <w:pPr>
        <w:snapToGrid w:val="0"/>
        <w:spacing w:before="50" w:after="50" w:line="360" w:lineRule="auto"/>
        <w:ind w:right="-817" w:rightChars="-389" w:firstLine="960" w:firstLineChars="4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法定代表人或者委托代理人（签字或签章）：                    </w:t>
      </w:r>
    </w:p>
    <w:p w14:paraId="6BA7A149">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18E36E2D">
      <w:pPr>
        <w:snapToGrid w:val="0"/>
        <w:spacing w:before="50" w:after="50" w:line="360" w:lineRule="auto"/>
        <w:ind w:right="-817" w:rightChars="-389" w:firstLine="4080" w:firstLineChars="1700"/>
        <w:rPr>
          <w:rFonts w:ascii="宋体" w:hAnsi="宋体" w:cs="宋体"/>
          <w:color w:val="auto"/>
          <w:sz w:val="24"/>
          <w:highlight w:val="none"/>
        </w:rPr>
      </w:pPr>
      <w:r>
        <w:rPr>
          <w:rFonts w:hint="eastAsia" w:ascii="宋体" w:hAnsi="宋体" w:cs="宋体"/>
          <w:color w:val="auto"/>
          <w:sz w:val="24"/>
          <w:highlight w:val="none"/>
        </w:rPr>
        <w:t>日期：   年   月   日</w:t>
      </w:r>
    </w:p>
    <w:p w14:paraId="6806632D">
      <w:pPr>
        <w:pStyle w:val="2"/>
        <w:rPr>
          <w:color w:val="auto"/>
          <w:highlight w:val="none"/>
        </w:rPr>
      </w:pPr>
    </w:p>
    <w:p w14:paraId="5817A357">
      <w:pPr>
        <w:spacing w:line="520" w:lineRule="exact"/>
        <w:ind w:firstLine="643" w:firstLineChars="200"/>
        <w:jc w:val="center"/>
        <w:rPr>
          <w:rFonts w:ascii="宋体" w:hAnsi="宋体" w:cs="宋体"/>
          <w:b/>
          <w:bCs/>
          <w:color w:val="auto"/>
          <w:sz w:val="36"/>
          <w:szCs w:val="36"/>
          <w:highlight w:val="none"/>
        </w:rPr>
      </w:pPr>
      <w:r>
        <w:rPr>
          <w:rFonts w:hint="eastAsia" w:ascii="宋体" w:hAnsi="宋体" w:cs="宋体"/>
          <w:b/>
          <w:bCs/>
          <w:color w:val="auto"/>
          <w:sz w:val="32"/>
          <w:szCs w:val="32"/>
          <w:highlight w:val="none"/>
        </w:rPr>
        <w:t>中小企业声明函（服务）</w:t>
      </w:r>
    </w:p>
    <w:p w14:paraId="1DE23353">
      <w:pPr>
        <w:pStyle w:val="15"/>
        <w:spacing w:line="500" w:lineRule="exact"/>
        <w:ind w:right="142"/>
        <w:rPr>
          <w:rFonts w:ascii="宋体" w:hAnsi="宋体"/>
          <w:color w:val="auto"/>
          <w:sz w:val="24"/>
          <w:highlight w:val="none"/>
        </w:rPr>
      </w:pPr>
    </w:p>
    <w:p w14:paraId="09D7AE27">
      <w:pPr>
        <w:pStyle w:val="15"/>
        <w:spacing w:line="500" w:lineRule="exact"/>
        <w:ind w:right="142"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本公司（联合体）郑重声明，根据《政府采购促进中小企业发展管理办法》（财库﹝2020﹞46号）的规定，本公司（联合体）参加</w:t>
      </w:r>
      <w:r>
        <w:rPr>
          <w:rFonts w:hint="eastAsia" w:ascii="宋体" w:hAnsi="宋体" w:cs="宋体"/>
          <w:color w:val="auto"/>
          <w:sz w:val="24"/>
          <w:szCs w:val="32"/>
          <w:highlight w:val="none"/>
          <w:u w:val="single"/>
        </w:rPr>
        <w:t>（采购单位）</w:t>
      </w:r>
      <w:r>
        <w:rPr>
          <w:rFonts w:hint="eastAsia" w:ascii="宋体" w:hAnsi="宋体" w:cs="宋体"/>
          <w:color w:val="auto"/>
          <w:sz w:val="24"/>
          <w:szCs w:val="32"/>
          <w:highlight w:val="none"/>
        </w:rPr>
        <w:t>的</w:t>
      </w:r>
      <w:r>
        <w:rPr>
          <w:rFonts w:hint="eastAsia" w:ascii="宋体" w:hAnsi="宋体" w:cs="宋体"/>
          <w:color w:val="auto"/>
          <w:sz w:val="24"/>
          <w:szCs w:val="32"/>
          <w:highlight w:val="none"/>
          <w:u w:val="single"/>
        </w:rPr>
        <w:t>（项目名称）</w:t>
      </w:r>
      <w:r>
        <w:rPr>
          <w:rFonts w:hint="eastAsia" w:ascii="宋体" w:hAnsi="宋体" w:cs="宋体"/>
          <w:color w:val="auto"/>
          <w:sz w:val="24"/>
          <w:szCs w:val="32"/>
          <w:highlight w:val="none"/>
        </w:rPr>
        <w:t>采购活动，服务全部由符合政策要求的中小企业承接。相关企业（含联合体中的中小企业、签订分包意向协议的中小企业）的具体情况如下：</w:t>
      </w:r>
    </w:p>
    <w:p w14:paraId="3240CE15">
      <w:pPr>
        <w:tabs>
          <w:tab w:val="left" w:pos="1384"/>
          <w:tab w:val="left" w:pos="4562"/>
          <w:tab w:val="left" w:pos="6803"/>
        </w:tabs>
        <w:spacing w:before="13" w:line="500" w:lineRule="exact"/>
        <w:ind w:right="142" w:firstLine="686" w:firstLineChars="286"/>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7B2ED324">
      <w:pPr>
        <w:tabs>
          <w:tab w:val="left" w:pos="1065"/>
          <w:tab w:val="left" w:pos="4262"/>
          <w:tab w:val="left" w:pos="6477"/>
        </w:tabs>
        <w:spacing w:before="20" w:line="500" w:lineRule="exact"/>
        <w:ind w:right="84" w:firstLine="686" w:firstLineChars="286"/>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4E671246">
      <w:pPr>
        <w:pStyle w:val="15"/>
        <w:spacing w:before="34" w:line="500" w:lineRule="exact"/>
        <w:ind w:left="765" w:right="142" w:hanging="5"/>
        <w:rPr>
          <w:rFonts w:ascii="宋体" w:hAnsi="宋体" w:cs="宋体"/>
          <w:color w:val="auto"/>
          <w:sz w:val="24"/>
          <w:szCs w:val="32"/>
          <w:highlight w:val="none"/>
        </w:rPr>
      </w:pPr>
      <w:r>
        <w:rPr>
          <w:rFonts w:hint="eastAsia" w:ascii="宋体" w:hAnsi="宋体" w:cs="宋体"/>
          <w:color w:val="auto"/>
          <w:sz w:val="24"/>
          <w:szCs w:val="32"/>
          <w:highlight w:val="none"/>
        </w:rPr>
        <w:t xml:space="preserve">…… </w:t>
      </w:r>
    </w:p>
    <w:p w14:paraId="6334ED8E">
      <w:pPr>
        <w:pStyle w:val="15"/>
        <w:spacing w:before="34" w:line="500" w:lineRule="exact"/>
        <w:ind w:right="142"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以上企业，不属于大企业的分支机构，不存在控股股东为大企业的情形，也不存在与大企业的负责人为同一人的情形。</w:t>
      </w:r>
    </w:p>
    <w:p w14:paraId="008A5088">
      <w:pPr>
        <w:pStyle w:val="15"/>
        <w:spacing w:before="34" w:line="500" w:lineRule="exact"/>
        <w:ind w:right="142" w:firstLine="480" w:firstLineChars="200"/>
        <w:rPr>
          <w:rFonts w:ascii="宋体" w:hAnsi="宋体"/>
          <w:color w:val="auto"/>
          <w:sz w:val="24"/>
          <w:highlight w:val="none"/>
        </w:rPr>
      </w:pPr>
      <w:r>
        <w:rPr>
          <w:rFonts w:hint="eastAsia" w:ascii="宋体" w:hAnsi="宋体" w:cs="宋体"/>
          <w:color w:val="auto"/>
          <w:sz w:val="24"/>
          <w:szCs w:val="32"/>
          <w:highlight w:val="none"/>
        </w:rPr>
        <w:t>本企业对上述声明内容的真实性负责。如有虚假，将依法承担相应责任。</w:t>
      </w:r>
    </w:p>
    <w:p w14:paraId="5540331E">
      <w:pPr>
        <w:pStyle w:val="15"/>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14:paraId="1AF5EB35">
      <w:pPr>
        <w:spacing w:line="520" w:lineRule="exact"/>
        <w:ind w:firstLine="6960" w:firstLineChars="2900"/>
        <w:jc w:val="left"/>
        <w:rPr>
          <w:rFonts w:ascii="宋体" w:hAnsi="宋体" w:cs="宋体"/>
          <w:color w:val="auto"/>
          <w:szCs w:val="21"/>
          <w:highlight w:val="none"/>
        </w:rPr>
      </w:pPr>
      <w:r>
        <w:rPr>
          <w:rFonts w:ascii="宋体" w:hAnsi="宋体"/>
          <w:color w:val="auto"/>
          <w:sz w:val="24"/>
          <w:highlight w:val="none"/>
        </w:rPr>
        <w:t>日 期：</w:t>
      </w:r>
    </w:p>
    <w:p w14:paraId="674CFF02">
      <w:pPr>
        <w:pStyle w:val="13"/>
        <w:spacing w:line="300" w:lineRule="exact"/>
        <w:rPr>
          <w:rFonts w:ascii="宋体" w:hAnsi="宋体" w:cs="宋体"/>
          <w:color w:val="auto"/>
          <w:szCs w:val="21"/>
          <w:highlight w:val="none"/>
        </w:rPr>
      </w:pPr>
      <w:r>
        <w:rPr>
          <w:rFonts w:hint="eastAsia" w:ascii="宋体" w:hAnsi="宋体" w:cs="宋体"/>
          <w:color w:val="auto"/>
          <w:szCs w:val="21"/>
          <w:highlight w:val="none"/>
        </w:rPr>
        <w:t>备注：</w:t>
      </w:r>
    </w:p>
    <w:p w14:paraId="0FDFD6C2">
      <w:pPr>
        <w:pStyle w:val="13"/>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1.从业人员、营业收入、资产总额填报上一年度数据，无上一年度数据的新成立企业可不填报相关数据。</w:t>
      </w:r>
    </w:p>
    <w:p w14:paraId="193E7A97">
      <w:pPr>
        <w:pStyle w:val="13"/>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2.供应商须依据《采购需求》中明确的标的所属行业进行填报。</w:t>
      </w:r>
    </w:p>
    <w:p w14:paraId="0CF1A97B">
      <w:pPr>
        <w:pStyle w:val="26"/>
        <w:spacing w:line="3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3.填报依据：《政府采购促进中小企业发展管理办法》（财库〔2020</w:t>
      </w:r>
      <w:r>
        <w:rPr>
          <w:rFonts w:hint="eastAsia" w:ascii="宋体" w:hAnsi="宋体" w:cs="宋体"/>
          <w:color w:val="auto"/>
          <w:highlight w:val="none"/>
        </w:rPr>
        <w:t>〕</w:t>
      </w:r>
      <w:r>
        <w:rPr>
          <w:rFonts w:hint="eastAsia" w:ascii="宋体" w:hAnsi="宋体" w:cs="宋体"/>
          <w:color w:val="auto"/>
          <w:szCs w:val="21"/>
          <w:highlight w:val="none"/>
        </w:rPr>
        <w:t>46号）；《关于印发中小企业划型标准规定的通知》（工信部联企业〔2011〕300号）</w:t>
      </w:r>
    </w:p>
    <w:p w14:paraId="2DFF971F">
      <w:pPr>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4.如填写虚假信息的，承担相关法律责任。</w:t>
      </w:r>
    </w:p>
    <w:p w14:paraId="41554605">
      <w:pPr>
        <w:pStyle w:val="15"/>
        <w:spacing w:after="0"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5.享受《政府采购促进中小企业发展管理办法》（财库〔2020〕46号）规定的中小企业扶持政策的，采购人、采购代理机构应当随成交结果公开成交供应商的《中小企业声明函》。</w:t>
      </w:r>
    </w:p>
    <w:p w14:paraId="7F6C0BC6">
      <w:pPr>
        <w:pStyle w:val="41"/>
        <w:rPr>
          <w:color w:val="auto"/>
          <w:highlight w:val="none"/>
        </w:rPr>
      </w:pPr>
    </w:p>
    <w:p w14:paraId="6F0CA296">
      <w:pPr>
        <w:spacing w:line="520" w:lineRule="exact"/>
        <w:jc w:val="center"/>
        <w:rPr>
          <w:rFonts w:ascii="宋体" w:hAnsi="宋体" w:cs="宋体"/>
          <w:color w:val="auto"/>
          <w:sz w:val="44"/>
          <w:szCs w:val="44"/>
          <w:highlight w:val="none"/>
        </w:rPr>
      </w:pPr>
    </w:p>
    <w:p w14:paraId="52C657D7">
      <w:pPr>
        <w:pStyle w:val="41"/>
        <w:rPr>
          <w:color w:val="auto"/>
          <w:highlight w:val="none"/>
        </w:rPr>
      </w:pPr>
    </w:p>
    <w:p w14:paraId="1E24BCFB">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残疾人福利性单位声明函</w:t>
      </w:r>
    </w:p>
    <w:p w14:paraId="0272B5EA">
      <w:pPr>
        <w:spacing w:line="520" w:lineRule="exact"/>
        <w:rPr>
          <w:rFonts w:ascii="宋体" w:hAnsi="宋体" w:cs="宋体"/>
          <w:color w:val="auto"/>
          <w:sz w:val="32"/>
          <w:szCs w:val="32"/>
          <w:highlight w:val="none"/>
        </w:rPr>
      </w:pPr>
    </w:p>
    <w:p w14:paraId="05B9857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3942B7B9">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4F8EFE3A">
      <w:pPr>
        <w:spacing w:line="360" w:lineRule="auto"/>
        <w:contextualSpacing/>
        <w:rPr>
          <w:rFonts w:ascii="宋体" w:hAnsi="宋体" w:cs="宋体"/>
          <w:color w:val="auto"/>
          <w:szCs w:val="21"/>
          <w:highlight w:val="none"/>
        </w:rPr>
      </w:pPr>
    </w:p>
    <w:p w14:paraId="3BBBD34F">
      <w:pPr>
        <w:spacing w:line="360" w:lineRule="auto"/>
        <w:contextualSpacing/>
        <w:rPr>
          <w:rFonts w:ascii="宋体" w:hAnsi="宋体" w:cs="宋体"/>
          <w:color w:val="auto"/>
          <w:szCs w:val="21"/>
          <w:highlight w:val="none"/>
        </w:rPr>
      </w:pPr>
    </w:p>
    <w:p w14:paraId="2FA6482E">
      <w:pPr>
        <w:spacing w:line="360" w:lineRule="auto"/>
        <w:ind w:firstLine="5040" w:firstLineChars="2400"/>
        <w:contextualSpacing/>
        <w:rPr>
          <w:rFonts w:ascii="宋体" w:hAnsi="宋体" w:cs="宋体"/>
          <w:color w:val="auto"/>
          <w:szCs w:val="21"/>
          <w:highlight w:val="none"/>
        </w:rPr>
      </w:pPr>
      <w:r>
        <w:rPr>
          <w:rFonts w:hint="eastAsia" w:ascii="宋体" w:hAnsi="宋体" w:cs="宋体"/>
          <w:color w:val="auto"/>
          <w:szCs w:val="21"/>
          <w:highlight w:val="none"/>
        </w:rPr>
        <w:t>单位名称（盖章）：</w:t>
      </w:r>
    </w:p>
    <w:p w14:paraId="192BD552">
      <w:pPr>
        <w:spacing w:line="360" w:lineRule="auto"/>
        <w:ind w:firstLine="5460" w:firstLineChars="2600"/>
        <w:contextualSpacing/>
        <w:rPr>
          <w:rFonts w:ascii="宋体" w:hAnsi="宋体" w:cs="宋体"/>
          <w:color w:val="auto"/>
          <w:szCs w:val="21"/>
          <w:highlight w:val="none"/>
        </w:rPr>
      </w:pPr>
      <w:r>
        <w:rPr>
          <w:rFonts w:hint="eastAsia" w:ascii="宋体" w:hAnsi="宋体" w:cs="宋体"/>
          <w:color w:val="auto"/>
          <w:szCs w:val="21"/>
          <w:highlight w:val="none"/>
        </w:rPr>
        <w:t>日  期：</w:t>
      </w:r>
    </w:p>
    <w:p w14:paraId="41A35EA4">
      <w:pPr>
        <w:spacing w:line="360" w:lineRule="auto"/>
        <w:contextualSpacing/>
        <w:rPr>
          <w:rFonts w:ascii="宋体" w:hAnsi="宋体" w:cs="宋体"/>
          <w:color w:val="auto"/>
          <w:sz w:val="24"/>
          <w:highlight w:val="none"/>
        </w:rPr>
      </w:pPr>
    </w:p>
    <w:p w14:paraId="337287BB">
      <w:pPr>
        <w:spacing w:line="360" w:lineRule="auto"/>
        <w:contextualSpacing/>
        <w:rPr>
          <w:rFonts w:ascii="宋体" w:hAnsi="宋体" w:cs="宋体"/>
          <w:color w:val="auto"/>
          <w:sz w:val="24"/>
          <w:highlight w:val="none"/>
        </w:rPr>
      </w:pPr>
    </w:p>
    <w:p w14:paraId="4BCDD5B8">
      <w:pPr>
        <w:spacing w:line="360" w:lineRule="auto"/>
        <w:contextualSpacing/>
        <w:rPr>
          <w:rFonts w:ascii="宋体" w:hAnsi="宋体" w:cs="宋体"/>
          <w:color w:val="auto"/>
          <w:sz w:val="24"/>
          <w:highlight w:val="none"/>
        </w:rPr>
      </w:pPr>
    </w:p>
    <w:p w14:paraId="328CC3F1">
      <w:pPr>
        <w:pStyle w:val="76"/>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5D45D50F">
      <w:pPr>
        <w:pStyle w:val="76"/>
        <w:rPr>
          <w:rFonts w:ascii="宋体" w:hAnsi="宋体" w:cs="宋体"/>
          <w:color w:val="auto"/>
          <w:sz w:val="24"/>
          <w:highlight w:val="none"/>
        </w:rPr>
      </w:pPr>
    </w:p>
    <w:p w14:paraId="5B0B787D">
      <w:pPr>
        <w:pStyle w:val="76"/>
        <w:rPr>
          <w:rFonts w:ascii="宋体" w:hAnsi="宋体" w:cs="宋体"/>
          <w:color w:val="auto"/>
          <w:sz w:val="24"/>
          <w:highlight w:val="none"/>
        </w:rPr>
      </w:pPr>
    </w:p>
    <w:p w14:paraId="621A3DA8">
      <w:pPr>
        <w:pStyle w:val="76"/>
        <w:rPr>
          <w:rFonts w:ascii="宋体" w:hAnsi="宋体" w:cs="宋体"/>
          <w:color w:val="auto"/>
          <w:sz w:val="24"/>
          <w:highlight w:val="none"/>
        </w:rPr>
      </w:pPr>
    </w:p>
    <w:p w14:paraId="23BC459A">
      <w:pPr>
        <w:pStyle w:val="76"/>
        <w:rPr>
          <w:rFonts w:ascii="宋体" w:hAnsi="宋体" w:cs="宋体"/>
          <w:color w:val="auto"/>
          <w:sz w:val="24"/>
          <w:highlight w:val="none"/>
        </w:rPr>
      </w:pPr>
    </w:p>
    <w:p w14:paraId="08C6EA2F">
      <w:pPr>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监狱企业等法律法规规定的其他证明材料文件</w:t>
      </w:r>
    </w:p>
    <w:p w14:paraId="5212BA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w:t>
      </w:r>
    </w:p>
    <w:p w14:paraId="33803D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监狱企业参加采购活动时，应当提供由省级以上监狱管理局、戒毒管理局（含新疆生产建设兵团）出具的属于监狱企业的证明文件。（供应商如能够在线查询的材料，请提供查询网址链接，可以不用同时提供纸质材料，原件备查）</w:t>
      </w:r>
    </w:p>
    <w:p w14:paraId="59CE15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2.未按上述要求提供、填写的，评审时不予以考虑。</w:t>
      </w:r>
    </w:p>
    <w:p w14:paraId="5225D552">
      <w:pPr>
        <w:pStyle w:val="15"/>
        <w:rPr>
          <w:rFonts w:ascii="宋体" w:hAnsi="宋体" w:cs="宋体"/>
          <w:color w:val="auto"/>
          <w:sz w:val="24"/>
          <w:highlight w:val="none"/>
        </w:rPr>
      </w:pPr>
    </w:p>
    <w:p w14:paraId="107591D2">
      <w:pPr>
        <w:rPr>
          <w:rFonts w:ascii="宋体" w:hAnsi="宋体" w:cs="宋体"/>
          <w:color w:val="auto"/>
          <w:sz w:val="24"/>
          <w:highlight w:val="none"/>
        </w:rPr>
      </w:pPr>
    </w:p>
    <w:p w14:paraId="0967CF67">
      <w:pPr>
        <w:pStyle w:val="2"/>
        <w:rPr>
          <w:rFonts w:ascii="宋体" w:hAnsi="宋体" w:cs="宋体"/>
          <w:color w:val="auto"/>
          <w:sz w:val="24"/>
          <w:highlight w:val="none"/>
        </w:rPr>
      </w:pPr>
    </w:p>
    <w:p w14:paraId="6E8C590A">
      <w:pPr>
        <w:rPr>
          <w:color w:val="auto"/>
          <w:highlight w:val="none"/>
        </w:rPr>
      </w:pPr>
    </w:p>
    <w:p w14:paraId="1940BE6F">
      <w:pPr>
        <w:pStyle w:val="15"/>
        <w:rPr>
          <w:rFonts w:ascii="宋体" w:hAnsi="宋体" w:cs="宋体"/>
          <w:color w:val="auto"/>
          <w:sz w:val="24"/>
          <w:highlight w:val="none"/>
        </w:rPr>
      </w:pPr>
    </w:p>
    <w:p w14:paraId="63D66E15">
      <w:pPr>
        <w:snapToGrid w:val="0"/>
        <w:spacing w:before="156" w:beforeLines="50" w:after="50"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三、商务技术文件格式</w:t>
      </w:r>
    </w:p>
    <w:p w14:paraId="3449F997">
      <w:pPr>
        <w:snapToGrid w:val="0"/>
        <w:spacing w:before="156"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商务技术文件封面格式</w:t>
      </w:r>
    </w:p>
    <w:p w14:paraId="14F8E728">
      <w:pPr>
        <w:snapToGrid w:val="0"/>
        <w:spacing w:before="156"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p>
    <w:p w14:paraId="2BC8A015">
      <w:pPr>
        <w:snapToGrid w:val="0"/>
        <w:spacing w:before="156" w:beforeLines="50" w:after="50"/>
        <w:rPr>
          <w:rFonts w:ascii="宋体" w:hAnsi="宋体" w:cs="宋体"/>
          <w:color w:val="auto"/>
          <w:sz w:val="24"/>
          <w:szCs w:val="20"/>
          <w:highlight w:val="none"/>
        </w:rPr>
      </w:pPr>
    </w:p>
    <w:p w14:paraId="4AB20219">
      <w:pPr>
        <w:snapToGrid w:val="0"/>
        <w:spacing w:before="156" w:beforeLines="50" w:after="50"/>
        <w:rPr>
          <w:rFonts w:ascii="宋体" w:hAnsi="宋体" w:cs="宋体"/>
          <w:color w:val="auto"/>
          <w:sz w:val="24"/>
          <w:szCs w:val="20"/>
          <w:highlight w:val="none"/>
        </w:rPr>
      </w:pPr>
    </w:p>
    <w:p w14:paraId="2A0742F7">
      <w:pPr>
        <w:snapToGrid w:val="0"/>
        <w:spacing w:before="156" w:beforeLines="50" w:after="50"/>
        <w:rPr>
          <w:rFonts w:ascii="宋体" w:hAnsi="宋体" w:cs="宋体"/>
          <w:color w:val="auto"/>
          <w:sz w:val="24"/>
          <w:szCs w:val="20"/>
          <w:highlight w:val="none"/>
        </w:rPr>
      </w:pPr>
    </w:p>
    <w:p w14:paraId="73A0B4F3">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w:t>
      </w:r>
    </w:p>
    <w:p w14:paraId="774AC975">
      <w:pPr>
        <w:snapToGrid w:val="0"/>
        <w:spacing w:before="156" w:beforeLines="50" w:after="50"/>
        <w:rPr>
          <w:rFonts w:ascii="宋体" w:hAnsi="宋体" w:cs="宋体"/>
          <w:bCs/>
          <w:color w:val="auto"/>
          <w:sz w:val="24"/>
          <w:szCs w:val="20"/>
          <w:highlight w:val="none"/>
        </w:rPr>
      </w:pPr>
    </w:p>
    <w:p w14:paraId="0B1F7F06">
      <w:pPr>
        <w:snapToGrid w:val="0"/>
        <w:spacing w:before="156" w:beforeLines="50" w:after="50"/>
        <w:rPr>
          <w:rFonts w:ascii="宋体" w:hAnsi="宋体" w:cs="宋体"/>
          <w:bCs/>
          <w:color w:val="auto"/>
          <w:sz w:val="24"/>
          <w:szCs w:val="20"/>
          <w:highlight w:val="none"/>
        </w:rPr>
      </w:pPr>
    </w:p>
    <w:p w14:paraId="5258C3D9">
      <w:pPr>
        <w:snapToGrid w:val="0"/>
        <w:spacing w:before="156" w:beforeLines="50" w:after="50"/>
        <w:rPr>
          <w:rFonts w:ascii="宋体" w:hAnsi="宋体" w:cs="宋体"/>
          <w:bCs/>
          <w:color w:val="auto"/>
          <w:sz w:val="24"/>
          <w:szCs w:val="20"/>
          <w:highlight w:val="none"/>
        </w:rPr>
      </w:pPr>
    </w:p>
    <w:p w14:paraId="325E3E4A">
      <w:pPr>
        <w:snapToGrid w:val="0"/>
        <w:spacing w:before="156" w:beforeLines="50" w:after="50"/>
        <w:rPr>
          <w:rFonts w:ascii="宋体" w:hAnsi="宋体" w:cs="宋体"/>
          <w:bCs/>
          <w:color w:val="auto"/>
          <w:sz w:val="24"/>
          <w:szCs w:val="20"/>
          <w:highlight w:val="none"/>
        </w:rPr>
      </w:pPr>
    </w:p>
    <w:p w14:paraId="64886A48">
      <w:pPr>
        <w:snapToGrid w:val="0"/>
        <w:spacing w:before="156" w:beforeLines="50" w:after="50"/>
        <w:rPr>
          <w:rFonts w:ascii="宋体" w:hAnsi="宋体" w:cs="宋体"/>
          <w:bCs/>
          <w:color w:val="auto"/>
          <w:sz w:val="24"/>
          <w:szCs w:val="20"/>
          <w:highlight w:val="none"/>
        </w:rPr>
      </w:pPr>
    </w:p>
    <w:p w14:paraId="60623E58">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33FEAF47">
      <w:pPr>
        <w:snapToGrid w:val="0"/>
        <w:spacing w:before="156" w:beforeLines="50" w:after="50"/>
        <w:ind w:firstLine="720" w:firstLineChars="225"/>
        <w:rPr>
          <w:rFonts w:ascii="宋体" w:hAnsi="宋体" w:cs="宋体"/>
          <w:bCs/>
          <w:color w:val="auto"/>
          <w:sz w:val="32"/>
          <w:szCs w:val="32"/>
          <w:highlight w:val="none"/>
        </w:rPr>
      </w:pPr>
    </w:p>
    <w:p w14:paraId="4C97138E">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5AD6037A">
      <w:pPr>
        <w:snapToGrid w:val="0"/>
        <w:spacing w:before="156"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F5057CE">
      <w:pPr>
        <w:snapToGrid w:val="0"/>
        <w:spacing w:before="156"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14:paraId="284556AD">
      <w:pPr>
        <w:snapToGrid w:val="0"/>
        <w:spacing w:before="156" w:beforeLines="50" w:after="50"/>
        <w:ind w:firstLine="720" w:firstLineChars="225"/>
        <w:rPr>
          <w:rFonts w:ascii="宋体" w:hAnsi="宋体" w:cs="宋体"/>
          <w:bCs/>
          <w:color w:val="auto"/>
          <w:sz w:val="32"/>
          <w:szCs w:val="32"/>
          <w:highlight w:val="none"/>
        </w:rPr>
      </w:pPr>
    </w:p>
    <w:p w14:paraId="071AE05A">
      <w:pPr>
        <w:pStyle w:val="2"/>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D1D8455">
      <w:pPr>
        <w:pStyle w:val="2"/>
        <w:snapToGrid w:val="0"/>
        <w:spacing w:before="50" w:after="50"/>
        <w:ind w:firstLine="720" w:firstLineChars="225"/>
        <w:rPr>
          <w:rFonts w:ascii="宋体" w:hAnsi="宋体" w:cs="宋体"/>
          <w:bCs/>
          <w:color w:val="auto"/>
          <w:sz w:val="32"/>
          <w:szCs w:val="32"/>
          <w:highlight w:val="none"/>
        </w:rPr>
      </w:pPr>
    </w:p>
    <w:p w14:paraId="606A8E17">
      <w:pPr>
        <w:pStyle w:val="2"/>
        <w:snapToGrid w:val="0"/>
        <w:spacing w:before="50" w:after="50"/>
        <w:ind w:firstLine="720" w:firstLineChars="225"/>
        <w:rPr>
          <w:rFonts w:ascii="宋体" w:hAnsi="宋体" w:cs="宋体"/>
          <w:bCs/>
          <w:color w:val="auto"/>
          <w:sz w:val="32"/>
          <w:szCs w:val="32"/>
          <w:highlight w:val="none"/>
        </w:rPr>
      </w:pPr>
    </w:p>
    <w:p w14:paraId="72D9E0B1">
      <w:pPr>
        <w:pStyle w:val="2"/>
        <w:snapToGrid w:val="0"/>
        <w:spacing w:before="50" w:after="50"/>
        <w:ind w:firstLine="1280" w:firstLineChars="400"/>
        <w:rPr>
          <w:rFonts w:ascii="宋体" w:hAnsi="宋体" w:cs="宋体"/>
          <w:bCs/>
          <w:color w:val="auto"/>
          <w:sz w:val="32"/>
          <w:szCs w:val="32"/>
          <w:highlight w:val="none"/>
        </w:rPr>
      </w:pPr>
    </w:p>
    <w:p w14:paraId="2B8DEC6D">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7EB3CA77">
      <w:pPr>
        <w:spacing w:before="312" w:beforeLines="100" w:after="156" w:afterLines="50" w:line="520" w:lineRule="exact"/>
        <w:ind w:left="540"/>
        <w:rPr>
          <w:rFonts w:ascii="宋体" w:hAnsi="宋体" w:cs="宋体"/>
          <w:b/>
          <w:color w:val="auto"/>
          <w:sz w:val="32"/>
          <w:szCs w:val="32"/>
          <w:highlight w:val="none"/>
        </w:rPr>
      </w:pPr>
    </w:p>
    <w:p w14:paraId="526B3243">
      <w:pPr>
        <w:spacing w:before="312" w:beforeLines="100" w:after="156" w:afterLines="50" w:line="520" w:lineRule="exact"/>
        <w:ind w:left="540"/>
        <w:rPr>
          <w:rFonts w:ascii="宋体" w:hAnsi="宋体" w:cs="宋体"/>
          <w:b/>
          <w:color w:val="auto"/>
          <w:sz w:val="32"/>
          <w:szCs w:val="32"/>
          <w:highlight w:val="none"/>
        </w:rPr>
      </w:pPr>
    </w:p>
    <w:p w14:paraId="75741811">
      <w:pPr>
        <w:spacing w:before="312" w:beforeLines="100" w:after="156" w:afterLines="50" w:line="360" w:lineRule="auto"/>
        <w:ind w:left="54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商务</w:t>
      </w:r>
      <w:r>
        <w:rPr>
          <w:rFonts w:hint="eastAsia" w:ascii="宋体" w:hAnsi="宋体" w:cs="宋体"/>
          <w:b/>
          <w:bCs/>
          <w:color w:val="auto"/>
          <w:sz w:val="32"/>
          <w:szCs w:val="32"/>
          <w:highlight w:val="none"/>
        </w:rPr>
        <w:t>技术文件目录</w:t>
      </w:r>
    </w:p>
    <w:p w14:paraId="01CC3B51">
      <w:pPr>
        <w:pStyle w:val="31"/>
        <w:spacing w:line="360" w:lineRule="auto"/>
        <w:ind w:firstLine="640"/>
        <w:rPr>
          <w:rFonts w:ascii="宋体" w:hAnsi="宋体" w:eastAsia="宋体" w:cs="宋体"/>
          <w:color w:val="auto"/>
          <w:sz w:val="24"/>
          <w:szCs w:val="16"/>
          <w:highlight w:val="none"/>
        </w:rPr>
      </w:pPr>
      <w:r>
        <w:rPr>
          <w:rFonts w:hint="eastAsia" w:ascii="宋体" w:hAnsi="宋体" w:eastAsia="宋体" w:cs="宋体"/>
          <w:color w:val="auto"/>
          <w:szCs w:val="32"/>
          <w:highlight w:val="none"/>
        </w:rPr>
        <w:t>根据磋商文件规定及供应商提供的材料自行编写目录（部分格式后附）。</w:t>
      </w:r>
    </w:p>
    <w:p w14:paraId="130C3EB6">
      <w:pPr>
        <w:spacing w:line="360" w:lineRule="auto"/>
        <w:ind w:firstLine="880" w:firstLineChars="200"/>
        <w:jc w:val="center"/>
        <w:rPr>
          <w:rFonts w:ascii="宋体" w:hAnsi="宋体" w:cs="宋体"/>
          <w:bCs/>
          <w:color w:val="auto"/>
          <w:sz w:val="44"/>
          <w:szCs w:val="44"/>
          <w:highlight w:val="none"/>
        </w:rPr>
      </w:pPr>
    </w:p>
    <w:p w14:paraId="57CE8D02">
      <w:pPr>
        <w:spacing w:line="360" w:lineRule="auto"/>
        <w:ind w:firstLine="880" w:firstLineChars="200"/>
        <w:jc w:val="center"/>
        <w:rPr>
          <w:rFonts w:ascii="宋体" w:hAnsi="宋体" w:cs="宋体"/>
          <w:bCs/>
          <w:color w:val="auto"/>
          <w:sz w:val="44"/>
          <w:szCs w:val="44"/>
          <w:highlight w:val="none"/>
        </w:rPr>
      </w:pPr>
    </w:p>
    <w:p w14:paraId="2A045BBF">
      <w:pPr>
        <w:spacing w:line="360" w:lineRule="auto"/>
        <w:ind w:firstLine="880" w:firstLineChars="200"/>
        <w:jc w:val="center"/>
        <w:rPr>
          <w:rFonts w:ascii="宋体" w:hAnsi="宋体" w:cs="宋体"/>
          <w:bCs/>
          <w:color w:val="auto"/>
          <w:sz w:val="44"/>
          <w:szCs w:val="44"/>
          <w:highlight w:val="none"/>
        </w:rPr>
      </w:pPr>
    </w:p>
    <w:p w14:paraId="044075F2">
      <w:pPr>
        <w:spacing w:line="360" w:lineRule="auto"/>
        <w:ind w:firstLine="880" w:firstLineChars="200"/>
        <w:jc w:val="center"/>
        <w:rPr>
          <w:rFonts w:ascii="宋体" w:hAnsi="宋体" w:cs="宋体"/>
          <w:bCs/>
          <w:color w:val="auto"/>
          <w:sz w:val="44"/>
          <w:szCs w:val="44"/>
          <w:highlight w:val="none"/>
        </w:rPr>
      </w:pPr>
    </w:p>
    <w:p w14:paraId="37F98A4C">
      <w:pPr>
        <w:spacing w:line="360" w:lineRule="auto"/>
        <w:ind w:firstLine="880" w:firstLineChars="200"/>
        <w:jc w:val="center"/>
        <w:rPr>
          <w:rFonts w:ascii="宋体" w:hAnsi="宋体" w:cs="宋体"/>
          <w:bCs/>
          <w:color w:val="auto"/>
          <w:sz w:val="44"/>
          <w:szCs w:val="44"/>
          <w:highlight w:val="none"/>
        </w:rPr>
      </w:pPr>
    </w:p>
    <w:p w14:paraId="7B3B6716">
      <w:pPr>
        <w:spacing w:line="360" w:lineRule="auto"/>
        <w:ind w:firstLine="880" w:firstLineChars="200"/>
        <w:jc w:val="center"/>
        <w:rPr>
          <w:rFonts w:ascii="宋体" w:hAnsi="宋体" w:cs="宋体"/>
          <w:bCs/>
          <w:color w:val="auto"/>
          <w:sz w:val="44"/>
          <w:szCs w:val="44"/>
          <w:highlight w:val="none"/>
        </w:rPr>
      </w:pPr>
    </w:p>
    <w:p w14:paraId="30EEC342">
      <w:pPr>
        <w:spacing w:line="360" w:lineRule="auto"/>
        <w:ind w:firstLine="880" w:firstLineChars="200"/>
        <w:jc w:val="center"/>
        <w:rPr>
          <w:rFonts w:ascii="宋体" w:hAnsi="宋体" w:cs="宋体"/>
          <w:bCs/>
          <w:color w:val="auto"/>
          <w:sz w:val="44"/>
          <w:szCs w:val="44"/>
          <w:highlight w:val="none"/>
        </w:rPr>
      </w:pPr>
    </w:p>
    <w:p w14:paraId="52C59603">
      <w:pPr>
        <w:spacing w:line="360" w:lineRule="auto"/>
        <w:ind w:firstLine="880" w:firstLineChars="200"/>
        <w:jc w:val="center"/>
        <w:rPr>
          <w:rFonts w:ascii="宋体" w:hAnsi="宋体" w:cs="宋体"/>
          <w:bCs/>
          <w:color w:val="auto"/>
          <w:sz w:val="44"/>
          <w:szCs w:val="44"/>
          <w:highlight w:val="none"/>
        </w:rPr>
      </w:pPr>
    </w:p>
    <w:p w14:paraId="0118E588">
      <w:pPr>
        <w:spacing w:line="360" w:lineRule="auto"/>
        <w:ind w:firstLine="880" w:firstLineChars="200"/>
        <w:jc w:val="center"/>
        <w:rPr>
          <w:rFonts w:ascii="宋体" w:hAnsi="宋体" w:cs="宋体"/>
          <w:bCs/>
          <w:color w:val="auto"/>
          <w:sz w:val="44"/>
          <w:szCs w:val="44"/>
          <w:highlight w:val="none"/>
        </w:rPr>
      </w:pPr>
    </w:p>
    <w:p w14:paraId="332A5039">
      <w:pPr>
        <w:spacing w:line="360" w:lineRule="auto"/>
        <w:ind w:firstLine="880" w:firstLineChars="200"/>
        <w:jc w:val="center"/>
        <w:rPr>
          <w:rFonts w:ascii="宋体" w:hAnsi="宋体" w:cs="宋体"/>
          <w:bCs/>
          <w:color w:val="auto"/>
          <w:sz w:val="44"/>
          <w:szCs w:val="44"/>
          <w:highlight w:val="none"/>
        </w:rPr>
      </w:pPr>
    </w:p>
    <w:p w14:paraId="79546EED">
      <w:pPr>
        <w:spacing w:line="360" w:lineRule="auto"/>
        <w:ind w:firstLine="880" w:firstLineChars="200"/>
        <w:jc w:val="center"/>
        <w:rPr>
          <w:rFonts w:ascii="宋体" w:hAnsi="宋体" w:cs="宋体"/>
          <w:bCs/>
          <w:color w:val="auto"/>
          <w:sz w:val="44"/>
          <w:szCs w:val="44"/>
          <w:highlight w:val="none"/>
        </w:rPr>
      </w:pPr>
    </w:p>
    <w:p w14:paraId="373065BC">
      <w:pPr>
        <w:spacing w:line="360" w:lineRule="auto"/>
        <w:ind w:firstLine="880" w:firstLineChars="200"/>
        <w:jc w:val="center"/>
        <w:rPr>
          <w:rFonts w:ascii="宋体" w:hAnsi="宋体" w:cs="宋体"/>
          <w:bCs/>
          <w:color w:val="auto"/>
          <w:sz w:val="44"/>
          <w:szCs w:val="44"/>
          <w:highlight w:val="none"/>
        </w:rPr>
      </w:pPr>
    </w:p>
    <w:p w14:paraId="56BBA141">
      <w:pPr>
        <w:spacing w:line="360" w:lineRule="auto"/>
        <w:ind w:firstLine="880" w:firstLineChars="200"/>
        <w:jc w:val="center"/>
        <w:rPr>
          <w:rFonts w:ascii="宋体" w:hAnsi="宋体" w:cs="宋体"/>
          <w:bCs/>
          <w:color w:val="auto"/>
          <w:sz w:val="44"/>
          <w:szCs w:val="44"/>
          <w:highlight w:val="none"/>
        </w:rPr>
      </w:pPr>
    </w:p>
    <w:p w14:paraId="77263126">
      <w:pPr>
        <w:spacing w:line="360" w:lineRule="auto"/>
        <w:ind w:firstLine="880" w:firstLineChars="200"/>
        <w:jc w:val="center"/>
        <w:rPr>
          <w:rFonts w:ascii="宋体" w:hAnsi="宋体" w:cs="宋体"/>
          <w:bCs/>
          <w:color w:val="auto"/>
          <w:sz w:val="44"/>
          <w:szCs w:val="44"/>
          <w:highlight w:val="none"/>
        </w:rPr>
      </w:pPr>
    </w:p>
    <w:p w14:paraId="0F386649">
      <w:pPr>
        <w:pStyle w:val="2"/>
        <w:rPr>
          <w:rFonts w:ascii="宋体" w:hAnsi="宋体" w:cs="宋体"/>
          <w:bCs/>
          <w:color w:val="auto"/>
          <w:sz w:val="44"/>
          <w:szCs w:val="44"/>
          <w:highlight w:val="none"/>
        </w:rPr>
      </w:pPr>
    </w:p>
    <w:p w14:paraId="01B8AC28">
      <w:pPr>
        <w:pStyle w:val="2"/>
        <w:rPr>
          <w:rFonts w:ascii="宋体" w:hAnsi="宋体" w:cs="宋体"/>
          <w:bCs/>
          <w:color w:val="auto"/>
          <w:sz w:val="44"/>
          <w:szCs w:val="44"/>
          <w:highlight w:val="none"/>
        </w:rPr>
      </w:pPr>
    </w:p>
    <w:p w14:paraId="24B11F66">
      <w:pPr>
        <w:pStyle w:val="2"/>
        <w:rPr>
          <w:rFonts w:ascii="宋体" w:hAnsi="宋体" w:cs="宋体"/>
          <w:bCs/>
          <w:color w:val="auto"/>
          <w:sz w:val="44"/>
          <w:szCs w:val="44"/>
          <w:highlight w:val="none"/>
        </w:rPr>
      </w:pPr>
    </w:p>
    <w:p w14:paraId="3A0E4D9F">
      <w:pPr>
        <w:pStyle w:val="2"/>
        <w:rPr>
          <w:rFonts w:ascii="宋体" w:hAnsi="宋体" w:cs="宋体"/>
          <w:bCs/>
          <w:color w:val="auto"/>
          <w:sz w:val="44"/>
          <w:szCs w:val="44"/>
          <w:highlight w:val="none"/>
        </w:rPr>
      </w:pPr>
    </w:p>
    <w:p w14:paraId="51C494C4">
      <w:pPr>
        <w:pStyle w:val="2"/>
        <w:rPr>
          <w:rFonts w:ascii="宋体" w:hAnsi="宋体" w:cs="宋体"/>
          <w:bCs/>
          <w:color w:val="auto"/>
          <w:sz w:val="44"/>
          <w:szCs w:val="44"/>
          <w:highlight w:val="none"/>
        </w:rPr>
      </w:pPr>
    </w:p>
    <w:p w14:paraId="7D8C1265">
      <w:pPr>
        <w:spacing w:line="520" w:lineRule="exact"/>
        <w:rPr>
          <w:rFonts w:ascii="宋体" w:hAnsi="宋体" w:cs="宋体"/>
          <w:color w:val="auto"/>
          <w:sz w:val="44"/>
          <w:szCs w:val="44"/>
          <w:highlight w:val="none"/>
        </w:rPr>
      </w:pPr>
    </w:p>
    <w:p w14:paraId="01AA9BD0">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09283C6E">
      <w:pPr>
        <w:spacing w:line="400" w:lineRule="exact"/>
        <w:ind w:firstLine="640" w:firstLineChars="200"/>
        <w:rPr>
          <w:rFonts w:ascii="宋体" w:hAnsi="宋体" w:cs="宋体"/>
          <w:color w:val="auto"/>
          <w:sz w:val="32"/>
          <w:szCs w:val="32"/>
          <w:highlight w:val="none"/>
        </w:rPr>
      </w:pPr>
    </w:p>
    <w:p w14:paraId="67A2EE7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70A396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1.不同供应商的响应文件由同一单位或者个人编制；或者不同供应商报名的IP地址一致的；</w:t>
      </w:r>
    </w:p>
    <w:p w14:paraId="4EDA35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24308D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759F36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4.不同供应商的响应文件异常一致或者竞标报价呈规律性差异；</w:t>
      </w:r>
    </w:p>
    <w:p w14:paraId="7801BC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75982EE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6A4BB7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75CC49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3924DC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3.供应商之间协商报价、技术方案等响应文件的实质性内容；</w:t>
      </w:r>
    </w:p>
    <w:p w14:paraId="562FBA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000B7C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53A136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6AB8EF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7.供应商与采购人或者采购代理机构之间、供应商相互之间，为谋求特定供应商成交或者排斥其他供应商的其他串通行为。</w:t>
      </w:r>
    </w:p>
    <w:p w14:paraId="53C3B174">
      <w:pPr>
        <w:spacing w:line="360" w:lineRule="auto"/>
        <w:ind w:firstLine="480" w:firstLineChars="200"/>
        <w:rPr>
          <w:rFonts w:ascii="宋体" w:hAnsi="宋体" w:cs="宋体"/>
          <w:color w:val="auto"/>
          <w:sz w:val="24"/>
          <w:highlight w:val="none"/>
        </w:rPr>
      </w:pPr>
    </w:p>
    <w:p w14:paraId="157B93D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40E3A41A">
      <w:pPr>
        <w:spacing w:line="360" w:lineRule="auto"/>
        <w:rPr>
          <w:rFonts w:ascii="宋体" w:hAnsi="宋体" w:cs="宋体"/>
          <w:color w:val="auto"/>
          <w:sz w:val="24"/>
          <w:highlight w:val="none"/>
        </w:rPr>
      </w:pPr>
    </w:p>
    <w:p w14:paraId="781B631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供应商（盖公章或电子签章）：</w:t>
      </w:r>
    </w:p>
    <w:p w14:paraId="4DB56DE7">
      <w:pPr>
        <w:spacing w:before="312" w:beforeLines="100" w:after="156" w:afterLines="50" w:line="520" w:lineRule="exact"/>
        <w:ind w:left="540"/>
        <w:jc w:val="center"/>
        <w:rPr>
          <w:rFonts w:ascii="宋体" w:hAnsi="宋体" w:cs="宋体"/>
          <w:bCs/>
          <w:color w:val="auto"/>
          <w:sz w:val="44"/>
          <w:szCs w:val="44"/>
          <w:highlight w:val="none"/>
        </w:rPr>
      </w:pPr>
      <w:r>
        <w:rPr>
          <w:rFonts w:hint="eastAsia" w:ascii="宋体" w:hAnsi="宋体" w:cs="宋体"/>
          <w:color w:val="auto"/>
          <w:sz w:val="24"/>
          <w:highlight w:val="none"/>
        </w:rPr>
        <w:t xml:space="preserve">                               年   月   日</w:t>
      </w:r>
    </w:p>
    <w:p w14:paraId="44461D32">
      <w:pPr>
        <w:spacing w:before="312" w:beforeLines="100" w:after="156" w:afterLines="50" w:line="520" w:lineRule="exact"/>
        <w:ind w:left="540"/>
        <w:jc w:val="center"/>
        <w:rPr>
          <w:rFonts w:ascii="宋体" w:hAnsi="宋体" w:cs="宋体"/>
          <w:bCs/>
          <w:color w:val="auto"/>
          <w:sz w:val="44"/>
          <w:szCs w:val="44"/>
          <w:highlight w:val="none"/>
        </w:rPr>
      </w:pPr>
    </w:p>
    <w:p w14:paraId="50DADEAE">
      <w:pPr>
        <w:spacing w:before="312" w:beforeLines="100" w:after="156" w:afterLines="50" w:line="520" w:lineRule="exact"/>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法定代表人身份证明书</w:t>
      </w:r>
    </w:p>
    <w:p w14:paraId="779D990B">
      <w:pPr>
        <w:spacing w:line="520" w:lineRule="exact"/>
        <w:ind w:left="540"/>
        <w:rPr>
          <w:rFonts w:ascii="宋体" w:hAnsi="宋体" w:cs="宋体"/>
          <w:color w:val="auto"/>
          <w:sz w:val="32"/>
          <w:szCs w:val="32"/>
          <w:highlight w:val="none"/>
        </w:rPr>
      </w:pPr>
    </w:p>
    <w:p w14:paraId="7405210C">
      <w:pPr>
        <w:spacing w:line="360" w:lineRule="auto"/>
        <w:ind w:left="54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03D1B27D">
      <w:pPr>
        <w:spacing w:line="360" w:lineRule="auto"/>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1EB912E5">
      <w:pPr>
        <w:spacing w:line="360" w:lineRule="auto"/>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D16987C">
      <w:pPr>
        <w:spacing w:line="360" w:lineRule="auto"/>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6E496DA">
      <w:pPr>
        <w:spacing w:line="360" w:lineRule="auto"/>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2A7BFF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7211A780">
      <w:pPr>
        <w:spacing w:line="360" w:lineRule="auto"/>
        <w:ind w:left="540"/>
        <w:rPr>
          <w:rFonts w:ascii="宋体" w:hAnsi="宋体" w:cs="宋体"/>
          <w:color w:val="auto"/>
          <w:sz w:val="24"/>
          <w:highlight w:val="none"/>
        </w:rPr>
      </w:pPr>
      <w:r>
        <w:rPr>
          <w:rFonts w:hint="eastAsia" w:ascii="宋体" w:hAnsi="宋体" w:cs="宋体"/>
          <w:color w:val="auto"/>
          <w:sz w:val="24"/>
          <w:highlight w:val="none"/>
        </w:rPr>
        <w:t>特此证明。</w:t>
      </w:r>
    </w:p>
    <w:p w14:paraId="2A53CAA5">
      <w:pPr>
        <w:spacing w:line="360" w:lineRule="auto"/>
        <w:ind w:left="540"/>
        <w:rPr>
          <w:rFonts w:ascii="宋体" w:hAnsi="宋体" w:cs="宋体"/>
          <w:color w:val="auto"/>
          <w:sz w:val="24"/>
          <w:highlight w:val="none"/>
        </w:rPr>
      </w:pPr>
    </w:p>
    <w:p w14:paraId="6B91DA34">
      <w:pPr>
        <w:spacing w:line="360" w:lineRule="auto"/>
        <w:ind w:left="540"/>
        <w:rPr>
          <w:rFonts w:ascii="宋体" w:hAnsi="宋体" w:cs="宋体"/>
          <w:color w:val="auto"/>
          <w:sz w:val="24"/>
          <w:highlight w:val="none"/>
        </w:rPr>
      </w:pPr>
    </w:p>
    <w:p w14:paraId="556CFAEB">
      <w:pPr>
        <w:spacing w:line="360" w:lineRule="auto"/>
        <w:ind w:left="540"/>
        <w:rPr>
          <w:rFonts w:ascii="宋体" w:hAnsi="宋体" w:cs="宋体"/>
          <w:color w:val="auto"/>
          <w:sz w:val="24"/>
          <w:highlight w:val="none"/>
        </w:rPr>
      </w:pPr>
    </w:p>
    <w:p w14:paraId="50E2F74A">
      <w:pPr>
        <w:spacing w:line="360" w:lineRule="auto"/>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2E35BDA2">
      <w:pPr>
        <w:spacing w:line="360" w:lineRule="auto"/>
        <w:ind w:left="540"/>
        <w:rPr>
          <w:rFonts w:ascii="宋体" w:hAnsi="宋体" w:cs="宋体"/>
          <w:color w:val="auto"/>
          <w:sz w:val="24"/>
          <w:highlight w:val="none"/>
        </w:rPr>
      </w:pPr>
    </w:p>
    <w:p w14:paraId="5EB8AAF8">
      <w:pPr>
        <w:spacing w:line="360" w:lineRule="auto"/>
        <w:ind w:left="540"/>
        <w:jc w:val="center"/>
        <w:rPr>
          <w:rFonts w:ascii="宋体" w:hAnsi="宋体" w:cs="宋体"/>
          <w:color w:val="auto"/>
          <w:sz w:val="24"/>
          <w:highlight w:val="none"/>
        </w:rPr>
      </w:pPr>
      <w:r>
        <w:rPr>
          <w:rFonts w:hint="eastAsia" w:ascii="宋体" w:hAnsi="宋体" w:cs="宋体"/>
          <w:color w:val="auto"/>
          <w:sz w:val="24"/>
          <w:highlight w:val="none"/>
        </w:rPr>
        <w:t xml:space="preserve">  供应商（盖公章或电子签章）：</w:t>
      </w:r>
      <w:r>
        <w:rPr>
          <w:rFonts w:hint="eastAsia" w:ascii="宋体" w:hAnsi="宋体" w:cs="宋体"/>
          <w:color w:val="auto"/>
          <w:sz w:val="24"/>
          <w:highlight w:val="none"/>
          <w:u w:val="single"/>
        </w:rPr>
        <w:t xml:space="preserve">               </w:t>
      </w:r>
    </w:p>
    <w:p w14:paraId="6D83D1FE">
      <w:pPr>
        <w:snapToGrid w:val="0"/>
        <w:spacing w:before="156" w:beforeLines="50" w:after="50" w:line="360" w:lineRule="auto"/>
        <w:ind w:firstLine="4080" w:firstLineChars="17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51BFEAC">
      <w:pPr>
        <w:snapToGrid w:val="0"/>
        <w:spacing w:before="156" w:beforeLines="50" w:after="50" w:line="360" w:lineRule="auto"/>
        <w:jc w:val="center"/>
        <w:rPr>
          <w:rFonts w:ascii="宋体" w:hAnsi="宋体" w:cs="宋体"/>
          <w:b/>
          <w:color w:val="auto"/>
          <w:sz w:val="24"/>
          <w:highlight w:val="none"/>
        </w:rPr>
      </w:pPr>
    </w:p>
    <w:p w14:paraId="4E0600FF">
      <w:pPr>
        <w:snapToGrid w:val="0"/>
        <w:spacing w:before="156" w:beforeLines="50" w:after="50" w:line="360" w:lineRule="auto"/>
        <w:jc w:val="left"/>
        <w:rPr>
          <w:rFonts w:ascii="宋体" w:hAnsi="宋体" w:cs="宋体"/>
          <w:color w:val="auto"/>
          <w:sz w:val="24"/>
          <w:highlight w:val="none"/>
        </w:rPr>
      </w:pPr>
    </w:p>
    <w:p w14:paraId="576121DC">
      <w:pPr>
        <w:snapToGrid w:val="0"/>
        <w:spacing w:before="156" w:beforeLines="50" w:after="50"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445CCBFD">
      <w:pPr>
        <w:snapToGrid w:val="0"/>
        <w:spacing w:before="156" w:beforeLines="50" w:after="50" w:line="360" w:lineRule="auto"/>
        <w:ind w:firstLine="480" w:firstLineChars="200"/>
        <w:jc w:val="left"/>
        <w:rPr>
          <w:rFonts w:ascii="宋体" w:hAnsi="宋体" w:cs="宋体"/>
          <w:b/>
          <w:color w:val="auto"/>
          <w:sz w:val="32"/>
          <w:szCs w:val="32"/>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70A854C">
      <w:pPr>
        <w:adjustRightInd w:val="0"/>
        <w:snapToGrid w:val="0"/>
        <w:spacing w:line="300" w:lineRule="auto"/>
        <w:jc w:val="left"/>
        <w:rPr>
          <w:rFonts w:ascii="宋体" w:hAnsi="宋体" w:cs="宋体"/>
          <w:b/>
          <w:color w:val="auto"/>
          <w:szCs w:val="21"/>
          <w:highlight w:val="none"/>
        </w:rPr>
      </w:pPr>
    </w:p>
    <w:p w14:paraId="29A88D07">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p>
    <w:p w14:paraId="423705E8">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法定代表人授权委托书（非联合体竞标格式）</w:t>
      </w:r>
    </w:p>
    <w:p w14:paraId="53EA703E">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14:paraId="63E0E7FE">
      <w:pPr>
        <w:spacing w:line="520" w:lineRule="exact"/>
        <w:rPr>
          <w:rFonts w:ascii="宋体" w:hAnsi="宋体" w:cs="宋体"/>
          <w:color w:val="auto"/>
          <w:sz w:val="32"/>
          <w:szCs w:val="32"/>
          <w:highlight w:val="none"/>
        </w:rPr>
      </w:pPr>
    </w:p>
    <w:p w14:paraId="4630E393">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C9752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sym w:font="Wingdings 2" w:char="00A3"/>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343B1E8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5B0F84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7D5354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00E0FD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附：委托代理人有效身份证正反面复印件</w:t>
      </w:r>
    </w:p>
    <w:p w14:paraId="527545F6">
      <w:pPr>
        <w:spacing w:line="360" w:lineRule="auto"/>
        <w:rPr>
          <w:rFonts w:ascii="宋体" w:hAnsi="宋体" w:cs="宋体"/>
          <w:color w:val="auto"/>
          <w:sz w:val="24"/>
          <w:highlight w:val="none"/>
        </w:rPr>
      </w:pPr>
    </w:p>
    <w:p w14:paraId="7809D9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法定代表人（签字或签章）：                    </w:t>
      </w:r>
    </w:p>
    <w:p w14:paraId="2CF5F80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7337E0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19F354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供应商（盖公章或电子签章）：                      </w:t>
      </w:r>
    </w:p>
    <w:p w14:paraId="13CC8B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2915BCB1">
      <w:pPr>
        <w:spacing w:line="360" w:lineRule="auto"/>
        <w:rPr>
          <w:rFonts w:ascii="宋体" w:hAnsi="宋体" w:cs="宋体"/>
          <w:color w:val="auto"/>
          <w:sz w:val="24"/>
          <w:highlight w:val="none"/>
        </w:rPr>
      </w:pPr>
    </w:p>
    <w:p w14:paraId="41F488EC">
      <w:pPr>
        <w:spacing w:line="360" w:lineRule="auto"/>
        <w:rPr>
          <w:rFonts w:ascii="宋体" w:hAnsi="宋体" w:cs="宋体"/>
          <w:color w:val="auto"/>
          <w:sz w:val="24"/>
          <w:highlight w:val="none"/>
        </w:rPr>
      </w:pPr>
      <w:r>
        <w:rPr>
          <w:rFonts w:hint="eastAsia" w:ascii="宋体" w:hAnsi="宋体" w:cs="宋体"/>
          <w:color w:val="auto"/>
          <w:sz w:val="24"/>
          <w:highlight w:val="none"/>
        </w:rPr>
        <w:t>注：1.法定代表人和委托代理人必须在授权委托书上亲笔签名，不得使用印章、签名章或者其他电子制版签名代替；</w:t>
      </w:r>
    </w:p>
    <w:p w14:paraId="5D35AF88">
      <w:pPr>
        <w:spacing w:line="360" w:lineRule="auto"/>
        <w:ind w:firstLine="480" w:firstLineChars="200"/>
        <w:jc w:val="center"/>
        <w:rPr>
          <w:rFonts w:ascii="宋体" w:hAnsi="宋体" w:cs="宋体"/>
          <w:bCs/>
          <w:color w:val="auto"/>
          <w:sz w:val="44"/>
          <w:szCs w:val="4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F9BE086">
      <w:pPr>
        <w:spacing w:line="360" w:lineRule="auto"/>
        <w:ind w:firstLine="880" w:firstLineChars="200"/>
        <w:jc w:val="center"/>
        <w:rPr>
          <w:rFonts w:ascii="宋体" w:hAnsi="宋体" w:cs="宋体"/>
          <w:bCs/>
          <w:color w:val="auto"/>
          <w:sz w:val="44"/>
          <w:szCs w:val="44"/>
          <w:highlight w:val="none"/>
        </w:rPr>
      </w:pPr>
    </w:p>
    <w:p w14:paraId="4A017901">
      <w:pPr>
        <w:spacing w:line="360" w:lineRule="auto"/>
        <w:ind w:firstLine="880" w:firstLineChars="200"/>
        <w:jc w:val="center"/>
        <w:rPr>
          <w:rFonts w:ascii="宋体" w:hAnsi="宋体" w:cs="宋体"/>
          <w:bCs/>
          <w:color w:val="auto"/>
          <w:sz w:val="44"/>
          <w:szCs w:val="44"/>
          <w:highlight w:val="none"/>
        </w:rPr>
      </w:pPr>
    </w:p>
    <w:p w14:paraId="358BECD0">
      <w:pPr>
        <w:spacing w:line="500" w:lineRule="exact"/>
        <w:jc w:val="center"/>
        <w:rPr>
          <w:rFonts w:ascii="方正小标宋简体" w:hAnsi="方正小标宋简体" w:eastAsia="方正小标宋简体" w:cs="方正小标宋简体"/>
          <w:color w:val="auto"/>
          <w:sz w:val="44"/>
          <w:szCs w:val="44"/>
          <w:highlight w:val="none"/>
        </w:rPr>
      </w:pPr>
    </w:p>
    <w:p w14:paraId="5408AC0C">
      <w:pPr>
        <w:spacing w:line="500" w:lineRule="exact"/>
        <w:jc w:val="center"/>
        <w:rPr>
          <w:rFonts w:ascii="方正小标宋简体" w:hAnsi="方正小标宋简体" w:eastAsia="方正小标宋简体" w:cs="方正小标宋简体"/>
          <w:color w:val="auto"/>
          <w:sz w:val="44"/>
          <w:szCs w:val="44"/>
          <w:highlight w:val="none"/>
        </w:rPr>
      </w:pPr>
    </w:p>
    <w:p w14:paraId="6BBD22F2">
      <w:pPr>
        <w:spacing w:line="360" w:lineRule="auto"/>
        <w:ind w:firstLine="880" w:firstLineChars="20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商务条款偏离表格式</w:t>
      </w:r>
    </w:p>
    <w:p w14:paraId="51F28EE8">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(注：按采购需求具体条款修改)</w:t>
      </w:r>
    </w:p>
    <w:p w14:paraId="616130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689AE09F">
      <w:pPr>
        <w:pStyle w:val="15"/>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18A82907">
      <w:pPr>
        <w:pStyle w:val="15"/>
        <w:rPr>
          <w:rFonts w:ascii="宋体" w:hAnsi="宋体" w:cs="宋体"/>
          <w:color w:val="auto"/>
          <w:highlight w:val="none"/>
        </w:rPr>
      </w:pPr>
    </w:p>
    <w:tbl>
      <w:tblPr>
        <w:tblStyle w:val="32"/>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5CD4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063AAF4A">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146350C6">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磋商文件商务条款要求</w:t>
            </w:r>
          </w:p>
        </w:tc>
        <w:tc>
          <w:tcPr>
            <w:tcW w:w="2350" w:type="dxa"/>
            <w:tcBorders>
              <w:top w:val="single" w:color="auto" w:sz="4" w:space="0"/>
              <w:left w:val="single" w:color="auto" w:sz="4" w:space="0"/>
              <w:bottom w:val="single" w:color="auto" w:sz="4" w:space="0"/>
              <w:right w:val="single" w:color="auto" w:sz="4" w:space="0"/>
            </w:tcBorders>
            <w:vAlign w:val="center"/>
          </w:tcPr>
          <w:p w14:paraId="411E79D2">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14:paraId="4934487A">
            <w:pPr>
              <w:snapToGrid w:val="0"/>
              <w:spacing w:before="156" w:beforeLines="50" w:line="360" w:lineRule="auto"/>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369FB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5FF634D0">
            <w:pPr>
              <w:jc w:val="center"/>
              <w:rPr>
                <w:rFonts w:ascii="宋体" w:hAnsi="宋体" w:cs="宋体"/>
                <w:color w:val="auto"/>
                <w:sz w:val="24"/>
                <w:highlight w:val="none"/>
              </w:rPr>
            </w:pPr>
            <w:r>
              <w:rPr>
                <w:rFonts w:hint="eastAsia" w:ascii="宋体" w:hAnsi="宋体" w:cs="宋体"/>
                <w:color w:val="auto"/>
                <w:spacing w:val="-2"/>
                <w:sz w:val="24"/>
                <w:highlight w:val="none"/>
              </w:rPr>
              <w:t>报</w:t>
            </w:r>
            <w:r>
              <w:rPr>
                <w:rFonts w:hint="eastAsia" w:ascii="宋体" w:hAnsi="宋体" w:cs="宋体"/>
                <w:color w:val="auto"/>
                <w:spacing w:val="-1"/>
                <w:sz w:val="24"/>
                <w:highlight w:val="none"/>
              </w:rPr>
              <w:t>价要求</w:t>
            </w:r>
          </w:p>
        </w:tc>
        <w:tc>
          <w:tcPr>
            <w:tcW w:w="2668" w:type="dxa"/>
            <w:tcBorders>
              <w:top w:val="single" w:color="auto" w:sz="4" w:space="0"/>
              <w:left w:val="single" w:color="auto" w:sz="4" w:space="0"/>
              <w:bottom w:val="single" w:color="auto" w:sz="4" w:space="0"/>
              <w:right w:val="single" w:color="auto" w:sz="4" w:space="0"/>
            </w:tcBorders>
            <w:vAlign w:val="center"/>
          </w:tcPr>
          <w:p w14:paraId="03550AF9">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7092AC26">
            <w:pPr>
              <w:snapToGrid w:val="0"/>
              <w:spacing w:before="156" w:beforeLines="50" w:line="360" w:lineRule="auto"/>
              <w:ind w:left="43"/>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45E328C4">
            <w:pPr>
              <w:snapToGrid w:val="0"/>
              <w:spacing w:before="156" w:beforeLines="50" w:line="360" w:lineRule="auto"/>
              <w:ind w:left="43"/>
              <w:jc w:val="center"/>
              <w:rPr>
                <w:rFonts w:ascii="宋体" w:hAnsi="宋体" w:cs="宋体"/>
                <w:color w:val="auto"/>
                <w:sz w:val="24"/>
                <w:highlight w:val="none"/>
              </w:rPr>
            </w:pPr>
          </w:p>
        </w:tc>
      </w:tr>
      <w:tr w14:paraId="3E63D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vAlign w:val="center"/>
          </w:tcPr>
          <w:p w14:paraId="27DAAA65">
            <w:pPr>
              <w:jc w:val="center"/>
              <w:rPr>
                <w:rFonts w:ascii="宋体" w:hAnsi="宋体" w:cs="宋体"/>
                <w:color w:val="auto"/>
                <w:sz w:val="24"/>
                <w:highlight w:val="none"/>
              </w:rPr>
            </w:pPr>
            <w:r>
              <w:rPr>
                <w:rFonts w:hint="eastAsia" w:ascii="宋体" w:hAnsi="宋体" w:cs="宋体"/>
                <w:color w:val="auto"/>
                <w:spacing w:val="-2"/>
                <w:sz w:val="24"/>
                <w:highlight w:val="none"/>
              </w:rPr>
              <w:t>合</w:t>
            </w:r>
            <w:r>
              <w:rPr>
                <w:rFonts w:hint="eastAsia" w:ascii="宋体" w:hAnsi="宋体" w:cs="宋体"/>
                <w:color w:val="auto"/>
                <w:spacing w:val="-1"/>
                <w:sz w:val="24"/>
                <w:highlight w:val="none"/>
              </w:rPr>
              <w:t>同签订期</w:t>
            </w:r>
          </w:p>
        </w:tc>
        <w:tc>
          <w:tcPr>
            <w:tcW w:w="2668" w:type="dxa"/>
            <w:tcBorders>
              <w:top w:val="single" w:color="auto" w:sz="4" w:space="0"/>
              <w:left w:val="single" w:color="auto" w:sz="4" w:space="0"/>
              <w:bottom w:val="single" w:color="auto" w:sz="4" w:space="0"/>
              <w:right w:val="single" w:color="auto" w:sz="4" w:space="0"/>
            </w:tcBorders>
            <w:vAlign w:val="center"/>
          </w:tcPr>
          <w:p w14:paraId="0AC7BFE2">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2C18F6C0">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54BEFFB0">
            <w:pPr>
              <w:snapToGrid w:val="0"/>
              <w:spacing w:before="156" w:beforeLines="50" w:line="360" w:lineRule="auto"/>
              <w:jc w:val="center"/>
              <w:rPr>
                <w:rFonts w:ascii="宋体" w:hAnsi="宋体" w:cs="宋体"/>
                <w:color w:val="auto"/>
                <w:sz w:val="24"/>
                <w:highlight w:val="none"/>
              </w:rPr>
            </w:pPr>
          </w:p>
        </w:tc>
      </w:tr>
      <w:tr w14:paraId="2A3C8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175EB860">
            <w:pPr>
              <w:jc w:val="center"/>
              <w:rPr>
                <w:rFonts w:ascii="宋体" w:hAnsi="宋体" w:cs="宋体"/>
                <w:color w:val="auto"/>
                <w:sz w:val="24"/>
                <w:highlight w:val="none"/>
              </w:rPr>
            </w:pPr>
            <w:r>
              <w:rPr>
                <w:rFonts w:hint="eastAsia" w:ascii="宋体" w:hAnsi="宋体" w:cs="宋体"/>
                <w:color w:val="auto"/>
                <w:spacing w:val="-2"/>
                <w:sz w:val="24"/>
                <w:highlight w:val="none"/>
              </w:rPr>
              <w:t>服</w:t>
            </w:r>
            <w:r>
              <w:rPr>
                <w:rFonts w:hint="eastAsia" w:ascii="宋体" w:hAnsi="宋体" w:cs="宋体"/>
                <w:color w:val="auto"/>
                <w:spacing w:val="-1"/>
                <w:sz w:val="24"/>
                <w:highlight w:val="none"/>
              </w:rPr>
              <w:t>务地点</w:t>
            </w:r>
          </w:p>
        </w:tc>
        <w:tc>
          <w:tcPr>
            <w:tcW w:w="2668" w:type="dxa"/>
            <w:tcBorders>
              <w:top w:val="single" w:color="auto" w:sz="4" w:space="0"/>
              <w:left w:val="single" w:color="auto" w:sz="4" w:space="0"/>
              <w:bottom w:val="single" w:color="auto" w:sz="4" w:space="0"/>
              <w:right w:val="single" w:color="auto" w:sz="4" w:space="0"/>
            </w:tcBorders>
            <w:vAlign w:val="center"/>
          </w:tcPr>
          <w:p w14:paraId="27D3ED3B">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0840A650">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338EF2E">
            <w:pPr>
              <w:snapToGrid w:val="0"/>
              <w:spacing w:before="156" w:beforeLines="50" w:line="360" w:lineRule="auto"/>
              <w:jc w:val="center"/>
              <w:rPr>
                <w:rFonts w:ascii="宋体" w:hAnsi="宋体" w:cs="宋体"/>
                <w:color w:val="auto"/>
                <w:sz w:val="24"/>
                <w:highlight w:val="none"/>
              </w:rPr>
            </w:pPr>
          </w:p>
        </w:tc>
      </w:tr>
      <w:tr w14:paraId="0F916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E137DA3">
            <w:pPr>
              <w:jc w:val="center"/>
              <w:rPr>
                <w:rFonts w:ascii="宋体" w:hAnsi="宋体" w:cs="宋体"/>
                <w:color w:val="auto"/>
                <w:sz w:val="24"/>
                <w:highlight w:val="none"/>
              </w:rPr>
            </w:pPr>
            <w:r>
              <w:rPr>
                <w:rFonts w:hint="eastAsia" w:ascii="宋体" w:hAnsi="宋体" w:cs="宋体"/>
                <w:color w:val="auto"/>
                <w:spacing w:val="-2"/>
                <w:sz w:val="24"/>
                <w:highlight w:val="none"/>
              </w:rPr>
              <w:t>服</w:t>
            </w:r>
            <w:r>
              <w:rPr>
                <w:rFonts w:hint="eastAsia" w:ascii="宋体" w:hAnsi="宋体" w:cs="宋体"/>
                <w:color w:val="auto"/>
                <w:spacing w:val="-1"/>
                <w:sz w:val="24"/>
                <w:highlight w:val="none"/>
              </w:rPr>
              <w:t>务期限</w:t>
            </w:r>
          </w:p>
        </w:tc>
        <w:tc>
          <w:tcPr>
            <w:tcW w:w="2668" w:type="dxa"/>
            <w:tcBorders>
              <w:top w:val="single" w:color="auto" w:sz="4" w:space="0"/>
              <w:left w:val="single" w:color="auto" w:sz="4" w:space="0"/>
              <w:bottom w:val="single" w:color="auto" w:sz="4" w:space="0"/>
              <w:right w:val="single" w:color="auto" w:sz="4" w:space="0"/>
            </w:tcBorders>
            <w:vAlign w:val="center"/>
          </w:tcPr>
          <w:p w14:paraId="7CC7CABA">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17B92CCC">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35F83EE3">
            <w:pPr>
              <w:snapToGrid w:val="0"/>
              <w:spacing w:before="156" w:beforeLines="50" w:line="360" w:lineRule="auto"/>
              <w:jc w:val="center"/>
              <w:rPr>
                <w:rFonts w:ascii="宋体" w:hAnsi="宋体" w:cs="宋体"/>
                <w:color w:val="auto"/>
                <w:sz w:val="24"/>
                <w:highlight w:val="none"/>
              </w:rPr>
            </w:pPr>
          </w:p>
        </w:tc>
      </w:tr>
      <w:tr w14:paraId="72612A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592EE595">
            <w:pPr>
              <w:jc w:val="center"/>
              <w:rPr>
                <w:rFonts w:ascii="宋体" w:hAnsi="宋体" w:cs="宋体"/>
                <w:color w:val="auto"/>
                <w:sz w:val="24"/>
                <w:highlight w:val="none"/>
              </w:rPr>
            </w:pPr>
            <w:r>
              <w:rPr>
                <w:rFonts w:hint="eastAsia" w:ascii="宋体" w:hAnsi="宋体" w:cs="宋体"/>
                <w:color w:val="auto"/>
                <w:sz w:val="24"/>
                <w:highlight w:val="none"/>
              </w:rPr>
              <w:t>服务标准及要求</w:t>
            </w:r>
          </w:p>
        </w:tc>
        <w:tc>
          <w:tcPr>
            <w:tcW w:w="2668" w:type="dxa"/>
            <w:tcBorders>
              <w:top w:val="single" w:color="auto" w:sz="4" w:space="0"/>
              <w:left w:val="single" w:color="auto" w:sz="4" w:space="0"/>
              <w:bottom w:val="single" w:color="auto" w:sz="4" w:space="0"/>
              <w:right w:val="single" w:color="auto" w:sz="4" w:space="0"/>
            </w:tcBorders>
            <w:vAlign w:val="center"/>
          </w:tcPr>
          <w:p w14:paraId="772A6C3A">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3186EAE0">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1FED6C51">
            <w:pPr>
              <w:snapToGrid w:val="0"/>
              <w:spacing w:before="156" w:beforeLines="50" w:line="360" w:lineRule="auto"/>
              <w:jc w:val="center"/>
              <w:rPr>
                <w:rFonts w:ascii="宋体" w:hAnsi="宋体" w:cs="宋体"/>
                <w:color w:val="auto"/>
                <w:sz w:val="24"/>
                <w:highlight w:val="none"/>
              </w:rPr>
            </w:pPr>
          </w:p>
        </w:tc>
      </w:tr>
      <w:tr w14:paraId="02A5B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149CF15F">
            <w:pPr>
              <w:jc w:val="center"/>
              <w:rPr>
                <w:rFonts w:ascii="宋体" w:hAnsi="宋体" w:cs="宋体"/>
                <w:color w:val="auto"/>
                <w:sz w:val="24"/>
                <w:highlight w:val="none"/>
              </w:rPr>
            </w:pPr>
            <w:r>
              <w:rPr>
                <w:rFonts w:hint="eastAsia" w:ascii="宋体" w:hAnsi="宋体" w:cs="宋体"/>
                <w:color w:val="auto"/>
                <w:sz w:val="24"/>
                <w:highlight w:val="none"/>
              </w:rPr>
              <w:t>售后服务要求</w:t>
            </w:r>
          </w:p>
        </w:tc>
        <w:tc>
          <w:tcPr>
            <w:tcW w:w="2668" w:type="dxa"/>
            <w:tcBorders>
              <w:top w:val="single" w:color="auto" w:sz="4" w:space="0"/>
              <w:left w:val="single" w:color="auto" w:sz="4" w:space="0"/>
              <w:bottom w:val="single" w:color="auto" w:sz="4" w:space="0"/>
              <w:right w:val="single" w:color="auto" w:sz="4" w:space="0"/>
            </w:tcBorders>
            <w:vAlign w:val="center"/>
          </w:tcPr>
          <w:p w14:paraId="63E49350">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52F4610B">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043BBBF1">
            <w:pPr>
              <w:snapToGrid w:val="0"/>
              <w:spacing w:before="156" w:beforeLines="50" w:line="360" w:lineRule="auto"/>
              <w:jc w:val="center"/>
              <w:rPr>
                <w:rFonts w:ascii="宋体" w:hAnsi="宋体" w:cs="宋体"/>
                <w:color w:val="auto"/>
                <w:sz w:val="24"/>
                <w:highlight w:val="none"/>
              </w:rPr>
            </w:pPr>
          </w:p>
        </w:tc>
      </w:tr>
      <w:tr w14:paraId="3BBC5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2982D836">
            <w:pPr>
              <w:jc w:val="center"/>
              <w:rPr>
                <w:rFonts w:ascii="宋体" w:hAnsi="宋体" w:cs="宋体"/>
                <w:color w:val="auto"/>
                <w:sz w:val="24"/>
                <w:highlight w:val="none"/>
              </w:rPr>
            </w:pPr>
            <w:r>
              <w:rPr>
                <w:rFonts w:hint="eastAsia" w:ascii="宋体" w:hAnsi="宋体" w:cs="宋体"/>
                <w:color w:val="auto"/>
                <w:spacing w:val="-2"/>
                <w:sz w:val="24"/>
                <w:highlight w:val="none"/>
              </w:rPr>
              <w:t>付</w:t>
            </w:r>
            <w:r>
              <w:rPr>
                <w:rFonts w:hint="eastAsia" w:ascii="宋体" w:hAnsi="宋体" w:cs="宋体"/>
                <w:color w:val="auto"/>
                <w:spacing w:val="-1"/>
                <w:sz w:val="24"/>
                <w:highlight w:val="none"/>
              </w:rPr>
              <w:t>款方式</w:t>
            </w:r>
          </w:p>
        </w:tc>
        <w:tc>
          <w:tcPr>
            <w:tcW w:w="2668" w:type="dxa"/>
            <w:tcBorders>
              <w:top w:val="single" w:color="auto" w:sz="4" w:space="0"/>
              <w:left w:val="single" w:color="auto" w:sz="4" w:space="0"/>
              <w:bottom w:val="single" w:color="auto" w:sz="4" w:space="0"/>
              <w:right w:val="single" w:color="auto" w:sz="4" w:space="0"/>
            </w:tcBorders>
            <w:vAlign w:val="center"/>
          </w:tcPr>
          <w:p w14:paraId="1BAD595A">
            <w:pPr>
              <w:snapToGrid w:val="0"/>
              <w:spacing w:before="156" w:beforeLines="50" w:line="360" w:lineRule="auto"/>
              <w:jc w:val="center"/>
              <w:rPr>
                <w:rFonts w:ascii="宋体" w:hAnsi="宋体" w:cs="宋体"/>
                <w:color w:val="auto"/>
                <w:sz w:val="24"/>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14:paraId="644991FB">
            <w:pPr>
              <w:snapToGrid w:val="0"/>
              <w:spacing w:before="156" w:beforeLines="50" w:line="360" w:lineRule="auto"/>
              <w:jc w:val="center"/>
              <w:rPr>
                <w:rFonts w:ascii="宋体" w:hAnsi="宋体" w:cs="宋体"/>
                <w:color w:val="auto"/>
                <w:sz w:val="24"/>
                <w:highlight w:val="none"/>
              </w:rPr>
            </w:pPr>
          </w:p>
        </w:tc>
        <w:tc>
          <w:tcPr>
            <w:tcW w:w="2112" w:type="dxa"/>
            <w:tcBorders>
              <w:top w:val="single" w:color="auto" w:sz="4" w:space="0"/>
              <w:left w:val="single" w:color="auto" w:sz="4" w:space="0"/>
              <w:bottom w:val="single" w:color="auto" w:sz="4" w:space="0"/>
              <w:right w:val="single" w:color="auto" w:sz="4" w:space="0"/>
            </w:tcBorders>
            <w:vAlign w:val="center"/>
          </w:tcPr>
          <w:p w14:paraId="7572448A">
            <w:pPr>
              <w:snapToGrid w:val="0"/>
              <w:spacing w:before="156" w:beforeLines="50" w:line="360" w:lineRule="auto"/>
              <w:jc w:val="center"/>
              <w:rPr>
                <w:rFonts w:ascii="宋体" w:hAnsi="宋体" w:cs="宋体"/>
                <w:color w:val="auto"/>
                <w:sz w:val="24"/>
                <w:highlight w:val="none"/>
              </w:rPr>
            </w:pPr>
          </w:p>
        </w:tc>
      </w:tr>
    </w:tbl>
    <w:p w14:paraId="42E4C822">
      <w:pPr>
        <w:pStyle w:val="14"/>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5DDE97B7">
      <w:pPr>
        <w:pStyle w:val="14"/>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1.说明：应对照磋商文件“第三章 项目需求和说明”中的商务条款逐条实质性响应，并作出偏离说明。</w:t>
      </w:r>
    </w:p>
    <w:p w14:paraId="3F6F3FBE">
      <w:pPr>
        <w:snapToGrid w:val="0"/>
        <w:spacing w:before="50" w:line="360" w:lineRule="auto"/>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14:paraId="29ED23F5">
      <w:pPr>
        <w:snapToGrid w:val="0"/>
        <w:spacing w:before="50" w:after="50" w:line="360" w:lineRule="auto"/>
        <w:ind w:right="-817" w:rightChars="-389"/>
        <w:rPr>
          <w:rFonts w:ascii="宋体" w:hAnsi="宋体" w:cs="宋体"/>
          <w:color w:val="auto"/>
          <w:sz w:val="24"/>
          <w:highlight w:val="none"/>
        </w:rPr>
      </w:pPr>
    </w:p>
    <w:p w14:paraId="09892FDF">
      <w:pPr>
        <w:snapToGrid w:val="0"/>
        <w:spacing w:before="50" w:after="50" w:line="360" w:lineRule="auto"/>
        <w:ind w:right="-817" w:rightChars="-389" w:firstLine="960" w:firstLineChars="4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法定代表人或者委托代理人（签字或签章）：                    </w:t>
      </w:r>
    </w:p>
    <w:p w14:paraId="6EFE2486">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26CC1075">
      <w:pPr>
        <w:snapToGrid w:val="0"/>
        <w:spacing w:before="50" w:after="50" w:line="360" w:lineRule="auto"/>
        <w:ind w:right="-817" w:rightChars="-389" w:firstLine="4080" w:firstLineChars="1700"/>
        <w:rPr>
          <w:rFonts w:ascii="宋体" w:hAnsi="宋体" w:cs="宋体"/>
          <w:b/>
          <w:color w:val="auto"/>
          <w:sz w:val="32"/>
          <w:szCs w:val="32"/>
          <w:highlight w:val="none"/>
        </w:rPr>
      </w:pPr>
      <w:r>
        <w:rPr>
          <w:rFonts w:hint="eastAsia" w:ascii="宋体" w:hAnsi="宋体" w:cs="宋体"/>
          <w:color w:val="auto"/>
          <w:sz w:val="24"/>
          <w:highlight w:val="none"/>
        </w:rPr>
        <w:t>日期：   年   月   日</w:t>
      </w:r>
    </w:p>
    <w:p w14:paraId="7DA02201">
      <w:pPr>
        <w:adjustRightInd w:val="0"/>
        <w:snapToGrid w:val="0"/>
        <w:spacing w:line="300" w:lineRule="auto"/>
        <w:jc w:val="center"/>
        <w:rPr>
          <w:rFonts w:ascii="宋体" w:hAnsi="宋体" w:cs="宋体"/>
          <w:color w:val="auto"/>
          <w:kern w:val="0"/>
          <w:szCs w:val="21"/>
          <w:highlight w:val="none"/>
        </w:rPr>
      </w:pPr>
    </w:p>
    <w:p w14:paraId="034587D6">
      <w:pPr>
        <w:adjustRightInd w:val="0"/>
        <w:snapToGrid w:val="0"/>
        <w:spacing w:line="300" w:lineRule="auto"/>
        <w:jc w:val="center"/>
        <w:rPr>
          <w:rFonts w:ascii="宋体" w:hAnsi="宋体" w:cs="宋体"/>
          <w:bCs/>
          <w:color w:val="auto"/>
          <w:sz w:val="44"/>
          <w:szCs w:val="44"/>
          <w:highlight w:val="none"/>
        </w:rPr>
      </w:pPr>
    </w:p>
    <w:p w14:paraId="1D78DFCE">
      <w:pPr>
        <w:adjustRightInd w:val="0"/>
        <w:snapToGrid w:val="0"/>
        <w:spacing w:line="30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技术需求偏离表</w:t>
      </w:r>
    </w:p>
    <w:p w14:paraId="412EAB1E">
      <w:pPr>
        <w:spacing w:line="520" w:lineRule="exact"/>
        <w:rPr>
          <w:rFonts w:ascii="宋体" w:hAnsi="宋体" w:cs="宋体"/>
          <w:color w:val="auto"/>
          <w:sz w:val="32"/>
          <w:szCs w:val="32"/>
          <w:highlight w:val="none"/>
        </w:rPr>
      </w:pPr>
    </w:p>
    <w:p w14:paraId="366781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3BD0AF2B">
      <w:pPr>
        <w:pStyle w:val="15"/>
        <w:rPr>
          <w:rFonts w:ascii="宋体" w:hAnsi="宋体" w:cs="宋体"/>
          <w:color w:val="auto"/>
          <w:sz w:val="24"/>
          <w:highlight w:val="none"/>
          <w:u w:val="singl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4FDCCD9A">
      <w:pPr>
        <w:rPr>
          <w:color w:val="auto"/>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0"/>
        <w:gridCol w:w="980"/>
        <w:gridCol w:w="3253"/>
        <w:gridCol w:w="2928"/>
        <w:gridCol w:w="1597"/>
      </w:tblGrid>
      <w:tr w14:paraId="497F0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64C863A3">
            <w:pPr>
              <w:pStyle w:val="16"/>
              <w:spacing w:line="360" w:lineRule="auto"/>
              <w:ind w:firstLine="0" w:firstLineChars="0"/>
              <w:jc w:val="center"/>
              <w:rPr>
                <w:rFonts w:ascii="宋体" w:hAnsi="宋体" w:eastAsia="宋体" w:cs="宋体"/>
                <w:color w:val="auto"/>
                <w:kern w:val="2"/>
                <w:sz w:val="24"/>
                <w:szCs w:val="24"/>
                <w:highlight w:val="none"/>
              </w:rPr>
            </w:pPr>
            <w:bookmarkStart w:id="81" w:name="_Toc254970729"/>
            <w:bookmarkStart w:id="82" w:name="_Toc295404981"/>
            <w:bookmarkStart w:id="83" w:name="_Toc173066401"/>
            <w:bookmarkStart w:id="84" w:name="_Toc173211900"/>
            <w:bookmarkStart w:id="85" w:name="_Toc373333689"/>
            <w:bookmarkStart w:id="86" w:name="_Toc301781611"/>
            <w:bookmarkStart w:id="87" w:name="_Toc254970588"/>
            <w:bookmarkStart w:id="88" w:name="_Toc297193185"/>
            <w:bookmarkStart w:id="89" w:name="_Toc383699906"/>
            <w:r>
              <w:rPr>
                <w:rFonts w:hint="eastAsia" w:ascii="宋体" w:hAnsi="宋体" w:eastAsia="宋体" w:cs="宋体"/>
                <w:color w:val="auto"/>
                <w:kern w:val="2"/>
                <w:sz w:val="24"/>
                <w:szCs w:val="24"/>
                <w:highlight w:val="none"/>
              </w:rPr>
              <w:t>序号</w:t>
            </w:r>
            <w:bookmarkEnd w:id="81"/>
            <w:bookmarkEnd w:id="82"/>
            <w:bookmarkEnd w:id="83"/>
            <w:bookmarkEnd w:id="84"/>
            <w:bookmarkEnd w:id="85"/>
            <w:bookmarkEnd w:id="86"/>
            <w:bookmarkEnd w:id="87"/>
            <w:bookmarkEnd w:id="88"/>
            <w:bookmarkEnd w:id="89"/>
          </w:p>
        </w:tc>
        <w:tc>
          <w:tcPr>
            <w:tcW w:w="980" w:type="dxa"/>
            <w:tcBorders>
              <w:right w:val="single" w:color="auto" w:sz="4" w:space="0"/>
            </w:tcBorders>
            <w:vAlign w:val="center"/>
          </w:tcPr>
          <w:p w14:paraId="76A3441F">
            <w:pPr>
              <w:pStyle w:val="16"/>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3253" w:type="dxa"/>
            <w:tcBorders>
              <w:left w:val="single" w:color="auto" w:sz="4" w:space="0"/>
            </w:tcBorders>
            <w:vAlign w:val="center"/>
          </w:tcPr>
          <w:p w14:paraId="70794648">
            <w:pPr>
              <w:pStyle w:val="16"/>
              <w:spacing w:line="360" w:lineRule="auto"/>
              <w:ind w:firstLine="0" w:firstLineChars="0"/>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磋商文件技术需求</w:t>
            </w:r>
          </w:p>
        </w:tc>
        <w:tc>
          <w:tcPr>
            <w:tcW w:w="2928" w:type="dxa"/>
            <w:vAlign w:val="center"/>
          </w:tcPr>
          <w:p w14:paraId="778A1D15">
            <w:pPr>
              <w:pStyle w:val="16"/>
              <w:spacing w:line="360" w:lineRule="auto"/>
              <w:ind w:firstLine="0" w:firstLineChars="0"/>
              <w:jc w:val="center"/>
              <w:rPr>
                <w:rFonts w:ascii="宋体" w:hAnsi="宋体" w:eastAsia="宋体" w:cs="宋体"/>
                <w:color w:val="auto"/>
                <w:kern w:val="2"/>
                <w:sz w:val="24"/>
                <w:szCs w:val="24"/>
                <w:highlight w:val="none"/>
              </w:rPr>
            </w:pPr>
            <w:bookmarkStart w:id="90" w:name="_Toc297193187"/>
            <w:bookmarkStart w:id="91" w:name="_Toc295404983"/>
            <w:bookmarkStart w:id="92" w:name="_Toc254970590"/>
            <w:bookmarkStart w:id="93" w:name="_Toc373333691"/>
            <w:bookmarkStart w:id="94" w:name="_Toc173066403"/>
            <w:bookmarkStart w:id="95" w:name="_Toc383699908"/>
            <w:bookmarkStart w:id="96" w:name="_Toc254970731"/>
            <w:bookmarkStart w:id="97" w:name="_Toc173211902"/>
            <w:bookmarkStart w:id="98" w:name="_Toc301781613"/>
            <w:r>
              <w:rPr>
                <w:rFonts w:hint="eastAsia" w:ascii="宋体" w:hAnsi="宋体" w:eastAsia="宋体" w:cs="宋体"/>
                <w:color w:val="auto"/>
                <w:kern w:val="2"/>
                <w:sz w:val="24"/>
                <w:szCs w:val="24"/>
                <w:highlight w:val="none"/>
              </w:rPr>
              <w:t>竞标响应</w:t>
            </w:r>
            <w:bookmarkEnd w:id="90"/>
            <w:bookmarkEnd w:id="91"/>
            <w:bookmarkEnd w:id="92"/>
            <w:bookmarkEnd w:id="93"/>
            <w:bookmarkEnd w:id="94"/>
            <w:bookmarkEnd w:id="95"/>
            <w:bookmarkEnd w:id="96"/>
            <w:bookmarkEnd w:id="97"/>
            <w:bookmarkEnd w:id="98"/>
          </w:p>
        </w:tc>
        <w:tc>
          <w:tcPr>
            <w:tcW w:w="1597" w:type="dxa"/>
            <w:vAlign w:val="center"/>
          </w:tcPr>
          <w:p w14:paraId="088AA23F">
            <w:pPr>
              <w:pStyle w:val="16"/>
              <w:spacing w:line="360" w:lineRule="auto"/>
              <w:ind w:firstLine="0" w:firstLineChars="0"/>
              <w:jc w:val="center"/>
              <w:rPr>
                <w:rFonts w:ascii="宋体" w:hAnsi="宋体" w:eastAsia="宋体" w:cs="宋体"/>
                <w:color w:val="auto"/>
                <w:kern w:val="2"/>
                <w:sz w:val="24"/>
                <w:szCs w:val="24"/>
                <w:highlight w:val="none"/>
              </w:rPr>
            </w:pPr>
            <w:bookmarkStart w:id="99" w:name="_Toc295404984"/>
            <w:bookmarkStart w:id="100" w:name="_Toc173211903"/>
            <w:bookmarkStart w:id="101" w:name="_Toc254970732"/>
            <w:bookmarkStart w:id="102" w:name="_Toc297193188"/>
            <w:bookmarkStart w:id="103" w:name="_Toc301781614"/>
            <w:bookmarkStart w:id="104" w:name="_Toc254970591"/>
            <w:bookmarkStart w:id="105" w:name="_Toc173066404"/>
            <w:bookmarkStart w:id="106" w:name="_Toc373333692"/>
            <w:bookmarkStart w:id="107" w:name="_Toc383699909"/>
            <w:r>
              <w:rPr>
                <w:rFonts w:hint="eastAsia" w:ascii="宋体" w:hAnsi="宋体" w:eastAsia="宋体" w:cs="宋体"/>
                <w:color w:val="auto"/>
                <w:kern w:val="2"/>
                <w:sz w:val="24"/>
                <w:szCs w:val="24"/>
                <w:highlight w:val="none"/>
              </w:rPr>
              <w:t>偏离</w:t>
            </w:r>
            <w:bookmarkEnd w:id="99"/>
            <w:bookmarkEnd w:id="100"/>
            <w:bookmarkEnd w:id="101"/>
            <w:bookmarkEnd w:id="102"/>
            <w:bookmarkEnd w:id="103"/>
            <w:bookmarkEnd w:id="104"/>
            <w:bookmarkEnd w:id="105"/>
            <w:bookmarkEnd w:id="106"/>
            <w:bookmarkEnd w:id="107"/>
            <w:bookmarkStart w:id="108" w:name="_Toc301781615"/>
            <w:bookmarkStart w:id="109" w:name="_Toc173066405"/>
            <w:bookmarkStart w:id="110" w:name="_Toc295404985"/>
            <w:bookmarkStart w:id="111" w:name="_Toc373333693"/>
            <w:bookmarkStart w:id="112" w:name="_Toc297193189"/>
            <w:bookmarkStart w:id="113" w:name="_Toc173211904"/>
            <w:bookmarkStart w:id="114" w:name="_Toc254970592"/>
            <w:bookmarkStart w:id="115" w:name="_Toc383699910"/>
            <w:bookmarkStart w:id="116" w:name="_Toc254970733"/>
            <w:r>
              <w:rPr>
                <w:rFonts w:hint="eastAsia" w:ascii="宋体" w:hAnsi="宋体" w:eastAsia="宋体" w:cs="宋体"/>
                <w:color w:val="auto"/>
                <w:kern w:val="2"/>
                <w:sz w:val="24"/>
                <w:szCs w:val="24"/>
                <w:highlight w:val="none"/>
              </w:rPr>
              <w:t>说明</w:t>
            </w:r>
            <w:bookmarkEnd w:id="108"/>
            <w:bookmarkEnd w:id="109"/>
            <w:bookmarkEnd w:id="110"/>
            <w:bookmarkEnd w:id="111"/>
            <w:bookmarkEnd w:id="112"/>
            <w:bookmarkEnd w:id="113"/>
            <w:bookmarkEnd w:id="114"/>
            <w:bookmarkEnd w:id="115"/>
            <w:bookmarkEnd w:id="116"/>
          </w:p>
        </w:tc>
      </w:tr>
      <w:tr w14:paraId="198F84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2983755A">
            <w:pPr>
              <w:pStyle w:val="16"/>
              <w:spacing w:line="360" w:lineRule="auto"/>
              <w:ind w:firstLine="0" w:firstLineChars="0"/>
              <w:jc w:val="center"/>
              <w:rPr>
                <w:rFonts w:ascii="宋体" w:hAnsi="宋体" w:eastAsia="宋体" w:cs="宋体"/>
                <w:color w:val="auto"/>
                <w:kern w:val="2"/>
                <w:sz w:val="24"/>
                <w:szCs w:val="24"/>
                <w:highlight w:val="none"/>
              </w:rPr>
            </w:pPr>
            <w:bookmarkStart w:id="117" w:name="_Toc254970593"/>
            <w:bookmarkStart w:id="118" w:name="_Toc297193190"/>
            <w:bookmarkStart w:id="119" w:name="_Toc173066406"/>
            <w:bookmarkStart w:id="120" w:name="_Toc254970734"/>
            <w:bookmarkStart w:id="121" w:name="_Toc383699911"/>
            <w:bookmarkStart w:id="122" w:name="_Toc301781616"/>
            <w:bookmarkStart w:id="123" w:name="_Toc373333694"/>
            <w:bookmarkStart w:id="124" w:name="_Toc295404986"/>
            <w:bookmarkStart w:id="125" w:name="_Toc173211905"/>
            <w:r>
              <w:rPr>
                <w:rFonts w:hint="eastAsia" w:ascii="宋体" w:hAnsi="宋体" w:eastAsia="宋体" w:cs="宋体"/>
                <w:color w:val="auto"/>
                <w:kern w:val="2"/>
                <w:sz w:val="24"/>
                <w:szCs w:val="24"/>
                <w:highlight w:val="none"/>
              </w:rPr>
              <w:t>1</w:t>
            </w:r>
            <w:bookmarkEnd w:id="117"/>
            <w:bookmarkEnd w:id="118"/>
            <w:bookmarkEnd w:id="119"/>
            <w:bookmarkEnd w:id="120"/>
            <w:bookmarkEnd w:id="121"/>
            <w:bookmarkEnd w:id="122"/>
            <w:bookmarkEnd w:id="123"/>
            <w:bookmarkEnd w:id="124"/>
            <w:bookmarkEnd w:id="125"/>
          </w:p>
        </w:tc>
        <w:tc>
          <w:tcPr>
            <w:tcW w:w="980" w:type="dxa"/>
            <w:tcBorders>
              <w:right w:val="single" w:color="auto" w:sz="4" w:space="0"/>
            </w:tcBorders>
            <w:vAlign w:val="center"/>
          </w:tcPr>
          <w:p w14:paraId="3339D596">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4CC3B7CE">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0B6F2B49">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42DC5401">
            <w:pPr>
              <w:pStyle w:val="16"/>
              <w:spacing w:line="360" w:lineRule="auto"/>
              <w:ind w:firstLine="0" w:firstLineChars="0"/>
              <w:jc w:val="center"/>
              <w:rPr>
                <w:rFonts w:ascii="宋体" w:hAnsi="宋体" w:eastAsia="宋体" w:cs="宋体"/>
                <w:color w:val="auto"/>
                <w:kern w:val="2"/>
                <w:sz w:val="24"/>
                <w:szCs w:val="24"/>
                <w:highlight w:val="none"/>
              </w:rPr>
            </w:pPr>
          </w:p>
        </w:tc>
      </w:tr>
      <w:tr w14:paraId="341792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31EC4F45">
            <w:pPr>
              <w:pStyle w:val="16"/>
              <w:spacing w:line="360" w:lineRule="auto"/>
              <w:ind w:firstLine="0" w:firstLineChars="0"/>
              <w:jc w:val="center"/>
              <w:rPr>
                <w:rFonts w:ascii="宋体" w:hAnsi="宋体" w:eastAsia="宋体" w:cs="宋体"/>
                <w:color w:val="auto"/>
                <w:kern w:val="2"/>
                <w:sz w:val="24"/>
                <w:szCs w:val="24"/>
                <w:highlight w:val="none"/>
              </w:rPr>
            </w:pPr>
            <w:bookmarkStart w:id="126" w:name="_Toc173066407"/>
            <w:bookmarkStart w:id="127" w:name="_Toc297193191"/>
            <w:bookmarkStart w:id="128" w:name="_Toc173211906"/>
            <w:bookmarkStart w:id="129" w:name="_Toc301781617"/>
            <w:bookmarkStart w:id="130" w:name="_Toc373333695"/>
            <w:bookmarkStart w:id="131" w:name="_Toc254970735"/>
            <w:bookmarkStart w:id="132" w:name="_Toc383699912"/>
            <w:bookmarkStart w:id="133" w:name="_Toc295404987"/>
            <w:bookmarkStart w:id="134" w:name="_Toc254970594"/>
            <w:r>
              <w:rPr>
                <w:rFonts w:hint="eastAsia" w:ascii="宋体" w:hAnsi="宋体" w:eastAsia="宋体" w:cs="宋体"/>
                <w:color w:val="auto"/>
                <w:kern w:val="2"/>
                <w:sz w:val="24"/>
                <w:szCs w:val="24"/>
                <w:highlight w:val="none"/>
              </w:rPr>
              <w:t>2</w:t>
            </w:r>
            <w:bookmarkEnd w:id="126"/>
            <w:bookmarkEnd w:id="127"/>
            <w:bookmarkEnd w:id="128"/>
            <w:bookmarkEnd w:id="129"/>
            <w:bookmarkEnd w:id="130"/>
            <w:bookmarkEnd w:id="131"/>
            <w:bookmarkEnd w:id="132"/>
            <w:bookmarkEnd w:id="133"/>
            <w:bookmarkEnd w:id="134"/>
          </w:p>
        </w:tc>
        <w:tc>
          <w:tcPr>
            <w:tcW w:w="980" w:type="dxa"/>
            <w:tcBorders>
              <w:right w:val="single" w:color="auto" w:sz="4" w:space="0"/>
            </w:tcBorders>
            <w:vAlign w:val="center"/>
          </w:tcPr>
          <w:p w14:paraId="51A9E09C">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7D1A92A4">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7F7892D6">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4FA62649">
            <w:pPr>
              <w:pStyle w:val="16"/>
              <w:spacing w:line="360" w:lineRule="auto"/>
              <w:ind w:firstLine="0" w:firstLineChars="0"/>
              <w:jc w:val="center"/>
              <w:rPr>
                <w:rFonts w:ascii="宋体" w:hAnsi="宋体" w:eastAsia="宋体" w:cs="宋体"/>
                <w:color w:val="auto"/>
                <w:kern w:val="2"/>
                <w:sz w:val="24"/>
                <w:szCs w:val="24"/>
                <w:highlight w:val="none"/>
              </w:rPr>
            </w:pPr>
          </w:p>
        </w:tc>
      </w:tr>
      <w:tr w14:paraId="51B81D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07681CAB">
            <w:pPr>
              <w:pStyle w:val="16"/>
              <w:spacing w:line="360" w:lineRule="auto"/>
              <w:ind w:firstLine="0" w:firstLineChars="0"/>
              <w:jc w:val="center"/>
              <w:rPr>
                <w:rFonts w:ascii="宋体" w:hAnsi="宋体" w:eastAsia="宋体" w:cs="宋体"/>
                <w:color w:val="auto"/>
                <w:kern w:val="2"/>
                <w:sz w:val="24"/>
                <w:szCs w:val="24"/>
                <w:highlight w:val="none"/>
              </w:rPr>
            </w:pPr>
            <w:bookmarkStart w:id="135" w:name="_Toc373333696"/>
            <w:bookmarkStart w:id="136" w:name="_Toc254970736"/>
            <w:bookmarkStart w:id="137" w:name="_Toc383699913"/>
            <w:bookmarkStart w:id="138" w:name="_Toc295404988"/>
            <w:bookmarkStart w:id="139" w:name="_Toc254970595"/>
            <w:bookmarkStart w:id="140" w:name="_Toc173211907"/>
            <w:bookmarkStart w:id="141" w:name="_Toc301781618"/>
            <w:bookmarkStart w:id="142" w:name="_Toc297193192"/>
            <w:bookmarkStart w:id="143" w:name="_Toc173066408"/>
            <w:r>
              <w:rPr>
                <w:rFonts w:hint="eastAsia" w:ascii="宋体" w:hAnsi="宋体" w:eastAsia="宋体" w:cs="宋体"/>
                <w:color w:val="auto"/>
                <w:kern w:val="2"/>
                <w:sz w:val="24"/>
                <w:szCs w:val="24"/>
                <w:highlight w:val="none"/>
              </w:rPr>
              <w:t>3</w:t>
            </w:r>
            <w:bookmarkEnd w:id="135"/>
            <w:bookmarkEnd w:id="136"/>
            <w:bookmarkEnd w:id="137"/>
            <w:bookmarkEnd w:id="138"/>
            <w:bookmarkEnd w:id="139"/>
            <w:bookmarkEnd w:id="140"/>
            <w:bookmarkEnd w:id="141"/>
            <w:bookmarkEnd w:id="142"/>
            <w:bookmarkEnd w:id="143"/>
          </w:p>
        </w:tc>
        <w:tc>
          <w:tcPr>
            <w:tcW w:w="980" w:type="dxa"/>
            <w:tcBorders>
              <w:right w:val="single" w:color="auto" w:sz="4" w:space="0"/>
            </w:tcBorders>
            <w:vAlign w:val="center"/>
          </w:tcPr>
          <w:p w14:paraId="40207D33">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396FE665">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14E67481">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68103B19">
            <w:pPr>
              <w:pStyle w:val="16"/>
              <w:spacing w:line="360" w:lineRule="auto"/>
              <w:ind w:firstLine="0" w:firstLineChars="0"/>
              <w:jc w:val="center"/>
              <w:rPr>
                <w:rFonts w:ascii="宋体" w:hAnsi="宋体" w:eastAsia="宋体" w:cs="宋体"/>
                <w:color w:val="auto"/>
                <w:kern w:val="2"/>
                <w:sz w:val="24"/>
                <w:szCs w:val="24"/>
                <w:highlight w:val="none"/>
              </w:rPr>
            </w:pPr>
          </w:p>
        </w:tc>
      </w:tr>
      <w:tr w14:paraId="3E82BB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1F5C14A5">
            <w:pPr>
              <w:pStyle w:val="16"/>
              <w:spacing w:line="360" w:lineRule="auto"/>
              <w:ind w:firstLine="0" w:firstLineChars="0"/>
              <w:jc w:val="center"/>
              <w:rPr>
                <w:rFonts w:ascii="宋体" w:hAnsi="宋体" w:eastAsia="宋体" w:cs="宋体"/>
                <w:color w:val="auto"/>
                <w:kern w:val="2"/>
                <w:sz w:val="24"/>
                <w:szCs w:val="24"/>
                <w:highlight w:val="none"/>
              </w:rPr>
            </w:pPr>
            <w:bookmarkStart w:id="144" w:name="_Toc254970737"/>
            <w:bookmarkStart w:id="145" w:name="_Toc297193193"/>
            <w:bookmarkStart w:id="146" w:name="_Toc173066409"/>
            <w:bookmarkStart w:id="147" w:name="_Toc295404989"/>
            <w:bookmarkStart w:id="148" w:name="_Toc254970596"/>
            <w:bookmarkStart w:id="149" w:name="_Toc373333697"/>
            <w:bookmarkStart w:id="150" w:name="_Toc301781619"/>
            <w:bookmarkStart w:id="151" w:name="_Toc383699914"/>
            <w:bookmarkStart w:id="152" w:name="_Toc173211908"/>
            <w:r>
              <w:rPr>
                <w:rFonts w:hint="eastAsia" w:ascii="宋体" w:hAnsi="宋体" w:eastAsia="宋体" w:cs="宋体"/>
                <w:color w:val="auto"/>
                <w:kern w:val="2"/>
                <w:sz w:val="24"/>
                <w:szCs w:val="24"/>
                <w:highlight w:val="none"/>
              </w:rPr>
              <w:t>4</w:t>
            </w:r>
            <w:bookmarkEnd w:id="144"/>
            <w:bookmarkEnd w:id="145"/>
            <w:bookmarkEnd w:id="146"/>
            <w:bookmarkEnd w:id="147"/>
            <w:bookmarkEnd w:id="148"/>
            <w:bookmarkEnd w:id="149"/>
            <w:bookmarkEnd w:id="150"/>
            <w:bookmarkEnd w:id="151"/>
            <w:bookmarkEnd w:id="152"/>
          </w:p>
        </w:tc>
        <w:tc>
          <w:tcPr>
            <w:tcW w:w="980" w:type="dxa"/>
            <w:tcBorders>
              <w:right w:val="single" w:color="auto" w:sz="4" w:space="0"/>
            </w:tcBorders>
            <w:vAlign w:val="center"/>
          </w:tcPr>
          <w:p w14:paraId="2A90C93F">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0F853E6C">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05B8621F">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0D98EB2C">
            <w:pPr>
              <w:pStyle w:val="16"/>
              <w:spacing w:line="360" w:lineRule="auto"/>
              <w:ind w:firstLine="0" w:firstLineChars="0"/>
              <w:jc w:val="center"/>
              <w:rPr>
                <w:rFonts w:ascii="宋体" w:hAnsi="宋体" w:eastAsia="宋体" w:cs="宋体"/>
                <w:color w:val="auto"/>
                <w:kern w:val="2"/>
                <w:sz w:val="24"/>
                <w:szCs w:val="24"/>
                <w:highlight w:val="none"/>
              </w:rPr>
            </w:pPr>
          </w:p>
        </w:tc>
      </w:tr>
      <w:tr w14:paraId="30B530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80" w:type="dxa"/>
            <w:vAlign w:val="center"/>
          </w:tcPr>
          <w:p w14:paraId="385BE550">
            <w:pPr>
              <w:pStyle w:val="16"/>
              <w:spacing w:line="360" w:lineRule="auto"/>
              <w:ind w:firstLine="0" w:firstLineChars="0"/>
              <w:jc w:val="center"/>
              <w:rPr>
                <w:rFonts w:ascii="宋体" w:hAnsi="宋体" w:eastAsia="宋体" w:cs="宋体"/>
                <w:color w:val="auto"/>
                <w:kern w:val="2"/>
                <w:sz w:val="24"/>
                <w:szCs w:val="24"/>
                <w:highlight w:val="none"/>
              </w:rPr>
            </w:pPr>
            <w:bookmarkStart w:id="153" w:name="_Toc254970738"/>
            <w:bookmarkStart w:id="154" w:name="_Toc383699915"/>
            <w:bookmarkStart w:id="155" w:name="_Toc295404990"/>
            <w:bookmarkStart w:id="156" w:name="_Toc301781620"/>
            <w:bookmarkStart w:id="157" w:name="_Toc254970597"/>
            <w:bookmarkStart w:id="158" w:name="_Toc297193194"/>
            <w:bookmarkStart w:id="159" w:name="_Toc173066410"/>
            <w:bookmarkStart w:id="160" w:name="_Toc373333698"/>
            <w:bookmarkStart w:id="161" w:name="_Toc173211909"/>
            <w:r>
              <w:rPr>
                <w:rFonts w:hint="eastAsia" w:ascii="宋体" w:hAnsi="宋体" w:eastAsia="宋体" w:cs="宋体"/>
                <w:color w:val="auto"/>
                <w:kern w:val="2"/>
                <w:sz w:val="24"/>
                <w:szCs w:val="24"/>
                <w:highlight w:val="none"/>
              </w:rPr>
              <w:t>5</w:t>
            </w:r>
            <w:bookmarkEnd w:id="153"/>
            <w:bookmarkEnd w:id="154"/>
            <w:bookmarkEnd w:id="155"/>
            <w:bookmarkEnd w:id="156"/>
            <w:bookmarkEnd w:id="157"/>
            <w:bookmarkEnd w:id="158"/>
            <w:bookmarkEnd w:id="159"/>
            <w:bookmarkEnd w:id="160"/>
            <w:bookmarkEnd w:id="161"/>
          </w:p>
        </w:tc>
        <w:tc>
          <w:tcPr>
            <w:tcW w:w="980" w:type="dxa"/>
            <w:tcBorders>
              <w:right w:val="single" w:color="auto" w:sz="4" w:space="0"/>
            </w:tcBorders>
            <w:vAlign w:val="center"/>
          </w:tcPr>
          <w:p w14:paraId="3878FCD0">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14878DBC">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2F55146E">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vAlign w:val="center"/>
          </w:tcPr>
          <w:p w14:paraId="6DFD7D1A">
            <w:pPr>
              <w:pStyle w:val="16"/>
              <w:spacing w:line="360" w:lineRule="auto"/>
              <w:ind w:firstLine="0" w:firstLineChars="0"/>
              <w:jc w:val="center"/>
              <w:rPr>
                <w:rFonts w:ascii="宋体" w:hAnsi="宋体" w:eastAsia="宋体" w:cs="宋体"/>
                <w:color w:val="auto"/>
                <w:kern w:val="2"/>
                <w:sz w:val="24"/>
                <w:szCs w:val="24"/>
                <w:highlight w:val="none"/>
              </w:rPr>
            </w:pPr>
          </w:p>
        </w:tc>
      </w:tr>
      <w:tr w14:paraId="59A69B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80" w:type="dxa"/>
            <w:vAlign w:val="center"/>
          </w:tcPr>
          <w:p w14:paraId="32193BC8">
            <w:pPr>
              <w:pStyle w:val="16"/>
              <w:spacing w:line="360" w:lineRule="auto"/>
              <w:ind w:firstLine="0" w:firstLineChars="0"/>
              <w:jc w:val="center"/>
              <w:rPr>
                <w:rFonts w:ascii="宋体" w:hAnsi="宋体" w:eastAsia="宋体" w:cs="宋体"/>
                <w:color w:val="auto"/>
                <w:kern w:val="2"/>
                <w:sz w:val="24"/>
                <w:szCs w:val="24"/>
                <w:highlight w:val="none"/>
              </w:rPr>
            </w:pPr>
            <w:bookmarkStart w:id="162" w:name="_Toc297193195"/>
            <w:bookmarkStart w:id="163" w:name="_Toc254970743"/>
            <w:bookmarkStart w:id="164" w:name="_Toc173211914"/>
            <w:bookmarkStart w:id="165" w:name="_Toc301781621"/>
            <w:bookmarkStart w:id="166" w:name="_Toc383699916"/>
            <w:bookmarkStart w:id="167" w:name="_Toc254970602"/>
            <w:bookmarkStart w:id="168" w:name="_Toc295404991"/>
            <w:bookmarkStart w:id="169" w:name="_Toc373333699"/>
            <w:bookmarkStart w:id="170" w:name="_Toc173066415"/>
            <w:r>
              <w:rPr>
                <w:rFonts w:hint="eastAsia" w:ascii="宋体" w:hAnsi="宋体" w:eastAsia="宋体" w:cs="宋体"/>
                <w:color w:val="auto"/>
                <w:kern w:val="2"/>
                <w:sz w:val="24"/>
                <w:szCs w:val="24"/>
                <w:highlight w:val="none"/>
              </w:rPr>
              <w:t>…</w:t>
            </w:r>
            <w:bookmarkEnd w:id="162"/>
            <w:bookmarkEnd w:id="163"/>
            <w:bookmarkEnd w:id="164"/>
            <w:bookmarkEnd w:id="165"/>
            <w:bookmarkEnd w:id="166"/>
            <w:bookmarkEnd w:id="167"/>
            <w:bookmarkEnd w:id="168"/>
            <w:bookmarkEnd w:id="169"/>
            <w:bookmarkEnd w:id="170"/>
          </w:p>
        </w:tc>
        <w:tc>
          <w:tcPr>
            <w:tcW w:w="980" w:type="dxa"/>
            <w:tcBorders>
              <w:right w:val="single" w:color="auto" w:sz="4" w:space="0"/>
            </w:tcBorders>
            <w:vAlign w:val="center"/>
          </w:tcPr>
          <w:p w14:paraId="0D1746D2">
            <w:pPr>
              <w:pStyle w:val="16"/>
              <w:spacing w:line="360" w:lineRule="auto"/>
              <w:ind w:firstLine="0" w:firstLineChars="0"/>
              <w:jc w:val="center"/>
              <w:rPr>
                <w:rFonts w:ascii="宋体" w:hAnsi="宋体" w:eastAsia="宋体" w:cs="宋体"/>
                <w:color w:val="auto"/>
                <w:kern w:val="2"/>
                <w:sz w:val="24"/>
                <w:szCs w:val="24"/>
                <w:highlight w:val="none"/>
              </w:rPr>
            </w:pPr>
          </w:p>
        </w:tc>
        <w:tc>
          <w:tcPr>
            <w:tcW w:w="3253" w:type="dxa"/>
            <w:tcBorders>
              <w:left w:val="single" w:color="auto" w:sz="4" w:space="0"/>
            </w:tcBorders>
            <w:vAlign w:val="center"/>
          </w:tcPr>
          <w:p w14:paraId="51048DA0">
            <w:pPr>
              <w:pStyle w:val="16"/>
              <w:spacing w:line="360" w:lineRule="auto"/>
              <w:ind w:firstLine="0" w:firstLineChars="0"/>
              <w:jc w:val="center"/>
              <w:rPr>
                <w:rFonts w:ascii="宋体" w:hAnsi="宋体" w:eastAsia="宋体" w:cs="宋体"/>
                <w:color w:val="auto"/>
                <w:kern w:val="2"/>
                <w:sz w:val="24"/>
                <w:szCs w:val="24"/>
                <w:highlight w:val="none"/>
              </w:rPr>
            </w:pPr>
          </w:p>
        </w:tc>
        <w:tc>
          <w:tcPr>
            <w:tcW w:w="2928" w:type="dxa"/>
            <w:vAlign w:val="center"/>
          </w:tcPr>
          <w:p w14:paraId="36BA1AD4">
            <w:pPr>
              <w:pStyle w:val="16"/>
              <w:spacing w:line="360" w:lineRule="auto"/>
              <w:ind w:firstLine="0" w:firstLineChars="0"/>
              <w:jc w:val="center"/>
              <w:rPr>
                <w:rFonts w:ascii="宋体" w:hAnsi="宋体" w:eastAsia="宋体" w:cs="宋体"/>
                <w:color w:val="auto"/>
                <w:kern w:val="2"/>
                <w:sz w:val="24"/>
                <w:szCs w:val="24"/>
                <w:highlight w:val="none"/>
              </w:rPr>
            </w:pPr>
          </w:p>
        </w:tc>
        <w:tc>
          <w:tcPr>
            <w:tcW w:w="1597" w:type="dxa"/>
            <w:tcBorders>
              <w:right w:val="single" w:color="auto" w:sz="4" w:space="0"/>
            </w:tcBorders>
            <w:vAlign w:val="center"/>
          </w:tcPr>
          <w:p w14:paraId="1CA3F97B">
            <w:pPr>
              <w:pStyle w:val="16"/>
              <w:spacing w:line="360" w:lineRule="auto"/>
              <w:ind w:firstLine="0" w:firstLineChars="0"/>
              <w:jc w:val="center"/>
              <w:rPr>
                <w:rFonts w:ascii="宋体" w:hAnsi="宋体" w:eastAsia="宋体" w:cs="宋体"/>
                <w:color w:val="auto"/>
                <w:kern w:val="2"/>
                <w:sz w:val="24"/>
                <w:szCs w:val="24"/>
                <w:highlight w:val="none"/>
              </w:rPr>
            </w:pPr>
          </w:p>
        </w:tc>
      </w:tr>
    </w:tbl>
    <w:p w14:paraId="67AB69EF">
      <w:pPr>
        <w:adjustRightInd w:val="0"/>
        <w:snapToGrid w:val="0"/>
        <w:spacing w:line="360" w:lineRule="auto"/>
        <w:rPr>
          <w:rFonts w:ascii="宋体" w:hAnsi="宋体" w:cs="宋体"/>
          <w:color w:val="auto"/>
          <w:sz w:val="24"/>
          <w:highlight w:val="none"/>
        </w:rPr>
      </w:pPr>
    </w:p>
    <w:p w14:paraId="360BE89E">
      <w:pPr>
        <w:pStyle w:val="16"/>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1E7B35E">
      <w:pPr>
        <w:pStyle w:val="16"/>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项目需求和说明”中的技术需求逐条实质性响应，并作出偏离说明。</w:t>
      </w:r>
    </w:p>
    <w:p w14:paraId="30D8D8F1">
      <w:pPr>
        <w:pStyle w:val="16"/>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0A076D73">
      <w:pPr>
        <w:pStyle w:val="18"/>
        <w:spacing w:line="360" w:lineRule="auto"/>
        <w:rPr>
          <w:rFonts w:hAnsi="宋体" w:cs="宋体"/>
          <w:color w:val="auto"/>
          <w:sz w:val="24"/>
          <w:szCs w:val="24"/>
          <w:highlight w:val="none"/>
        </w:rPr>
      </w:pPr>
    </w:p>
    <w:p w14:paraId="59FE7B5D">
      <w:pPr>
        <w:snapToGrid w:val="0"/>
        <w:spacing w:before="50" w:after="50" w:line="360" w:lineRule="auto"/>
        <w:ind w:right="-817" w:rightChars="-389"/>
        <w:rPr>
          <w:rFonts w:ascii="宋体" w:hAnsi="宋体" w:cs="宋体"/>
          <w:color w:val="auto"/>
          <w:sz w:val="24"/>
          <w:highlight w:val="none"/>
        </w:rPr>
      </w:pPr>
    </w:p>
    <w:p w14:paraId="12CF8D88">
      <w:pPr>
        <w:snapToGrid w:val="0"/>
        <w:spacing w:before="50" w:after="50" w:line="360" w:lineRule="auto"/>
        <w:ind w:right="-817" w:rightChars="-389" w:firstLine="960" w:firstLineChars="4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法定代表人或者委托代理人（签字或签章）：                    </w:t>
      </w:r>
    </w:p>
    <w:p w14:paraId="3F755FB7">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14E5C9FF">
      <w:pPr>
        <w:snapToGrid w:val="0"/>
        <w:spacing w:before="50" w:after="50" w:line="360" w:lineRule="auto"/>
        <w:ind w:right="-817" w:rightChars="-389" w:firstLine="4080" w:firstLineChars="1700"/>
        <w:rPr>
          <w:rFonts w:ascii="宋体" w:hAnsi="宋体" w:cs="宋体"/>
          <w:color w:val="auto"/>
          <w:sz w:val="24"/>
          <w:highlight w:val="none"/>
        </w:rPr>
      </w:pPr>
      <w:r>
        <w:rPr>
          <w:rFonts w:hint="eastAsia" w:ascii="宋体" w:hAnsi="宋体" w:cs="宋体"/>
          <w:color w:val="auto"/>
          <w:sz w:val="24"/>
          <w:highlight w:val="none"/>
        </w:rPr>
        <w:t>日期：   年   月   日</w:t>
      </w:r>
    </w:p>
    <w:p w14:paraId="4E82FF4C">
      <w:pPr>
        <w:snapToGrid w:val="0"/>
        <w:spacing w:before="156" w:beforeLines="50" w:after="50"/>
        <w:ind w:left="142"/>
        <w:jc w:val="center"/>
        <w:rPr>
          <w:rFonts w:ascii="宋体" w:hAnsi="宋体" w:cs="宋体"/>
          <w:color w:val="auto"/>
          <w:sz w:val="24"/>
          <w:highlight w:val="none"/>
        </w:rPr>
      </w:pPr>
      <w:r>
        <w:rPr>
          <w:rFonts w:hint="eastAsia" w:ascii="宋体" w:hAnsi="宋体" w:cs="宋体"/>
          <w:color w:val="auto"/>
          <w:sz w:val="24"/>
          <w:highlight w:val="none"/>
        </w:rPr>
        <w:br w:type="page"/>
      </w:r>
    </w:p>
    <w:p w14:paraId="1288E147">
      <w:pPr>
        <w:snapToGrid w:val="0"/>
        <w:spacing w:before="156" w:beforeLines="50" w:after="5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项目技术方案（格式自拟）</w:t>
      </w:r>
    </w:p>
    <w:p w14:paraId="28370C07">
      <w:pPr>
        <w:snapToGrid w:val="0"/>
        <w:spacing w:line="360" w:lineRule="auto"/>
        <w:rPr>
          <w:rFonts w:ascii="宋体" w:hAnsi="宋体" w:cs="宋体"/>
          <w:b/>
          <w:bCs/>
          <w:color w:val="auto"/>
          <w:kern w:val="0"/>
          <w:sz w:val="28"/>
          <w:szCs w:val="28"/>
          <w:highlight w:val="none"/>
        </w:rPr>
      </w:pPr>
      <w:r>
        <w:rPr>
          <w:rFonts w:hint="eastAsia" w:ascii="宋体" w:hAnsi="宋体" w:cs="宋体"/>
          <w:b/>
          <w:bCs/>
          <w:color w:val="auto"/>
          <w:sz w:val="28"/>
          <w:szCs w:val="28"/>
          <w:highlight w:val="none"/>
        </w:rPr>
        <w:t>(由磋商人根据《项目服务需求》和评定成交的标准自行填写，格式自拟)</w:t>
      </w:r>
    </w:p>
    <w:p w14:paraId="62D53AF6">
      <w:pPr>
        <w:snapToGrid w:val="0"/>
        <w:spacing w:line="360" w:lineRule="auto"/>
        <w:ind w:firstLine="4935" w:firstLineChars="2350"/>
        <w:rPr>
          <w:rFonts w:ascii="宋体" w:hAnsi="宋体" w:cs="宋体"/>
          <w:color w:val="auto"/>
          <w:szCs w:val="21"/>
          <w:highlight w:val="none"/>
        </w:rPr>
      </w:pPr>
    </w:p>
    <w:p w14:paraId="2943E814">
      <w:pPr>
        <w:snapToGrid w:val="0"/>
        <w:spacing w:before="156" w:beforeLines="50" w:after="50"/>
        <w:ind w:left="142"/>
        <w:jc w:val="center"/>
        <w:rPr>
          <w:rFonts w:ascii="宋体" w:hAnsi="宋体" w:cs="宋体"/>
          <w:b/>
          <w:color w:val="auto"/>
          <w:sz w:val="32"/>
          <w:szCs w:val="32"/>
          <w:highlight w:val="none"/>
        </w:rPr>
      </w:pPr>
    </w:p>
    <w:p w14:paraId="2D2B12A5">
      <w:pPr>
        <w:snapToGrid w:val="0"/>
        <w:spacing w:before="156" w:beforeLines="50" w:line="360" w:lineRule="auto"/>
        <w:ind w:right="480" w:firstLine="3967" w:firstLineChars="1653"/>
        <w:rPr>
          <w:rFonts w:ascii="宋体" w:hAnsi="宋体" w:cs="宋体"/>
          <w:color w:val="auto"/>
          <w:sz w:val="24"/>
          <w:highlight w:val="none"/>
        </w:rPr>
      </w:pPr>
    </w:p>
    <w:p w14:paraId="68771370">
      <w:pPr>
        <w:snapToGrid w:val="0"/>
        <w:spacing w:before="50" w:after="50" w:line="360" w:lineRule="auto"/>
        <w:ind w:right="-817" w:rightChars="-389" w:firstLine="2160" w:firstLineChars="9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法定代表人或者委托代理人（签字或签章）：                    </w:t>
      </w:r>
    </w:p>
    <w:p w14:paraId="3B31A52D">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7A9A81FE">
      <w:pPr>
        <w:snapToGrid w:val="0"/>
        <w:spacing w:before="156" w:beforeLines="50" w:after="50"/>
        <w:jc w:val="center"/>
        <w:rPr>
          <w:rFonts w:ascii="宋体" w:hAnsi="宋体" w:cs="宋体"/>
          <w:b/>
          <w:bCs/>
          <w:color w:val="auto"/>
          <w:sz w:val="36"/>
          <w:szCs w:val="36"/>
          <w:highlight w:val="none"/>
        </w:rPr>
      </w:pPr>
      <w:r>
        <w:rPr>
          <w:rFonts w:hint="eastAsia" w:ascii="宋体" w:hAnsi="宋体" w:cs="宋体"/>
          <w:color w:val="auto"/>
          <w:sz w:val="24"/>
          <w:highlight w:val="none"/>
        </w:rPr>
        <w:t>日期：   年   月   日</w:t>
      </w:r>
    </w:p>
    <w:p w14:paraId="1479D487">
      <w:pPr>
        <w:snapToGrid w:val="0"/>
        <w:spacing w:before="156" w:beforeLines="50" w:after="50"/>
        <w:jc w:val="center"/>
        <w:rPr>
          <w:rFonts w:ascii="宋体" w:hAnsi="宋体" w:cs="宋体"/>
          <w:b/>
          <w:bCs/>
          <w:color w:val="auto"/>
          <w:sz w:val="36"/>
          <w:szCs w:val="36"/>
          <w:highlight w:val="none"/>
        </w:rPr>
      </w:pPr>
    </w:p>
    <w:p w14:paraId="20DAFE36">
      <w:pPr>
        <w:snapToGrid w:val="0"/>
        <w:spacing w:before="156" w:beforeLines="50" w:after="50"/>
        <w:jc w:val="center"/>
        <w:rPr>
          <w:rFonts w:ascii="宋体" w:hAnsi="宋体" w:cs="宋体"/>
          <w:b/>
          <w:bCs/>
          <w:color w:val="auto"/>
          <w:sz w:val="36"/>
          <w:szCs w:val="36"/>
          <w:highlight w:val="none"/>
        </w:rPr>
      </w:pPr>
    </w:p>
    <w:p w14:paraId="0C5715D1">
      <w:pPr>
        <w:snapToGrid w:val="0"/>
        <w:spacing w:before="156" w:beforeLines="50" w:after="50"/>
        <w:jc w:val="center"/>
        <w:rPr>
          <w:rFonts w:ascii="宋体" w:hAnsi="宋体" w:cs="宋体"/>
          <w:b/>
          <w:bCs/>
          <w:color w:val="auto"/>
          <w:sz w:val="36"/>
          <w:szCs w:val="36"/>
          <w:highlight w:val="none"/>
        </w:rPr>
      </w:pPr>
    </w:p>
    <w:p w14:paraId="03ECAF3F">
      <w:pPr>
        <w:snapToGrid w:val="0"/>
        <w:spacing w:before="156" w:beforeLines="50" w:after="50"/>
        <w:jc w:val="center"/>
        <w:rPr>
          <w:rFonts w:ascii="宋体" w:hAnsi="宋体" w:cs="宋体"/>
          <w:b/>
          <w:bCs/>
          <w:color w:val="auto"/>
          <w:sz w:val="36"/>
          <w:szCs w:val="36"/>
          <w:highlight w:val="none"/>
        </w:rPr>
      </w:pPr>
    </w:p>
    <w:p w14:paraId="2A0BBFD5">
      <w:pPr>
        <w:snapToGrid w:val="0"/>
        <w:spacing w:before="156" w:beforeLines="50" w:after="50"/>
        <w:jc w:val="center"/>
        <w:rPr>
          <w:rFonts w:ascii="宋体" w:hAnsi="宋体" w:cs="宋体"/>
          <w:b/>
          <w:bCs/>
          <w:color w:val="auto"/>
          <w:sz w:val="36"/>
          <w:szCs w:val="36"/>
          <w:highlight w:val="none"/>
        </w:rPr>
      </w:pPr>
    </w:p>
    <w:p w14:paraId="1FCB0DD8">
      <w:pPr>
        <w:snapToGrid w:val="0"/>
        <w:spacing w:before="156" w:beforeLines="50" w:after="50"/>
        <w:jc w:val="center"/>
        <w:rPr>
          <w:rFonts w:ascii="宋体" w:hAnsi="宋体" w:cs="宋体"/>
          <w:b/>
          <w:bCs/>
          <w:color w:val="auto"/>
          <w:sz w:val="36"/>
          <w:szCs w:val="36"/>
          <w:highlight w:val="none"/>
        </w:rPr>
      </w:pPr>
    </w:p>
    <w:p w14:paraId="4BDEEB8A">
      <w:pPr>
        <w:snapToGrid w:val="0"/>
        <w:spacing w:before="156" w:beforeLines="50" w:after="50"/>
        <w:jc w:val="center"/>
        <w:rPr>
          <w:rFonts w:ascii="宋体" w:hAnsi="宋体" w:cs="宋体"/>
          <w:b/>
          <w:bCs/>
          <w:color w:val="auto"/>
          <w:sz w:val="36"/>
          <w:szCs w:val="36"/>
          <w:highlight w:val="none"/>
        </w:rPr>
      </w:pPr>
    </w:p>
    <w:p w14:paraId="41FEDF54">
      <w:pPr>
        <w:snapToGrid w:val="0"/>
        <w:spacing w:before="156" w:beforeLines="50" w:after="50"/>
        <w:jc w:val="center"/>
        <w:rPr>
          <w:rFonts w:ascii="宋体" w:hAnsi="宋体" w:cs="宋体"/>
          <w:b/>
          <w:bCs/>
          <w:color w:val="auto"/>
          <w:sz w:val="36"/>
          <w:szCs w:val="36"/>
          <w:highlight w:val="none"/>
        </w:rPr>
      </w:pPr>
    </w:p>
    <w:p w14:paraId="69CA7D51">
      <w:pPr>
        <w:snapToGrid w:val="0"/>
        <w:spacing w:before="156" w:beforeLines="50" w:after="50"/>
        <w:jc w:val="center"/>
        <w:rPr>
          <w:rFonts w:ascii="宋体" w:hAnsi="宋体" w:cs="宋体"/>
          <w:b/>
          <w:bCs/>
          <w:color w:val="auto"/>
          <w:sz w:val="36"/>
          <w:szCs w:val="36"/>
          <w:highlight w:val="none"/>
        </w:rPr>
      </w:pPr>
    </w:p>
    <w:p w14:paraId="18368A88">
      <w:pPr>
        <w:snapToGrid w:val="0"/>
        <w:spacing w:before="156" w:beforeLines="50" w:after="50"/>
        <w:jc w:val="center"/>
        <w:rPr>
          <w:rFonts w:ascii="宋体" w:hAnsi="宋体" w:cs="宋体"/>
          <w:b/>
          <w:bCs/>
          <w:color w:val="auto"/>
          <w:sz w:val="36"/>
          <w:szCs w:val="36"/>
          <w:highlight w:val="none"/>
        </w:rPr>
      </w:pPr>
    </w:p>
    <w:p w14:paraId="7F6D51C7">
      <w:pPr>
        <w:snapToGrid w:val="0"/>
        <w:spacing w:before="156" w:beforeLines="50" w:after="50"/>
        <w:jc w:val="center"/>
        <w:rPr>
          <w:rFonts w:ascii="宋体" w:hAnsi="宋体" w:cs="宋体"/>
          <w:b/>
          <w:bCs/>
          <w:color w:val="auto"/>
          <w:sz w:val="36"/>
          <w:szCs w:val="36"/>
          <w:highlight w:val="none"/>
        </w:rPr>
      </w:pPr>
    </w:p>
    <w:p w14:paraId="1FE73F59">
      <w:pPr>
        <w:snapToGrid w:val="0"/>
        <w:spacing w:before="156" w:beforeLines="50" w:after="50"/>
        <w:jc w:val="center"/>
        <w:rPr>
          <w:rFonts w:ascii="宋体" w:hAnsi="宋体" w:cs="宋体"/>
          <w:b/>
          <w:bCs/>
          <w:color w:val="auto"/>
          <w:sz w:val="36"/>
          <w:szCs w:val="36"/>
          <w:highlight w:val="none"/>
        </w:rPr>
      </w:pPr>
    </w:p>
    <w:p w14:paraId="0575FD25">
      <w:pPr>
        <w:snapToGrid w:val="0"/>
        <w:spacing w:before="156" w:beforeLines="50" w:after="50"/>
        <w:jc w:val="center"/>
        <w:rPr>
          <w:rFonts w:ascii="宋体" w:hAnsi="宋体" w:cs="宋体"/>
          <w:b/>
          <w:bCs/>
          <w:color w:val="auto"/>
          <w:sz w:val="36"/>
          <w:szCs w:val="36"/>
          <w:highlight w:val="none"/>
        </w:rPr>
      </w:pPr>
    </w:p>
    <w:p w14:paraId="1A7D36AE">
      <w:pPr>
        <w:snapToGrid w:val="0"/>
        <w:spacing w:before="156" w:beforeLines="50" w:after="50"/>
        <w:jc w:val="center"/>
        <w:rPr>
          <w:rFonts w:ascii="宋体" w:hAnsi="宋体" w:cs="宋体"/>
          <w:b/>
          <w:bCs/>
          <w:color w:val="auto"/>
          <w:sz w:val="36"/>
          <w:szCs w:val="36"/>
          <w:highlight w:val="none"/>
        </w:rPr>
      </w:pPr>
    </w:p>
    <w:p w14:paraId="50A77A91">
      <w:pPr>
        <w:snapToGrid w:val="0"/>
        <w:spacing w:before="156" w:beforeLines="50" w:after="50"/>
        <w:jc w:val="center"/>
        <w:rPr>
          <w:rFonts w:ascii="宋体" w:hAnsi="宋体" w:cs="宋体"/>
          <w:b/>
          <w:bCs/>
          <w:color w:val="auto"/>
          <w:sz w:val="36"/>
          <w:szCs w:val="36"/>
          <w:highlight w:val="none"/>
        </w:rPr>
      </w:pPr>
    </w:p>
    <w:p w14:paraId="4415DFD9">
      <w:pPr>
        <w:snapToGrid w:val="0"/>
        <w:spacing w:before="156" w:beforeLines="50" w:after="50"/>
        <w:jc w:val="center"/>
        <w:rPr>
          <w:rFonts w:ascii="宋体" w:hAnsi="宋体" w:cs="宋体"/>
          <w:b/>
          <w:bCs/>
          <w:color w:val="auto"/>
          <w:sz w:val="36"/>
          <w:szCs w:val="36"/>
          <w:highlight w:val="none"/>
        </w:rPr>
      </w:pPr>
    </w:p>
    <w:p w14:paraId="16395323">
      <w:pPr>
        <w:snapToGrid w:val="0"/>
        <w:spacing w:before="156" w:beforeLines="50" w:after="50"/>
        <w:jc w:val="center"/>
        <w:rPr>
          <w:rFonts w:ascii="宋体" w:hAnsi="宋体" w:cs="宋体"/>
          <w:b/>
          <w:bCs/>
          <w:color w:val="auto"/>
          <w:sz w:val="36"/>
          <w:szCs w:val="36"/>
          <w:highlight w:val="none"/>
        </w:rPr>
      </w:pPr>
    </w:p>
    <w:p w14:paraId="30372E3F">
      <w:pPr>
        <w:snapToGrid w:val="0"/>
        <w:spacing w:before="156" w:beforeLines="50" w:after="50"/>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项目实施人员一览表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7"/>
        <w:gridCol w:w="1476"/>
        <w:gridCol w:w="1130"/>
        <w:gridCol w:w="1699"/>
        <w:gridCol w:w="1959"/>
        <w:gridCol w:w="1908"/>
      </w:tblGrid>
      <w:tr w14:paraId="26A7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4FF5FA22">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476" w:type="dxa"/>
            <w:vAlign w:val="center"/>
          </w:tcPr>
          <w:p w14:paraId="2A89BCA0">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姓名</w:t>
            </w:r>
          </w:p>
        </w:tc>
        <w:tc>
          <w:tcPr>
            <w:tcW w:w="1130" w:type="dxa"/>
            <w:vAlign w:val="center"/>
          </w:tcPr>
          <w:p w14:paraId="01160A8A">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职称</w:t>
            </w:r>
          </w:p>
        </w:tc>
        <w:tc>
          <w:tcPr>
            <w:tcW w:w="1699" w:type="dxa"/>
            <w:vAlign w:val="center"/>
          </w:tcPr>
          <w:p w14:paraId="459EFD64">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专业资格</w:t>
            </w:r>
          </w:p>
        </w:tc>
        <w:tc>
          <w:tcPr>
            <w:tcW w:w="1959" w:type="dxa"/>
            <w:vAlign w:val="center"/>
          </w:tcPr>
          <w:p w14:paraId="7F6BB413">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担任职务/岗位</w:t>
            </w:r>
          </w:p>
        </w:tc>
        <w:tc>
          <w:tcPr>
            <w:tcW w:w="1908" w:type="dxa"/>
            <w:vAlign w:val="center"/>
          </w:tcPr>
          <w:p w14:paraId="61E844E5">
            <w:pPr>
              <w:spacing w:line="0" w:lineRule="atLeast"/>
              <w:jc w:val="center"/>
              <w:rPr>
                <w:rFonts w:ascii="宋体" w:hAnsi="宋体" w:cs="宋体"/>
                <w:bCs/>
                <w:color w:val="auto"/>
                <w:sz w:val="24"/>
                <w:highlight w:val="none"/>
              </w:rPr>
            </w:pPr>
            <w:r>
              <w:rPr>
                <w:rFonts w:hint="eastAsia" w:ascii="宋体" w:hAnsi="宋体" w:cs="宋体"/>
                <w:bCs/>
                <w:color w:val="auto"/>
                <w:sz w:val="24"/>
                <w:highlight w:val="none"/>
              </w:rPr>
              <w:t>备注</w:t>
            </w:r>
          </w:p>
        </w:tc>
      </w:tr>
      <w:tr w14:paraId="171E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150C5A93">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476" w:type="dxa"/>
            <w:vAlign w:val="center"/>
          </w:tcPr>
          <w:p w14:paraId="15FB841C">
            <w:pPr>
              <w:spacing w:line="0" w:lineRule="atLeast"/>
              <w:jc w:val="center"/>
              <w:rPr>
                <w:rFonts w:ascii="宋体" w:hAnsi="宋体" w:cs="宋体"/>
                <w:bCs/>
                <w:color w:val="auto"/>
                <w:szCs w:val="21"/>
                <w:highlight w:val="none"/>
              </w:rPr>
            </w:pPr>
          </w:p>
        </w:tc>
        <w:tc>
          <w:tcPr>
            <w:tcW w:w="1130" w:type="dxa"/>
            <w:vAlign w:val="center"/>
          </w:tcPr>
          <w:p w14:paraId="6D07DD51">
            <w:pPr>
              <w:spacing w:line="0" w:lineRule="atLeast"/>
              <w:jc w:val="center"/>
              <w:rPr>
                <w:rFonts w:ascii="宋体" w:hAnsi="宋体" w:cs="宋体"/>
                <w:bCs/>
                <w:color w:val="auto"/>
                <w:szCs w:val="21"/>
                <w:highlight w:val="none"/>
              </w:rPr>
            </w:pPr>
          </w:p>
        </w:tc>
        <w:tc>
          <w:tcPr>
            <w:tcW w:w="1699" w:type="dxa"/>
            <w:vAlign w:val="center"/>
          </w:tcPr>
          <w:p w14:paraId="61C260A3">
            <w:pPr>
              <w:spacing w:line="0" w:lineRule="atLeast"/>
              <w:jc w:val="center"/>
              <w:rPr>
                <w:rFonts w:ascii="宋体" w:hAnsi="宋体" w:cs="宋体"/>
                <w:bCs/>
                <w:color w:val="auto"/>
                <w:szCs w:val="21"/>
                <w:highlight w:val="none"/>
              </w:rPr>
            </w:pPr>
          </w:p>
        </w:tc>
        <w:tc>
          <w:tcPr>
            <w:tcW w:w="1959" w:type="dxa"/>
            <w:vAlign w:val="center"/>
          </w:tcPr>
          <w:p w14:paraId="790242ED">
            <w:pPr>
              <w:spacing w:line="0" w:lineRule="atLeast"/>
              <w:jc w:val="center"/>
              <w:rPr>
                <w:rFonts w:ascii="宋体" w:hAnsi="宋体" w:cs="宋体"/>
                <w:bCs/>
                <w:color w:val="auto"/>
                <w:szCs w:val="21"/>
                <w:highlight w:val="none"/>
              </w:rPr>
            </w:pPr>
          </w:p>
        </w:tc>
        <w:tc>
          <w:tcPr>
            <w:tcW w:w="1908" w:type="dxa"/>
            <w:vAlign w:val="center"/>
          </w:tcPr>
          <w:p w14:paraId="66CE65A6">
            <w:pPr>
              <w:spacing w:line="0" w:lineRule="atLeast"/>
              <w:jc w:val="center"/>
              <w:rPr>
                <w:rFonts w:ascii="宋体" w:hAnsi="宋体" w:cs="宋体"/>
                <w:bCs/>
                <w:color w:val="auto"/>
                <w:szCs w:val="21"/>
                <w:highlight w:val="none"/>
              </w:rPr>
            </w:pPr>
          </w:p>
        </w:tc>
      </w:tr>
      <w:tr w14:paraId="52FA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87" w:type="dxa"/>
            <w:vAlign w:val="center"/>
          </w:tcPr>
          <w:p w14:paraId="052F3A0C">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1476" w:type="dxa"/>
            <w:vAlign w:val="center"/>
          </w:tcPr>
          <w:p w14:paraId="7FD29C2C">
            <w:pPr>
              <w:spacing w:line="0" w:lineRule="atLeast"/>
              <w:jc w:val="center"/>
              <w:rPr>
                <w:rFonts w:ascii="宋体" w:hAnsi="宋体" w:cs="宋体"/>
                <w:bCs/>
                <w:color w:val="auto"/>
                <w:szCs w:val="21"/>
                <w:highlight w:val="none"/>
              </w:rPr>
            </w:pPr>
          </w:p>
        </w:tc>
        <w:tc>
          <w:tcPr>
            <w:tcW w:w="1130" w:type="dxa"/>
            <w:vAlign w:val="center"/>
          </w:tcPr>
          <w:p w14:paraId="4DBE3E91">
            <w:pPr>
              <w:spacing w:line="0" w:lineRule="atLeast"/>
              <w:jc w:val="center"/>
              <w:rPr>
                <w:rFonts w:ascii="宋体" w:hAnsi="宋体" w:cs="宋体"/>
                <w:bCs/>
                <w:color w:val="auto"/>
                <w:szCs w:val="21"/>
                <w:highlight w:val="none"/>
              </w:rPr>
            </w:pPr>
          </w:p>
        </w:tc>
        <w:tc>
          <w:tcPr>
            <w:tcW w:w="1699" w:type="dxa"/>
            <w:vAlign w:val="center"/>
          </w:tcPr>
          <w:p w14:paraId="167320D0">
            <w:pPr>
              <w:spacing w:line="0" w:lineRule="atLeast"/>
              <w:jc w:val="center"/>
              <w:rPr>
                <w:rFonts w:ascii="宋体" w:hAnsi="宋体" w:cs="宋体"/>
                <w:bCs/>
                <w:color w:val="auto"/>
                <w:szCs w:val="21"/>
                <w:highlight w:val="none"/>
              </w:rPr>
            </w:pPr>
          </w:p>
        </w:tc>
        <w:tc>
          <w:tcPr>
            <w:tcW w:w="1959" w:type="dxa"/>
            <w:vAlign w:val="center"/>
          </w:tcPr>
          <w:p w14:paraId="59BE80C3">
            <w:pPr>
              <w:spacing w:line="0" w:lineRule="atLeast"/>
              <w:jc w:val="center"/>
              <w:rPr>
                <w:rFonts w:ascii="宋体" w:hAnsi="宋体" w:cs="宋体"/>
                <w:bCs/>
                <w:color w:val="auto"/>
                <w:szCs w:val="21"/>
                <w:highlight w:val="none"/>
              </w:rPr>
            </w:pPr>
          </w:p>
        </w:tc>
        <w:tc>
          <w:tcPr>
            <w:tcW w:w="1908" w:type="dxa"/>
            <w:vAlign w:val="center"/>
          </w:tcPr>
          <w:p w14:paraId="7C5E9154">
            <w:pPr>
              <w:spacing w:line="0" w:lineRule="atLeast"/>
              <w:jc w:val="center"/>
              <w:rPr>
                <w:rFonts w:ascii="宋体" w:hAnsi="宋体" w:cs="宋体"/>
                <w:bCs/>
                <w:color w:val="auto"/>
                <w:szCs w:val="21"/>
                <w:highlight w:val="none"/>
              </w:rPr>
            </w:pPr>
          </w:p>
        </w:tc>
      </w:tr>
      <w:tr w14:paraId="4E89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633EBB75">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1476" w:type="dxa"/>
            <w:vAlign w:val="center"/>
          </w:tcPr>
          <w:p w14:paraId="78AA6558">
            <w:pPr>
              <w:spacing w:line="0" w:lineRule="atLeast"/>
              <w:jc w:val="center"/>
              <w:rPr>
                <w:rFonts w:ascii="宋体" w:hAnsi="宋体" w:cs="宋体"/>
                <w:bCs/>
                <w:color w:val="auto"/>
                <w:szCs w:val="21"/>
                <w:highlight w:val="none"/>
              </w:rPr>
            </w:pPr>
          </w:p>
        </w:tc>
        <w:tc>
          <w:tcPr>
            <w:tcW w:w="1130" w:type="dxa"/>
            <w:vAlign w:val="center"/>
          </w:tcPr>
          <w:p w14:paraId="3BFEEC1C">
            <w:pPr>
              <w:spacing w:line="0" w:lineRule="atLeast"/>
              <w:jc w:val="center"/>
              <w:rPr>
                <w:rFonts w:ascii="宋体" w:hAnsi="宋体" w:cs="宋体"/>
                <w:bCs/>
                <w:color w:val="auto"/>
                <w:szCs w:val="21"/>
                <w:highlight w:val="none"/>
              </w:rPr>
            </w:pPr>
          </w:p>
        </w:tc>
        <w:tc>
          <w:tcPr>
            <w:tcW w:w="1699" w:type="dxa"/>
            <w:vAlign w:val="center"/>
          </w:tcPr>
          <w:p w14:paraId="3DB4D3DA">
            <w:pPr>
              <w:spacing w:line="0" w:lineRule="atLeast"/>
              <w:jc w:val="center"/>
              <w:rPr>
                <w:rFonts w:ascii="宋体" w:hAnsi="宋体" w:cs="宋体"/>
                <w:bCs/>
                <w:color w:val="auto"/>
                <w:szCs w:val="21"/>
                <w:highlight w:val="none"/>
              </w:rPr>
            </w:pPr>
          </w:p>
        </w:tc>
        <w:tc>
          <w:tcPr>
            <w:tcW w:w="1959" w:type="dxa"/>
            <w:vAlign w:val="center"/>
          </w:tcPr>
          <w:p w14:paraId="5D301854">
            <w:pPr>
              <w:spacing w:line="0" w:lineRule="atLeast"/>
              <w:jc w:val="center"/>
              <w:rPr>
                <w:rFonts w:ascii="宋体" w:hAnsi="宋体" w:cs="宋体"/>
                <w:bCs/>
                <w:color w:val="auto"/>
                <w:szCs w:val="21"/>
                <w:highlight w:val="none"/>
              </w:rPr>
            </w:pPr>
          </w:p>
        </w:tc>
        <w:tc>
          <w:tcPr>
            <w:tcW w:w="1908" w:type="dxa"/>
            <w:vAlign w:val="center"/>
          </w:tcPr>
          <w:p w14:paraId="192228F5">
            <w:pPr>
              <w:spacing w:line="0" w:lineRule="atLeast"/>
              <w:jc w:val="center"/>
              <w:rPr>
                <w:rFonts w:ascii="宋体" w:hAnsi="宋体" w:cs="宋体"/>
                <w:bCs/>
                <w:color w:val="auto"/>
                <w:szCs w:val="21"/>
                <w:highlight w:val="none"/>
              </w:rPr>
            </w:pPr>
          </w:p>
        </w:tc>
      </w:tr>
      <w:tr w14:paraId="5E1D1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1E89BA73">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1476" w:type="dxa"/>
            <w:vAlign w:val="center"/>
          </w:tcPr>
          <w:p w14:paraId="24C29F00">
            <w:pPr>
              <w:spacing w:line="0" w:lineRule="atLeast"/>
              <w:jc w:val="center"/>
              <w:rPr>
                <w:rFonts w:ascii="宋体" w:hAnsi="宋体" w:cs="宋体"/>
                <w:bCs/>
                <w:color w:val="auto"/>
                <w:szCs w:val="21"/>
                <w:highlight w:val="none"/>
              </w:rPr>
            </w:pPr>
          </w:p>
        </w:tc>
        <w:tc>
          <w:tcPr>
            <w:tcW w:w="1130" w:type="dxa"/>
            <w:vAlign w:val="center"/>
          </w:tcPr>
          <w:p w14:paraId="595A98F1">
            <w:pPr>
              <w:spacing w:line="0" w:lineRule="atLeast"/>
              <w:jc w:val="center"/>
              <w:rPr>
                <w:rFonts w:ascii="宋体" w:hAnsi="宋体" w:cs="宋体"/>
                <w:bCs/>
                <w:color w:val="auto"/>
                <w:szCs w:val="21"/>
                <w:highlight w:val="none"/>
              </w:rPr>
            </w:pPr>
          </w:p>
        </w:tc>
        <w:tc>
          <w:tcPr>
            <w:tcW w:w="1699" w:type="dxa"/>
            <w:vAlign w:val="center"/>
          </w:tcPr>
          <w:p w14:paraId="03AA3C82">
            <w:pPr>
              <w:spacing w:line="0" w:lineRule="atLeast"/>
              <w:jc w:val="center"/>
              <w:rPr>
                <w:rFonts w:ascii="宋体" w:hAnsi="宋体" w:cs="宋体"/>
                <w:bCs/>
                <w:color w:val="auto"/>
                <w:szCs w:val="21"/>
                <w:highlight w:val="none"/>
              </w:rPr>
            </w:pPr>
          </w:p>
        </w:tc>
        <w:tc>
          <w:tcPr>
            <w:tcW w:w="1959" w:type="dxa"/>
            <w:vAlign w:val="center"/>
          </w:tcPr>
          <w:p w14:paraId="34DFEA5E">
            <w:pPr>
              <w:spacing w:line="0" w:lineRule="atLeast"/>
              <w:jc w:val="center"/>
              <w:rPr>
                <w:rFonts w:ascii="宋体" w:hAnsi="宋体" w:cs="宋体"/>
                <w:bCs/>
                <w:color w:val="auto"/>
                <w:szCs w:val="21"/>
                <w:highlight w:val="none"/>
              </w:rPr>
            </w:pPr>
          </w:p>
        </w:tc>
        <w:tc>
          <w:tcPr>
            <w:tcW w:w="1908" w:type="dxa"/>
            <w:vAlign w:val="center"/>
          </w:tcPr>
          <w:p w14:paraId="0D2EF942">
            <w:pPr>
              <w:spacing w:line="0" w:lineRule="atLeast"/>
              <w:jc w:val="center"/>
              <w:rPr>
                <w:rFonts w:ascii="宋体" w:hAnsi="宋体" w:cs="宋体"/>
                <w:bCs/>
                <w:color w:val="auto"/>
                <w:szCs w:val="21"/>
                <w:highlight w:val="none"/>
              </w:rPr>
            </w:pPr>
          </w:p>
        </w:tc>
      </w:tr>
      <w:tr w14:paraId="53E6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1DC974EA">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1476" w:type="dxa"/>
            <w:vAlign w:val="center"/>
          </w:tcPr>
          <w:p w14:paraId="54970135">
            <w:pPr>
              <w:spacing w:line="0" w:lineRule="atLeast"/>
              <w:jc w:val="center"/>
              <w:rPr>
                <w:rFonts w:ascii="宋体" w:hAnsi="宋体" w:cs="宋体"/>
                <w:bCs/>
                <w:color w:val="auto"/>
                <w:szCs w:val="21"/>
                <w:highlight w:val="none"/>
              </w:rPr>
            </w:pPr>
          </w:p>
        </w:tc>
        <w:tc>
          <w:tcPr>
            <w:tcW w:w="1130" w:type="dxa"/>
            <w:vAlign w:val="center"/>
          </w:tcPr>
          <w:p w14:paraId="4016440B">
            <w:pPr>
              <w:spacing w:line="0" w:lineRule="atLeast"/>
              <w:jc w:val="center"/>
              <w:rPr>
                <w:rFonts w:ascii="宋体" w:hAnsi="宋体" w:cs="宋体"/>
                <w:bCs/>
                <w:color w:val="auto"/>
                <w:szCs w:val="21"/>
                <w:highlight w:val="none"/>
              </w:rPr>
            </w:pPr>
          </w:p>
        </w:tc>
        <w:tc>
          <w:tcPr>
            <w:tcW w:w="1699" w:type="dxa"/>
            <w:vAlign w:val="center"/>
          </w:tcPr>
          <w:p w14:paraId="313D2227">
            <w:pPr>
              <w:spacing w:line="0" w:lineRule="atLeast"/>
              <w:jc w:val="center"/>
              <w:rPr>
                <w:rFonts w:ascii="宋体" w:hAnsi="宋体" w:cs="宋体"/>
                <w:bCs/>
                <w:color w:val="auto"/>
                <w:szCs w:val="21"/>
                <w:highlight w:val="none"/>
              </w:rPr>
            </w:pPr>
          </w:p>
        </w:tc>
        <w:tc>
          <w:tcPr>
            <w:tcW w:w="1959" w:type="dxa"/>
            <w:vAlign w:val="center"/>
          </w:tcPr>
          <w:p w14:paraId="115408F0">
            <w:pPr>
              <w:spacing w:line="0" w:lineRule="atLeast"/>
              <w:jc w:val="center"/>
              <w:rPr>
                <w:rFonts w:ascii="宋体" w:hAnsi="宋体" w:cs="宋体"/>
                <w:bCs/>
                <w:color w:val="auto"/>
                <w:szCs w:val="21"/>
                <w:highlight w:val="none"/>
              </w:rPr>
            </w:pPr>
          </w:p>
        </w:tc>
        <w:tc>
          <w:tcPr>
            <w:tcW w:w="1908" w:type="dxa"/>
            <w:vAlign w:val="center"/>
          </w:tcPr>
          <w:p w14:paraId="5FE79FB3">
            <w:pPr>
              <w:spacing w:line="0" w:lineRule="atLeast"/>
              <w:jc w:val="center"/>
              <w:rPr>
                <w:rFonts w:ascii="宋体" w:hAnsi="宋体" w:cs="宋体"/>
                <w:bCs/>
                <w:color w:val="auto"/>
                <w:szCs w:val="21"/>
                <w:highlight w:val="none"/>
              </w:rPr>
            </w:pPr>
          </w:p>
        </w:tc>
      </w:tr>
      <w:tr w14:paraId="44AB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4CA02F53">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6</w:t>
            </w:r>
          </w:p>
        </w:tc>
        <w:tc>
          <w:tcPr>
            <w:tcW w:w="1476" w:type="dxa"/>
            <w:vAlign w:val="center"/>
          </w:tcPr>
          <w:p w14:paraId="38446C34">
            <w:pPr>
              <w:spacing w:line="0" w:lineRule="atLeast"/>
              <w:jc w:val="center"/>
              <w:rPr>
                <w:rFonts w:ascii="宋体" w:hAnsi="宋体" w:cs="宋体"/>
                <w:bCs/>
                <w:color w:val="auto"/>
                <w:szCs w:val="21"/>
                <w:highlight w:val="none"/>
              </w:rPr>
            </w:pPr>
          </w:p>
        </w:tc>
        <w:tc>
          <w:tcPr>
            <w:tcW w:w="1130" w:type="dxa"/>
            <w:vAlign w:val="center"/>
          </w:tcPr>
          <w:p w14:paraId="33F7D3B1">
            <w:pPr>
              <w:spacing w:line="0" w:lineRule="atLeast"/>
              <w:jc w:val="center"/>
              <w:rPr>
                <w:rFonts w:ascii="宋体" w:hAnsi="宋体" w:cs="宋体"/>
                <w:bCs/>
                <w:color w:val="auto"/>
                <w:szCs w:val="21"/>
                <w:highlight w:val="none"/>
              </w:rPr>
            </w:pPr>
          </w:p>
        </w:tc>
        <w:tc>
          <w:tcPr>
            <w:tcW w:w="1699" w:type="dxa"/>
            <w:vAlign w:val="center"/>
          </w:tcPr>
          <w:p w14:paraId="45810E1C">
            <w:pPr>
              <w:spacing w:line="0" w:lineRule="atLeast"/>
              <w:jc w:val="center"/>
              <w:rPr>
                <w:rFonts w:ascii="宋体" w:hAnsi="宋体" w:cs="宋体"/>
                <w:bCs/>
                <w:color w:val="auto"/>
                <w:szCs w:val="21"/>
                <w:highlight w:val="none"/>
              </w:rPr>
            </w:pPr>
          </w:p>
        </w:tc>
        <w:tc>
          <w:tcPr>
            <w:tcW w:w="1959" w:type="dxa"/>
            <w:vAlign w:val="center"/>
          </w:tcPr>
          <w:p w14:paraId="030715BA">
            <w:pPr>
              <w:spacing w:line="0" w:lineRule="atLeast"/>
              <w:jc w:val="center"/>
              <w:rPr>
                <w:rFonts w:ascii="宋体" w:hAnsi="宋体" w:cs="宋体"/>
                <w:bCs/>
                <w:color w:val="auto"/>
                <w:szCs w:val="21"/>
                <w:highlight w:val="none"/>
              </w:rPr>
            </w:pPr>
          </w:p>
        </w:tc>
        <w:tc>
          <w:tcPr>
            <w:tcW w:w="1908" w:type="dxa"/>
            <w:vAlign w:val="center"/>
          </w:tcPr>
          <w:p w14:paraId="41D933F9">
            <w:pPr>
              <w:spacing w:line="0" w:lineRule="atLeast"/>
              <w:jc w:val="center"/>
              <w:rPr>
                <w:rFonts w:ascii="宋体" w:hAnsi="宋体" w:cs="宋体"/>
                <w:bCs/>
                <w:color w:val="auto"/>
                <w:szCs w:val="21"/>
                <w:highlight w:val="none"/>
              </w:rPr>
            </w:pPr>
          </w:p>
        </w:tc>
      </w:tr>
      <w:tr w14:paraId="2943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0778F369">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7</w:t>
            </w:r>
          </w:p>
        </w:tc>
        <w:tc>
          <w:tcPr>
            <w:tcW w:w="1476" w:type="dxa"/>
            <w:vAlign w:val="center"/>
          </w:tcPr>
          <w:p w14:paraId="461EC7EE">
            <w:pPr>
              <w:spacing w:line="0" w:lineRule="atLeast"/>
              <w:jc w:val="center"/>
              <w:rPr>
                <w:rFonts w:ascii="宋体" w:hAnsi="宋体" w:cs="宋体"/>
                <w:bCs/>
                <w:color w:val="auto"/>
                <w:szCs w:val="21"/>
                <w:highlight w:val="none"/>
              </w:rPr>
            </w:pPr>
          </w:p>
        </w:tc>
        <w:tc>
          <w:tcPr>
            <w:tcW w:w="1130" w:type="dxa"/>
            <w:vAlign w:val="center"/>
          </w:tcPr>
          <w:p w14:paraId="25E8C590">
            <w:pPr>
              <w:spacing w:line="0" w:lineRule="atLeast"/>
              <w:jc w:val="center"/>
              <w:rPr>
                <w:rFonts w:ascii="宋体" w:hAnsi="宋体" w:cs="宋体"/>
                <w:bCs/>
                <w:color w:val="auto"/>
                <w:szCs w:val="21"/>
                <w:highlight w:val="none"/>
              </w:rPr>
            </w:pPr>
          </w:p>
        </w:tc>
        <w:tc>
          <w:tcPr>
            <w:tcW w:w="1699" w:type="dxa"/>
            <w:vAlign w:val="center"/>
          </w:tcPr>
          <w:p w14:paraId="6DEFDF74">
            <w:pPr>
              <w:spacing w:line="0" w:lineRule="atLeast"/>
              <w:jc w:val="center"/>
              <w:rPr>
                <w:rFonts w:ascii="宋体" w:hAnsi="宋体" w:cs="宋体"/>
                <w:bCs/>
                <w:color w:val="auto"/>
                <w:szCs w:val="21"/>
                <w:highlight w:val="none"/>
              </w:rPr>
            </w:pPr>
          </w:p>
        </w:tc>
        <w:tc>
          <w:tcPr>
            <w:tcW w:w="1959" w:type="dxa"/>
            <w:vAlign w:val="center"/>
          </w:tcPr>
          <w:p w14:paraId="265C638C">
            <w:pPr>
              <w:spacing w:line="0" w:lineRule="atLeast"/>
              <w:jc w:val="center"/>
              <w:rPr>
                <w:rFonts w:ascii="宋体" w:hAnsi="宋体" w:cs="宋体"/>
                <w:bCs/>
                <w:color w:val="auto"/>
                <w:szCs w:val="21"/>
                <w:highlight w:val="none"/>
              </w:rPr>
            </w:pPr>
          </w:p>
        </w:tc>
        <w:tc>
          <w:tcPr>
            <w:tcW w:w="1908" w:type="dxa"/>
            <w:vAlign w:val="center"/>
          </w:tcPr>
          <w:p w14:paraId="4163B5D2">
            <w:pPr>
              <w:spacing w:line="0" w:lineRule="atLeast"/>
              <w:jc w:val="center"/>
              <w:rPr>
                <w:rFonts w:ascii="宋体" w:hAnsi="宋体" w:cs="宋体"/>
                <w:bCs/>
                <w:color w:val="auto"/>
                <w:szCs w:val="21"/>
                <w:highlight w:val="none"/>
              </w:rPr>
            </w:pPr>
          </w:p>
        </w:tc>
      </w:tr>
      <w:tr w14:paraId="75F1E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87" w:type="dxa"/>
            <w:vAlign w:val="center"/>
          </w:tcPr>
          <w:p w14:paraId="0BCEDB59">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8</w:t>
            </w:r>
          </w:p>
        </w:tc>
        <w:tc>
          <w:tcPr>
            <w:tcW w:w="1476" w:type="dxa"/>
            <w:vAlign w:val="center"/>
          </w:tcPr>
          <w:p w14:paraId="19C192E4">
            <w:pPr>
              <w:spacing w:line="0" w:lineRule="atLeast"/>
              <w:jc w:val="center"/>
              <w:rPr>
                <w:rFonts w:ascii="宋体" w:hAnsi="宋体" w:cs="宋体"/>
                <w:bCs/>
                <w:color w:val="auto"/>
                <w:szCs w:val="21"/>
                <w:highlight w:val="none"/>
              </w:rPr>
            </w:pPr>
          </w:p>
        </w:tc>
        <w:tc>
          <w:tcPr>
            <w:tcW w:w="1130" w:type="dxa"/>
            <w:vAlign w:val="center"/>
          </w:tcPr>
          <w:p w14:paraId="322CF917">
            <w:pPr>
              <w:spacing w:line="0" w:lineRule="atLeast"/>
              <w:jc w:val="center"/>
              <w:rPr>
                <w:rFonts w:ascii="宋体" w:hAnsi="宋体" w:cs="宋体"/>
                <w:bCs/>
                <w:color w:val="auto"/>
                <w:szCs w:val="21"/>
                <w:highlight w:val="none"/>
              </w:rPr>
            </w:pPr>
          </w:p>
        </w:tc>
        <w:tc>
          <w:tcPr>
            <w:tcW w:w="1699" w:type="dxa"/>
            <w:vAlign w:val="center"/>
          </w:tcPr>
          <w:p w14:paraId="025CAD0B">
            <w:pPr>
              <w:spacing w:line="0" w:lineRule="atLeast"/>
              <w:jc w:val="center"/>
              <w:rPr>
                <w:rFonts w:ascii="宋体" w:hAnsi="宋体" w:cs="宋体"/>
                <w:bCs/>
                <w:color w:val="auto"/>
                <w:szCs w:val="21"/>
                <w:highlight w:val="none"/>
              </w:rPr>
            </w:pPr>
          </w:p>
        </w:tc>
        <w:tc>
          <w:tcPr>
            <w:tcW w:w="1959" w:type="dxa"/>
            <w:vAlign w:val="center"/>
          </w:tcPr>
          <w:p w14:paraId="38672FA0">
            <w:pPr>
              <w:spacing w:line="0" w:lineRule="atLeast"/>
              <w:jc w:val="center"/>
              <w:rPr>
                <w:rFonts w:ascii="宋体" w:hAnsi="宋体" w:cs="宋体"/>
                <w:bCs/>
                <w:color w:val="auto"/>
                <w:szCs w:val="21"/>
                <w:highlight w:val="none"/>
              </w:rPr>
            </w:pPr>
          </w:p>
        </w:tc>
        <w:tc>
          <w:tcPr>
            <w:tcW w:w="1908" w:type="dxa"/>
            <w:vAlign w:val="center"/>
          </w:tcPr>
          <w:p w14:paraId="699AE28B">
            <w:pPr>
              <w:spacing w:line="0" w:lineRule="atLeast"/>
              <w:jc w:val="center"/>
              <w:rPr>
                <w:rFonts w:ascii="宋体" w:hAnsi="宋体" w:cs="宋体"/>
                <w:bCs/>
                <w:color w:val="auto"/>
                <w:szCs w:val="21"/>
                <w:highlight w:val="none"/>
              </w:rPr>
            </w:pPr>
          </w:p>
        </w:tc>
      </w:tr>
      <w:tr w14:paraId="6EFF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5B79508E">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9</w:t>
            </w:r>
          </w:p>
        </w:tc>
        <w:tc>
          <w:tcPr>
            <w:tcW w:w="1476" w:type="dxa"/>
            <w:vAlign w:val="center"/>
          </w:tcPr>
          <w:p w14:paraId="581436F8">
            <w:pPr>
              <w:spacing w:line="0" w:lineRule="atLeast"/>
              <w:jc w:val="center"/>
              <w:rPr>
                <w:rFonts w:ascii="宋体" w:hAnsi="宋体" w:cs="宋体"/>
                <w:bCs/>
                <w:color w:val="auto"/>
                <w:szCs w:val="21"/>
                <w:highlight w:val="none"/>
              </w:rPr>
            </w:pPr>
          </w:p>
        </w:tc>
        <w:tc>
          <w:tcPr>
            <w:tcW w:w="1130" w:type="dxa"/>
            <w:vAlign w:val="center"/>
          </w:tcPr>
          <w:p w14:paraId="1A8DAAB4">
            <w:pPr>
              <w:spacing w:line="0" w:lineRule="atLeast"/>
              <w:jc w:val="center"/>
              <w:rPr>
                <w:rFonts w:ascii="宋体" w:hAnsi="宋体" w:cs="宋体"/>
                <w:bCs/>
                <w:color w:val="auto"/>
                <w:szCs w:val="21"/>
                <w:highlight w:val="none"/>
              </w:rPr>
            </w:pPr>
          </w:p>
        </w:tc>
        <w:tc>
          <w:tcPr>
            <w:tcW w:w="1699" w:type="dxa"/>
            <w:vAlign w:val="center"/>
          </w:tcPr>
          <w:p w14:paraId="47DA705D">
            <w:pPr>
              <w:spacing w:line="0" w:lineRule="atLeast"/>
              <w:jc w:val="center"/>
              <w:rPr>
                <w:rFonts w:ascii="宋体" w:hAnsi="宋体" w:cs="宋体"/>
                <w:bCs/>
                <w:color w:val="auto"/>
                <w:szCs w:val="21"/>
                <w:highlight w:val="none"/>
              </w:rPr>
            </w:pPr>
          </w:p>
        </w:tc>
        <w:tc>
          <w:tcPr>
            <w:tcW w:w="1959" w:type="dxa"/>
            <w:vAlign w:val="center"/>
          </w:tcPr>
          <w:p w14:paraId="221589BC">
            <w:pPr>
              <w:spacing w:line="0" w:lineRule="atLeast"/>
              <w:jc w:val="center"/>
              <w:rPr>
                <w:rFonts w:ascii="宋体" w:hAnsi="宋体" w:cs="宋体"/>
                <w:bCs/>
                <w:color w:val="auto"/>
                <w:szCs w:val="21"/>
                <w:highlight w:val="none"/>
              </w:rPr>
            </w:pPr>
          </w:p>
        </w:tc>
        <w:tc>
          <w:tcPr>
            <w:tcW w:w="1908" w:type="dxa"/>
            <w:vAlign w:val="center"/>
          </w:tcPr>
          <w:p w14:paraId="2F51C4FE">
            <w:pPr>
              <w:spacing w:line="0" w:lineRule="atLeast"/>
              <w:jc w:val="center"/>
              <w:rPr>
                <w:rFonts w:ascii="宋体" w:hAnsi="宋体" w:cs="宋体"/>
                <w:bCs/>
                <w:color w:val="auto"/>
                <w:szCs w:val="21"/>
                <w:highlight w:val="none"/>
              </w:rPr>
            </w:pPr>
          </w:p>
        </w:tc>
      </w:tr>
      <w:tr w14:paraId="0AB0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4B94F752">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476" w:type="dxa"/>
            <w:vAlign w:val="center"/>
          </w:tcPr>
          <w:p w14:paraId="2CE0DABC">
            <w:pPr>
              <w:spacing w:line="0" w:lineRule="atLeast"/>
              <w:jc w:val="center"/>
              <w:rPr>
                <w:rFonts w:ascii="宋体" w:hAnsi="宋体" w:cs="宋体"/>
                <w:bCs/>
                <w:color w:val="auto"/>
                <w:szCs w:val="21"/>
                <w:highlight w:val="none"/>
              </w:rPr>
            </w:pPr>
          </w:p>
        </w:tc>
        <w:tc>
          <w:tcPr>
            <w:tcW w:w="1130" w:type="dxa"/>
            <w:vAlign w:val="center"/>
          </w:tcPr>
          <w:p w14:paraId="49341EE3">
            <w:pPr>
              <w:spacing w:line="0" w:lineRule="atLeast"/>
              <w:jc w:val="center"/>
              <w:rPr>
                <w:rFonts w:ascii="宋体" w:hAnsi="宋体" w:cs="宋体"/>
                <w:bCs/>
                <w:color w:val="auto"/>
                <w:szCs w:val="21"/>
                <w:highlight w:val="none"/>
              </w:rPr>
            </w:pPr>
          </w:p>
        </w:tc>
        <w:tc>
          <w:tcPr>
            <w:tcW w:w="1699" w:type="dxa"/>
            <w:vAlign w:val="center"/>
          </w:tcPr>
          <w:p w14:paraId="6F91B3F8">
            <w:pPr>
              <w:spacing w:line="0" w:lineRule="atLeast"/>
              <w:jc w:val="center"/>
              <w:rPr>
                <w:rFonts w:ascii="宋体" w:hAnsi="宋体" w:cs="宋体"/>
                <w:bCs/>
                <w:color w:val="auto"/>
                <w:szCs w:val="21"/>
                <w:highlight w:val="none"/>
              </w:rPr>
            </w:pPr>
          </w:p>
        </w:tc>
        <w:tc>
          <w:tcPr>
            <w:tcW w:w="1959" w:type="dxa"/>
            <w:vAlign w:val="center"/>
          </w:tcPr>
          <w:p w14:paraId="43B21233">
            <w:pPr>
              <w:spacing w:line="0" w:lineRule="atLeast"/>
              <w:jc w:val="center"/>
              <w:rPr>
                <w:rFonts w:ascii="宋体" w:hAnsi="宋体" w:cs="宋体"/>
                <w:bCs/>
                <w:color w:val="auto"/>
                <w:szCs w:val="21"/>
                <w:highlight w:val="none"/>
              </w:rPr>
            </w:pPr>
          </w:p>
        </w:tc>
        <w:tc>
          <w:tcPr>
            <w:tcW w:w="1908" w:type="dxa"/>
            <w:vAlign w:val="center"/>
          </w:tcPr>
          <w:p w14:paraId="217117F4">
            <w:pPr>
              <w:spacing w:line="0" w:lineRule="atLeast"/>
              <w:jc w:val="center"/>
              <w:rPr>
                <w:rFonts w:ascii="宋体" w:hAnsi="宋体" w:cs="宋体"/>
                <w:bCs/>
                <w:color w:val="auto"/>
                <w:szCs w:val="21"/>
                <w:highlight w:val="none"/>
              </w:rPr>
            </w:pPr>
          </w:p>
        </w:tc>
      </w:tr>
      <w:tr w14:paraId="6B59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38198DF0">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11</w:t>
            </w:r>
          </w:p>
        </w:tc>
        <w:tc>
          <w:tcPr>
            <w:tcW w:w="1476" w:type="dxa"/>
            <w:vAlign w:val="center"/>
          </w:tcPr>
          <w:p w14:paraId="4766FF9D">
            <w:pPr>
              <w:spacing w:line="0" w:lineRule="atLeast"/>
              <w:jc w:val="center"/>
              <w:rPr>
                <w:rFonts w:ascii="宋体" w:hAnsi="宋体" w:cs="宋体"/>
                <w:bCs/>
                <w:color w:val="auto"/>
                <w:szCs w:val="21"/>
                <w:highlight w:val="none"/>
              </w:rPr>
            </w:pPr>
          </w:p>
        </w:tc>
        <w:tc>
          <w:tcPr>
            <w:tcW w:w="1130" w:type="dxa"/>
            <w:vAlign w:val="center"/>
          </w:tcPr>
          <w:p w14:paraId="5568F231">
            <w:pPr>
              <w:spacing w:line="0" w:lineRule="atLeast"/>
              <w:jc w:val="center"/>
              <w:rPr>
                <w:rFonts w:ascii="宋体" w:hAnsi="宋体" w:cs="宋体"/>
                <w:bCs/>
                <w:color w:val="auto"/>
                <w:szCs w:val="21"/>
                <w:highlight w:val="none"/>
              </w:rPr>
            </w:pPr>
          </w:p>
        </w:tc>
        <w:tc>
          <w:tcPr>
            <w:tcW w:w="1699" w:type="dxa"/>
            <w:vAlign w:val="center"/>
          </w:tcPr>
          <w:p w14:paraId="36201892">
            <w:pPr>
              <w:spacing w:line="0" w:lineRule="atLeast"/>
              <w:jc w:val="center"/>
              <w:rPr>
                <w:rFonts w:ascii="宋体" w:hAnsi="宋体" w:cs="宋体"/>
                <w:bCs/>
                <w:color w:val="auto"/>
                <w:szCs w:val="21"/>
                <w:highlight w:val="none"/>
              </w:rPr>
            </w:pPr>
          </w:p>
        </w:tc>
        <w:tc>
          <w:tcPr>
            <w:tcW w:w="1959" w:type="dxa"/>
            <w:vAlign w:val="center"/>
          </w:tcPr>
          <w:p w14:paraId="085B598E">
            <w:pPr>
              <w:spacing w:line="0" w:lineRule="atLeast"/>
              <w:jc w:val="center"/>
              <w:rPr>
                <w:rFonts w:ascii="宋体" w:hAnsi="宋体" w:cs="宋体"/>
                <w:bCs/>
                <w:color w:val="auto"/>
                <w:szCs w:val="21"/>
                <w:highlight w:val="none"/>
              </w:rPr>
            </w:pPr>
          </w:p>
        </w:tc>
        <w:tc>
          <w:tcPr>
            <w:tcW w:w="1908" w:type="dxa"/>
            <w:vAlign w:val="center"/>
          </w:tcPr>
          <w:p w14:paraId="33875F20">
            <w:pPr>
              <w:spacing w:line="0" w:lineRule="atLeast"/>
              <w:jc w:val="center"/>
              <w:rPr>
                <w:rFonts w:ascii="宋体" w:hAnsi="宋体" w:cs="宋体"/>
                <w:bCs/>
                <w:color w:val="auto"/>
                <w:szCs w:val="21"/>
                <w:highlight w:val="none"/>
              </w:rPr>
            </w:pPr>
          </w:p>
        </w:tc>
      </w:tr>
      <w:tr w14:paraId="5926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tcPr>
          <w:p w14:paraId="52675D75">
            <w:pPr>
              <w:spacing w:line="0" w:lineRule="atLeast"/>
              <w:jc w:val="center"/>
              <w:rPr>
                <w:rFonts w:ascii="宋体" w:hAnsi="宋体" w:cs="宋体"/>
                <w:bCs/>
                <w:color w:val="auto"/>
                <w:szCs w:val="21"/>
                <w:highlight w:val="none"/>
              </w:rPr>
            </w:pPr>
          </w:p>
          <w:p w14:paraId="627944D1">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1476" w:type="dxa"/>
            <w:vAlign w:val="center"/>
          </w:tcPr>
          <w:p w14:paraId="6151F4AB">
            <w:pPr>
              <w:spacing w:line="0" w:lineRule="atLeast"/>
              <w:jc w:val="center"/>
              <w:rPr>
                <w:rFonts w:ascii="宋体" w:hAnsi="宋体" w:cs="宋体"/>
                <w:bCs/>
                <w:color w:val="auto"/>
                <w:szCs w:val="21"/>
                <w:highlight w:val="none"/>
              </w:rPr>
            </w:pPr>
          </w:p>
        </w:tc>
        <w:tc>
          <w:tcPr>
            <w:tcW w:w="1130" w:type="dxa"/>
            <w:vAlign w:val="center"/>
          </w:tcPr>
          <w:p w14:paraId="20242FCC">
            <w:pPr>
              <w:spacing w:line="0" w:lineRule="atLeast"/>
              <w:jc w:val="center"/>
              <w:rPr>
                <w:rFonts w:ascii="宋体" w:hAnsi="宋体" w:cs="宋体"/>
                <w:bCs/>
                <w:color w:val="auto"/>
                <w:szCs w:val="21"/>
                <w:highlight w:val="none"/>
              </w:rPr>
            </w:pPr>
          </w:p>
        </w:tc>
        <w:tc>
          <w:tcPr>
            <w:tcW w:w="1699" w:type="dxa"/>
            <w:vAlign w:val="center"/>
          </w:tcPr>
          <w:p w14:paraId="274A5943">
            <w:pPr>
              <w:spacing w:line="0" w:lineRule="atLeast"/>
              <w:jc w:val="center"/>
              <w:rPr>
                <w:rFonts w:ascii="宋体" w:hAnsi="宋体" w:cs="宋体"/>
                <w:bCs/>
                <w:color w:val="auto"/>
                <w:szCs w:val="21"/>
                <w:highlight w:val="none"/>
              </w:rPr>
            </w:pPr>
          </w:p>
        </w:tc>
        <w:tc>
          <w:tcPr>
            <w:tcW w:w="1959" w:type="dxa"/>
            <w:vAlign w:val="center"/>
          </w:tcPr>
          <w:p w14:paraId="6A4F22FF">
            <w:pPr>
              <w:spacing w:line="0" w:lineRule="atLeast"/>
              <w:jc w:val="center"/>
              <w:rPr>
                <w:rFonts w:ascii="宋体" w:hAnsi="宋体" w:cs="宋体"/>
                <w:bCs/>
                <w:color w:val="auto"/>
                <w:szCs w:val="21"/>
                <w:highlight w:val="none"/>
              </w:rPr>
            </w:pPr>
          </w:p>
        </w:tc>
        <w:tc>
          <w:tcPr>
            <w:tcW w:w="1908" w:type="dxa"/>
            <w:vAlign w:val="center"/>
          </w:tcPr>
          <w:p w14:paraId="78FE91A9">
            <w:pPr>
              <w:spacing w:line="0" w:lineRule="atLeast"/>
              <w:jc w:val="center"/>
              <w:rPr>
                <w:rFonts w:ascii="宋体" w:hAnsi="宋体" w:cs="宋体"/>
                <w:bCs/>
                <w:color w:val="auto"/>
                <w:szCs w:val="21"/>
                <w:highlight w:val="none"/>
              </w:rPr>
            </w:pPr>
          </w:p>
        </w:tc>
      </w:tr>
      <w:tr w14:paraId="3B2D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787" w:type="dxa"/>
            <w:vAlign w:val="center"/>
          </w:tcPr>
          <w:p w14:paraId="47128D8E">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13</w:t>
            </w:r>
          </w:p>
        </w:tc>
        <w:tc>
          <w:tcPr>
            <w:tcW w:w="1476" w:type="dxa"/>
            <w:vAlign w:val="center"/>
          </w:tcPr>
          <w:p w14:paraId="2DCD59E7">
            <w:pPr>
              <w:spacing w:line="0" w:lineRule="atLeast"/>
              <w:jc w:val="center"/>
              <w:rPr>
                <w:rFonts w:ascii="宋体" w:hAnsi="宋体" w:cs="宋体"/>
                <w:bCs/>
                <w:color w:val="auto"/>
                <w:szCs w:val="21"/>
                <w:highlight w:val="none"/>
              </w:rPr>
            </w:pPr>
          </w:p>
        </w:tc>
        <w:tc>
          <w:tcPr>
            <w:tcW w:w="1130" w:type="dxa"/>
            <w:vAlign w:val="center"/>
          </w:tcPr>
          <w:p w14:paraId="39FEBA2D">
            <w:pPr>
              <w:spacing w:line="0" w:lineRule="atLeast"/>
              <w:jc w:val="center"/>
              <w:rPr>
                <w:rFonts w:ascii="宋体" w:hAnsi="宋体" w:cs="宋体"/>
                <w:bCs/>
                <w:color w:val="auto"/>
                <w:szCs w:val="21"/>
                <w:highlight w:val="none"/>
              </w:rPr>
            </w:pPr>
          </w:p>
        </w:tc>
        <w:tc>
          <w:tcPr>
            <w:tcW w:w="1699" w:type="dxa"/>
            <w:vAlign w:val="center"/>
          </w:tcPr>
          <w:p w14:paraId="7C392038">
            <w:pPr>
              <w:spacing w:line="0" w:lineRule="atLeast"/>
              <w:jc w:val="center"/>
              <w:rPr>
                <w:rFonts w:ascii="宋体" w:hAnsi="宋体" w:cs="宋体"/>
                <w:bCs/>
                <w:color w:val="auto"/>
                <w:szCs w:val="21"/>
                <w:highlight w:val="none"/>
              </w:rPr>
            </w:pPr>
          </w:p>
        </w:tc>
        <w:tc>
          <w:tcPr>
            <w:tcW w:w="1959" w:type="dxa"/>
            <w:vAlign w:val="center"/>
          </w:tcPr>
          <w:p w14:paraId="3695F650">
            <w:pPr>
              <w:spacing w:line="0" w:lineRule="atLeast"/>
              <w:jc w:val="center"/>
              <w:rPr>
                <w:rFonts w:ascii="宋体" w:hAnsi="宋体" w:cs="宋体"/>
                <w:bCs/>
                <w:color w:val="auto"/>
                <w:szCs w:val="21"/>
                <w:highlight w:val="none"/>
              </w:rPr>
            </w:pPr>
          </w:p>
        </w:tc>
        <w:tc>
          <w:tcPr>
            <w:tcW w:w="1908" w:type="dxa"/>
            <w:vAlign w:val="center"/>
          </w:tcPr>
          <w:p w14:paraId="3217192E">
            <w:pPr>
              <w:spacing w:line="0" w:lineRule="atLeast"/>
              <w:jc w:val="center"/>
              <w:rPr>
                <w:rFonts w:ascii="宋体" w:hAnsi="宋体" w:cs="宋体"/>
                <w:bCs/>
                <w:color w:val="auto"/>
                <w:szCs w:val="21"/>
                <w:highlight w:val="none"/>
              </w:rPr>
            </w:pPr>
          </w:p>
        </w:tc>
      </w:tr>
      <w:tr w14:paraId="2A50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87" w:type="dxa"/>
            <w:vAlign w:val="center"/>
          </w:tcPr>
          <w:p w14:paraId="65AF95B3">
            <w:pPr>
              <w:spacing w:line="0" w:lineRule="atLeast"/>
              <w:jc w:val="center"/>
              <w:rPr>
                <w:rFonts w:ascii="宋体" w:hAnsi="宋体" w:cs="宋体"/>
                <w:bCs/>
                <w:color w:val="auto"/>
                <w:szCs w:val="21"/>
                <w:highlight w:val="none"/>
              </w:rPr>
            </w:pPr>
            <w:r>
              <w:rPr>
                <w:rFonts w:hint="eastAsia" w:ascii="宋体" w:hAnsi="宋体" w:cs="宋体"/>
                <w:bCs/>
                <w:color w:val="auto"/>
                <w:szCs w:val="21"/>
                <w:highlight w:val="none"/>
              </w:rPr>
              <w:t>…</w:t>
            </w:r>
          </w:p>
        </w:tc>
        <w:tc>
          <w:tcPr>
            <w:tcW w:w="1476" w:type="dxa"/>
            <w:vAlign w:val="center"/>
          </w:tcPr>
          <w:p w14:paraId="1C0ED117">
            <w:pPr>
              <w:spacing w:line="0" w:lineRule="atLeast"/>
              <w:jc w:val="center"/>
              <w:rPr>
                <w:rFonts w:ascii="宋体" w:hAnsi="宋体" w:cs="宋体"/>
                <w:bCs/>
                <w:color w:val="auto"/>
                <w:szCs w:val="21"/>
                <w:highlight w:val="none"/>
              </w:rPr>
            </w:pPr>
          </w:p>
        </w:tc>
        <w:tc>
          <w:tcPr>
            <w:tcW w:w="1130" w:type="dxa"/>
            <w:vAlign w:val="center"/>
          </w:tcPr>
          <w:p w14:paraId="7F7829C1">
            <w:pPr>
              <w:spacing w:line="0" w:lineRule="atLeast"/>
              <w:jc w:val="center"/>
              <w:rPr>
                <w:rFonts w:ascii="宋体" w:hAnsi="宋体" w:cs="宋体"/>
                <w:bCs/>
                <w:color w:val="auto"/>
                <w:szCs w:val="21"/>
                <w:highlight w:val="none"/>
              </w:rPr>
            </w:pPr>
          </w:p>
        </w:tc>
        <w:tc>
          <w:tcPr>
            <w:tcW w:w="1699" w:type="dxa"/>
            <w:vAlign w:val="center"/>
          </w:tcPr>
          <w:p w14:paraId="3FE6DF7A">
            <w:pPr>
              <w:spacing w:line="0" w:lineRule="atLeast"/>
              <w:jc w:val="center"/>
              <w:rPr>
                <w:rFonts w:ascii="宋体" w:hAnsi="宋体" w:cs="宋体"/>
                <w:bCs/>
                <w:color w:val="auto"/>
                <w:szCs w:val="21"/>
                <w:highlight w:val="none"/>
              </w:rPr>
            </w:pPr>
          </w:p>
        </w:tc>
        <w:tc>
          <w:tcPr>
            <w:tcW w:w="1959" w:type="dxa"/>
            <w:vAlign w:val="center"/>
          </w:tcPr>
          <w:p w14:paraId="171829A8">
            <w:pPr>
              <w:spacing w:line="0" w:lineRule="atLeast"/>
              <w:jc w:val="center"/>
              <w:rPr>
                <w:rFonts w:ascii="宋体" w:hAnsi="宋体" w:cs="宋体"/>
                <w:bCs/>
                <w:color w:val="auto"/>
                <w:szCs w:val="21"/>
                <w:highlight w:val="none"/>
              </w:rPr>
            </w:pPr>
          </w:p>
        </w:tc>
        <w:tc>
          <w:tcPr>
            <w:tcW w:w="1908" w:type="dxa"/>
            <w:vAlign w:val="center"/>
          </w:tcPr>
          <w:p w14:paraId="1502DFCF">
            <w:pPr>
              <w:spacing w:line="0" w:lineRule="atLeast"/>
              <w:jc w:val="center"/>
              <w:rPr>
                <w:rFonts w:ascii="宋体" w:hAnsi="宋体" w:cs="宋体"/>
                <w:bCs/>
                <w:color w:val="auto"/>
                <w:szCs w:val="21"/>
                <w:highlight w:val="none"/>
              </w:rPr>
            </w:pPr>
          </w:p>
        </w:tc>
      </w:tr>
    </w:tbl>
    <w:p w14:paraId="795BC990">
      <w:pPr>
        <w:spacing w:line="400" w:lineRule="exact"/>
        <w:rPr>
          <w:rFonts w:ascii="宋体" w:hAnsi="宋体" w:cs="宋体"/>
          <w:color w:val="auto"/>
          <w:szCs w:val="21"/>
          <w:highlight w:val="none"/>
        </w:rPr>
      </w:pPr>
    </w:p>
    <w:p w14:paraId="51509E4F">
      <w:pPr>
        <w:spacing w:line="400" w:lineRule="exact"/>
        <w:jc w:val="left"/>
        <w:rPr>
          <w:rFonts w:ascii="宋体" w:hAnsi="宋体" w:cs="宋体"/>
          <w:color w:val="auto"/>
          <w:sz w:val="24"/>
          <w:highlight w:val="none"/>
        </w:rPr>
      </w:pPr>
      <w:r>
        <w:rPr>
          <w:rFonts w:hint="eastAsia" w:ascii="宋体" w:hAnsi="宋体" w:cs="宋体"/>
          <w:color w:val="auto"/>
          <w:sz w:val="24"/>
          <w:highlight w:val="none"/>
        </w:rPr>
        <w:t>注：1.在填写时，如本表格不适合磋商单位的实际情况，</w:t>
      </w:r>
      <w:r>
        <w:rPr>
          <w:rFonts w:hint="eastAsia" w:ascii="宋体" w:hAnsi="宋体" w:cs="宋体"/>
          <w:b/>
          <w:bCs/>
          <w:color w:val="auto"/>
          <w:sz w:val="24"/>
          <w:highlight w:val="none"/>
        </w:rPr>
        <w:t>可根据本表格式自行制表填写。</w:t>
      </w:r>
    </w:p>
    <w:p w14:paraId="1CD6266D">
      <w:pPr>
        <w:snapToGrid w:val="0"/>
        <w:spacing w:before="156" w:beforeLines="50" w:after="50"/>
        <w:jc w:val="left"/>
        <w:rPr>
          <w:rFonts w:ascii="宋体" w:hAnsi="宋体" w:cs="宋体"/>
          <w:b/>
          <w:bCs/>
          <w:color w:val="auto"/>
          <w:sz w:val="24"/>
          <w:highlight w:val="none"/>
        </w:rPr>
      </w:pPr>
      <w:r>
        <w:rPr>
          <w:rFonts w:hint="eastAsia" w:ascii="宋体" w:hAnsi="宋体" w:cs="宋体"/>
          <w:color w:val="auto"/>
          <w:sz w:val="24"/>
          <w:highlight w:val="none"/>
        </w:rPr>
        <w:t>2.提供人员的身份证、职称证或资格证复件件及由社保经办机构出具的供应商为拟投入人员2025年1月至2025年3月内任意1个月交纳的社保证明复印件</w:t>
      </w:r>
    </w:p>
    <w:p w14:paraId="5E8CE263">
      <w:pPr>
        <w:snapToGrid w:val="0"/>
        <w:spacing w:before="156" w:beforeLines="50" w:after="50"/>
        <w:jc w:val="center"/>
        <w:rPr>
          <w:rFonts w:ascii="宋体" w:hAnsi="宋体" w:cs="宋体"/>
          <w:b/>
          <w:bCs/>
          <w:color w:val="auto"/>
          <w:sz w:val="36"/>
          <w:szCs w:val="36"/>
          <w:highlight w:val="none"/>
        </w:rPr>
      </w:pPr>
    </w:p>
    <w:p w14:paraId="5DD5D20B">
      <w:pPr>
        <w:snapToGrid w:val="0"/>
        <w:spacing w:before="50" w:after="50" w:line="360" w:lineRule="auto"/>
        <w:ind w:right="-817" w:rightChars="-389" w:firstLine="2160" w:firstLineChars="900"/>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法定代表人或者委托代理人（签字或签章）：                    </w:t>
      </w:r>
    </w:p>
    <w:p w14:paraId="6EE7E748">
      <w:pPr>
        <w:snapToGrid w:val="0"/>
        <w:spacing w:before="50" w:after="50" w:line="360" w:lineRule="auto"/>
        <w:ind w:right="-817" w:rightChars="-389" w:firstLine="2640" w:firstLineChars="1100"/>
        <w:rPr>
          <w:rFonts w:ascii="宋体" w:hAnsi="宋体" w:cs="宋体"/>
          <w:color w:val="auto"/>
          <w:sz w:val="24"/>
          <w:highlight w:val="none"/>
        </w:rPr>
      </w:pPr>
      <w:r>
        <w:rPr>
          <w:rFonts w:hint="eastAsia" w:ascii="宋体" w:hAnsi="宋体" w:cs="宋体"/>
          <w:color w:val="auto"/>
          <w:sz w:val="24"/>
          <w:highlight w:val="none"/>
        </w:rPr>
        <w:t xml:space="preserve">供应商（盖公章或电子签章）：      </w:t>
      </w:r>
    </w:p>
    <w:p w14:paraId="51A09597">
      <w:pPr>
        <w:snapToGrid w:val="0"/>
        <w:spacing w:before="156" w:beforeLines="50" w:after="50"/>
        <w:jc w:val="center"/>
        <w:rPr>
          <w:rFonts w:ascii="宋体" w:hAnsi="宋体" w:cs="宋体"/>
          <w:b/>
          <w:bCs/>
          <w:color w:val="auto"/>
          <w:sz w:val="36"/>
          <w:szCs w:val="36"/>
          <w:highlight w:val="none"/>
        </w:rPr>
      </w:pPr>
      <w:r>
        <w:rPr>
          <w:rFonts w:hint="eastAsia" w:ascii="宋体" w:hAnsi="宋体" w:cs="宋体"/>
          <w:color w:val="auto"/>
          <w:sz w:val="24"/>
          <w:highlight w:val="none"/>
        </w:rPr>
        <w:t>日期：   年   月   日</w:t>
      </w:r>
    </w:p>
    <w:p w14:paraId="18979301">
      <w:pPr>
        <w:snapToGrid w:val="0"/>
        <w:spacing w:before="156" w:beforeLines="50" w:after="50"/>
        <w:jc w:val="center"/>
        <w:rPr>
          <w:rFonts w:ascii="宋体" w:hAnsi="宋体" w:cs="宋体"/>
          <w:b/>
          <w:bCs/>
          <w:color w:val="auto"/>
          <w:sz w:val="36"/>
          <w:szCs w:val="36"/>
          <w:highlight w:val="none"/>
        </w:rPr>
      </w:pPr>
    </w:p>
    <w:p w14:paraId="09EF5C57">
      <w:pPr>
        <w:snapToGrid w:val="0"/>
        <w:spacing w:before="156" w:beforeLines="50" w:after="50"/>
        <w:rPr>
          <w:rFonts w:ascii="宋体" w:hAnsi="宋体" w:cs="宋体"/>
          <w:color w:val="auto"/>
          <w:sz w:val="24"/>
          <w:highlight w:val="none"/>
        </w:rPr>
      </w:pPr>
    </w:p>
    <w:p w14:paraId="3EB63A51">
      <w:pPr>
        <w:snapToGrid w:val="0"/>
        <w:spacing w:before="156" w:beforeLines="50" w:after="50"/>
        <w:ind w:left="142"/>
        <w:jc w:val="center"/>
        <w:rPr>
          <w:rFonts w:ascii="宋体" w:hAnsi="宋体" w:cs="宋体"/>
          <w:b/>
          <w:color w:val="auto"/>
          <w:sz w:val="44"/>
          <w:szCs w:val="44"/>
          <w:highlight w:val="none"/>
        </w:rPr>
      </w:pPr>
    </w:p>
    <w:p w14:paraId="6FE7FE8E">
      <w:pPr>
        <w:spacing w:before="68" w:line="220" w:lineRule="auto"/>
        <w:ind w:left="136"/>
        <w:jc w:val="center"/>
        <w:rPr>
          <w:rFonts w:ascii="宋体" w:hAnsi="宋体" w:cs="宋体"/>
          <w:color w:val="auto"/>
          <w:sz w:val="24"/>
          <w:highlight w:val="none"/>
        </w:rPr>
      </w:pPr>
      <w:r>
        <w:rPr>
          <w:rFonts w:hint="eastAsia" w:ascii="宋体" w:hAnsi="宋体" w:cs="宋体"/>
          <w:color w:val="auto"/>
          <w:spacing w:val="-1"/>
          <w:sz w:val="24"/>
          <w:highlight w:val="none"/>
        </w:rPr>
        <w:t>近年供应商的业绩证明</w:t>
      </w:r>
    </w:p>
    <w:p w14:paraId="321D7237">
      <w:pPr>
        <w:spacing w:before="141" w:line="221" w:lineRule="auto"/>
        <w:jc w:val="center"/>
        <w:rPr>
          <w:rFonts w:ascii="宋体" w:hAnsi="宋体" w:cs="宋体"/>
          <w:color w:val="auto"/>
          <w:sz w:val="24"/>
          <w:highlight w:val="none"/>
        </w:rPr>
      </w:pPr>
      <w:r>
        <w:rPr>
          <w:rFonts w:hint="eastAsia" w:ascii="宋体" w:hAnsi="宋体" w:cs="宋体"/>
          <w:color w:val="auto"/>
          <w:sz w:val="24"/>
          <w:highlight w:val="none"/>
          <w14:textOutline w14:w="3835" w14:cap="flat" w14:cmpd="sng" w14:algn="ctr">
            <w14:solidFill>
              <w14:srgbClr w14:val="000000"/>
            </w14:solidFill>
            <w14:prstDash w14:val="solid"/>
            <w14:miter w14:val="0"/>
          </w14:textOutline>
        </w:rPr>
        <w:t>业绩一览表</w:t>
      </w:r>
    </w:p>
    <w:p w14:paraId="2EB37FB9">
      <w:pPr>
        <w:spacing w:line="112" w:lineRule="exact"/>
        <w:rPr>
          <w:rFonts w:ascii="宋体" w:hAnsi="宋体" w:cs="宋体"/>
          <w:color w:val="auto"/>
          <w:sz w:val="24"/>
          <w:highlight w:val="none"/>
        </w:rPr>
      </w:pPr>
    </w:p>
    <w:tbl>
      <w:tblPr>
        <w:tblStyle w:val="74"/>
        <w:tblW w:w="90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2945"/>
        <w:gridCol w:w="1691"/>
        <w:gridCol w:w="3032"/>
      </w:tblGrid>
      <w:tr w14:paraId="1CCEE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6" w:hRule="atLeast"/>
        </w:trPr>
        <w:tc>
          <w:tcPr>
            <w:tcW w:w="1402" w:type="dxa"/>
          </w:tcPr>
          <w:p w14:paraId="3737AA95">
            <w:pPr>
              <w:spacing w:line="253" w:lineRule="auto"/>
              <w:jc w:val="center"/>
              <w:rPr>
                <w:rFonts w:ascii="宋体" w:hAnsi="宋体" w:cs="宋体"/>
                <w:color w:val="auto"/>
                <w:sz w:val="24"/>
                <w:highlight w:val="none"/>
              </w:rPr>
            </w:pPr>
          </w:p>
          <w:p w14:paraId="6D97EFD1">
            <w:pPr>
              <w:spacing w:line="254" w:lineRule="auto"/>
              <w:jc w:val="center"/>
              <w:rPr>
                <w:rFonts w:ascii="宋体" w:hAnsi="宋体" w:cs="宋体"/>
                <w:color w:val="auto"/>
                <w:sz w:val="24"/>
                <w:highlight w:val="none"/>
              </w:rPr>
            </w:pPr>
          </w:p>
          <w:p w14:paraId="78D80F05">
            <w:pPr>
              <w:spacing w:line="220" w:lineRule="auto"/>
              <w:jc w:val="center"/>
              <w:rPr>
                <w:rFonts w:ascii="宋体" w:hAnsi="宋体" w:cs="宋体"/>
                <w:color w:val="auto"/>
                <w:sz w:val="24"/>
                <w:highlight w:val="none"/>
              </w:rPr>
            </w:pPr>
            <w:r>
              <w:rPr>
                <w:rFonts w:hint="eastAsia" w:ascii="宋体" w:hAnsi="宋体" w:cs="宋体"/>
                <w:color w:val="auto"/>
                <w:spacing w:val="-1"/>
                <w:sz w:val="24"/>
                <w:highlight w:val="none"/>
              </w:rPr>
              <w:t>采购单位</w:t>
            </w:r>
            <w:r>
              <w:rPr>
                <w:rFonts w:hint="eastAsia" w:ascii="宋体" w:hAnsi="宋体" w:cs="宋体"/>
                <w:color w:val="auto"/>
                <w:sz w:val="24"/>
                <w:highlight w:val="none"/>
              </w:rPr>
              <w:t>名称</w:t>
            </w:r>
          </w:p>
        </w:tc>
        <w:tc>
          <w:tcPr>
            <w:tcW w:w="2945" w:type="dxa"/>
          </w:tcPr>
          <w:p w14:paraId="13C53AD0">
            <w:pPr>
              <w:spacing w:line="387" w:lineRule="auto"/>
              <w:jc w:val="center"/>
              <w:rPr>
                <w:rFonts w:ascii="宋体" w:hAnsi="宋体" w:cs="宋体"/>
                <w:color w:val="auto"/>
                <w:sz w:val="24"/>
                <w:highlight w:val="none"/>
              </w:rPr>
            </w:pPr>
          </w:p>
          <w:p w14:paraId="106E0B1E">
            <w:pPr>
              <w:spacing w:line="228" w:lineRule="auto"/>
              <w:jc w:val="center"/>
              <w:rPr>
                <w:rFonts w:ascii="宋体" w:hAnsi="宋体" w:cs="宋体"/>
                <w:color w:val="auto"/>
                <w:sz w:val="24"/>
                <w:highlight w:val="none"/>
              </w:rPr>
            </w:pPr>
            <w:r>
              <w:rPr>
                <w:rFonts w:hint="eastAsia" w:ascii="宋体" w:hAnsi="宋体" w:cs="宋体"/>
                <w:color w:val="auto"/>
                <w:spacing w:val="-2"/>
                <w:sz w:val="24"/>
                <w:highlight w:val="none"/>
              </w:rPr>
              <w:t>项</w:t>
            </w:r>
            <w:r>
              <w:rPr>
                <w:rFonts w:hint="eastAsia" w:ascii="宋体" w:hAnsi="宋体" w:cs="宋体"/>
                <w:color w:val="auto"/>
                <w:spacing w:val="-1"/>
                <w:sz w:val="24"/>
                <w:highlight w:val="none"/>
              </w:rPr>
              <w:t>目名称或服务内</w:t>
            </w:r>
            <w:r>
              <w:rPr>
                <w:rFonts w:hint="eastAsia" w:ascii="宋体" w:hAnsi="宋体" w:cs="宋体"/>
                <w:color w:val="auto"/>
                <w:sz w:val="24"/>
                <w:highlight w:val="none"/>
              </w:rPr>
              <w:t>容</w:t>
            </w:r>
          </w:p>
        </w:tc>
        <w:tc>
          <w:tcPr>
            <w:tcW w:w="1691" w:type="dxa"/>
          </w:tcPr>
          <w:p w14:paraId="68AD314C">
            <w:pPr>
              <w:spacing w:line="388" w:lineRule="auto"/>
              <w:jc w:val="center"/>
              <w:rPr>
                <w:rFonts w:ascii="宋体" w:hAnsi="宋体" w:cs="宋体"/>
                <w:color w:val="auto"/>
                <w:sz w:val="24"/>
                <w:highlight w:val="none"/>
              </w:rPr>
            </w:pPr>
          </w:p>
          <w:p w14:paraId="574921AD">
            <w:pPr>
              <w:spacing w:line="211" w:lineRule="auto"/>
              <w:jc w:val="center"/>
              <w:rPr>
                <w:rFonts w:ascii="宋体" w:hAnsi="宋体" w:cs="宋体"/>
                <w:color w:val="auto"/>
                <w:sz w:val="24"/>
                <w:highlight w:val="none"/>
              </w:rPr>
            </w:pPr>
            <w:r>
              <w:rPr>
                <w:rFonts w:hint="eastAsia" w:ascii="宋体" w:hAnsi="宋体" w:cs="宋体"/>
                <w:color w:val="auto"/>
                <w:spacing w:val="-2"/>
                <w:sz w:val="24"/>
                <w:highlight w:val="none"/>
              </w:rPr>
              <w:t>合同</w:t>
            </w:r>
            <w:r>
              <w:rPr>
                <w:rFonts w:hint="eastAsia" w:ascii="宋体" w:hAnsi="宋体" w:cs="宋体"/>
                <w:color w:val="auto"/>
                <w:spacing w:val="-1"/>
                <w:sz w:val="24"/>
                <w:highlight w:val="none"/>
              </w:rPr>
              <w:t>总价</w:t>
            </w:r>
          </w:p>
          <w:p w14:paraId="2B9DC75C">
            <w:pPr>
              <w:spacing w:line="221" w:lineRule="auto"/>
              <w:jc w:val="center"/>
              <w:rPr>
                <w:rFonts w:ascii="宋体" w:hAnsi="宋体" w:cs="宋体"/>
                <w:color w:val="auto"/>
                <w:sz w:val="24"/>
                <w:highlight w:val="none"/>
              </w:rPr>
            </w:pPr>
            <w:r>
              <w:rPr>
                <w:rFonts w:hint="eastAsia" w:ascii="宋体" w:hAnsi="宋体" w:cs="宋体"/>
                <w:color w:val="auto"/>
                <w:spacing w:val="27"/>
                <w:sz w:val="24"/>
                <w:highlight w:val="none"/>
              </w:rPr>
              <w:t>(</w:t>
            </w:r>
            <w:r>
              <w:rPr>
                <w:rFonts w:hint="eastAsia" w:ascii="宋体" w:hAnsi="宋体" w:cs="宋体"/>
                <w:color w:val="auto"/>
                <w:spacing w:val="26"/>
                <w:sz w:val="24"/>
                <w:highlight w:val="none"/>
              </w:rPr>
              <w:t>元)</w:t>
            </w:r>
          </w:p>
        </w:tc>
        <w:tc>
          <w:tcPr>
            <w:tcW w:w="3032" w:type="dxa"/>
          </w:tcPr>
          <w:p w14:paraId="5EF5E245">
            <w:pPr>
              <w:spacing w:line="374" w:lineRule="auto"/>
              <w:jc w:val="center"/>
              <w:rPr>
                <w:rFonts w:ascii="宋体" w:hAnsi="宋体" w:cs="宋体"/>
                <w:color w:val="auto"/>
                <w:sz w:val="24"/>
                <w:highlight w:val="none"/>
              </w:rPr>
            </w:pPr>
          </w:p>
          <w:p w14:paraId="19F666B5">
            <w:pPr>
              <w:spacing w:line="256" w:lineRule="auto"/>
              <w:jc w:val="center"/>
              <w:rPr>
                <w:rFonts w:ascii="宋体" w:hAnsi="宋体" w:cs="宋体"/>
                <w:color w:val="auto"/>
                <w:sz w:val="24"/>
                <w:highlight w:val="none"/>
              </w:rPr>
            </w:pPr>
            <w:r>
              <w:rPr>
                <w:rFonts w:hint="eastAsia" w:ascii="宋体" w:hAnsi="宋体" w:cs="宋体"/>
                <w:color w:val="auto"/>
                <w:spacing w:val="-1"/>
                <w:sz w:val="24"/>
                <w:highlight w:val="none"/>
              </w:rPr>
              <w:t>签订合同日期</w:t>
            </w:r>
          </w:p>
        </w:tc>
      </w:tr>
      <w:tr w14:paraId="7B575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402" w:type="dxa"/>
          </w:tcPr>
          <w:p w14:paraId="48A61A77">
            <w:pPr>
              <w:rPr>
                <w:rFonts w:ascii="宋体" w:hAnsi="宋体" w:cs="宋体"/>
                <w:color w:val="auto"/>
                <w:sz w:val="24"/>
                <w:highlight w:val="none"/>
              </w:rPr>
            </w:pPr>
          </w:p>
        </w:tc>
        <w:tc>
          <w:tcPr>
            <w:tcW w:w="2945" w:type="dxa"/>
          </w:tcPr>
          <w:p w14:paraId="27522D5C">
            <w:pPr>
              <w:rPr>
                <w:rFonts w:ascii="宋体" w:hAnsi="宋体" w:cs="宋体"/>
                <w:color w:val="auto"/>
                <w:sz w:val="24"/>
                <w:highlight w:val="none"/>
              </w:rPr>
            </w:pPr>
          </w:p>
        </w:tc>
        <w:tc>
          <w:tcPr>
            <w:tcW w:w="1691" w:type="dxa"/>
          </w:tcPr>
          <w:p w14:paraId="16A2EC01">
            <w:pPr>
              <w:rPr>
                <w:rFonts w:ascii="宋体" w:hAnsi="宋体" w:cs="宋体"/>
                <w:color w:val="auto"/>
                <w:sz w:val="24"/>
                <w:highlight w:val="none"/>
              </w:rPr>
            </w:pPr>
          </w:p>
        </w:tc>
        <w:tc>
          <w:tcPr>
            <w:tcW w:w="3032" w:type="dxa"/>
          </w:tcPr>
          <w:p w14:paraId="0344A414">
            <w:pPr>
              <w:rPr>
                <w:rFonts w:ascii="宋体" w:hAnsi="宋体" w:cs="宋体"/>
                <w:color w:val="auto"/>
                <w:sz w:val="24"/>
                <w:highlight w:val="none"/>
              </w:rPr>
            </w:pPr>
          </w:p>
        </w:tc>
      </w:tr>
      <w:tr w14:paraId="31E23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1402" w:type="dxa"/>
          </w:tcPr>
          <w:p w14:paraId="5FF984E9">
            <w:pPr>
              <w:rPr>
                <w:rFonts w:ascii="宋体" w:hAnsi="宋体" w:cs="宋体"/>
                <w:color w:val="auto"/>
                <w:sz w:val="24"/>
                <w:highlight w:val="none"/>
              </w:rPr>
            </w:pPr>
          </w:p>
        </w:tc>
        <w:tc>
          <w:tcPr>
            <w:tcW w:w="2945" w:type="dxa"/>
          </w:tcPr>
          <w:p w14:paraId="026CBE55">
            <w:pPr>
              <w:rPr>
                <w:rFonts w:ascii="宋体" w:hAnsi="宋体" w:cs="宋体"/>
                <w:color w:val="auto"/>
                <w:sz w:val="24"/>
                <w:highlight w:val="none"/>
              </w:rPr>
            </w:pPr>
          </w:p>
        </w:tc>
        <w:tc>
          <w:tcPr>
            <w:tcW w:w="1691" w:type="dxa"/>
          </w:tcPr>
          <w:p w14:paraId="20CE74A2">
            <w:pPr>
              <w:rPr>
                <w:rFonts w:ascii="宋体" w:hAnsi="宋体" w:cs="宋体"/>
                <w:color w:val="auto"/>
                <w:sz w:val="24"/>
                <w:highlight w:val="none"/>
              </w:rPr>
            </w:pPr>
          </w:p>
        </w:tc>
        <w:tc>
          <w:tcPr>
            <w:tcW w:w="3032" w:type="dxa"/>
          </w:tcPr>
          <w:p w14:paraId="2B5D35B5">
            <w:pPr>
              <w:rPr>
                <w:rFonts w:ascii="宋体" w:hAnsi="宋体" w:cs="宋体"/>
                <w:color w:val="auto"/>
                <w:sz w:val="24"/>
                <w:highlight w:val="none"/>
              </w:rPr>
            </w:pPr>
          </w:p>
        </w:tc>
      </w:tr>
      <w:tr w14:paraId="161FA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402" w:type="dxa"/>
          </w:tcPr>
          <w:p w14:paraId="4F44E703">
            <w:pPr>
              <w:rPr>
                <w:rFonts w:ascii="宋体" w:hAnsi="宋体" w:cs="宋体"/>
                <w:color w:val="auto"/>
                <w:sz w:val="24"/>
                <w:highlight w:val="none"/>
              </w:rPr>
            </w:pPr>
          </w:p>
        </w:tc>
        <w:tc>
          <w:tcPr>
            <w:tcW w:w="2945" w:type="dxa"/>
          </w:tcPr>
          <w:p w14:paraId="215F2EF1">
            <w:pPr>
              <w:rPr>
                <w:rFonts w:ascii="宋体" w:hAnsi="宋体" w:cs="宋体"/>
                <w:color w:val="auto"/>
                <w:sz w:val="24"/>
                <w:highlight w:val="none"/>
              </w:rPr>
            </w:pPr>
          </w:p>
        </w:tc>
        <w:tc>
          <w:tcPr>
            <w:tcW w:w="1691" w:type="dxa"/>
          </w:tcPr>
          <w:p w14:paraId="5B9886A7">
            <w:pPr>
              <w:rPr>
                <w:rFonts w:ascii="宋体" w:hAnsi="宋体" w:cs="宋体"/>
                <w:color w:val="auto"/>
                <w:sz w:val="24"/>
                <w:highlight w:val="none"/>
              </w:rPr>
            </w:pPr>
          </w:p>
        </w:tc>
        <w:tc>
          <w:tcPr>
            <w:tcW w:w="3032" w:type="dxa"/>
          </w:tcPr>
          <w:p w14:paraId="057289DE">
            <w:pPr>
              <w:rPr>
                <w:rFonts w:ascii="宋体" w:hAnsi="宋体" w:cs="宋体"/>
                <w:color w:val="auto"/>
                <w:sz w:val="24"/>
                <w:highlight w:val="none"/>
              </w:rPr>
            </w:pPr>
          </w:p>
        </w:tc>
      </w:tr>
      <w:tr w14:paraId="1A500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402" w:type="dxa"/>
          </w:tcPr>
          <w:p w14:paraId="57ECC5B9">
            <w:pPr>
              <w:rPr>
                <w:rFonts w:ascii="宋体" w:hAnsi="宋体" w:cs="宋体"/>
                <w:color w:val="auto"/>
                <w:sz w:val="24"/>
                <w:highlight w:val="none"/>
              </w:rPr>
            </w:pPr>
          </w:p>
        </w:tc>
        <w:tc>
          <w:tcPr>
            <w:tcW w:w="2945" w:type="dxa"/>
          </w:tcPr>
          <w:p w14:paraId="316A2792">
            <w:pPr>
              <w:rPr>
                <w:rFonts w:ascii="宋体" w:hAnsi="宋体" w:cs="宋体"/>
                <w:color w:val="auto"/>
                <w:sz w:val="24"/>
                <w:highlight w:val="none"/>
              </w:rPr>
            </w:pPr>
          </w:p>
        </w:tc>
        <w:tc>
          <w:tcPr>
            <w:tcW w:w="1691" w:type="dxa"/>
          </w:tcPr>
          <w:p w14:paraId="507CCBF4">
            <w:pPr>
              <w:rPr>
                <w:rFonts w:ascii="宋体" w:hAnsi="宋体" w:cs="宋体"/>
                <w:color w:val="auto"/>
                <w:sz w:val="24"/>
                <w:highlight w:val="none"/>
              </w:rPr>
            </w:pPr>
          </w:p>
        </w:tc>
        <w:tc>
          <w:tcPr>
            <w:tcW w:w="3032" w:type="dxa"/>
          </w:tcPr>
          <w:p w14:paraId="5EA92728">
            <w:pPr>
              <w:rPr>
                <w:rFonts w:ascii="宋体" w:hAnsi="宋体" w:cs="宋体"/>
                <w:color w:val="auto"/>
                <w:sz w:val="24"/>
                <w:highlight w:val="none"/>
              </w:rPr>
            </w:pPr>
          </w:p>
        </w:tc>
      </w:tr>
      <w:tr w14:paraId="056FC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02" w:type="dxa"/>
          </w:tcPr>
          <w:p w14:paraId="0B841AD7">
            <w:pPr>
              <w:rPr>
                <w:rFonts w:ascii="宋体" w:hAnsi="宋体" w:cs="宋体"/>
                <w:color w:val="auto"/>
                <w:sz w:val="24"/>
                <w:highlight w:val="none"/>
              </w:rPr>
            </w:pPr>
          </w:p>
        </w:tc>
        <w:tc>
          <w:tcPr>
            <w:tcW w:w="2945" w:type="dxa"/>
          </w:tcPr>
          <w:p w14:paraId="66066CB7">
            <w:pPr>
              <w:rPr>
                <w:rFonts w:ascii="宋体" w:hAnsi="宋体" w:cs="宋体"/>
                <w:color w:val="auto"/>
                <w:sz w:val="24"/>
                <w:highlight w:val="none"/>
              </w:rPr>
            </w:pPr>
          </w:p>
        </w:tc>
        <w:tc>
          <w:tcPr>
            <w:tcW w:w="1691" w:type="dxa"/>
          </w:tcPr>
          <w:p w14:paraId="1F8594AE">
            <w:pPr>
              <w:rPr>
                <w:rFonts w:ascii="宋体" w:hAnsi="宋体" w:cs="宋体"/>
                <w:color w:val="auto"/>
                <w:sz w:val="24"/>
                <w:highlight w:val="none"/>
              </w:rPr>
            </w:pPr>
          </w:p>
        </w:tc>
        <w:tc>
          <w:tcPr>
            <w:tcW w:w="3032" w:type="dxa"/>
          </w:tcPr>
          <w:p w14:paraId="62A595C6">
            <w:pPr>
              <w:rPr>
                <w:rFonts w:ascii="宋体" w:hAnsi="宋体" w:cs="宋体"/>
                <w:color w:val="auto"/>
                <w:sz w:val="24"/>
                <w:highlight w:val="none"/>
              </w:rPr>
            </w:pPr>
          </w:p>
        </w:tc>
      </w:tr>
    </w:tbl>
    <w:p w14:paraId="2B3798E2">
      <w:pPr>
        <w:spacing w:before="180" w:line="225" w:lineRule="auto"/>
        <w:ind w:left="121"/>
        <w:rPr>
          <w:rFonts w:ascii="宋体" w:hAnsi="宋体" w:cs="宋体"/>
          <w:color w:val="auto"/>
          <w:sz w:val="24"/>
          <w:highlight w:val="none"/>
        </w:rPr>
      </w:pPr>
      <w:r>
        <w:rPr>
          <w:rFonts w:hint="eastAsia" w:ascii="宋体" w:hAnsi="宋体" w:cs="宋体"/>
          <w:color w:val="auto"/>
          <w:spacing w:val="-15"/>
          <w:sz w:val="24"/>
          <w:highlight w:val="none"/>
        </w:rPr>
        <w:t>注</w:t>
      </w:r>
      <w:r>
        <w:rPr>
          <w:rFonts w:hint="eastAsia" w:ascii="宋体" w:hAnsi="宋体" w:cs="宋体"/>
          <w:color w:val="auto"/>
          <w:spacing w:val="-13"/>
          <w:sz w:val="24"/>
          <w:highlight w:val="none"/>
        </w:rPr>
        <w:t>：</w:t>
      </w:r>
    </w:p>
    <w:p w14:paraId="0EF0CF0D">
      <w:pPr>
        <w:spacing w:before="178" w:line="220" w:lineRule="auto"/>
        <w:ind w:left="130"/>
        <w:rPr>
          <w:rFonts w:ascii="宋体" w:hAnsi="宋体" w:cs="宋体"/>
          <w:color w:val="auto"/>
          <w:sz w:val="24"/>
          <w:highlight w:val="none"/>
        </w:rPr>
      </w:pPr>
      <w:r>
        <w:rPr>
          <w:rFonts w:hint="eastAsia" w:ascii="宋体" w:hAnsi="宋体" w:cs="宋体"/>
          <w:color w:val="auto"/>
          <w:spacing w:val="1"/>
          <w:sz w:val="24"/>
          <w:highlight w:val="none"/>
        </w:rPr>
        <w:t>(1)</w:t>
      </w:r>
      <w:r>
        <w:rPr>
          <w:rFonts w:hint="eastAsia" w:ascii="宋体" w:hAnsi="宋体" w:cs="宋体"/>
          <w:color w:val="auto"/>
          <w:sz w:val="24"/>
          <w:highlight w:val="none"/>
        </w:rPr>
        <w:t>未附证明材料的业绩无效， 证明材料见第四章《评审方法及标准》规定。</w:t>
      </w:r>
    </w:p>
    <w:p w14:paraId="4743DAFF">
      <w:pPr>
        <w:spacing w:before="182" w:line="220" w:lineRule="auto"/>
        <w:ind w:left="130"/>
        <w:rPr>
          <w:rFonts w:ascii="宋体" w:hAnsi="宋体" w:cs="宋体"/>
          <w:color w:val="auto"/>
          <w:sz w:val="24"/>
          <w:highlight w:val="none"/>
        </w:rPr>
      </w:pPr>
      <w:r>
        <w:rPr>
          <w:rFonts w:hint="eastAsia" w:ascii="宋体" w:hAnsi="宋体" w:cs="宋体"/>
          <w:color w:val="auto"/>
          <w:spacing w:val="3"/>
          <w:sz w:val="24"/>
          <w:highlight w:val="none"/>
        </w:rPr>
        <w:t>(2)类似项目的定义见第四章《评审方法及标准》规</w:t>
      </w:r>
      <w:r>
        <w:rPr>
          <w:rFonts w:hint="eastAsia" w:ascii="宋体" w:hAnsi="宋体" w:cs="宋体"/>
          <w:color w:val="auto"/>
          <w:spacing w:val="2"/>
          <w:sz w:val="24"/>
          <w:highlight w:val="none"/>
        </w:rPr>
        <w:t>定</w:t>
      </w:r>
      <w:r>
        <w:rPr>
          <w:rFonts w:hint="eastAsia" w:ascii="宋体" w:hAnsi="宋体" w:cs="宋体"/>
          <w:color w:val="auto"/>
          <w:sz w:val="24"/>
          <w:highlight w:val="none"/>
        </w:rPr>
        <w:t>。</w:t>
      </w:r>
    </w:p>
    <w:p w14:paraId="11354819">
      <w:pPr>
        <w:spacing w:before="182" w:line="220" w:lineRule="auto"/>
        <w:ind w:left="127"/>
        <w:rPr>
          <w:rFonts w:ascii="宋体" w:hAnsi="宋体" w:cs="宋体"/>
          <w:color w:val="auto"/>
          <w:sz w:val="24"/>
          <w:highlight w:val="none"/>
        </w:rPr>
      </w:pPr>
      <w:r>
        <w:rPr>
          <w:rFonts w:hint="eastAsia" w:ascii="宋体" w:hAnsi="宋体" w:cs="宋体"/>
          <w:color w:val="auto"/>
          <w:spacing w:val="14"/>
          <w:sz w:val="24"/>
          <w:highlight w:val="none"/>
        </w:rPr>
        <w:t>(</w:t>
      </w:r>
      <w:r>
        <w:rPr>
          <w:rFonts w:hint="eastAsia" w:ascii="宋体" w:hAnsi="宋体" w:cs="宋体"/>
          <w:color w:val="auto"/>
          <w:spacing w:val="10"/>
          <w:sz w:val="24"/>
          <w:highlight w:val="none"/>
        </w:rPr>
        <w:t>3)本表可拓展</w:t>
      </w:r>
    </w:p>
    <w:p w14:paraId="441BAA4B">
      <w:pPr>
        <w:snapToGrid w:val="0"/>
        <w:spacing w:before="50" w:after="156" w:afterLines="50"/>
        <w:jc w:val="left"/>
        <w:rPr>
          <w:rFonts w:ascii="宋体" w:hAnsi="宋体" w:cs="宋体"/>
          <w:color w:val="auto"/>
          <w:sz w:val="24"/>
          <w:highlight w:val="none"/>
        </w:rPr>
      </w:pPr>
    </w:p>
    <w:p w14:paraId="7460D676">
      <w:pPr>
        <w:snapToGrid w:val="0"/>
        <w:spacing w:before="50" w:after="156" w:afterLines="50"/>
        <w:jc w:val="left"/>
        <w:rPr>
          <w:rFonts w:ascii="宋体" w:hAnsi="宋体" w:cs="宋体"/>
          <w:color w:val="auto"/>
          <w:sz w:val="24"/>
          <w:highlight w:val="none"/>
        </w:rPr>
      </w:pPr>
    </w:p>
    <w:p w14:paraId="42105731">
      <w:pPr>
        <w:snapToGrid w:val="0"/>
        <w:spacing w:before="50" w:after="156" w:afterLines="50"/>
        <w:jc w:val="left"/>
        <w:rPr>
          <w:rFonts w:ascii="宋体" w:hAnsi="宋体" w:cs="宋体"/>
          <w:color w:val="auto"/>
          <w:sz w:val="24"/>
          <w:highlight w:val="none"/>
        </w:rPr>
      </w:pPr>
      <w:r>
        <w:rPr>
          <w:rFonts w:hint="eastAsia" w:ascii="宋体" w:hAnsi="宋体" w:cs="宋体"/>
          <w:color w:val="auto"/>
          <w:sz w:val="24"/>
          <w:highlight w:val="none"/>
        </w:rPr>
        <w:t>供应商（盖公章或电子签章）：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7EDC30D">
      <w:pPr>
        <w:snapToGrid w:val="0"/>
        <w:spacing w:before="50" w:after="156" w:afterLines="50"/>
        <w:jc w:val="left"/>
        <w:rPr>
          <w:rFonts w:ascii="宋体" w:hAnsi="宋体" w:cs="宋体"/>
          <w:color w:val="auto"/>
          <w:sz w:val="24"/>
          <w:szCs w:val="20"/>
          <w:highlight w:val="non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14:paraId="476091CE">
      <w:pPr>
        <w:spacing w:line="300" w:lineRule="auto"/>
        <w:rPr>
          <w:rFonts w:ascii="宋体" w:hAnsi="宋体" w:cs="宋体"/>
          <w:b/>
          <w:bCs/>
          <w:color w:val="auto"/>
          <w:sz w:val="24"/>
          <w:highlight w:val="none"/>
        </w:rPr>
      </w:pPr>
    </w:p>
    <w:p w14:paraId="5EC65BA2">
      <w:pPr>
        <w:spacing w:line="300" w:lineRule="auto"/>
        <w:rPr>
          <w:rFonts w:ascii="宋体" w:hAnsi="宋体" w:cs="宋体"/>
          <w:b/>
          <w:bCs/>
          <w:color w:val="auto"/>
          <w:sz w:val="24"/>
          <w:highlight w:val="none"/>
        </w:rPr>
      </w:pPr>
    </w:p>
    <w:p w14:paraId="7AB640D9">
      <w:pPr>
        <w:spacing w:line="300" w:lineRule="auto"/>
        <w:rPr>
          <w:rFonts w:ascii="宋体" w:hAnsi="宋体" w:cs="宋体"/>
          <w:b/>
          <w:bCs/>
          <w:color w:val="auto"/>
          <w:sz w:val="24"/>
          <w:highlight w:val="none"/>
        </w:rPr>
      </w:pPr>
    </w:p>
    <w:p w14:paraId="3CE2AD5C">
      <w:pPr>
        <w:spacing w:line="300" w:lineRule="auto"/>
        <w:rPr>
          <w:rFonts w:ascii="宋体" w:hAnsi="宋体" w:cs="宋体"/>
          <w:b/>
          <w:bCs/>
          <w:color w:val="auto"/>
          <w:sz w:val="24"/>
          <w:highlight w:val="none"/>
        </w:rPr>
      </w:pPr>
    </w:p>
    <w:p w14:paraId="5F2164E2">
      <w:pPr>
        <w:spacing w:line="300" w:lineRule="auto"/>
        <w:rPr>
          <w:rFonts w:ascii="宋体" w:hAnsi="宋体" w:cs="宋体"/>
          <w:b/>
          <w:bCs/>
          <w:color w:val="auto"/>
          <w:sz w:val="24"/>
          <w:highlight w:val="none"/>
        </w:rPr>
      </w:pPr>
    </w:p>
    <w:p w14:paraId="1F28105D">
      <w:pPr>
        <w:spacing w:line="300" w:lineRule="auto"/>
        <w:rPr>
          <w:rFonts w:ascii="宋体" w:hAnsi="宋体" w:cs="宋体"/>
          <w:b/>
          <w:bCs/>
          <w:color w:val="auto"/>
          <w:sz w:val="24"/>
          <w:highlight w:val="none"/>
        </w:rPr>
      </w:pPr>
    </w:p>
    <w:p w14:paraId="5F088697">
      <w:pPr>
        <w:spacing w:line="300" w:lineRule="auto"/>
        <w:rPr>
          <w:rFonts w:ascii="宋体" w:hAnsi="宋体" w:cs="宋体"/>
          <w:b/>
          <w:bCs/>
          <w:color w:val="auto"/>
          <w:sz w:val="24"/>
          <w:highlight w:val="none"/>
        </w:rPr>
      </w:pPr>
    </w:p>
    <w:p w14:paraId="652041A5">
      <w:pPr>
        <w:spacing w:line="300" w:lineRule="auto"/>
        <w:rPr>
          <w:rFonts w:ascii="宋体" w:hAnsi="宋体" w:cs="宋体"/>
          <w:b/>
          <w:bCs/>
          <w:color w:val="auto"/>
          <w:sz w:val="24"/>
          <w:highlight w:val="none"/>
        </w:rPr>
      </w:pPr>
    </w:p>
    <w:p w14:paraId="21833B46">
      <w:pPr>
        <w:spacing w:line="300" w:lineRule="auto"/>
        <w:rPr>
          <w:rFonts w:ascii="宋体" w:hAnsi="宋体" w:cs="宋体"/>
          <w:b/>
          <w:bCs/>
          <w:color w:val="auto"/>
          <w:sz w:val="24"/>
          <w:highlight w:val="none"/>
        </w:rPr>
      </w:pPr>
    </w:p>
    <w:p w14:paraId="4285A839">
      <w:pPr>
        <w:spacing w:line="300" w:lineRule="auto"/>
        <w:rPr>
          <w:rFonts w:ascii="宋体" w:hAnsi="宋体" w:cs="宋体"/>
          <w:b/>
          <w:bCs/>
          <w:color w:val="auto"/>
          <w:sz w:val="24"/>
          <w:highlight w:val="none"/>
        </w:rPr>
      </w:pPr>
    </w:p>
    <w:p w14:paraId="1C936A9A">
      <w:pPr>
        <w:spacing w:line="300" w:lineRule="auto"/>
        <w:rPr>
          <w:rFonts w:ascii="宋体" w:hAnsi="宋体" w:cs="宋体"/>
          <w:color w:val="auto"/>
          <w:szCs w:val="21"/>
          <w:highlight w:val="none"/>
        </w:rPr>
      </w:pPr>
      <w:r>
        <w:rPr>
          <w:rFonts w:hint="eastAsia" w:ascii="宋体" w:hAnsi="宋体" w:cs="宋体"/>
          <w:b/>
          <w:bCs/>
          <w:color w:val="auto"/>
          <w:sz w:val="24"/>
          <w:highlight w:val="none"/>
        </w:rPr>
        <w:t>其他文书、文件格式</w:t>
      </w:r>
    </w:p>
    <w:p w14:paraId="5E6D4BE4">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220561A4">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437F9510">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0866167">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0E53770D">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30ADDE7">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42EFB8E4">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194D1BB">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53EB0AD">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110CAA1A">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2DE670CD">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7C823BA4">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2B36F43F">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p>
    <w:p w14:paraId="7644DD7D">
      <w:pPr>
        <w:pStyle w:val="18"/>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4AF204FD">
      <w:pPr>
        <w:pStyle w:val="18"/>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41B62C10">
      <w:pPr>
        <w:pStyle w:val="18"/>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04C5269A">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1A668BAF">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6B0972B7">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6482D4E2">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0A2DCC6E">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1A0841C6">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49D00A0B">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4D1E1BEA">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1721CAA2">
      <w:pPr>
        <w:pStyle w:val="18"/>
        <w:spacing w:line="360" w:lineRule="auto"/>
        <w:ind w:left="25" w:leftChars="12" w:firstLine="352" w:firstLineChars="147"/>
        <w:rPr>
          <w:rFonts w:hAnsi="宋体" w:cs="宋体"/>
          <w:color w:val="auto"/>
          <w:sz w:val="24"/>
          <w:szCs w:val="24"/>
          <w:highlight w:val="none"/>
        </w:rPr>
      </w:pPr>
    </w:p>
    <w:p w14:paraId="06676E8A">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490854C3">
      <w:pPr>
        <w:pStyle w:val="18"/>
        <w:spacing w:line="360" w:lineRule="auto"/>
        <w:ind w:left="25" w:leftChars="12" w:firstLine="352" w:firstLineChars="147"/>
        <w:rPr>
          <w:rFonts w:hAnsi="宋体" w:cs="宋体"/>
          <w:color w:val="auto"/>
          <w:sz w:val="24"/>
          <w:szCs w:val="24"/>
          <w:highlight w:val="none"/>
        </w:rPr>
      </w:pPr>
    </w:p>
    <w:p w14:paraId="5FA89242">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60FFCA83">
      <w:pPr>
        <w:pStyle w:val="18"/>
        <w:snapToGrid w:val="0"/>
        <w:spacing w:line="360" w:lineRule="auto"/>
        <w:rPr>
          <w:rFonts w:hAnsi="宋体" w:cs="宋体"/>
          <w:b/>
          <w:color w:val="auto"/>
          <w:sz w:val="24"/>
          <w:szCs w:val="24"/>
          <w:highlight w:val="none"/>
        </w:rPr>
      </w:pPr>
    </w:p>
    <w:p w14:paraId="5008E9F1">
      <w:pPr>
        <w:pStyle w:val="18"/>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0103A10A">
      <w:pPr>
        <w:pStyle w:val="18"/>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0345B1FC">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3C9D09D">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1054E1A1">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2360865D">
      <w:pPr>
        <w:pStyle w:val="18"/>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490F67B4">
      <w:pPr>
        <w:pStyle w:val="18"/>
        <w:snapToGrid w:val="0"/>
        <w:rPr>
          <w:rFonts w:hAnsi="宋体" w:cs="宋体"/>
          <w:b/>
          <w:color w:val="auto"/>
          <w:sz w:val="24"/>
          <w:szCs w:val="24"/>
          <w:highlight w:val="none"/>
        </w:rPr>
      </w:pPr>
    </w:p>
    <w:p w14:paraId="6F0A3247">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14:paraId="7537B3B1">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74F58EB3">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0B705D8B">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0C1625A">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5E71420">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4CFBEC29">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779FC73E">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7AB9A5F">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D4E0A4D">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55EDF301">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4904EB2">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F27DAA1">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46FB35C5">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2E4A93E5">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7E187D0C">
      <w:pPr>
        <w:pStyle w:val="1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0C8232CB">
      <w:pPr>
        <w:pStyle w:val="1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9E34BEB">
      <w:pPr>
        <w:pStyle w:val="1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1FE45CBA">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16C603D8">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458E38C1">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7C24224B">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1144A3D1">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114D331D">
      <w:pPr>
        <w:pStyle w:val="18"/>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59AE9D20">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1ACEBA4E">
      <w:pPr>
        <w:pStyle w:val="18"/>
        <w:spacing w:line="360" w:lineRule="auto"/>
        <w:ind w:left="25" w:leftChars="12" w:firstLine="952" w:firstLineChars="397"/>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07CE0879">
      <w:pPr>
        <w:pStyle w:val="18"/>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627BE09">
      <w:pPr>
        <w:pStyle w:val="18"/>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3DB21BF6">
      <w:pPr>
        <w:pStyle w:val="18"/>
        <w:spacing w:line="360" w:lineRule="auto"/>
        <w:ind w:firstLine="241"/>
        <w:rPr>
          <w:rFonts w:hAnsi="宋体" w:cs="宋体"/>
          <w:color w:val="auto"/>
          <w:sz w:val="24"/>
          <w:szCs w:val="24"/>
          <w:highlight w:val="non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74E78B26">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71D22863">
      <w:pPr>
        <w:pStyle w:val="1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26645A46">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72E7F017">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46F29931">
      <w:pPr>
        <w:pStyle w:val="1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3EBC9EF">
      <w:pPr>
        <w:pStyle w:val="18"/>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67AECD8F">
      <w:pPr>
        <w:pStyle w:val="18"/>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3810CAD4">
      <w:pPr>
        <w:pStyle w:val="18"/>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774205B9">
      <w:pPr>
        <w:pStyle w:val="1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AE27AD3">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1D8ECACB">
      <w:pPr>
        <w:pStyle w:val="18"/>
        <w:spacing w:line="360" w:lineRule="auto"/>
        <w:ind w:left="25" w:leftChars="12" w:firstLine="352" w:firstLineChars="147"/>
        <w:rPr>
          <w:rFonts w:hAnsi="宋体" w:cs="宋体"/>
          <w:color w:val="auto"/>
          <w:sz w:val="24"/>
          <w:szCs w:val="24"/>
          <w:highlight w:val="none"/>
        </w:rPr>
      </w:pPr>
    </w:p>
    <w:p w14:paraId="0A0694EE">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98C375E">
      <w:pPr>
        <w:pStyle w:val="18"/>
        <w:spacing w:line="360" w:lineRule="auto"/>
        <w:ind w:left="25" w:leftChars="12" w:firstLine="352" w:firstLineChars="147"/>
        <w:rPr>
          <w:rFonts w:hAnsi="宋体" w:cs="宋体"/>
          <w:color w:val="auto"/>
          <w:sz w:val="24"/>
          <w:szCs w:val="24"/>
          <w:highlight w:val="none"/>
        </w:rPr>
      </w:pPr>
    </w:p>
    <w:p w14:paraId="5334E0DF">
      <w:pPr>
        <w:pStyle w:val="1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EA3AF0B">
      <w:pPr>
        <w:pStyle w:val="1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14:paraId="587EFF47">
      <w:pPr>
        <w:pStyle w:val="18"/>
        <w:snapToGrid w:val="0"/>
        <w:spacing w:line="360" w:lineRule="auto"/>
        <w:rPr>
          <w:rFonts w:hAnsi="宋体" w:cs="宋体"/>
          <w:b/>
          <w:color w:val="auto"/>
          <w:sz w:val="24"/>
          <w:szCs w:val="24"/>
          <w:highlight w:val="none"/>
        </w:rPr>
      </w:pPr>
    </w:p>
    <w:p w14:paraId="1B142F2C">
      <w:pPr>
        <w:pStyle w:val="18"/>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70625F6E">
      <w:pPr>
        <w:pStyle w:val="18"/>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08F404DD">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46B362E">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700A3669">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52D640B8">
      <w:pPr>
        <w:pStyle w:val="1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007DC650">
      <w:pPr>
        <w:pStyle w:val="18"/>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742D9B04">
      <w:pPr>
        <w:pStyle w:val="4"/>
        <w:spacing w:line="520" w:lineRule="exact"/>
        <w:jc w:val="center"/>
        <w:rPr>
          <w:rFonts w:ascii="宋体" w:hAnsi="宋体" w:cs="宋体"/>
          <w:color w:val="auto"/>
          <w:highlight w:val="none"/>
        </w:rPr>
      </w:pPr>
      <w:r>
        <w:rPr>
          <w:rFonts w:hint="eastAsia" w:ascii="宋体" w:hAnsi="宋体" w:cs="宋体"/>
          <w:color w:val="auto"/>
          <w:highlight w:val="none"/>
        </w:rPr>
        <w:br w:type="page"/>
      </w:r>
      <w:bookmarkStart w:id="171" w:name="_Toc24489"/>
      <w:bookmarkStart w:id="172" w:name="_Toc24421"/>
      <w:r>
        <w:rPr>
          <w:rFonts w:hint="eastAsia" w:ascii="宋体" w:hAnsi="宋体" w:cs="宋体"/>
          <w:color w:val="auto"/>
          <w:highlight w:val="none"/>
        </w:rPr>
        <w:t>第六章 合同文本</w:t>
      </w:r>
      <w:bookmarkEnd w:id="171"/>
      <w:bookmarkEnd w:id="172"/>
    </w:p>
    <w:p w14:paraId="14A0CBE3">
      <w:pPr>
        <w:spacing w:line="360" w:lineRule="auto"/>
        <w:rPr>
          <w:rFonts w:ascii="宋体" w:hAnsi="宋体" w:cs="宋体"/>
          <w:color w:val="auto"/>
          <w:sz w:val="24"/>
          <w:highlight w:val="none"/>
        </w:rPr>
      </w:pPr>
    </w:p>
    <w:p w14:paraId="77BA83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14:paraId="4965F6B8">
      <w:pPr>
        <w:spacing w:line="360" w:lineRule="auto"/>
        <w:jc w:val="center"/>
        <w:rPr>
          <w:rFonts w:ascii="宋体" w:hAnsi="宋体" w:cs="宋体"/>
          <w:b/>
          <w:bCs/>
          <w:color w:val="auto"/>
          <w:sz w:val="52"/>
          <w:highlight w:val="none"/>
        </w:rPr>
      </w:pPr>
    </w:p>
    <w:p w14:paraId="67B6D612">
      <w:pPr>
        <w:spacing w:line="360" w:lineRule="auto"/>
        <w:jc w:val="center"/>
        <w:rPr>
          <w:rFonts w:ascii="宋体" w:hAnsi="宋体" w:cs="宋体"/>
          <w:b/>
          <w:bCs/>
          <w:color w:val="auto"/>
          <w:sz w:val="52"/>
          <w:highlight w:val="none"/>
        </w:rPr>
      </w:pPr>
    </w:p>
    <w:p w14:paraId="6C3F5996">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政 府 采 购</w:t>
      </w:r>
    </w:p>
    <w:p w14:paraId="555CC2A8">
      <w:pPr>
        <w:spacing w:line="360" w:lineRule="auto"/>
        <w:ind w:firstLine="420" w:firstLineChars="200"/>
        <w:rPr>
          <w:rFonts w:ascii="宋体" w:hAnsi="宋体" w:cs="宋体"/>
          <w:color w:val="auto"/>
          <w:highlight w:val="none"/>
        </w:rPr>
      </w:pPr>
    </w:p>
    <w:p w14:paraId="62A487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14:paraId="5CFEF087">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14:paraId="3B5E40B0">
      <w:pPr>
        <w:spacing w:line="360" w:lineRule="auto"/>
        <w:ind w:firstLine="3507" w:firstLineChars="794"/>
        <w:rPr>
          <w:rFonts w:ascii="宋体" w:hAnsi="宋体" w:cs="宋体"/>
          <w:b/>
          <w:bCs/>
          <w:color w:val="auto"/>
          <w:sz w:val="44"/>
          <w:highlight w:val="none"/>
        </w:rPr>
      </w:pPr>
    </w:p>
    <w:p w14:paraId="29E46B04">
      <w:pPr>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14:paraId="3AEA5271">
      <w:pPr>
        <w:ind w:firstLine="1970" w:firstLineChars="545"/>
        <w:rPr>
          <w:rFonts w:ascii="宋体" w:hAnsi="宋体" w:cs="宋体"/>
          <w:b/>
          <w:color w:val="auto"/>
          <w:sz w:val="36"/>
          <w:szCs w:val="36"/>
          <w:highlight w:val="none"/>
          <w:u w:val="single"/>
        </w:rPr>
      </w:pPr>
    </w:p>
    <w:p w14:paraId="4A6998A9">
      <w:pPr>
        <w:pStyle w:val="41"/>
        <w:rPr>
          <w:b/>
          <w:color w:val="auto"/>
          <w:sz w:val="36"/>
          <w:szCs w:val="36"/>
          <w:highlight w:val="none"/>
          <w:u w:val="single"/>
        </w:rPr>
      </w:pPr>
    </w:p>
    <w:p w14:paraId="50125C8B">
      <w:pPr>
        <w:pStyle w:val="41"/>
        <w:rPr>
          <w:b/>
          <w:color w:val="auto"/>
          <w:sz w:val="36"/>
          <w:szCs w:val="36"/>
          <w:highlight w:val="none"/>
          <w:u w:val="single"/>
        </w:rPr>
      </w:pPr>
    </w:p>
    <w:p w14:paraId="6B750F78">
      <w:pPr>
        <w:pStyle w:val="41"/>
        <w:rPr>
          <w:b/>
          <w:color w:val="auto"/>
          <w:sz w:val="36"/>
          <w:szCs w:val="36"/>
          <w:highlight w:val="none"/>
          <w:u w:val="single"/>
        </w:rPr>
      </w:pPr>
    </w:p>
    <w:p w14:paraId="04DF59AC">
      <w:pPr>
        <w:pStyle w:val="41"/>
        <w:rPr>
          <w:b/>
          <w:color w:val="auto"/>
          <w:sz w:val="36"/>
          <w:szCs w:val="36"/>
          <w:highlight w:val="none"/>
          <w:u w:val="single"/>
        </w:rPr>
      </w:pPr>
    </w:p>
    <w:p w14:paraId="077FBE54">
      <w:pPr>
        <w:tabs>
          <w:tab w:val="left" w:pos="7200"/>
        </w:tabs>
        <w:spacing w:line="360" w:lineRule="auto"/>
        <w:ind w:firstLine="1995" w:firstLineChars="552"/>
        <w:rPr>
          <w:rFonts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德保县林业局  </w:t>
      </w:r>
    </w:p>
    <w:p w14:paraId="4AB561C0">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14:paraId="2B73D64C">
      <w:pPr>
        <w:spacing w:before="120" w:line="360" w:lineRule="auto"/>
        <w:ind w:firstLine="960" w:firstLineChars="400"/>
        <w:rPr>
          <w:rFonts w:ascii="宋体" w:hAnsi="宋体" w:cs="宋体"/>
          <w:color w:val="auto"/>
          <w:sz w:val="24"/>
          <w:highlight w:val="none"/>
        </w:rPr>
      </w:pPr>
    </w:p>
    <w:p w14:paraId="15F0E965">
      <w:pPr>
        <w:spacing w:before="120" w:line="360" w:lineRule="auto"/>
        <w:ind w:firstLine="960" w:firstLineChars="400"/>
        <w:rPr>
          <w:rFonts w:ascii="宋体" w:hAnsi="宋体" w:cs="宋体"/>
          <w:color w:val="auto"/>
          <w:sz w:val="24"/>
          <w:highlight w:val="none"/>
        </w:rPr>
      </w:pPr>
    </w:p>
    <w:p w14:paraId="56367B9E">
      <w:pPr>
        <w:spacing w:before="120" w:line="360" w:lineRule="auto"/>
        <w:ind w:firstLine="2280" w:firstLineChars="950"/>
        <w:rPr>
          <w:rFonts w:ascii="宋体" w:hAnsi="宋体" w:cs="宋体"/>
          <w:b/>
          <w:bCs/>
          <w:color w:val="auto"/>
          <w:sz w:val="44"/>
          <w:highlight w:val="non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3313185">
      <w:pPr>
        <w:pStyle w:val="18"/>
        <w:snapToGrid w:val="0"/>
        <w:spacing w:line="400" w:lineRule="exact"/>
        <w:jc w:val="center"/>
        <w:rPr>
          <w:rFonts w:hAnsi="宋体" w:cs="宋体"/>
          <w:b/>
          <w:bCs/>
          <w:color w:val="auto"/>
          <w:sz w:val="44"/>
          <w:highlight w:val="none"/>
        </w:rPr>
      </w:pPr>
      <w:r>
        <w:rPr>
          <w:rFonts w:hint="eastAsia" w:hAnsi="宋体" w:cs="宋体"/>
          <w:b/>
          <w:bCs/>
          <w:color w:val="auto"/>
          <w:sz w:val="44"/>
          <w:highlight w:val="none"/>
        </w:rPr>
        <w:br w:type="page"/>
      </w:r>
      <w:r>
        <w:rPr>
          <w:rFonts w:hint="eastAsia" w:hAnsi="宋体" w:cs="宋体"/>
          <w:b/>
          <w:color w:val="auto"/>
          <w:sz w:val="36"/>
          <w:highlight w:val="none"/>
        </w:rPr>
        <w:t>拟签订的合同文本</w:t>
      </w:r>
    </w:p>
    <w:p w14:paraId="11457BFC">
      <w:pPr>
        <w:pStyle w:val="18"/>
        <w:snapToGrid w:val="0"/>
        <w:spacing w:line="400" w:lineRule="exact"/>
        <w:rPr>
          <w:rFonts w:hAnsi="宋体" w:cs="宋体"/>
          <w:b/>
          <w:bCs/>
          <w:color w:val="auto"/>
          <w:sz w:val="44"/>
          <w:highlight w:val="none"/>
        </w:rPr>
      </w:pPr>
    </w:p>
    <w:p w14:paraId="31B21CA9">
      <w:pPr>
        <w:pStyle w:val="18"/>
        <w:snapToGrid w:val="0"/>
        <w:spacing w:line="400" w:lineRule="exact"/>
        <w:rPr>
          <w:rFonts w:hAnsi="宋体" w:cs="宋体"/>
          <w:b/>
          <w:bCs/>
          <w:color w:val="auto"/>
          <w:sz w:val="24"/>
          <w:szCs w:val="24"/>
          <w:highlight w:val="none"/>
        </w:rPr>
      </w:pPr>
      <w:r>
        <w:rPr>
          <w:rFonts w:hint="eastAsia" w:hAnsi="宋体" w:cs="宋体"/>
          <w:b/>
          <w:bCs/>
          <w:color w:val="auto"/>
          <w:sz w:val="24"/>
          <w:szCs w:val="24"/>
          <w:highlight w:val="none"/>
        </w:rPr>
        <w:t>说明：</w:t>
      </w:r>
    </w:p>
    <w:p w14:paraId="19024D06">
      <w:pPr>
        <w:pStyle w:val="18"/>
        <w:snapToGrid w:val="0"/>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1、本合同书仅供签订正式合同时参考用，正式合同书应包括此参考格式之内容。</w:t>
      </w:r>
    </w:p>
    <w:p w14:paraId="0851998D">
      <w:pPr>
        <w:pStyle w:val="18"/>
        <w:snapToGrid w:val="0"/>
        <w:spacing w:line="400" w:lineRule="exact"/>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2、合同签订双方可根据项目的具体要求进行修订，但合同条款不得与采购文件和中标供应商投标文件有实质性偏离。</w:t>
      </w:r>
    </w:p>
    <w:p w14:paraId="3D7C7CCE">
      <w:pPr>
        <w:pStyle w:val="18"/>
        <w:snapToGrid w:val="0"/>
        <w:spacing w:line="400" w:lineRule="exact"/>
        <w:rPr>
          <w:rFonts w:hAnsi="宋体" w:cs="宋体"/>
          <w:color w:val="auto"/>
          <w:sz w:val="24"/>
          <w:szCs w:val="24"/>
          <w:highlight w:val="none"/>
        </w:rPr>
      </w:pPr>
    </w:p>
    <w:p w14:paraId="6BCCC8B8">
      <w:pPr>
        <w:rPr>
          <w:rFonts w:ascii="宋体" w:hAnsi="宋体" w:cs="宋体"/>
          <w:color w:val="auto"/>
          <w:sz w:val="24"/>
          <w:highlight w:val="none"/>
        </w:rPr>
      </w:pPr>
    </w:p>
    <w:p w14:paraId="2A3D2B8A">
      <w:pPr>
        <w:pStyle w:val="41"/>
        <w:rPr>
          <w:color w:val="auto"/>
          <w:highlight w:val="none"/>
        </w:rPr>
      </w:pPr>
    </w:p>
    <w:p w14:paraId="07BC07CE">
      <w:pPr>
        <w:pStyle w:val="18"/>
        <w:snapToGrid w:val="0"/>
        <w:spacing w:line="40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rPr>
        <w:t>合同名称：</w:t>
      </w:r>
      <w:r>
        <w:rPr>
          <w:rFonts w:hint="eastAsia" w:hAnsi="宋体" w:cs="宋体"/>
          <w:color w:val="auto"/>
          <w:sz w:val="24"/>
          <w:szCs w:val="24"/>
          <w:highlight w:val="none"/>
          <w:u w:val="single"/>
        </w:rPr>
        <w:t xml:space="preserve">                                </w:t>
      </w:r>
    </w:p>
    <w:p w14:paraId="538425ED">
      <w:pPr>
        <w:pStyle w:val="18"/>
        <w:snapToGrid w:val="0"/>
        <w:spacing w:line="400" w:lineRule="exact"/>
        <w:ind w:firstLine="480" w:firstLineChars="200"/>
        <w:rPr>
          <w:rFonts w:hAnsi="宋体" w:cs="宋体"/>
          <w:color w:val="auto"/>
          <w:sz w:val="24"/>
          <w:szCs w:val="24"/>
          <w:highlight w:val="none"/>
          <w:u w:val="single"/>
        </w:rPr>
      </w:pPr>
      <w:r>
        <w:rPr>
          <w:rFonts w:hint="eastAsia" w:hAnsi="宋体" w:cs="宋体"/>
          <w:color w:val="auto"/>
          <w:sz w:val="24"/>
          <w:szCs w:val="24"/>
          <w:highlight w:val="none"/>
        </w:rPr>
        <w:t>合同编号：</w:t>
      </w:r>
      <w:r>
        <w:rPr>
          <w:rFonts w:hint="eastAsia" w:hAnsi="宋体" w:cs="宋体"/>
          <w:color w:val="auto"/>
          <w:sz w:val="24"/>
          <w:szCs w:val="24"/>
          <w:highlight w:val="none"/>
          <w:u w:val="single"/>
        </w:rPr>
        <w:t xml:space="preserve">                                   </w:t>
      </w:r>
    </w:p>
    <w:p w14:paraId="0FAFE8DD">
      <w:pPr>
        <w:pStyle w:val="18"/>
        <w:snapToGrid w:val="0"/>
        <w:spacing w:line="400" w:lineRule="exact"/>
        <w:rPr>
          <w:rFonts w:hAnsi="宋体" w:cs="宋体"/>
          <w:color w:val="auto"/>
          <w:sz w:val="24"/>
          <w:szCs w:val="24"/>
          <w:highlight w:val="none"/>
        </w:rPr>
      </w:pPr>
      <w:r>
        <w:rPr>
          <w:rFonts w:hint="eastAsia" w:hAnsi="宋体" w:cs="宋体"/>
          <w:color w:val="auto"/>
          <w:sz w:val="24"/>
          <w:szCs w:val="24"/>
          <w:highlight w:val="none"/>
        </w:rPr>
        <w:t> </w:t>
      </w:r>
    </w:p>
    <w:p w14:paraId="6A85321C">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甲方：</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Style w:val="84"/>
          <w:rFonts w:hint="eastAsia" w:hAnsi="宋体" w:cs="宋体"/>
          <w:color w:val="auto"/>
          <w:sz w:val="24"/>
          <w:szCs w:val="24"/>
          <w:highlight w:val="none"/>
        </w:rPr>
        <w:t>采购</w:t>
      </w:r>
      <w:r>
        <w:rPr>
          <w:rFonts w:hint="eastAsia" w:hAnsi="宋体" w:cs="宋体"/>
          <w:color w:val="auto"/>
          <w:sz w:val="24"/>
          <w:szCs w:val="24"/>
          <w:highlight w:val="none"/>
        </w:rPr>
        <w:t xml:space="preserve">人）  </w:t>
      </w:r>
    </w:p>
    <w:p w14:paraId="12E0557C">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乙方：</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（成交人）  </w:t>
      </w:r>
    </w:p>
    <w:p w14:paraId="433C2C72">
      <w:pPr>
        <w:pStyle w:val="18"/>
        <w:snapToGrid w:val="0"/>
        <w:spacing w:line="400" w:lineRule="exact"/>
        <w:ind w:firstLine="840" w:firstLineChars="350"/>
        <w:rPr>
          <w:rFonts w:hAnsi="宋体" w:cs="宋体"/>
          <w:color w:val="auto"/>
          <w:sz w:val="24"/>
          <w:szCs w:val="24"/>
          <w:highlight w:val="none"/>
        </w:rPr>
      </w:pPr>
    </w:p>
    <w:p w14:paraId="7681E64E">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甲乙双方同意按下述条款和条件签署本合同书（以下简称合同）：</w:t>
      </w:r>
    </w:p>
    <w:p w14:paraId="706D36D1">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本合同所附下列文件是构成本合同不可分割的部分：</w:t>
      </w:r>
    </w:p>
    <w:p w14:paraId="28DCF321">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（1）供应商提交的全部响应文件和评审过程中经磋商小组和供应商确认签字的补充文件</w:t>
      </w:r>
    </w:p>
    <w:p w14:paraId="3F67EE90">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（2）采购需求</w:t>
      </w:r>
    </w:p>
    <w:p w14:paraId="1137DF49">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（3）成交通知书</w:t>
      </w:r>
    </w:p>
    <w:p w14:paraId="277DA63F">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（4）甲、乙双方商定的补充协议。</w:t>
      </w:r>
    </w:p>
    <w:p w14:paraId="1A5F979B">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本合同是指买方（以下简称甲方）和成交人（以下简称乙方）应共同遵守的基本原则，并作为双方签约的依据。对于合同的其他条款，双方应本着互谅互让的精神，在谈判中协商解决。</w:t>
      </w:r>
    </w:p>
    <w:p w14:paraId="6047CB2E">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制订本合同的依据是：《中华人民共和国政府采购法》、《中华人民共和国民法典》</w:t>
      </w:r>
    </w:p>
    <w:p w14:paraId="3D4A948E">
      <w:pPr>
        <w:pStyle w:val="18"/>
        <w:numPr>
          <w:ilvl w:val="0"/>
          <w:numId w:val="5"/>
        </w:numPr>
        <w:snapToGrid w:val="0"/>
        <w:spacing w:line="400" w:lineRule="exact"/>
        <w:ind w:firstLine="482" w:firstLineChars="200"/>
        <w:rPr>
          <w:rFonts w:hAnsi="宋体" w:cs="宋体"/>
          <w:b/>
          <w:color w:val="auto"/>
          <w:sz w:val="24"/>
          <w:szCs w:val="24"/>
          <w:highlight w:val="none"/>
          <w:u w:val="single"/>
        </w:rPr>
      </w:pPr>
      <w:r>
        <w:rPr>
          <w:rFonts w:hint="eastAsia" w:hAnsi="宋体" w:cs="宋体"/>
          <w:b/>
          <w:color w:val="auto"/>
          <w:sz w:val="24"/>
          <w:szCs w:val="24"/>
          <w:highlight w:val="none"/>
        </w:rPr>
        <w:t xml:space="preserve"> 作业范围：</w:t>
      </w:r>
      <w:r>
        <w:rPr>
          <w:rFonts w:hint="eastAsia" w:hAnsi="宋体" w:cs="宋体"/>
          <w:b/>
          <w:color w:val="auto"/>
          <w:sz w:val="24"/>
          <w:szCs w:val="24"/>
          <w:highlight w:val="none"/>
          <w:u w:val="single"/>
        </w:rPr>
        <w:t xml:space="preserve">                         </w:t>
      </w:r>
    </w:p>
    <w:p w14:paraId="7131D430">
      <w:pPr>
        <w:spacing w:line="400" w:lineRule="exact"/>
        <w:ind w:firstLine="480" w:firstLineChars="200"/>
        <w:rPr>
          <w:rFonts w:ascii="宋体" w:hAnsi="宋体" w:cs="宋体"/>
          <w:color w:val="auto"/>
          <w:sz w:val="24"/>
          <w:highlight w:val="none"/>
        </w:rPr>
      </w:pPr>
    </w:p>
    <w:p w14:paraId="1FA63604">
      <w:pPr>
        <w:pStyle w:val="18"/>
        <w:numPr>
          <w:ilvl w:val="0"/>
          <w:numId w:val="5"/>
        </w:numPr>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 xml:space="preserve"> 工作内容：</w:t>
      </w:r>
      <w:r>
        <w:rPr>
          <w:rFonts w:hint="eastAsia" w:hAnsi="宋体" w:cs="宋体"/>
          <w:b/>
          <w:color w:val="auto"/>
          <w:sz w:val="24"/>
          <w:szCs w:val="24"/>
          <w:highlight w:val="none"/>
          <w:u w:val="single"/>
        </w:rPr>
        <w:t xml:space="preserve">                         </w:t>
      </w:r>
    </w:p>
    <w:p w14:paraId="4673059A">
      <w:pPr>
        <w:pStyle w:val="18"/>
        <w:snapToGrid w:val="0"/>
        <w:spacing w:line="400" w:lineRule="exact"/>
        <w:ind w:firstLine="480" w:firstLineChars="200"/>
        <w:jc w:val="left"/>
        <w:rPr>
          <w:rFonts w:hAnsi="宋体" w:cs="宋体"/>
          <w:color w:val="auto"/>
          <w:sz w:val="24"/>
          <w:szCs w:val="24"/>
          <w:highlight w:val="none"/>
        </w:rPr>
      </w:pPr>
    </w:p>
    <w:p w14:paraId="45AAD018">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第三条  作业技术标准和依据及要求：</w:t>
      </w:r>
      <w:r>
        <w:rPr>
          <w:rFonts w:hint="eastAsia" w:hAnsi="宋体" w:cs="宋体"/>
          <w:b/>
          <w:color w:val="auto"/>
          <w:sz w:val="24"/>
          <w:szCs w:val="24"/>
          <w:highlight w:val="none"/>
          <w:u w:val="single"/>
        </w:rPr>
        <w:t xml:space="preserve">                         </w:t>
      </w:r>
    </w:p>
    <w:p w14:paraId="44FDF8D1">
      <w:pPr>
        <w:pStyle w:val="18"/>
        <w:snapToGrid w:val="0"/>
        <w:spacing w:line="400" w:lineRule="exact"/>
        <w:ind w:firstLine="480" w:firstLineChars="200"/>
        <w:rPr>
          <w:rFonts w:hAnsi="宋体" w:cs="宋体"/>
          <w:color w:val="auto"/>
          <w:sz w:val="24"/>
          <w:szCs w:val="24"/>
          <w:highlight w:val="none"/>
        </w:rPr>
      </w:pPr>
    </w:p>
    <w:p w14:paraId="5E3F4A6F">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第四条 服务费及支付方式：</w:t>
      </w:r>
    </w:p>
    <w:p w14:paraId="3D175C5E">
      <w:pPr>
        <w:pStyle w:val="18"/>
        <w:snapToGrid w:val="0"/>
        <w:spacing w:line="400" w:lineRule="exact"/>
        <w:ind w:firstLine="480" w:firstLineChars="200"/>
        <w:rPr>
          <w:rFonts w:hAnsi="宋体" w:cs="宋体"/>
          <w:bCs/>
          <w:color w:val="auto"/>
          <w:sz w:val="24"/>
          <w:szCs w:val="24"/>
          <w:highlight w:val="none"/>
        </w:rPr>
      </w:pPr>
      <w:r>
        <w:rPr>
          <w:rFonts w:hint="eastAsia" w:hAnsi="宋体" w:cs="宋体"/>
          <w:color w:val="auto"/>
          <w:sz w:val="24"/>
          <w:szCs w:val="24"/>
          <w:highlight w:val="none"/>
        </w:rPr>
        <w:t>4.1项目合同总价款：</w:t>
      </w:r>
    </w:p>
    <w:p w14:paraId="443F4609">
      <w:pPr>
        <w:pStyle w:val="18"/>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4.2服务费支付方式</w:t>
      </w:r>
    </w:p>
    <w:p w14:paraId="1CF1831D">
      <w:pPr>
        <w:pStyle w:val="18"/>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（1）合同签订后10个工作日内，采购人向成交供应商支付合同总价30%作为预付款；</w:t>
      </w:r>
    </w:p>
    <w:p w14:paraId="44D4A723">
      <w:pPr>
        <w:pStyle w:val="18"/>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（2）完成项目总工作量的70%后，采购人向成交供应商支付合同总价的30%；</w:t>
      </w:r>
    </w:p>
    <w:p w14:paraId="63664C2F">
      <w:pPr>
        <w:pStyle w:val="18"/>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（3）成交供应商完成成果，并通过市级论证后10个工作日内，采购人向成交供应商支付合同总价的30%；</w:t>
      </w:r>
    </w:p>
    <w:p w14:paraId="743328BC">
      <w:pPr>
        <w:pStyle w:val="18"/>
        <w:snapToGrid w:val="0"/>
        <w:spacing w:line="400" w:lineRule="exact"/>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（4）最终通过各级部门评审合格后支付尾款；</w:t>
      </w:r>
    </w:p>
    <w:p w14:paraId="761AB421">
      <w:pPr>
        <w:pStyle w:val="18"/>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（5）成交供应商按规定向采购人开具正式发票。</w:t>
      </w:r>
    </w:p>
    <w:p w14:paraId="797D56A3">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第五条  甲方义务</w:t>
      </w:r>
    </w:p>
    <w:p w14:paraId="5871A6C5">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1、协助乙方顺利进入现场工作，并为乙方提供工作便利。</w:t>
      </w:r>
    </w:p>
    <w:p w14:paraId="1B17C1A3">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2、负责组织协调普查工作。</w:t>
      </w:r>
    </w:p>
    <w:p w14:paraId="796C5D88">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第六条 乙方的义务</w:t>
      </w:r>
    </w:p>
    <w:p w14:paraId="4D4D2A02">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1、签订合同后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天内进场开始相关工作。</w:t>
      </w:r>
    </w:p>
    <w:p w14:paraId="24517575">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2、乙方应按合同规定的工作内容和要求确保项目的完成。</w:t>
      </w:r>
    </w:p>
    <w:p w14:paraId="6413BE1A">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3、项目生产成果经验收合格后，成交人完成按合同要求移交数据成果，按后续服务承诺提供后续服务。</w:t>
      </w:r>
    </w:p>
    <w:p w14:paraId="6470D8EA">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第七条 乙方向甲方交付成果：</w:t>
      </w:r>
    </w:p>
    <w:p w14:paraId="583E714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合同签订之日起至60天内提交成果（如自治区林业局另有规定的，从其规定）</w:t>
      </w:r>
      <w:r>
        <w:rPr>
          <w:rFonts w:hint="eastAsia" w:ascii="宋体" w:hAnsi="宋体" w:cs="宋体"/>
          <w:color w:val="auto"/>
          <w:sz w:val="24"/>
          <w:highlight w:val="none"/>
        </w:rPr>
        <w:t>。</w:t>
      </w:r>
    </w:p>
    <w:p w14:paraId="6E8DB78B">
      <w:pPr>
        <w:pStyle w:val="18"/>
        <w:snapToGrid w:val="0"/>
        <w:spacing w:line="40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第八条</w:t>
      </w:r>
      <w:r>
        <w:rPr>
          <w:rFonts w:hint="eastAsia" w:hAnsi="宋体" w:cs="宋体"/>
          <w:color w:val="auto"/>
          <w:sz w:val="24"/>
          <w:szCs w:val="24"/>
          <w:highlight w:val="none"/>
        </w:rPr>
        <w:t xml:space="preserve">  对乙方生产成果的所有权、使用权和著作权归属的约定：</w:t>
      </w:r>
    </w:p>
    <w:p w14:paraId="4DC73326">
      <w:pPr>
        <w:pStyle w:val="18"/>
        <w:snapToGrid w:val="0"/>
        <w:spacing w:line="400" w:lineRule="exact"/>
        <w:ind w:firstLine="480" w:firstLineChars="200"/>
        <w:rPr>
          <w:rFonts w:hAnsi="宋体" w:cs="宋体"/>
          <w:bCs/>
          <w:color w:val="auto"/>
          <w:sz w:val="24"/>
          <w:szCs w:val="24"/>
          <w:highlight w:val="none"/>
        </w:rPr>
      </w:pPr>
      <w:r>
        <w:rPr>
          <w:rFonts w:hint="eastAsia" w:hAnsi="宋体" w:cs="宋体"/>
          <w:bCs/>
          <w:color w:val="auto"/>
          <w:sz w:val="24"/>
          <w:szCs w:val="24"/>
          <w:highlight w:val="none"/>
        </w:rPr>
        <w:t>乙方生产的本项目成果资料的所有权、使用权和著作权归甲方所有，乙方未经甲方同意不得以任何形式向第三方提供及传播。</w:t>
      </w:r>
    </w:p>
    <w:p w14:paraId="6E02291F">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第九条  甲方违约责任</w:t>
      </w:r>
    </w:p>
    <w:p w14:paraId="63F06ED0">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1、甲方应按期提供项目基础资料和必要的测绘成果。否则，工期顺延。</w:t>
      </w:r>
    </w:p>
    <w:p w14:paraId="19D818C7">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2、付款时间每拖延一天按 1 ‰支付给乙方。</w:t>
      </w:r>
    </w:p>
    <w:p w14:paraId="123B3D66">
      <w:pPr>
        <w:pStyle w:val="18"/>
        <w:snapToGrid w:val="0"/>
        <w:spacing w:line="400" w:lineRule="exact"/>
        <w:ind w:firstLine="482" w:firstLineChars="200"/>
        <w:rPr>
          <w:rFonts w:hAnsi="宋体" w:cs="宋体"/>
          <w:b/>
          <w:color w:val="auto"/>
          <w:sz w:val="24"/>
          <w:szCs w:val="24"/>
          <w:highlight w:val="none"/>
        </w:rPr>
      </w:pPr>
      <w:r>
        <w:rPr>
          <w:rFonts w:hint="eastAsia" w:hAnsi="宋体" w:cs="宋体"/>
          <w:b/>
          <w:color w:val="auto"/>
          <w:sz w:val="24"/>
          <w:szCs w:val="24"/>
          <w:highlight w:val="none"/>
        </w:rPr>
        <w:t>第十条  乙方违约责任</w:t>
      </w:r>
    </w:p>
    <w:p w14:paraId="05AF20E4">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1、乙方未能按合同规定的日期提交项目成果时，应向甲方偿付拖期损失费，每天的拖期损失费按本合同约定的工程总价款的 1 ‰计算。</w:t>
      </w:r>
    </w:p>
    <w:p w14:paraId="2A8D6C19">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2、乙方提供的项目成果质量不合格，乙方应负责无偿给予返工直至合格以上。返工时间视作拖延工期（甲方同意除外）。</w:t>
      </w:r>
    </w:p>
    <w:p w14:paraId="0E78C770">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3、对于甲方提供的资料以及属于甲方的项目成果，乙方有义务从国家安全的高度做好项目成果资料的保密工作，不得向第三方转让，否则，甲方有权追究乙方因此造成的与成果造价相等的经济损失的责任。</w:t>
      </w:r>
    </w:p>
    <w:p w14:paraId="4A87CAAF">
      <w:pPr>
        <w:pStyle w:val="18"/>
        <w:snapToGrid w:val="0"/>
        <w:spacing w:line="40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第十一条</w:t>
      </w:r>
      <w:r>
        <w:rPr>
          <w:rFonts w:hint="eastAsia" w:hAnsi="宋体" w:cs="宋体"/>
          <w:color w:val="auto"/>
          <w:sz w:val="24"/>
          <w:szCs w:val="24"/>
          <w:highlight w:val="none"/>
        </w:rPr>
        <w:t xml:space="preserve">  由于不可抗力，致使合同无法履行时，双方应按有关法律、法规及时协商处理。</w:t>
      </w:r>
    </w:p>
    <w:p w14:paraId="567781DA">
      <w:pPr>
        <w:pStyle w:val="18"/>
        <w:snapToGrid w:val="0"/>
        <w:spacing w:line="40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第十二条</w:t>
      </w:r>
      <w:r>
        <w:rPr>
          <w:rFonts w:hint="eastAsia" w:hAnsi="宋体" w:cs="宋体"/>
          <w:color w:val="auto"/>
          <w:sz w:val="24"/>
          <w:szCs w:val="24"/>
          <w:highlight w:val="none"/>
        </w:rPr>
        <w:t xml:space="preserve">  本合同执行过程中的未尽事宜，双方应本着实事求是友好协商的态度加以解决。双方协商一致的，签订补充协议，补充协议与本合同具有同等效力。</w:t>
      </w:r>
    </w:p>
    <w:p w14:paraId="41BD5FB6">
      <w:pPr>
        <w:pStyle w:val="18"/>
        <w:snapToGrid w:val="0"/>
        <w:spacing w:line="40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第十三条</w:t>
      </w:r>
      <w:r>
        <w:rPr>
          <w:rFonts w:hint="eastAsia" w:hAnsi="宋体" w:cs="宋体"/>
          <w:color w:val="auto"/>
          <w:sz w:val="24"/>
          <w:szCs w:val="24"/>
          <w:highlight w:val="none"/>
        </w:rPr>
        <w:t xml:space="preserve">  因合同执行过程中双方发生纠纷，可由甲、乙双方协商解决，若达不成协议，甲、乙双方同意就本合同产生的纠纷向仲裁委员会申请仲裁（甲、乙双方不在合同中约定仲裁机构的，事后又没有达成书面仲裁协议的，可向有管辖权的人民法院起诉）。</w:t>
      </w:r>
    </w:p>
    <w:p w14:paraId="190DA8F4">
      <w:pPr>
        <w:pStyle w:val="18"/>
        <w:snapToGrid w:val="0"/>
        <w:spacing w:line="400" w:lineRule="exact"/>
        <w:ind w:firstLine="482" w:firstLineChars="200"/>
        <w:rPr>
          <w:rFonts w:hAnsi="宋体" w:cs="宋体"/>
          <w:color w:val="auto"/>
          <w:sz w:val="24"/>
          <w:szCs w:val="24"/>
          <w:highlight w:val="none"/>
        </w:rPr>
      </w:pPr>
      <w:r>
        <w:rPr>
          <w:rFonts w:hint="eastAsia" w:hAnsi="宋体" w:cs="宋体"/>
          <w:b/>
          <w:color w:val="auto"/>
          <w:sz w:val="24"/>
          <w:szCs w:val="24"/>
          <w:highlight w:val="none"/>
        </w:rPr>
        <w:t>第十四条</w:t>
      </w:r>
      <w:r>
        <w:rPr>
          <w:rFonts w:hint="eastAsia" w:hAnsi="宋体" w:cs="宋体"/>
          <w:color w:val="auto"/>
          <w:sz w:val="24"/>
          <w:szCs w:val="24"/>
          <w:highlight w:val="none"/>
        </w:rPr>
        <w:t xml:space="preserve">  </w:t>
      </w:r>
      <w:r>
        <w:rPr>
          <w:rFonts w:hint="eastAsia" w:hAnsi="宋体" w:cs="宋体"/>
          <w:b/>
          <w:color w:val="auto"/>
          <w:sz w:val="24"/>
          <w:szCs w:val="24"/>
          <w:highlight w:val="none"/>
        </w:rPr>
        <w:t>附则</w:t>
      </w:r>
    </w:p>
    <w:p w14:paraId="3C175855">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1、本合同由甲、乙双方法定代表人签字，加盖甲、乙双方公章或合同专用章即生效。全部成果交接完毕和测绘工程费结算付款完成后，本合同终止。</w:t>
      </w:r>
    </w:p>
    <w:p w14:paraId="66A4777D">
      <w:pPr>
        <w:pStyle w:val="18"/>
        <w:snapToGrid w:val="0"/>
        <w:spacing w:line="4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2、本合同正本一式六份，甲、乙双方各二份，采购代理机构及监督管理部门各执一份。  </w:t>
      </w:r>
    </w:p>
    <w:p w14:paraId="4E88E29B">
      <w:pPr>
        <w:pStyle w:val="18"/>
        <w:spacing w:line="400" w:lineRule="exact"/>
        <w:jc w:val="center"/>
        <w:rPr>
          <w:rFonts w:hAnsi="宋体" w:cs="宋体"/>
          <w:color w:val="auto"/>
          <w:sz w:val="24"/>
          <w:szCs w:val="24"/>
          <w:highlight w:val="none"/>
        </w:rPr>
      </w:pPr>
      <w:r>
        <w:rPr>
          <w:rFonts w:hint="eastAsia" w:hAnsi="宋体" w:cs="宋体"/>
          <w:color w:val="auto"/>
          <w:sz w:val="24"/>
          <w:szCs w:val="24"/>
          <w:highlight w:val="none"/>
        </w:rPr>
        <w:t xml:space="preserve"> </w:t>
      </w:r>
    </w:p>
    <w:p w14:paraId="746A393C">
      <w:pPr>
        <w:pStyle w:val="18"/>
        <w:spacing w:line="400" w:lineRule="exact"/>
        <w:jc w:val="center"/>
        <w:rPr>
          <w:rFonts w:hAnsi="宋体" w:cs="宋体"/>
          <w:color w:val="auto"/>
          <w:sz w:val="24"/>
          <w:szCs w:val="24"/>
          <w:highlight w:val="none"/>
        </w:rPr>
      </w:pPr>
      <w:r>
        <w:rPr>
          <w:rFonts w:hint="eastAsia" w:hAnsi="宋体" w:cs="宋体"/>
          <w:color w:val="auto"/>
          <w:sz w:val="24"/>
          <w:szCs w:val="24"/>
          <w:highlight w:val="none"/>
        </w:rPr>
        <w:t xml:space="preserve">  本页以下无正文</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7"/>
        <w:gridCol w:w="4973"/>
      </w:tblGrid>
      <w:tr w14:paraId="49C3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867" w:type="dxa"/>
            <w:tcBorders>
              <w:top w:val="single" w:color="auto" w:sz="4" w:space="0"/>
              <w:left w:val="single" w:color="auto" w:sz="4" w:space="0"/>
              <w:bottom w:val="single" w:color="auto" w:sz="4" w:space="0"/>
              <w:right w:val="single" w:color="auto" w:sz="4" w:space="0"/>
            </w:tcBorders>
            <w:vAlign w:val="center"/>
          </w:tcPr>
          <w:p w14:paraId="2A22A657">
            <w:pPr>
              <w:pStyle w:val="18"/>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甲  方</w:t>
            </w:r>
          </w:p>
        </w:tc>
        <w:tc>
          <w:tcPr>
            <w:tcW w:w="4973" w:type="dxa"/>
            <w:tcBorders>
              <w:top w:val="single" w:color="auto" w:sz="4" w:space="0"/>
              <w:left w:val="single" w:color="auto" w:sz="4" w:space="0"/>
              <w:bottom w:val="single" w:color="auto" w:sz="4" w:space="0"/>
              <w:right w:val="single" w:color="auto" w:sz="4" w:space="0"/>
            </w:tcBorders>
            <w:vAlign w:val="center"/>
          </w:tcPr>
          <w:p w14:paraId="0E540EAE">
            <w:pPr>
              <w:pStyle w:val="18"/>
              <w:spacing w:line="360" w:lineRule="auto"/>
              <w:jc w:val="center"/>
              <w:rPr>
                <w:rFonts w:hAnsi="宋体" w:cs="宋体"/>
                <w:b/>
                <w:color w:val="auto"/>
                <w:sz w:val="24"/>
                <w:szCs w:val="24"/>
                <w:highlight w:val="none"/>
              </w:rPr>
            </w:pPr>
            <w:r>
              <w:rPr>
                <w:rFonts w:hint="eastAsia" w:hAnsi="宋体" w:cs="宋体"/>
                <w:b/>
                <w:color w:val="auto"/>
                <w:sz w:val="24"/>
                <w:szCs w:val="24"/>
                <w:highlight w:val="none"/>
              </w:rPr>
              <w:t>乙  方</w:t>
            </w:r>
          </w:p>
        </w:tc>
      </w:tr>
      <w:tr w14:paraId="58F2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4867" w:type="dxa"/>
            <w:tcBorders>
              <w:top w:val="single" w:color="auto" w:sz="4" w:space="0"/>
              <w:left w:val="single" w:color="auto" w:sz="4" w:space="0"/>
              <w:bottom w:val="single" w:color="auto" w:sz="4" w:space="0"/>
              <w:right w:val="single" w:color="auto" w:sz="4" w:space="0"/>
            </w:tcBorders>
          </w:tcPr>
          <w:p w14:paraId="7CDE9C1C">
            <w:pPr>
              <w:pStyle w:val="18"/>
              <w:spacing w:line="360" w:lineRule="auto"/>
              <w:rPr>
                <w:rFonts w:hAnsi="宋体" w:cs="宋体"/>
                <w:color w:val="auto"/>
                <w:sz w:val="24"/>
                <w:szCs w:val="24"/>
                <w:highlight w:val="none"/>
              </w:rPr>
            </w:pPr>
          </w:p>
          <w:p w14:paraId="0317E4BF">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甲方（章）: </w:t>
            </w:r>
          </w:p>
          <w:p w14:paraId="46AF2F8E">
            <w:pPr>
              <w:pStyle w:val="18"/>
              <w:spacing w:line="360" w:lineRule="auto"/>
              <w:rPr>
                <w:rFonts w:hAnsi="宋体" w:cs="宋体"/>
                <w:color w:val="auto"/>
                <w:sz w:val="24"/>
                <w:szCs w:val="24"/>
                <w:highlight w:val="none"/>
              </w:rPr>
            </w:pPr>
          </w:p>
          <w:p w14:paraId="49C02EF5">
            <w:pPr>
              <w:pStyle w:val="18"/>
              <w:spacing w:line="360" w:lineRule="auto"/>
              <w:rPr>
                <w:rFonts w:hAnsi="宋体" w:cs="宋体"/>
                <w:color w:val="auto"/>
                <w:sz w:val="24"/>
                <w:szCs w:val="24"/>
                <w:highlight w:val="none"/>
              </w:rPr>
            </w:pPr>
            <w:r>
              <w:rPr>
                <w:rFonts w:hint="eastAsia" w:hAnsi="宋体" w:cs="宋体"/>
                <w:color w:val="auto"/>
                <w:sz w:val="24"/>
                <w:szCs w:val="24"/>
                <w:highlight w:val="none"/>
              </w:rPr>
              <w:t>法定代表人或</w:t>
            </w:r>
          </w:p>
          <w:p w14:paraId="6CD64BB6">
            <w:pPr>
              <w:pStyle w:val="18"/>
              <w:spacing w:line="360" w:lineRule="auto"/>
              <w:rPr>
                <w:rFonts w:hAnsi="宋体" w:cs="宋体"/>
                <w:color w:val="auto"/>
                <w:sz w:val="24"/>
                <w:szCs w:val="24"/>
                <w:highlight w:val="none"/>
              </w:rPr>
            </w:pPr>
            <w:r>
              <w:rPr>
                <w:rFonts w:hint="eastAsia" w:hAnsi="宋体" w:cs="宋体"/>
                <w:color w:val="auto"/>
                <w:sz w:val="24"/>
                <w:szCs w:val="24"/>
                <w:highlight w:val="none"/>
              </w:rPr>
              <w:t>委托代理人:</w:t>
            </w:r>
          </w:p>
          <w:p w14:paraId="742375BB">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地址: </w:t>
            </w:r>
          </w:p>
          <w:p w14:paraId="0F688770">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电话: </w:t>
            </w:r>
          </w:p>
          <w:p w14:paraId="38209AF2">
            <w:pPr>
              <w:pStyle w:val="18"/>
              <w:spacing w:line="360" w:lineRule="auto"/>
              <w:rPr>
                <w:rFonts w:hAnsi="宋体" w:cs="宋体"/>
                <w:color w:val="auto"/>
                <w:sz w:val="24"/>
                <w:szCs w:val="24"/>
                <w:highlight w:val="none"/>
              </w:rPr>
            </w:pPr>
            <w:r>
              <w:rPr>
                <w:rFonts w:hint="eastAsia" w:hAnsi="宋体" w:cs="宋体"/>
                <w:color w:val="auto"/>
                <w:sz w:val="24"/>
                <w:szCs w:val="24"/>
                <w:highlight w:val="none"/>
              </w:rPr>
              <w:t>传真：</w:t>
            </w:r>
          </w:p>
          <w:p w14:paraId="55E505C9">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开户银行: </w:t>
            </w:r>
          </w:p>
          <w:p w14:paraId="4E1BE1FC">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户名: </w:t>
            </w:r>
          </w:p>
          <w:p w14:paraId="1EB964F4">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账号: </w:t>
            </w:r>
          </w:p>
          <w:p w14:paraId="4962A767">
            <w:pPr>
              <w:pStyle w:val="18"/>
              <w:spacing w:line="360" w:lineRule="auto"/>
              <w:rPr>
                <w:rFonts w:hAnsi="宋体" w:cs="宋体"/>
                <w:color w:val="auto"/>
                <w:sz w:val="24"/>
                <w:szCs w:val="24"/>
                <w:highlight w:val="none"/>
              </w:rPr>
            </w:pPr>
            <w:r>
              <w:rPr>
                <w:rFonts w:hint="eastAsia" w:hAnsi="宋体" w:cs="宋体"/>
                <w:color w:val="auto"/>
                <w:sz w:val="24"/>
                <w:szCs w:val="24"/>
                <w:highlight w:val="none"/>
              </w:rPr>
              <w:t>邮政编码:</w:t>
            </w:r>
          </w:p>
        </w:tc>
        <w:tc>
          <w:tcPr>
            <w:tcW w:w="4973" w:type="dxa"/>
            <w:tcBorders>
              <w:top w:val="single" w:color="auto" w:sz="4" w:space="0"/>
              <w:left w:val="single" w:color="auto" w:sz="4" w:space="0"/>
              <w:bottom w:val="single" w:color="auto" w:sz="4" w:space="0"/>
              <w:right w:val="single" w:color="auto" w:sz="4" w:space="0"/>
            </w:tcBorders>
          </w:tcPr>
          <w:p w14:paraId="68BCEE30">
            <w:pPr>
              <w:pStyle w:val="18"/>
              <w:spacing w:line="360" w:lineRule="auto"/>
              <w:rPr>
                <w:rFonts w:hAnsi="宋体" w:cs="宋体"/>
                <w:color w:val="auto"/>
                <w:sz w:val="24"/>
                <w:szCs w:val="24"/>
                <w:highlight w:val="none"/>
              </w:rPr>
            </w:pPr>
          </w:p>
          <w:p w14:paraId="330A8420">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乙方（章）: </w:t>
            </w:r>
          </w:p>
          <w:p w14:paraId="357B8D8D">
            <w:pPr>
              <w:pStyle w:val="18"/>
              <w:spacing w:line="360" w:lineRule="auto"/>
              <w:rPr>
                <w:rFonts w:hAnsi="宋体" w:cs="宋体"/>
                <w:color w:val="auto"/>
                <w:sz w:val="24"/>
                <w:szCs w:val="24"/>
                <w:highlight w:val="none"/>
              </w:rPr>
            </w:pPr>
            <w:r>
              <w:rPr>
                <w:rFonts w:hint="eastAsia" w:hAnsi="宋体" w:cs="宋体"/>
                <w:color w:val="auto"/>
                <w:sz w:val="24"/>
                <w:szCs w:val="24"/>
                <w:highlight w:val="none"/>
              </w:rPr>
              <w:t>法定代表人或</w:t>
            </w:r>
          </w:p>
          <w:p w14:paraId="5FF23077">
            <w:pPr>
              <w:pStyle w:val="18"/>
              <w:spacing w:line="360" w:lineRule="auto"/>
              <w:rPr>
                <w:rFonts w:hAnsi="宋体" w:cs="宋体"/>
                <w:color w:val="auto"/>
                <w:sz w:val="24"/>
                <w:szCs w:val="24"/>
                <w:highlight w:val="none"/>
              </w:rPr>
            </w:pPr>
            <w:r>
              <w:rPr>
                <w:rFonts w:hint="eastAsia" w:hAnsi="宋体" w:cs="宋体"/>
                <w:color w:val="auto"/>
                <w:sz w:val="24"/>
                <w:szCs w:val="24"/>
                <w:highlight w:val="none"/>
              </w:rPr>
              <w:t>委托代理人:</w:t>
            </w:r>
          </w:p>
          <w:p w14:paraId="693A21B1">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地址: </w:t>
            </w:r>
          </w:p>
          <w:p w14:paraId="762B62AE">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电话: </w:t>
            </w:r>
          </w:p>
          <w:p w14:paraId="7975B62D">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传真:  </w:t>
            </w:r>
          </w:p>
          <w:p w14:paraId="33DADE0D">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开户银行: </w:t>
            </w:r>
          </w:p>
          <w:p w14:paraId="6E855C61">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户名: </w:t>
            </w:r>
          </w:p>
          <w:p w14:paraId="0D35F645">
            <w:pPr>
              <w:pStyle w:val="18"/>
              <w:spacing w:line="360" w:lineRule="auto"/>
              <w:rPr>
                <w:rFonts w:hAnsi="宋体" w:cs="宋体"/>
                <w:color w:val="auto"/>
                <w:sz w:val="24"/>
                <w:szCs w:val="24"/>
                <w:highlight w:val="none"/>
              </w:rPr>
            </w:pPr>
            <w:r>
              <w:rPr>
                <w:rFonts w:hint="eastAsia" w:hAnsi="宋体" w:cs="宋体"/>
                <w:color w:val="auto"/>
                <w:sz w:val="24"/>
                <w:szCs w:val="24"/>
                <w:highlight w:val="none"/>
              </w:rPr>
              <w:t>账号:</w:t>
            </w:r>
          </w:p>
          <w:p w14:paraId="6A356073">
            <w:pPr>
              <w:pStyle w:val="18"/>
              <w:spacing w:line="360" w:lineRule="auto"/>
              <w:rPr>
                <w:rFonts w:hAnsi="宋体" w:cs="宋体"/>
                <w:color w:val="auto"/>
                <w:sz w:val="24"/>
                <w:szCs w:val="24"/>
                <w:highlight w:val="none"/>
              </w:rPr>
            </w:pPr>
            <w:r>
              <w:rPr>
                <w:rFonts w:hint="eastAsia" w:hAnsi="宋体" w:cs="宋体"/>
                <w:color w:val="auto"/>
                <w:sz w:val="24"/>
                <w:szCs w:val="24"/>
                <w:highlight w:val="none"/>
              </w:rPr>
              <w:t xml:space="preserve">邮政编码: </w:t>
            </w:r>
          </w:p>
          <w:p w14:paraId="1CC1FC23">
            <w:pPr>
              <w:pStyle w:val="18"/>
              <w:spacing w:line="360" w:lineRule="auto"/>
              <w:rPr>
                <w:rFonts w:hAnsi="宋体" w:cs="宋体"/>
                <w:color w:val="auto"/>
                <w:sz w:val="24"/>
                <w:szCs w:val="24"/>
                <w:highlight w:val="none"/>
              </w:rPr>
            </w:pPr>
            <w:r>
              <w:rPr>
                <w:rFonts w:hint="eastAsia" w:hAnsi="宋体" w:cs="宋体"/>
                <w:color w:val="auto"/>
                <w:sz w:val="24"/>
                <w:szCs w:val="24"/>
                <w:highlight w:val="none"/>
              </w:rPr>
              <w:t>纳税人识别号：</w:t>
            </w:r>
          </w:p>
        </w:tc>
      </w:tr>
    </w:tbl>
    <w:p w14:paraId="6D44086A">
      <w:pPr>
        <w:tabs>
          <w:tab w:val="left" w:pos="904"/>
        </w:tabs>
        <w:adjustRightInd w:val="0"/>
        <w:snapToGrid w:val="0"/>
        <w:spacing w:line="360" w:lineRule="auto"/>
        <w:ind w:firstLine="241" w:firstLineChars="100"/>
        <w:jc w:val="left"/>
        <w:rPr>
          <w:rFonts w:ascii="宋体" w:hAnsi="宋体" w:cs="宋体"/>
          <w:b/>
          <w:color w:val="auto"/>
          <w:sz w:val="24"/>
          <w:highlight w:val="none"/>
        </w:rPr>
      </w:pPr>
    </w:p>
    <w:p w14:paraId="6603B953">
      <w:pPr>
        <w:rPr>
          <w:rFonts w:ascii="宋体" w:hAnsi="宋体" w:cs="宋体"/>
          <w:color w:val="auto"/>
          <w:sz w:val="24"/>
          <w:highlight w:val="none"/>
        </w:rPr>
      </w:pPr>
    </w:p>
    <w:p w14:paraId="37E997DE">
      <w:pPr>
        <w:pStyle w:val="15"/>
        <w:rPr>
          <w:rFonts w:ascii="宋体" w:hAnsi="宋体" w:cs="宋体"/>
          <w:color w:val="auto"/>
          <w:highlight w:val="none"/>
        </w:rPr>
      </w:pPr>
    </w:p>
    <w:p w14:paraId="1773FD03">
      <w:pPr>
        <w:snapToGrid w:val="0"/>
        <w:spacing w:line="360" w:lineRule="auto"/>
        <w:rPr>
          <w:rFonts w:ascii="宋体" w:hAnsi="宋体" w:cs="宋体"/>
          <w:b/>
          <w:color w:val="auto"/>
          <w:szCs w:val="21"/>
          <w:highlight w:val="none"/>
        </w:rPr>
      </w:pPr>
    </w:p>
    <w:sectPr>
      <w:footerReference r:id="rId6" w:type="first"/>
      <w:footerReference r:id="rId5" w:type="default"/>
      <w:pgSz w:w="11906" w:h="16838"/>
      <w:pgMar w:top="1440" w:right="1080" w:bottom="1440" w:left="130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54170EB2-9057-4365-97DA-1CE8566B5141}"/>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embedRegular r:id="rId2" w:fontKey="{0C9CE805-CAA5-45E2-881E-89D773D7FF08}"/>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EC105BF2-B50B-4ED4-94FD-F1CC6408DB27}"/>
  </w:font>
  <w:font w:name="方正小标宋简体">
    <w:altName w:val="微软雅黑"/>
    <w:panose1 w:val="00000000000000000000"/>
    <w:charset w:val="86"/>
    <w:family w:val="script"/>
    <w:pitch w:val="default"/>
    <w:sig w:usb0="00000000" w:usb1="00000000" w:usb2="00000000" w:usb3="00000000" w:csb0="00040000" w:csb1="00000000"/>
    <w:embedRegular r:id="rId4" w:fontKey="{54CC4F35-2A99-4299-B020-DB4F0C8EB25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B97F">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409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350C8F9">
                          <w:pPr>
                            <w:pStyle w:val="22"/>
                            <w:jc w:val="center"/>
                          </w:pPr>
                          <w:r>
                            <w:fldChar w:fldCharType="begin"/>
                          </w:r>
                          <w:r>
                            <w:instrText xml:space="preserve"> PAGE   \* MERGEFORMAT </w:instrText>
                          </w:r>
                          <w:r>
                            <w:fldChar w:fldCharType="separate"/>
                          </w:r>
                          <w:r>
                            <w:rPr>
                              <w:lang w:val="zh-CN"/>
                            </w:rPr>
                            <w:t>68</w:t>
                          </w:r>
                          <w:r>
                            <w:fldChar w:fldCharType="end"/>
                          </w:r>
                        </w:p>
                      </w:txbxContent>
                    </wps:txbx>
                    <wps:bodyPr rot="0" vert="horz" wrap="none" lIns="0" tIns="0" rIns="0" bIns="0" anchor="t" anchorCtr="0" upright="1">
                      <a:spAutoFit/>
                    </wps:bodyPr>
                  </wps:wsp>
                </a:graphicData>
              </a:graphic>
            </wp:anchor>
          </w:drawing>
        </mc:Choice>
        <mc:Fallback>
          <w:pict>
            <v:shape id="Text Box 4097"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V+SdAAAAADAQAADwAAAAAAAAABACAAAAAiAAAAZHJzL2Rvd25yZXYueG1sUEsB&#10;AhQAFAAAAAgAh07iQNuVDIz9AQAABAQAAA4AAAAAAAAAAQAgAAAAHwEAAGRycy9lMm9Eb2MueG1s&#10;UEsFBgAAAAAGAAYAWQEAAI4FAAAAAA==&#10;">
              <v:fill on="f" focussize="0,0"/>
              <v:stroke on="f"/>
              <v:imagedata o:title=""/>
              <o:lock v:ext="edit" aspectratio="f"/>
              <v:textbox inset="0mm,0mm,0mm,0mm" style="mso-fit-shape-to-text:t;">
                <w:txbxContent>
                  <w:p w14:paraId="3350C8F9">
                    <w:pPr>
                      <w:pStyle w:val="22"/>
                      <w:jc w:val="center"/>
                    </w:pPr>
                    <w:r>
                      <w:fldChar w:fldCharType="begin"/>
                    </w:r>
                    <w:r>
                      <w:instrText xml:space="preserve"> PAGE   \* MERGEFORMAT </w:instrText>
                    </w:r>
                    <w:r>
                      <w:fldChar w:fldCharType="separate"/>
                    </w:r>
                    <w:r>
                      <w:rPr>
                        <w:lang w:val="zh-CN"/>
                      </w:rPr>
                      <w:t>68</w:t>
                    </w:r>
                    <w:r>
                      <w:fldChar w:fldCharType="end"/>
                    </w:r>
                  </w:p>
                </w:txbxContent>
              </v:textbox>
            </v:shape>
          </w:pict>
        </mc:Fallback>
      </mc:AlternateContent>
    </w:r>
  </w:p>
  <w:p w14:paraId="1F834057">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5CAE">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409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117DA37F">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409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IYVWSPwBAAADBAAADgAAAAAAAAABACAAAAAfAQAAZHJzL2Uyb0RvYy54bWxQ&#10;SwUGAAAAAAYABgBZAQAAjQUAAAAA&#10;">
              <v:fill on="f" focussize="0,0"/>
              <v:stroke on="f"/>
              <v:imagedata o:title=""/>
              <o:lock v:ext="edit" aspectratio="f"/>
              <v:textbox inset="0mm,0mm,0mm,0mm" style="mso-fit-shape-to-text:t;">
                <w:txbxContent>
                  <w:p w14:paraId="117DA37F">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6436A">
    <w:pPr>
      <w:pStyle w:val="23"/>
      <w:jc w:val="both"/>
    </w:pPr>
    <w:r>
      <w:rPr>
        <w:rFonts w:hint="eastAsia"/>
      </w:rPr>
      <w:t xml:space="preserve">项目名称：德保县森林草原湿地荒漠化普查项目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58B1">
    <w:pPr>
      <w:pStyle w:val="23"/>
      <w:jc w:val="both"/>
    </w:pPr>
    <w:r>
      <w:rPr>
        <w:rFonts w:hint="eastAsia"/>
      </w:rPr>
      <w:t xml:space="preserve">项目名称：德保县森林草原湿地荒漠化普查项目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ABF54"/>
    <w:multiLevelType w:val="singleLevel"/>
    <w:tmpl w:val="87BABF54"/>
    <w:lvl w:ilvl="0" w:tentative="0">
      <w:start w:val="7"/>
      <w:numFmt w:val="chineseCounting"/>
      <w:suff w:val="nothing"/>
      <w:lvlText w:val="%1、"/>
      <w:lvlJc w:val="left"/>
      <w:rPr>
        <w:rFonts w:hint="eastAsia"/>
      </w:rPr>
    </w:lvl>
  </w:abstractNum>
  <w:abstractNum w:abstractNumId="1">
    <w:nsid w:val="C70FBD95"/>
    <w:multiLevelType w:val="singleLevel"/>
    <w:tmpl w:val="C70FBD95"/>
    <w:lvl w:ilvl="0" w:tentative="0">
      <w:start w:val="1"/>
      <w:numFmt w:val="chineseCounting"/>
      <w:suff w:val="space"/>
      <w:lvlText w:val="第%1章"/>
      <w:lvlJc w:val="left"/>
      <w:rPr>
        <w:rFonts w:hint="eastAsia"/>
      </w:rPr>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384BDB16"/>
    <w:multiLevelType w:val="singleLevel"/>
    <w:tmpl w:val="384BDB16"/>
    <w:lvl w:ilvl="0" w:tentative="0">
      <w:start w:val="1"/>
      <w:numFmt w:val="chineseCounting"/>
      <w:suff w:val="space"/>
      <w:lvlText w:val="第%1条"/>
      <w:lvlJc w:val="left"/>
      <w:pPr>
        <w:ind w:left="0" w:firstLine="0"/>
      </w:pPr>
    </w:lvl>
  </w:abstractNum>
  <w:abstractNum w:abstractNumId="4">
    <w:nsid w:val="4D4DCBCD"/>
    <w:multiLevelType w:val="singleLevel"/>
    <w:tmpl w:val="4D4DCBCD"/>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4"/>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1" w:cryptProviderType="rsaFull" w:cryptAlgorithmClass="hash" w:cryptAlgorithmType="typeAny" w:cryptAlgorithmSid="4" w:cryptSpinCount="0" w:hash="flaC74b5KLDZ+j6zFuLwMG+P6wk=" w:salt="8e0wpOxx5ENtf7fPcdxO4A=="/>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mM1NDVjNTkxNGRlODI1ZThjY2RmNmVkNjNmOGIifQ=="/>
    <w:docVar w:name="KSO_WPS_MARK_KEY" w:val="934b0ce5-7a4e-4933-92ca-08120e4a10f4"/>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298"/>
    <w:rsid w:val="0009560F"/>
    <w:rsid w:val="0009588E"/>
    <w:rsid w:val="000959EE"/>
    <w:rsid w:val="00097183"/>
    <w:rsid w:val="000972CB"/>
    <w:rsid w:val="00097608"/>
    <w:rsid w:val="000A13F3"/>
    <w:rsid w:val="000A23B1"/>
    <w:rsid w:val="000A2B0E"/>
    <w:rsid w:val="000A398F"/>
    <w:rsid w:val="000A448C"/>
    <w:rsid w:val="000A509C"/>
    <w:rsid w:val="000A523B"/>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0BA1"/>
    <w:rsid w:val="00102676"/>
    <w:rsid w:val="00103646"/>
    <w:rsid w:val="00103918"/>
    <w:rsid w:val="00104096"/>
    <w:rsid w:val="00104897"/>
    <w:rsid w:val="00104EDE"/>
    <w:rsid w:val="00105CDA"/>
    <w:rsid w:val="00106BEE"/>
    <w:rsid w:val="00107C74"/>
    <w:rsid w:val="0011091C"/>
    <w:rsid w:val="00111266"/>
    <w:rsid w:val="001112EB"/>
    <w:rsid w:val="00113678"/>
    <w:rsid w:val="00113C3E"/>
    <w:rsid w:val="00115E11"/>
    <w:rsid w:val="00115EEE"/>
    <w:rsid w:val="00115F56"/>
    <w:rsid w:val="00116CA9"/>
    <w:rsid w:val="00116F38"/>
    <w:rsid w:val="001170A4"/>
    <w:rsid w:val="00117AE7"/>
    <w:rsid w:val="00117C1A"/>
    <w:rsid w:val="00117CBD"/>
    <w:rsid w:val="0012006A"/>
    <w:rsid w:val="00121979"/>
    <w:rsid w:val="00122064"/>
    <w:rsid w:val="00122C7F"/>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2B7B"/>
    <w:rsid w:val="001434BE"/>
    <w:rsid w:val="00144050"/>
    <w:rsid w:val="0014479F"/>
    <w:rsid w:val="001452B4"/>
    <w:rsid w:val="00145320"/>
    <w:rsid w:val="00147674"/>
    <w:rsid w:val="001476D3"/>
    <w:rsid w:val="001509CF"/>
    <w:rsid w:val="00150D1D"/>
    <w:rsid w:val="001525AA"/>
    <w:rsid w:val="00152A87"/>
    <w:rsid w:val="00153BB5"/>
    <w:rsid w:val="00154518"/>
    <w:rsid w:val="00156359"/>
    <w:rsid w:val="00156DD6"/>
    <w:rsid w:val="0016086E"/>
    <w:rsid w:val="00160D0C"/>
    <w:rsid w:val="00160E78"/>
    <w:rsid w:val="00161172"/>
    <w:rsid w:val="00161998"/>
    <w:rsid w:val="00161E65"/>
    <w:rsid w:val="00162597"/>
    <w:rsid w:val="001629AF"/>
    <w:rsid w:val="001629FD"/>
    <w:rsid w:val="00162E10"/>
    <w:rsid w:val="0016428A"/>
    <w:rsid w:val="001647C9"/>
    <w:rsid w:val="00165140"/>
    <w:rsid w:val="00165627"/>
    <w:rsid w:val="001661A3"/>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735E"/>
    <w:rsid w:val="001D73C8"/>
    <w:rsid w:val="001D7BC6"/>
    <w:rsid w:val="001E129E"/>
    <w:rsid w:val="001E175C"/>
    <w:rsid w:val="001E1B0E"/>
    <w:rsid w:val="001E5A94"/>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114C7"/>
    <w:rsid w:val="0021302C"/>
    <w:rsid w:val="00213B1C"/>
    <w:rsid w:val="00214202"/>
    <w:rsid w:val="002148E3"/>
    <w:rsid w:val="0021552D"/>
    <w:rsid w:val="002156AE"/>
    <w:rsid w:val="00215E99"/>
    <w:rsid w:val="0022054D"/>
    <w:rsid w:val="00223A57"/>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5587"/>
    <w:rsid w:val="00245F2B"/>
    <w:rsid w:val="00247343"/>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603C1"/>
    <w:rsid w:val="002609A1"/>
    <w:rsid w:val="002612B1"/>
    <w:rsid w:val="00266165"/>
    <w:rsid w:val="00266F2C"/>
    <w:rsid w:val="0027125E"/>
    <w:rsid w:val="00271767"/>
    <w:rsid w:val="00272293"/>
    <w:rsid w:val="002723C8"/>
    <w:rsid w:val="00273C2A"/>
    <w:rsid w:val="00273CBE"/>
    <w:rsid w:val="002746B1"/>
    <w:rsid w:val="002753E2"/>
    <w:rsid w:val="00281F5B"/>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1AF8"/>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3ACB"/>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E7047"/>
    <w:rsid w:val="002F0522"/>
    <w:rsid w:val="002F16DD"/>
    <w:rsid w:val="002F199D"/>
    <w:rsid w:val="002F213C"/>
    <w:rsid w:val="002F2453"/>
    <w:rsid w:val="002F352D"/>
    <w:rsid w:val="002F4084"/>
    <w:rsid w:val="002F4A08"/>
    <w:rsid w:val="002F4ADB"/>
    <w:rsid w:val="002F531E"/>
    <w:rsid w:val="002F548D"/>
    <w:rsid w:val="002F5ACC"/>
    <w:rsid w:val="002F6083"/>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2667"/>
    <w:rsid w:val="003330C9"/>
    <w:rsid w:val="0033364C"/>
    <w:rsid w:val="00334415"/>
    <w:rsid w:val="00335EA1"/>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DD3"/>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250"/>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352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5BCF"/>
    <w:rsid w:val="00486D60"/>
    <w:rsid w:val="00491FA1"/>
    <w:rsid w:val="00492A25"/>
    <w:rsid w:val="004938A3"/>
    <w:rsid w:val="0049558B"/>
    <w:rsid w:val="00496350"/>
    <w:rsid w:val="0049797C"/>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32"/>
    <w:rsid w:val="005210F7"/>
    <w:rsid w:val="00521753"/>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358E"/>
    <w:rsid w:val="00543AF4"/>
    <w:rsid w:val="00544191"/>
    <w:rsid w:val="0054440C"/>
    <w:rsid w:val="0054444E"/>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3274"/>
    <w:rsid w:val="00564126"/>
    <w:rsid w:val="00567B5D"/>
    <w:rsid w:val="00570757"/>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FAB"/>
    <w:rsid w:val="005877F2"/>
    <w:rsid w:val="00590B77"/>
    <w:rsid w:val="00590D9A"/>
    <w:rsid w:val="005913A3"/>
    <w:rsid w:val="005940D4"/>
    <w:rsid w:val="00594A7B"/>
    <w:rsid w:val="00594EDE"/>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B0341"/>
    <w:rsid w:val="005B07EC"/>
    <w:rsid w:val="005B2B11"/>
    <w:rsid w:val="005B32A4"/>
    <w:rsid w:val="005B338D"/>
    <w:rsid w:val="005B3613"/>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45B"/>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34DFE"/>
    <w:rsid w:val="00640082"/>
    <w:rsid w:val="00640291"/>
    <w:rsid w:val="00640EFE"/>
    <w:rsid w:val="00641D6D"/>
    <w:rsid w:val="00641FAC"/>
    <w:rsid w:val="00643664"/>
    <w:rsid w:val="00643CAA"/>
    <w:rsid w:val="00644F16"/>
    <w:rsid w:val="006452D5"/>
    <w:rsid w:val="006455EB"/>
    <w:rsid w:val="006456C2"/>
    <w:rsid w:val="006477F0"/>
    <w:rsid w:val="006478E4"/>
    <w:rsid w:val="0065171A"/>
    <w:rsid w:val="00652680"/>
    <w:rsid w:val="00653CDE"/>
    <w:rsid w:val="00654585"/>
    <w:rsid w:val="00655AB6"/>
    <w:rsid w:val="00656281"/>
    <w:rsid w:val="0065636A"/>
    <w:rsid w:val="00657003"/>
    <w:rsid w:val="006601F1"/>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7576"/>
    <w:rsid w:val="0068051E"/>
    <w:rsid w:val="00680B9D"/>
    <w:rsid w:val="00681F13"/>
    <w:rsid w:val="0068231C"/>
    <w:rsid w:val="00682344"/>
    <w:rsid w:val="00682F28"/>
    <w:rsid w:val="00684842"/>
    <w:rsid w:val="006859AA"/>
    <w:rsid w:val="00685BD6"/>
    <w:rsid w:val="00686A3B"/>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78"/>
    <w:rsid w:val="006D2E9D"/>
    <w:rsid w:val="006D4A4E"/>
    <w:rsid w:val="006D4C42"/>
    <w:rsid w:val="006D5809"/>
    <w:rsid w:val="006D607E"/>
    <w:rsid w:val="006D6E12"/>
    <w:rsid w:val="006D70CB"/>
    <w:rsid w:val="006D715C"/>
    <w:rsid w:val="006D7363"/>
    <w:rsid w:val="006D774E"/>
    <w:rsid w:val="006E0754"/>
    <w:rsid w:val="006E0E19"/>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01A6"/>
    <w:rsid w:val="0070174E"/>
    <w:rsid w:val="007018DB"/>
    <w:rsid w:val="00701DE6"/>
    <w:rsid w:val="0070381B"/>
    <w:rsid w:val="007077ED"/>
    <w:rsid w:val="0070796C"/>
    <w:rsid w:val="007108B2"/>
    <w:rsid w:val="00710EBF"/>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4044"/>
    <w:rsid w:val="007248D3"/>
    <w:rsid w:val="00725137"/>
    <w:rsid w:val="00725378"/>
    <w:rsid w:val="00727A43"/>
    <w:rsid w:val="00727FF2"/>
    <w:rsid w:val="00730550"/>
    <w:rsid w:val="00731434"/>
    <w:rsid w:val="00731E59"/>
    <w:rsid w:val="007323E0"/>
    <w:rsid w:val="00732911"/>
    <w:rsid w:val="00733721"/>
    <w:rsid w:val="00733DE2"/>
    <w:rsid w:val="007352EA"/>
    <w:rsid w:val="00735EBF"/>
    <w:rsid w:val="0073792F"/>
    <w:rsid w:val="00740C81"/>
    <w:rsid w:val="00740DA6"/>
    <w:rsid w:val="00741B4B"/>
    <w:rsid w:val="00741D1E"/>
    <w:rsid w:val="00741DD6"/>
    <w:rsid w:val="00741EE2"/>
    <w:rsid w:val="0074207F"/>
    <w:rsid w:val="00742367"/>
    <w:rsid w:val="00742EAA"/>
    <w:rsid w:val="00742FB2"/>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36"/>
    <w:rsid w:val="00756271"/>
    <w:rsid w:val="00756348"/>
    <w:rsid w:val="00756521"/>
    <w:rsid w:val="00756AB7"/>
    <w:rsid w:val="00760C2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2518"/>
    <w:rsid w:val="008226F5"/>
    <w:rsid w:val="00823FC6"/>
    <w:rsid w:val="00824008"/>
    <w:rsid w:val="00824306"/>
    <w:rsid w:val="008249D2"/>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77A80"/>
    <w:rsid w:val="00880106"/>
    <w:rsid w:val="00880F95"/>
    <w:rsid w:val="00882B44"/>
    <w:rsid w:val="008838AD"/>
    <w:rsid w:val="00884DBE"/>
    <w:rsid w:val="00886250"/>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227"/>
    <w:rsid w:val="008C04E0"/>
    <w:rsid w:val="008C191C"/>
    <w:rsid w:val="008C1DA4"/>
    <w:rsid w:val="008C29B0"/>
    <w:rsid w:val="008C2CD5"/>
    <w:rsid w:val="008C3618"/>
    <w:rsid w:val="008C43AD"/>
    <w:rsid w:val="008C6118"/>
    <w:rsid w:val="008C6341"/>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9A6"/>
    <w:rsid w:val="00954032"/>
    <w:rsid w:val="00955FBB"/>
    <w:rsid w:val="0095694B"/>
    <w:rsid w:val="00956BD5"/>
    <w:rsid w:val="00956D84"/>
    <w:rsid w:val="009577B5"/>
    <w:rsid w:val="009608E6"/>
    <w:rsid w:val="00960F57"/>
    <w:rsid w:val="00961C90"/>
    <w:rsid w:val="00961E78"/>
    <w:rsid w:val="00965443"/>
    <w:rsid w:val="00965954"/>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5FC"/>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5B73"/>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F5B"/>
    <w:rsid w:val="00A15655"/>
    <w:rsid w:val="00A1740C"/>
    <w:rsid w:val="00A20069"/>
    <w:rsid w:val="00A2244D"/>
    <w:rsid w:val="00A2253D"/>
    <w:rsid w:val="00A23EC3"/>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779"/>
    <w:rsid w:val="00A73861"/>
    <w:rsid w:val="00A739A6"/>
    <w:rsid w:val="00A740ED"/>
    <w:rsid w:val="00A74575"/>
    <w:rsid w:val="00A74C29"/>
    <w:rsid w:val="00A74C62"/>
    <w:rsid w:val="00A75EF9"/>
    <w:rsid w:val="00A80ABF"/>
    <w:rsid w:val="00A8311C"/>
    <w:rsid w:val="00A835D0"/>
    <w:rsid w:val="00A84C5F"/>
    <w:rsid w:val="00A85930"/>
    <w:rsid w:val="00A863F7"/>
    <w:rsid w:val="00A86604"/>
    <w:rsid w:val="00A87519"/>
    <w:rsid w:val="00A9246D"/>
    <w:rsid w:val="00A93BD0"/>
    <w:rsid w:val="00A93CC2"/>
    <w:rsid w:val="00A974CC"/>
    <w:rsid w:val="00AA069B"/>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5C0"/>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848"/>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372B"/>
    <w:rsid w:val="00B53922"/>
    <w:rsid w:val="00B542FE"/>
    <w:rsid w:val="00B55A1B"/>
    <w:rsid w:val="00B561DB"/>
    <w:rsid w:val="00B562A2"/>
    <w:rsid w:val="00B56DF9"/>
    <w:rsid w:val="00B600BD"/>
    <w:rsid w:val="00B61274"/>
    <w:rsid w:val="00B61DCE"/>
    <w:rsid w:val="00B62188"/>
    <w:rsid w:val="00B62F79"/>
    <w:rsid w:val="00B62F82"/>
    <w:rsid w:val="00B6306A"/>
    <w:rsid w:val="00B635E3"/>
    <w:rsid w:val="00B63D96"/>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6E2E"/>
    <w:rsid w:val="00BB7BE5"/>
    <w:rsid w:val="00BB7C21"/>
    <w:rsid w:val="00BC08BD"/>
    <w:rsid w:val="00BC11E8"/>
    <w:rsid w:val="00BC1A52"/>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764"/>
    <w:rsid w:val="00BD5CD4"/>
    <w:rsid w:val="00BD65D9"/>
    <w:rsid w:val="00BD6DF3"/>
    <w:rsid w:val="00BD6E09"/>
    <w:rsid w:val="00BD6EF9"/>
    <w:rsid w:val="00BE0ACB"/>
    <w:rsid w:val="00BE2260"/>
    <w:rsid w:val="00BE2D88"/>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124C1"/>
    <w:rsid w:val="00C128AE"/>
    <w:rsid w:val="00C12BA8"/>
    <w:rsid w:val="00C136D6"/>
    <w:rsid w:val="00C13D5B"/>
    <w:rsid w:val="00C141D7"/>
    <w:rsid w:val="00C1711B"/>
    <w:rsid w:val="00C17AE2"/>
    <w:rsid w:val="00C20140"/>
    <w:rsid w:val="00C20F27"/>
    <w:rsid w:val="00C2143F"/>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B0E62"/>
    <w:rsid w:val="00CB19FE"/>
    <w:rsid w:val="00CB2364"/>
    <w:rsid w:val="00CB304C"/>
    <w:rsid w:val="00CB3933"/>
    <w:rsid w:val="00CB53E8"/>
    <w:rsid w:val="00CB594A"/>
    <w:rsid w:val="00CB5CB2"/>
    <w:rsid w:val="00CB64AC"/>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1B1"/>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6992"/>
    <w:rsid w:val="00D16C58"/>
    <w:rsid w:val="00D17019"/>
    <w:rsid w:val="00D17FC8"/>
    <w:rsid w:val="00D20B44"/>
    <w:rsid w:val="00D21168"/>
    <w:rsid w:val="00D2438C"/>
    <w:rsid w:val="00D2585B"/>
    <w:rsid w:val="00D26C3F"/>
    <w:rsid w:val="00D27185"/>
    <w:rsid w:val="00D27D11"/>
    <w:rsid w:val="00D33AB3"/>
    <w:rsid w:val="00D33F24"/>
    <w:rsid w:val="00D34160"/>
    <w:rsid w:val="00D346B8"/>
    <w:rsid w:val="00D34DCA"/>
    <w:rsid w:val="00D35AC8"/>
    <w:rsid w:val="00D36F87"/>
    <w:rsid w:val="00D37E4E"/>
    <w:rsid w:val="00D417D8"/>
    <w:rsid w:val="00D41F78"/>
    <w:rsid w:val="00D42E6C"/>
    <w:rsid w:val="00D4351C"/>
    <w:rsid w:val="00D43B80"/>
    <w:rsid w:val="00D44611"/>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8C0"/>
    <w:rsid w:val="00D60D6D"/>
    <w:rsid w:val="00D66D8B"/>
    <w:rsid w:val="00D70849"/>
    <w:rsid w:val="00D72297"/>
    <w:rsid w:val="00D72A1C"/>
    <w:rsid w:val="00D7308F"/>
    <w:rsid w:val="00D7313E"/>
    <w:rsid w:val="00D73580"/>
    <w:rsid w:val="00D73802"/>
    <w:rsid w:val="00D73C2C"/>
    <w:rsid w:val="00D73D52"/>
    <w:rsid w:val="00D745E7"/>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F62"/>
    <w:rsid w:val="00DB21E7"/>
    <w:rsid w:val="00DB2E03"/>
    <w:rsid w:val="00DB3742"/>
    <w:rsid w:val="00DB3E9B"/>
    <w:rsid w:val="00DB3F4B"/>
    <w:rsid w:val="00DB5375"/>
    <w:rsid w:val="00DB67C1"/>
    <w:rsid w:val="00DB6C0B"/>
    <w:rsid w:val="00DB70F4"/>
    <w:rsid w:val="00DC1056"/>
    <w:rsid w:val="00DC1442"/>
    <w:rsid w:val="00DC21D8"/>
    <w:rsid w:val="00DC282A"/>
    <w:rsid w:val="00DC2C6E"/>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3A7"/>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173FE"/>
    <w:rsid w:val="00E219CE"/>
    <w:rsid w:val="00E24071"/>
    <w:rsid w:val="00E24EBC"/>
    <w:rsid w:val="00E2522C"/>
    <w:rsid w:val="00E2552F"/>
    <w:rsid w:val="00E2599B"/>
    <w:rsid w:val="00E2710C"/>
    <w:rsid w:val="00E2736B"/>
    <w:rsid w:val="00E27428"/>
    <w:rsid w:val="00E305B4"/>
    <w:rsid w:val="00E31AFA"/>
    <w:rsid w:val="00E31CB7"/>
    <w:rsid w:val="00E324EE"/>
    <w:rsid w:val="00E34DB1"/>
    <w:rsid w:val="00E35931"/>
    <w:rsid w:val="00E359FF"/>
    <w:rsid w:val="00E402C5"/>
    <w:rsid w:val="00E402F4"/>
    <w:rsid w:val="00E405F1"/>
    <w:rsid w:val="00E417DB"/>
    <w:rsid w:val="00E43054"/>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4F69"/>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2756"/>
    <w:rsid w:val="00F23890"/>
    <w:rsid w:val="00F2504D"/>
    <w:rsid w:val="00F2637F"/>
    <w:rsid w:val="00F268F7"/>
    <w:rsid w:val="00F30B83"/>
    <w:rsid w:val="00F30BDB"/>
    <w:rsid w:val="00F30CF8"/>
    <w:rsid w:val="00F3176A"/>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7F4E"/>
    <w:rsid w:val="00F80047"/>
    <w:rsid w:val="00F800C7"/>
    <w:rsid w:val="00F8104D"/>
    <w:rsid w:val="00F81587"/>
    <w:rsid w:val="00F8288F"/>
    <w:rsid w:val="00F84802"/>
    <w:rsid w:val="00F85B72"/>
    <w:rsid w:val="00F86540"/>
    <w:rsid w:val="00F865CE"/>
    <w:rsid w:val="00F86B8F"/>
    <w:rsid w:val="00F8766F"/>
    <w:rsid w:val="00F91082"/>
    <w:rsid w:val="00F9116D"/>
    <w:rsid w:val="00F91A9A"/>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2313A8"/>
    <w:rsid w:val="01AF3D99"/>
    <w:rsid w:val="01B110AA"/>
    <w:rsid w:val="0211090E"/>
    <w:rsid w:val="02511F9D"/>
    <w:rsid w:val="03120D29"/>
    <w:rsid w:val="03215DBB"/>
    <w:rsid w:val="037662D8"/>
    <w:rsid w:val="03A314B8"/>
    <w:rsid w:val="03AF0E31"/>
    <w:rsid w:val="03D82B98"/>
    <w:rsid w:val="03E533B8"/>
    <w:rsid w:val="03F83E8B"/>
    <w:rsid w:val="040C25C7"/>
    <w:rsid w:val="04A24CDA"/>
    <w:rsid w:val="04E840AB"/>
    <w:rsid w:val="056B77C2"/>
    <w:rsid w:val="05962B68"/>
    <w:rsid w:val="05A827C4"/>
    <w:rsid w:val="05AA5C6E"/>
    <w:rsid w:val="05C56868"/>
    <w:rsid w:val="061F0CF1"/>
    <w:rsid w:val="06207A56"/>
    <w:rsid w:val="06354BAC"/>
    <w:rsid w:val="067246B5"/>
    <w:rsid w:val="06810FA8"/>
    <w:rsid w:val="06C918CF"/>
    <w:rsid w:val="07B72767"/>
    <w:rsid w:val="07E775D3"/>
    <w:rsid w:val="08077E72"/>
    <w:rsid w:val="085941C4"/>
    <w:rsid w:val="085D1644"/>
    <w:rsid w:val="08882DD0"/>
    <w:rsid w:val="09993A7F"/>
    <w:rsid w:val="09BB0D18"/>
    <w:rsid w:val="09CC2AAC"/>
    <w:rsid w:val="0A083831"/>
    <w:rsid w:val="0A652D3E"/>
    <w:rsid w:val="0AA01CBB"/>
    <w:rsid w:val="0AAE6B22"/>
    <w:rsid w:val="0AC70A6D"/>
    <w:rsid w:val="0AE167DB"/>
    <w:rsid w:val="0B326F2A"/>
    <w:rsid w:val="0B666A61"/>
    <w:rsid w:val="0BEB6F66"/>
    <w:rsid w:val="0C011CFE"/>
    <w:rsid w:val="0C1E2888"/>
    <w:rsid w:val="0C92213C"/>
    <w:rsid w:val="0C943AA2"/>
    <w:rsid w:val="0D3C4789"/>
    <w:rsid w:val="0D442DD2"/>
    <w:rsid w:val="0D4E3C51"/>
    <w:rsid w:val="0D84032B"/>
    <w:rsid w:val="0DD04666"/>
    <w:rsid w:val="0E5E5152"/>
    <w:rsid w:val="0F2A74C4"/>
    <w:rsid w:val="0F490136"/>
    <w:rsid w:val="0F5C216B"/>
    <w:rsid w:val="0F605330"/>
    <w:rsid w:val="0F767AA0"/>
    <w:rsid w:val="10211F13"/>
    <w:rsid w:val="10284C2D"/>
    <w:rsid w:val="10394744"/>
    <w:rsid w:val="10543875"/>
    <w:rsid w:val="10A27F31"/>
    <w:rsid w:val="110A1309"/>
    <w:rsid w:val="111F0680"/>
    <w:rsid w:val="11545714"/>
    <w:rsid w:val="11927058"/>
    <w:rsid w:val="11942293"/>
    <w:rsid w:val="11CA3DDF"/>
    <w:rsid w:val="11FF4F63"/>
    <w:rsid w:val="121D0DB5"/>
    <w:rsid w:val="12D4020F"/>
    <w:rsid w:val="12EA7CAB"/>
    <w:rsid w:val="1326156F"/>
    <w:rsid w:val="13694841"/>
    <w:rsid w:val="13AF4F03"/>
    <w:rsid w:val="13BF7458"/>
    <w:rsid w:val="13D1077B"/>
    <w:rsid w:val="143858D0"/>
    <w:rsid w:val="145F04F1"/>
    <w:rsid w:val="147321EF"/>
    <w:rsid w:val="14736E66"/>
    <w:rsid w:val="147C5547"/>
    <w:rsid w:val="147F458F"/>
    <w:rsid w:val="149C654B"/>
    <w:rsid w:val="14BB6070"/>
    <w:rsid w:val="14CC4202"/>
    <w:rsid w:val="15287487"/>
    <w:rsid w:val="1534169A"/>
    <w:rsid w:val="15C03E03"/>
    <w:rsid w:val="15EC04AB"/>
    <w:rsid w:val="16225C7A"/>
    <w:rsid w:val="162A25EB"/>
    <w:rsid w:val="16921052"/>
    <w:rsid w:val="16AF39B2"/>
    <w:rsid w:val="16FD2A55"/>
    <w:rsid w:val="17067C1A"/>
    <w:rsid w:val="170B2BB3"/>
    <w:rsid w:val="1726179A"/>
    <w:rsid w:val="17366761"/>
    <w:rsid w:val="17514A3E"/>
    <w:rsid w:val="1752433D"/>
    <w:rsid w:val="17550FEB"/>
    <w:rsid w:val="177C01F0"/>
    <w:rsid w:val="1783099B"/>
    <w:rsid w:val="17CE6630"/>
    <w:rsid w:val="18AD3F21"/>
    <w:rsid w:val="18F27B86"/>
    <w:rsid w:val="18F67D9A"/>
    <w:rsid w:val="19410B0E"/>
    <w:rsid w:val="19630A84"/>
    <w:rsid w:val="19D50791"/>
    <w:rsid w:val="1A7171D0"/>
    <w:rsid w:val="1AA54634"/>
    <w:rsid w:val="1AEC5396"/>
    <w:rsid w:val="1AFF0AFE"/>
    <w:rsid w:val="1B083691"/>
    <w:rsid w:val="1B4F19F8"/>
    <w:rsid w:val="1B72604B"/>
    <w:rsid w:val="1B886580"/>
    <w:rsid w:val="1BA2219B"/>
    <w:rsid w:val="1BB16DAD"/>
    <w:rsid w:val="1C720E1E"/>
    <w:rsid w:val="1CAB7BC2"/>
    <w:rsid w:val="1CBA2253"/>
    <w:rsid w:val="1D1502E7"/>
    <w:rsid w:val="1DDA78F7"/>
    <w:rsid w:val="1E1B66C0"/>
    <w:rsid w:val="1ECC44FA"/>
    <w:rsid w:val="1ED11921"/>
    <w:rsid w:val="1F063325"/>
    <w:rsid w:val="1F94163B"/>
    <w:rsid w:val="1FBC5DF5"/>
    <w:rsid w:val="201A0C55"/>
    <w:rsid w:val="20341928"/>
    <w:rsid w:val="20C3623F"/>
    <w:rsid w:val="210D4B0B"/>
    <w:rsid w:val="21781212"/>
    <w:rsid w:val="21A73454"/>
    <w:rsid w:val="21B83F86"/>
    <w:rsid w:val="21B856E5"/>
    <w:rsid w:val="21DA5084"/>
    <w:rsid w:val="21DF589E"/>
    <w:rsid w:val="221178A8"/>
    <w:rsid w:val="221213CF"/>
    <w:rsid w:val="22327A92"/>
    <w:rsid w:val="22736B09"/>
    <w:rsid w:val="22A95107"/>
    <w:rsid w:val="22F30068"/>
    <w:rsid w:val="231D53A2"/>
    <w:rsid w:val="236D5383"/>
    <w:rsid w:val="23957733"/>
    <w:rsid w:val="23B7504C"/>
    <w:rsid w:val="23E262AD"/>
    <w:rsid w:val="23EB3B50"/>
    <w:rsid w:val="24013373"/>
    <w:rsid w:val="240570EF"/>
    <w:rsid w:val="2412279E"/>
    <w:rsid w:val="24571307"/>
    <w:rsid w:val="248163D5"/>
    <w:rsid w:val="24D660FE"/>
    <w:rsid w:val="25110A2A"/>
    <w:rsid w:val="25443A06"/>
    <w:rsid w:val="25654000"/>
    <w:rsid w:val="256C0944"/>
    <w:rsid w:val="259332A8"/>
    <w:rsid w:val="25BF7042"/>
    <w:rsid w:val="25C03C0F"/>
    <w:rsid w:val="25C74149"/>
    <w:rsid w:val="26265429"/>
    <w:rsid w:val="26446DE3"/>
    <w:rsid w:val="269669E7"/>
    <w:rsid w:val="26CF4758"/>
    <w:rsid w:val="26D7699F"/>
    <w:rsid w:val="2728659F"/>
    <w:rsid w:val="276E6F72"/>
    <w:rsid w:val="27F174ED"/>
    <w:rsid w:val="285931BF"/>
    <w:rsid w:val="285A5748"/>
    <w:rsid w:val="2883093D"/>
    <w:rsid w:val="2886653D"/>
    <w:rsid w:val="28D948BF"/>
    <w:rsid w:val="29A87178"/>
    <w:rsid w:val="29C53533"/>
    <w:rsid w:val="29F319B0"/>
    <w:rsid w:val="2A3A138D"/>
    <w:rsid w:val="2AA07129"/>
    <w:rsid w:val="2AB64053"/>
    <w:rsid w:val="2AD11E71"/>
    <w:rsid w:val="2B134CC7"/>
    <w:rsid w:val="2B774624"/>
    <w:rsid w:val="2C241186"/>
    <w:rsid w:val="2C7A72BE"/>
    <w:rsid w:val="2C9A7D75"/>
    <w:rsid w:val="2CC3566A"/>
    <w:rsid w:val="2D4F4E81"/>
    <w:rsid w:val="2D9371DA"/>
    <w:rsid w:val="2D9A33B9"/>
    <w:rsid w:val="2DAE4759"/>
    <w:rsid w:val="2E015014"/>
    <w:rsid w:val="2E1468E2"/>
    <w:rsid w:val="2E792558"/>
    <w:rsid w:val="2E832100"/>
    <w:rsid w:val="2E8A42F5"/>
    <w:rsid w:val="2E9976CE"/>
    <w:rsid w:val="2ED578D6"/>
    <w:rsid w:val="2F401D3C"/>
    <w:rsid w:val="2F5B24E1"/>
    <w:rsid w:val="2FA95C88"/>
    <w:rsid w:val="2FE139F3"/>
    <w:rsid w:val="3041370F"/>
    <w:rsid w:val="3059325D"/>
    <w:rsid w:val="310F6C24"/>
    <w:rsid w:val="311D6057"/>
    <w:rsid w:val="312B50A3"/>
    <w:rsid w:val="313E2BF9"/>
    <w:rsid w:val="314814EC"/>
    <w:rsid w:val="31700539"/>
    <w:rsid w:val="31B34E33"/>
    <w:rsid w:val="31C76861"/>
    <w:rsid w:val="31D5563B"/>
    <w:rsid w:val="31E85B72"/>
    <w:rsid w:val="32453A27"/>
    <w:rsid w:val="32537490"/>
    <w:rsid w:val="32546DED"/>
    <w:rsid w:val="3263064A"/>
    <w:rsid w:val="32A43132"/>
    <w:rsid w:val="32AC0C06"/>
    <w:rsid w:val="33190218"/>
    <w:rsid w:val="33344EF5"/>
    <w:rsid w:val="3381627F"/>
    <w:rsid w:val="33835B53"/>
    <w:rsid w:val="338B45BF"/>
    <w:rsid w:val="33F21271"/>
    <w:rsid w:val="3408225D"/>
    <w:rsid w:val="34112443"/>
    <w:rsid w:val="349C3E7E"/>
    <w:rsid w:val="3537750C"/>
    <w:rsid w:val="3537798C"/>
    <w:rsid w:val="35C13FC9"/>
    <w:rsid w:val="360C77D7"/>
    <w:rsid w:val="36105772"/>
    <w:rsid w:val="361722AD"/>
    <w:rsid w:val="362A4856"/>
    <w:rsid w:val="363B0967"/>
    <w:rsid w:val="364257B6"/>
    <w:rsid w:val="36825E5C"/>
    <w:rsid w:val="36EC1C61"/>
    <w:rsid w:val="36F65DAC"/>
    <w:rsid w:val="37577122"/>
    <w:rsid w:val="376D1DBB"/>
    <w:rsid w:val="37977E1F"/>
    <w:rsid w:val="37EA5922"/>
    <w:rsid w:val="38112631"/>
    <w:rsid w:val="38116401"/>
    <w:rsid w:val="38276B93"/>
    <w:rsid w:val="386F7D39"/>
    <w:rsid w:val="38705D30"/>
    <w:rsid w:val="38AC3431"/>
    <w:rsid w:val="38E47094"/>
    <w:rsid w:val="392F2E16"/>
    <w:rsid w:val="39360837"/>
    <w:rsid w:val="393824DF"/>
    <w:rsid w:val="393C4877"/>
    <w:rsid w:val="397C371B"/>
    <w:rsid w:val="39876441"/>
    <w:rsid w:val="399446D5"/>
    <w:rsid w:val="39E00529"/>
    <w:rsid w:val="39ED3C96"/>
    <w:rsid w:val="3A054CBA"/>
    <w:rsid w:val="3A0B64A7"/>
    <w:rsid w:val="3A0E3EC6"/>
    <w:rsid w:val="3A211C22"/>
    <w:rsid w:val="3A2F55D8"/>
    <w:rsid w:val="3A574DDA"/>
    <w:rsid w:val="3AD3075A"/>
    <w:rsid w:val="3AF74C02"/>
    <w:rsid w:val="3B12384B"/>
    <w:rsid w:val="3B9B2DD5"/>
    <w:rsid w:val="3C0059A5"/>
    <w:rsid w:val="3C134E78"/>
    <w:rsid w:val="3C6504EB"/>
    <w:rsid w:val="3CF7310E"/>
    <w:rsid w:val="3D3566C6"/>
    <w:rsid w:val="3DCF0605"/>
    <w:rsid w:val="3DF6345D"/>
    <w:rsid w:val="3E1D3B91"/>
    <w:rsid w:val="3E4D4F28"/>
    <w:rsid w:val="3E94098D"/>
    <w:rsid w:val="3EE13701"/>
    <w:rsid w:val="3EFE1908"/>
    <w:rsid w:val="3F1A4BB3"/>
    <w:rsid w:val="3F7E02FA"/>
    <w:rsid w:val="3FA674BF"/>
    <w:rsid w:val="3FC82E6A"/>
    <w:rsid w:val="3FDD483D"/>
    <w:rsid w:val="40046520"/>
    <w:rsid w:val="400C205E"/>
    <w:rsid w:val="40192BA6"/>
    <w:rsid w:val="4043629C"/>
    <w:rsid w:val="40896772"/>
    <w:rsid w:val="409C1F0F"/>
    <w:rsid w:val="40FC6F44"/>
    <w:rsid w:val="413D4413"/>
    <w:rsid w:val="420324D5"/>
    <w:rsid w:val="422C3859"/>
    <w:rsid w:val="42443F6F"/>
    <w:rsid w:val="42550A18"/>
    <w:rsid w:val="428611BC"/>
    <w:rsid w:val="428D2F47"/>
    <w:rsid w:val="429D496A"/>
    <w:rsid w:val="42F246C4"/>
    <w:rsid w:val="42F473A1"/>
    <w:rsid w:val="435D3056"/>
    <w:rsid w:val="4366315A"/>
    <w:rsid w:val="43AF029E"/>
    <w:rsid w:val="440C6DD0"/>
    <w:rsid w:val="441B29C2"/>
    <w:rsid w:val="441E62C0"/>
    <w:rsid w:val="44395BC8"/>
    <w:rsid w:val="449000D0"/>
    <w:rsid w:val="45325D14"/>
    <w:rsid w:val="4552504B"/>
    <w:rsid w:val="45811C7C"/>
    <w:rsid w:val="459C2437"/>
    <w:rsid w:val="45BF7AA0"/>
    <w:rsid w:val="462D593C"/>
    <w:rsid w:val="468B3EFB"/>
    <w:rsid w:val="46B50CDB"/>
    <w:rsid w:val="46C47118"/>
    <w:rsid w:val="46F93C7F"/>
    <w:rsid w:val="470A6193"/>
    <w:rsid w:val="47162351"/>
    <w:rsid w:val="47385210"/>
    <w:rsid w:val="47DC4F5C"/>
    <w:rsid w:val="48B40671"/>
    <w:rsid w:val="49494469"/>
    <w:rsid w:val="498D2D3D"/>
    <w:rsid w:val="499B5738"/>
    <w:rsid w:val="499F244D"/>
    <w:rsid w:val="4A973F3F"/>
    <w:rsid w:val="4ABD0197"/>
    <w:rsid w:val="4AF96BC7"/>
    <w:rsid w:val="4B46598C"/>
    <w:rsid w:val="4B862A85"/>
    <w:rsid w:val="4C713977"/>
    <w:rsid w:val="4C9A21E5"/>
    <w:rsid w:val="4CEF36E2"/>
    <w:rsid w:val="4CEF4DC5"/>
    <w:rsid w:val="4D931A02"/>
    <w:rsid w:val="4DB210B7"/>
    <w:rsid w:val="4DF6081B"/>
    <w:rsid w:val="4E014C9F"/>
    <w:rsid w:val="4E1D2750"/>
    <w:rsid w:val="4E257655"/>
    <w:rsid w:val="4EAD5D22"/>
    <w:rsid w:val="4EC46B6C"/>
    <w:rsid w:val="4ED84D30"/>
    <w:rsid w:val="4F1C1D10"/>
    <w:rsid w:val="4F372380"/>
    <w:rsid w:val="4F372FFB"/>
    <w:rsid w:val="4FA50CDC"/>
    <w:rsid w:val="50036EBA"/>
    <w:rsid w:val="502B24C5"/>
    <w:rsid w:val="507E03BB"/>
    <w:rsid w:val="51503B64"/>
    <w:rsid w:val="52395ECD"/>
    <w:rsid w:val="526C393A"/>
    <w:rsid w:val="52A018C0"/>
    <w:rsid w:val="52AA4F00"/>
    <w:rsid w:val="52B700B6"/>
    <w:rsid w:val="52C10D75"/>
    <w:rsid w:val="52C13CA6"/>
    <w:rsid w:val="52C75604"/>
    <w:rsid w:val="53BF4EC8"/>
    <w:rsid w:val="53C27FF8"/>
    <w:rsid w:val="53D578AD"/>
    <w:rsid w:val="53D80EDC"/>
    <w:rsid w:val="54130E82"/>
    <w:rsid w:val="542B1BC3"/>
    <w:rsid w:val="54337890"/>
    <w:rsid w:val="543D36A4"/>
    <w:rsid w:val="549E1A80"/>
    <w:rsid w:val="54C23240"/>
    <w:rsid w:val="54C658F4"/>
    <w:rsid w:val="5501743B"/>
    <w:rsid w:val="550C4BD7"/>
    <w:rsid w:val="55165D7A"/>
    <w:rsid w:val="55310BB5"/>
    <w:rsid w:val="554C1D56"/>
    <w:rsid w:val="55572986"/>
    <w:rsid w:val="55674DDF"/>
    <w:rsid w:val="5621502B"/>
    <w:rsid w:val="56284C24"/>
    <w:rsid w:val="562E62E0"/>
    <w:rsid w:val="565340FA"/>
    <w:rsid w:val="568F3A1A"/>
    <w:rsid w:val="56944551"/>
    <w:rsid w:val="575256B8"/>
    <w:rsid w:val="576C6DCE"/>
    <w:rsid w:val="57FF6454"/>
    <w:rsid w:val="580A1AEF"/>
    <w:rsid w:val="5858486D"/>
    <w:rsid w:val="59170968"/>
    <w:rsid w:val="596279B4"/>
    <w:rsid w:val="597B0EF6"/>
    <w:rsid w:val="59FE5BF4"/>
    <w:rsid w:val="5A2F2CC8"/>
    <w:rsid w:val="5A352E58"/>
    <w:rsid w:val="5A3A490E"/>
    <w:rsid w:val="5A5D2D60"/>
    <w:rsid w:val="5B5E287E"/>
    <w:rsid w:val="5BC96FA7"/>
    <w:rsid w:val="5BE33069"/>
    <w:rsid w:val="5BE87D5B"/>
    <w:rsid w:val="5C0D1BAE"/>
    <w:rsid w:val="5C10702D"/>
    <w:rsid w:val="5C152601"/>
    <w:rsid w:val="5C8A1B2F"/>
    <w:rsid w:val="5CC04E72"/>
    <w:rsid w:val="5CDE38DA"/>
    <w:rsid w:val="5D597A5F"/>
    <w:rsid w:val="5D6238E0"/>
    <w:rsid w:val="5D706898"/>
    <w:rsid w:val="5DED4343"/>
    <w:rsid w:val="5E225C70"/>
    <w:rsid w:val="5E533747"/>
    <w:rsid w:val="5E6737F7"/>
    <w:rsid w:val="5E8B7B1E"/>
    <w:rsid w:val="5EF26A23"/>
    <w:rsid w:val="5F294F51"/>
    <w:rsid w:val="5F473616"/>
    <w:rsid w:val="5F486AA9"/>
    <w:rsid w:val="5FAB005C"/>
    <w:rsid w:val="5FBE1B3D"/>
    <w:rsid w:val="5FF1132F"/>
    <w:rsid w:val="601C57A4"/>
    <w:rsid w:val="60333CA4"/>
    <w:rsid w:val="604F6ABC"/>
    <w:rsid w:val="606007BB"/>
    <w:rsid w:val="6091495F"/>
    <w:rsid w:val="60AC7F66"/>
    <w:rsid w:val="60BA62CD"/>
    <w:rsid w:val="60E443BA"/>
    <w:rsid w:val="610F50C3"/>
    <w:rsid w:val="61BF10D9"/>
    <w:rsid w:val="62055F1E"/>
    <w:rsid w:val="62234699"/>
    <w:rsid w:val="626764BC"/>
    <w:rsid w:val="629A3D99"/>
    <w:rsid w:val="629F7077"/>
    <w:rsid w:val="62A80882"/>
    <w:rsid w:val="62AC22DC"/>
    <w:rsid w:val="62E278F0"/>
    <w:rsid w:val="633F2F95"/>
    <w:rsid w:val="63414066"/>
    <w:rsid w:val="63E15DFA"/>
    <w:rsid w:val="64682077"/>
    <w:rsid w:val="64726A7E"/>
    <w:rsid w:val="647C6B47"/>
    <w:rsid w:val="64E45EF7"/>
    <w:rsid w:val="65126A88"/>
    <w:rsid w:val="657E19DE"/>
    <w:rsid w:val="65CD0D2C"/>
    <w:rsid w:val="65D9664B"/>
    <w:rsid w:val="6691014E"/>
    <w:rsid w:val="66E55C01"/>
    <w:rsid w:val="674E7C4A"/>
    <w:rsid w:val="677435B2"/>
    <w:rsid w:val="67BC5A4A"/>
    <w:rsid w:val="67EF75F1"/>
    <w:rsid w:val="68534475"/>
    <w:rsid w:val="68A3537F"/>
    <w:rsid w:val="69124F16"/>
    <w:rsid w:val="69146C72"/>
    <w:rsid w:val="692A3D9F"/>
    <w:rsid w:val="6956755A"/>
    <w:rsid w:val="69BA3375"/>
    <w:rsid w:val="69CD5C14"/>
    <w:rsid w:val="69CF0D33"/>
    <w:rsid w:val="69CF0E9E"/>
    <w:rsid w:val="6A097E59"/>
    <w:rsid w:val="6A184941"/>
    <w:rsid w:val="6A386990"/>
    <w:rsid w:val="6A6257BB"/>
    <w:rsid w:val="6B2B2120"/>
    <w:rsid w:val="6B9946B3"/>
    <w:rsid w:val="6B9A1C62"/>
    <w:rsid w:val="6BF97D60"/>
    <w:rsid w:val="6C443F7B"/>
    <w:rsid w:val="6C65000C"/>
    <w:rsid w:val="6C7007C7"/>
    <w:rsid w:val="6CA22A5C"/>
    <w:rsid w:val="6CB2484D"/>
    <w:rsid w:val="6D6830E8"/>
    <w:rsid w:val="6DE76850"/>
    <w:rsid w:val="6E657D04"/>
    <w:rsid w:val="6EBC193D"/>
    <w:rsid w:val="6EF160F4"/>
    <w:rsid w:val="6F3C40B4"/>
    <w:rsid w:val="6F5568E7"/>
    <w:rsid w:val="6F5B73A8"/>
    <w:rsid w:val="6F5F096B"/>
    <w:rsid w:val="6FB20BD4"/>
    <w:rsid w:val="6FBA59BE"/>
    <w:rsid w:val="6FED512C"/>
    <w:rsid w:val="702754DC"/>
    <w:rsid w:val="70296B3E"/>
    <w:rsid w:val="702C2878"/>
    <w:rsid w:val="705E007E"/>
    <w:rsid w:val="70611204"/>
    <w:rsid w:val="70883186"/>
    <w:rsid w:val="709770CE"/>
    <w:rsid w:val="70AD30AB"/>
    <w:rsid w:val="70C213BF"/>
    <w:rsid w:val="712471A4"/>
    <w:rsid w:val="714B1752"/>
    <w:rsid w:val="718E5C33"/>
    <w:rsid w:val="71BB412E"/>
    <w:rsid w:val="72001B41"/>
    <w:rsid w:val="72697FC0"/>
    <w:rsid w:val="72FB055A"/>
    <w:rsid w:val="731C595D"/>
    <w:rsid w:val="73505CC8"/>
    <w:rsid w:val="735D3789"/>
    <w:rsid w:val="737A5923"/>
    <w:rsid w:val="73A105D0"/>
    <w:rsid w:val="73B0296D"/>
    <w:rsid w:val="73DC0BAC"/>
    <w:rsid w:val="73E21D8E"/>
    <w:rsid w:val="73EA7319"/>
    <w:rsid w:val="7471612B"/>
    <w:rsid w:val="74BF68B5"/>
    <w:rsid w:val="74CD6CBC"/>
    <w:rsid w:val="74FA2C30"/>
    <w:rsid w:val="754461E9"/>
    <w:rsid w:val="754D5C4B"/>
    <w:rsid w:val="7551732F"/>
    <w:rsid w:val="758F3A5A"/>
    <w:rsid w:val="75B943D4"/>
    <w:rsid w:val="75D03F20"/>
    <w:rsid w:val="7613480D"/>
    <w:rsid w:val="76303976"/>
    <w:rsid w:val="765B1A3C"/>
    <w:rsid w:val="766D176F"/>
    <w:rsid w:val="76C240A7"/>
    <w:rsid w:val="76F4277B"/>
    <w:rsid w:val="7708042F"/>
    <w:rsid w:val="771E4103"/>
    <w:rsid w:val="775246B7"/>
    <w:rsid w:val="777C610E"/>
    <w:rsid w:val="77BC7346"/>
    <w:rsid w:val="77C7701E"/>
    <w:rsid w:val="77EB7199"/>
    <w:rsid w:val="781E098B"/>
    <w:rsid w:val="781E69D1"/>
    <w:rsid w:val="7860158C"/>
    <w:rsid w:val="78636E01"/>
    <w:rsid w:val="78A84032"/>
    <w:rsid w:val="78CE3932"/>
    <w:rsid w:val="78E03ECE"/>
    <w:rsid w:val="79445023"/>
    <w:rsid w:val="798F5EA8"/>
    <w:rsid w:val="79E07EDB"/>
    <w:rsid w:val="7A263B6B"/>
    <w:rsid w:val="7A2A4E3A"/>
    <w:rsid w:val="7A6A04A0"/>
    <w:rsid w:val="7A6F3D08"/>
    <w:rsid w:val="7A7A40BB"/>
    <w:rsid w:val="7AAB7700"/>
    <w:rsid w:val="7AF46346"/>
    <w:rsid w:val="7AFE2790"/>
    <w:rsid w:val="7B0F5EBF"/>
    <w:rsid w:val="7B130FB9"/>
    <w:rsid w:val="7B62561B"/>
    <w:rsid w:val="7BF44D61"/>
    <w:rsid w:val="7BF64EDE"/>
    <w:rsid w:val="7C1B5BA7"/>
    <w:rsid w:val="7C400C1E"/>
    <w:rsid w:val="7CAC386E"/>
    <w:rsid w:val="7CBB1486"/>
    <w:rsid w:val="7D3B4E01"/>
    <w:rsid w:val="7D9C12B8"/>
    <w:rsid w:val="7DD11708"/>
    <w:rsid w:val="7DE247F1"/>
    <w:rsid w:val="7DFA6F07"/>
    <w:rsid w:val="7E967552"/>
    <w:rsid w:val="7EB517AA"/>
    <w:rsid w:val="7EC167BD"/>
    <w:rsid w:val="7F08297D"/>
    <w:rsid w:val="7F272D9E"/>
    <w:rsid w:val="7F4514DB"/>
    <w:rsid w:val="7F9D199D"/>
    <w:rsid w:val="7FF7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240" w:line="360" w:lineRule="auto"/>
      <w:contextualSpacing/>
      <w:outlineLvl w:val="0"/>
    </w:pPr>
    <w:rPr>
      <w:rFonts w:eastAsia="黑体"/>
      <w:bCs/>
      <w:kern w:val="44"/>
      <w:sz w:val="30"/>
      <w:szCs w:val="44"/>
    </w:rPr>
  </w:style>
  <w:style w:type="paragraph" w:styleId="4">
    <w:name w:val="heading 2"/>
    <w:basedOn w:val="1"/>
    <w:next w:val="1"/>
    <w:link w:val="44"/>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outlineLvl w:val="2"/>
    </w:pPr>
  </w:style>
  <w:style w:type="paragraph" w:styleId="6">
    <w:name w:val="heading 4"/>
    <w:basedOn w:val="1"/>
    <w:next w:val="1"/>
    <w:autoRedefine/>
    <w:qFormat/>
    <w:uiPriority w:val="0"/>
    <w:pPr>
      <w:keepNext/>
      <w:keepLines/>
      <w:spacing w:line="360" w:lineRule="auto"/>
      <w:outlineLvl w:val="3"/>
    </w:pPr>
    <w:rPr>
      <w:rFonts w:ascii="Arial" w:hAnsi="Arial" w:eastAsia="黑体"/>
      <w:b/>
      <w:kern w:val="0"/>
      <w:sz w:val="24"/>
    </w:rPr>
  </w:style>
  <w:style w:type="paragraph" w:styleId="7">
    <w:name w:val="heading 5"/>
    <w:basedOn w:val="1"/>
    <w:next w:val="2"/>
    <w:link w:val="45"/>
    <w:autoRedefine/>
    <w:qFormat/>
    <w:uiPriority w:val="9"/>
    <w:pPr>
      <w:keepNext/>
      <w:keepLines/>
      <w:spacing w:before="280" w:after="290" w:line="376" w:lineRule="auto"/>
      <w:outlineLvl w:val="4"/>
    </w:pPr>
    <w:rPr>
      <w:b/>
      <w:bCs/>
      <w:sz w:val="28"/>
      <w:szCs w:val="28"/>
    </w:rPr>
  </w:style>
  <w:style w:type="paragraph" w:styleId="8">
    <w:name w:val="heading 8"/>
    <w:basedOn w:val="1"/>
    <w:next w:val="1"/>
    <w:link w:val="46"/>
    <w:autoRedefine/>
    <w:qFormat/>
    <w:uiPriority w:val="9"/>
    <w:pPr>
      <w:keepNext/>
      <w:keepLines/>
      <w:spacing w:before="240" w:after="64" w:line="320" w:lineRule="auto"/>
      <w:outlineLvl w:val="7"/>
    </w:pPr>
    <w:rPr>
      <w:rFonts w:ascii="等线 Light" w:hAnsi="等线 Light" w:eastAsia="等线 Light"/>
      <w:sz w:val="24"/>
    </w:rPr>
  </w:style>
  <w:style w:type="paragraph" w:styleId="9">
    <w:name w:val="heading 9"/>
    <w:basedOn w:val="1"/>
    <w:next w:val="1"/>
    <w:autoRedefine/>
    <w:qFormat/>
    <w:uiPriority w:val="1"/>
    <w:pPr>
      <w:ind w:left="1240"/>
      <w:outlineLvl w:val="8"/>
    </w:pPr>
    <w:rPr>
      <w:rFonts w:ascii="宋体" w:hAnsi="宋体" w:cs="宋体"/>
      <w:b/>
      <w:bCs/>
      <w:szCs w:val="21"/>
      <w:lang w:val="zh-CN" w:bidi="zh-CN"/>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10">
    <w:name w:val="index 8"/>
    <w:basedOn w:val="1"/>
    <w:next w:val="1"/>
    <w:autoRedefine/>
    <w:unhideWhenUsed/>
    <w:qFormat/>
    <w:uiPriority w:val="99"/>
    <w:pPr>
      <w:ind w:left="1400" w:leftChars="1400"/>
    </w:pPr>
  </w:style>
  <w:style w:type="paragraph" w:styleId="11">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2">
    <w:name w:val="toa heading"/>
    <w:basedOn w:val="1"/>
    <w:next w:val="1"/>
    <w:autoRedefine/>
    <w:unhideWhenUsed/>
    <w:qFormat/>
    <w:uiPriority w:val="99"/>
    <w:pPr>
      <w:spacing w:before="120"/>
    </w:pPr>
    <w:rPr>
      <w:rFonts w:ascii="Cambria" w:hAnsi="Cambria"/>
      <w:sz w:val="24"/>
    </w:rPr>
  </w:style>
  <w:style w:type="paragraph" w:styleId="13">
    <w:name w:val="annotation text"/>
    <w:basedOn w:val="1"/>
    <w:link w:val="47"/>
    <w:autoRedefine/>
    <w:qFormat/>
    <w:uiPriority w:val="0"/>
    <w:pPr>
      <w:jc w:val="left"/>
    </w:pPr>
  </w:style>
  <w:style w:type="paragraph" w:styleId="14">
    <w:name w:val="Body Text 3"/>
    <w:basedOn w:val="1"/>
    <w:link w:val="48"/>
    <w:autoRedefine/>
    <w:unhideWhenUsed/>
    <w:qFormat/>
    <w:uiPriority w:val="99"/>
    <w:pPr>
      <w:spacing w:after="120"/>
    </w:pPr>
    <w:rPr>
      <w:sz w:val="16"/>
      <w:szCs w:val="16"/>
    </w:rPr>
  </w:style>
  <w:style w:type="paragraph" w:styleId="15">
    <w:name w:val="Body Text"/>
    <w:basedOn w:val="1"/>
    <w:next w:val="1"/>
    <w:link w:val="49"/>
    <w:unhideWhenUsed/>
    <w:qFormat/>
    <w:uiPriority w:val="0"/>
    <w:pPr>
      <w:spacing w:after="120"/>
    </w:pPr>
  </w:style>
  <w:style w:type="paragraph" w:styleId="16">
    <w:name w:val="Body Text Indent"/>
    <w:basedOn w:val="1"/>
    <w:link w:val="50"/>
    <w:autoRedefine/>
    <w:qFormat/>
    <w:uiPriority w:val="0"/>
    <w:pPr>
      <w:ind w:firstLine="830" w:firstLineChars="352"/>
    </w:pPr>
    <w:rPr>
      <w:rFonts w:ascii="仿宋_GB2312" w:eastAsia="仿宋_GB2312"/>
      <w:kern w:val="0"/>
      <w:sz w:val="32"/>
      <w:szCs w:val="20"/>
    </w:rPr>
  </w:style>
  <w:style w:type="paragraph" w:styleId="17">
    <w:name w:val="List 2"/>
    <w:basedOn w:val="1"/>
    <w:autoRedefine/>
    <w:unhideWhenUsed/>
    <w:qFormat/>
    <w:uiPriority w:val="99"/>
    <w:pPr>
      <w:ind w:left="100" w:leftChars="200" w:hanging="200" w:hangingChars="200"/>
      <w:contextualSpacing/>
    </w:pPr>
  </w:style>
  <w:style w:type="paragraph" w:styleId="18">
    <w:name w:val="Plain Text"/>
    <w:basedOn w:val="1"/>
    <w:next w:val="1"/>
    <w:link w:val="51"/>
    <w:autoRedefine/>
    <w:qFormat/>
    <w:uiPriority w:val="0"/>
    <w:rPr>
      <w:rFonts w:ascii="宋体" w:hAnsi="Courier New"/>
      <w:kern w:val="0"/>
      <w:sz w:val="20"/>
      <w:szCs w:val="21"/>
    </w:rPr>
  </w:style>
  <w:style w:type="paragraph" w:styleId="19">
    <w:name w:val="Date"/>
    <w:basedOn w:val="1"/>
    <w:next w:val="1"/>
    <w:link w:val="52"/>
    <w:autoRedefine/>
    <w:unhideWhenUsed/>
    <w:qFormat/>
    <w:uiPriority w:val="99"/>
    <w:pPr>
      <w:ind w:left="100" w:leftChars="2500"/>
    </w:pPr>
  </w:style>
  <w:style w:type="paragraph" w:styleId="20">
    <w:name w:val="Body Text Indent 2"/>
    <w:basedOn w:val="1"/>
    <w:autoRedefine/>
    <w:qFormat/>
    <w:uiPriority w:val="0"/>
    <w:pPr>
      <w:spacing w:after="120" w:line="480" w:lineRule="auto"/>
      <w:ind w:left="420" w:leftChars="200"/>
    </w:pPr>
    <w:rPr>
      <w:rFonts w:ascii="Calibri" w:hAnsi="Calibri"/>
    </w:rPr>
  </w:style>
  <w:style w:type="paragraph" w:styleId="21">
    <w:name w:val="Balloon Text"/>
    <w:basedOn w:val="1"/>
    <w:autoRedefine/>
    <w:semiHidden/>
    <w:qFormat/>
    <w:uiPriority w:val="0"/>
    <w:rPr>
      <w:sz w:val="18"/>
      <w:szCs w:val="18"/>
    </w:rPr>
  </w:style>
  <w:style w:type="paragraph" w:styleId="22">
    <w:name w:val="footer"/>
    <w:basedOn w:val="1"/>
    <w:link w:val="53"/>
    <w:autoRedefine/>
    <w:unhideWhenUsed/>
    <w:qFormat/>
    <w:uiPriority w:val="99"/>
    <w:pPr>
      <w:tabs>
        <w:tab w:val="center" w:pos="4153"/>
        <w:tab w:val="right" w:pos="8306"/>
      </w:tabs>
      <w:snapToGrid w:val="0"/>
      <w:jc w:val="left"/>
    </w:pPr>
    <w:rPr>
      <w:kern w:val="0"/>
      <w:sz w:val="18"/>
      <w:szCs w:val="18"/>
    </w:rPr>
  </w:style>
  <w:style w:type="paragraph" w:styleId="23">
    <w:name w:val="header"/>
    <w:basedOn w:val="1"/>
    <w:link w:val="54"/>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autoRedefine/>
    <w:unhideWhenUsed/>
    <w:qFormat/>
    <w:uiPriority w:val="39"/>
  </w:style>
  <w:style w:type="paragraph" w:styleId="25">
    <w:name w:val="toc 2"/>
    <w:basedOn w:val="1"/>
    <w:next w:val="1"/>
    <w:autoRedefine/>
    <w:unhideWhenUsed/>
    <w:qFormat/>
    <w:uiPriority w:val="39"/>
    <w:pPr>
      <w:tabs>
        <w:tab w:val="right" w:leader="dot" w:pos="8296"/>
      </w:tabs>
      <w:ind w:left="420" w:leftChars="200"/>
    </w:pPr>
  </w:style>
  <w:style w:type="paragraph" w:styleId="26">
    <w:name w:val="Body Text 2"/>
    <w:basedOn w:val="1"/>
    <w:next w:val="15"/>
    <w:autoRedefine/>
    <w:qFormat/>
    <w:uiPriority w:val="0"/>
    <w:pPr>
      <w:spacing w:line="280" w:lineRule="exact"/>
      <w:jc w:val="center"/>
    </w:pPr>
  </w:style>
  <w:style w:type="paragraph" w:styleId="27">
    <w:name w:val="Normal (Web)"/>
    <w:basedOn w:val="1"/>
    <w:autoRedefine/>
    <w:unhideWhenUsed/>
    <w:qFormat/>
    <w:uiPriority w:val="99"/>
    <w:rPr>
      <w:rFonts w:ascii="Calibri" w:hAnsi="Calibri"/>
      <w:kern w:val="0"/>
      <w:sz w:val="24"/>
    </w:rPr>
  </w:style>
  <w:style w:type="paragraph" w:styleId="28">
    <w:name w:val="Title"/>
    <w:basedOn w:val="1"/>
    <w:next w:val="1"/>
    <w:autoRedefine/>
    <w:qFormat/>
    <w:uiPriority w:val="10"/>
    <w:pPr>
      <w:spacing w:before="240" w:after="60"/>
      <w:jc w:val="center"/>
      <w:outlineLvl w:val="0"/>
    </w:pPr>
    <w:rPr>
      <w:rFonts w:ascii="Cambria" w:hAnsi="Cambria"/>
      <w:b/>
      <w:bCs/>
      <w:sz w:val="32"/>
      <w:szCs w:val="32"/>
    </w:rPr>
  </w:style>
  <w:style w:type="paragraph" w:styleId="29">
    <w:name w:val="annotation subject"/>
    <w:basedOn w:val="13"/>
    <w:next w:val="13"/>
    <w:link w:val="55"/>
    <w:autoRedefine/>
    <w:qFormat/>
    <w:uiPriority w:val="99"/>
    <w:rPr>
      <w:b/>
      <w:bCs/>
    </w:rPr>
  </w:style>
  <w:style w:type="paragraph" w:styleId="30">
    <w:name w:val="Body Text First Indent"/>
    <w:basedOn w:val="15"/>
    <w:autoRedefine/>
    <w:qFormat/>
    <w:uiPriority w:val="0"/>
    <w:pPr>
      <w:spacing w:line="600" w:lineRule="exact"/>
      <w:ind w:firstLine="880" w:firstLineChars="200"/>
    </w:pPr>
    <w:rPr>
      <w:sz w:val="28"/>
    </w:rPr>
  </w:style>
  <w:style w:type="paragraph" w:styleId="31">
    <w:name w:val="Body Text First Indent 2"/>
    <w:basedOn w:val="16"/>
    <w:autoRedefine/>
    <w:unhideWhenUsed/>
    <w:qFormat/>
    <w:uiPriority w:val="99"/>
    <w:pPr>
      <w:ind w:firstLine="420" w:firstLineChars="200"/>
    </w:pPr>
  </w:style>
  <w:style w:type="table" w:styleId="33">
    <w:name w:val="Table Grid"/>
    <w:basedOn w:val="3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autoRedefine/>
    <w:qFormat/>
    <w:uiPriority w:val="22"/>
    <w:rPr>
      <w:b/>
    </w:rPr>
  </w:style>
  <w:style w:type="character" w:styleId="36">
    <w:name w:val="endnote reference"/>
    <w:autoRedefine/>
    <w:unhideWhenUsed/>
    <w:qFormat/>
    <w:uiPriority w:val="99"/>
    <w:rPr>
      <w:vertAlign w:val="superscript"/>
    </w:rPr>
  </w:style>
  <w:style w:type="character" w:styleId="37">
    <w:name w:val="Emphasis"/>
    <w:basedOn w:val="34"/>
    <w:autoRedefine/>
    <w:qFormat/>
    <w:uiPriority w:val="20"/>
    <w:rPr>
      <w:i/>
    </w:rPr>
  </w:style>
  <w:style w:type="character" w:styleId="38">
    <w:name w:val="Hyperlink"/>
    <w:autoRedefine/>
    <w:unhideWhenUsed/>
    <w:qFormat/>
    <w:uiPriority w:val="99"/>
    <w:rPr>
      <w:color w:val="0000FF"/>
      <w:u w:val="single"/>
    </w:rPr>
  </w:style>
  <w:style w:type="character" w:styleId="39">
    <w:name w:val="annotation reference"/>
    <w:autoRedefine/>
    <w:qFormat/>
    <w:uiPriority w:val="0"/>
    <w:rPr>
      <w:sz w:val="21"/>
      <w:szCs w:val="21"/>
    </w:rPr>
  </w:style>
  <w:style w:type="character" w:styleId="40">
    <w:name w:val="HTML Sample"/>
    <w:basedOn w:val="34"/>
    <w:semiHidden/>
    <w:unhideWhenUsed/>
    <w:qFormat/>
    <w:uiPriority w:val="99"/>
    <w:rPr>
      <w:rFonts w:ascii="Courier New" w:hAnsi="Courier New"/>
    </w:rPr>
  </w:style>
  <w:style w:type="paragraph" w:customStyle="1" w:styleId="4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2">
    <w:name w:val="正文-公1"/>
    <w:basedOn w:val="1"/>
    <w:autoRedefine/>
    <w:qFormat/>
    <w:uiPriority w:val="0"/>
    <w:pPr>
      <w:ind w:firstLine="200" w:firstLineChars="200"/>
      <w:jc w:val="left"/>
    </w:pPr>
    <w:rPr>
      <w:rFonts w:eastAsia="仿宋_GB2312"/>
    </w:rPr>
  </w:style>
  <w:style w:type="paragraph" w:customStyle="1" w:styleId="43">
    <w:name w:val="目录 82"/>
    <w:next w:val="1"/>
    <w:autoRedefine/>
    <w:qFormat/>
    <w:uiPriority w:val="0"/>
    <w:pPr>
      <w:wordWrap w:val="0"/>
      <w:ind w:left="2550"/>
      <w:jc w:val="both"/>
    </w:pPr>
    <w:rPr>
      <w:rFonts w:ascii="Times New Roman" w:hAnsi="Times New Roman" w:eastAsia="宋体" w:cs="Times New Roman"/>
      <w:sz w:val="21"/>
      <w:szCs w:val="21"/>
      <w:lang w:val="en-US" w:eastAsia="zh-CN" w:bidi="ar-SA"/>
    </w:rPr>
  </w:style>
  <w:style w:type="character" w:customStyle="1" w:styleId="44">
    <w:name w:val="标题 2 字符"/>
    <w:link w:val="4"/>
    <w:autoRedefine/>
    <w:qFormat/>
    <w:uiPriority w:val="9"/>
    <w:rPr>
      <w:rFonts w:ascii="Cambria" w:hAnsi="Cambria" w:eastAsia="宋体" w:cs="Times New Roman"/>
      <w:b/>
      <w:bCs/>
      <w:kern w:val="2"/>
      <w:sz w:val="32"/>
      <w:szCs w:val="32"/>
    </w:rPr>
  </w:style>
  <w:style w:type="character" w:customStyle="1" w:styleId="45">
    <w:name w:val="标题 5 字符"/>
    <w:link w:val="7"/>
    <w:autoRedefine/>
    <w:semiHidden/>
    <w:qFormat/>
    <w:uiPriority w:val="9"/>
    <w:rPr>
      <w:rFonts w:ascii="Times New Roman" w:hAnsi="Times New Roman"/>
      <w:b/>
      <w:bCs/>
      <w:kern w:val="2"/>
      <w:sz w:val="28"/>
      <w:szCs w:val="28"/>
    </w:rPr>
  </w:style>
  <w:style w:type="character" w:customStyle="1" w:styleId="46">
    <w:name w:val="标题 8 字符"/>
    <w:link w:val="8"/>
    <w:autoRedefine/>
    <w:semiHidden/>
    <w:qFormat/>
    <w:uiPriority w:val="9"/>
    <w:rPr>
      <w:rFonts w:ascii="等线 Light" w:hAnsi="等线 Light" w:eastAsia="等线 Light" w:cs="Times New Roman"/>
      <w:kern w:val="2"/>
      <w:sz w:val="24"/>
      <w:szCs w:val="24"/>
    </w:rPr>
  </w:style>
  <w:style w:type="character" w:customStyle="1" w:styleId="47">
    <w:name w:val="批注文字 字符"/>
    <w:link w:val="13"/>
    <w:autoRedefine/>
    <w:qFormat/>
    <w:uiPriority w:val="0"/>
    <w:rPr>
      <w:rFonts w:ascii="Times New Roman" w:hAnsi="Times New Roman"/>
      <w:kern w:val="2"/>
      <w:sz w:val="21"/>
      <w:szCs w:val="24"/>
    </w:rPr>
  </w:style>
  <w:style w:type="character" w:customStyle="1" w:styleId="48">
    <w:name w:val="正文文本 3 字符"/>
    <w:link w:val="14"/>
    <w:autoRedefine/>
    <w:semiHidden/>
    <w:qFormat/>
    <w:uiPriority w:val="99"/>
    <w:rPr>
      <w:kern w:val="2"/>
      <w:sz w:val="16"/>
      <w:szCs w:val="16"/>
    </w:rPr>
  </w:style>
  <w:style w:type="character" w:customStyle="1" w:styleId="49">
    <w:name w:val="正文文本 字符"/>
    <w:link w:val="15"/>
    <w:autoRedefine/>
    <w:qFormat/>
    <w:uiPriority w:val="0"/>
    <w:rPr>
      <w:rFonts w:ascii="Times New Roman" w:hAnsi="Times New Roman"/>
      <w:kern w:val="2"/>
      <w:sz w:val="21"/>
      <w:szCs w:val="24"/>
    </w:rPr>
  </w:style>
  <w:style w:type="character" w:customStyle="1" w:styleId="50">
    <w:name w:val="正文文本缩进 字符"/>
    <w:link w:val="16"/>
    <w:autoRedefine/>
    <w:qFormat/>
    <w:uiPriority w:val="0"/>
    <w:rPr>
      <w:rFonts w:ascii="仿宋_GB2312" w:hAnsi="Times New Roman" w:eastAsia="仿宋_GB2312" w:cs="Times New Roman"/>
      <w:sz w:val="32"/>
      <w:szCs w:val="20"/>
    </w:rPr>
  </w:style>
  <w:style w:type="character" w:customStyle="1" w:styleId="51">
    <w:name w:val="纯文本 字符"/>
    <w:link w:val="18"/>
    <w:autoRedefine/>
    <w:qFormat/>
    <w:uiPriority w:val="0"/>
    <w:rPr>
      <w:rFonts w:ascii="宋体" w:hAnsi="Courier New" w:eastAsia="宋体" w:cs="Courier New"/>
      <w:szCs w:val="21"/>
    </w:rPr>
  </w:style>
  <w:style w:type="character" w:customStyle="1" w:styleId="52">
    <w:name w:val="日期 字符"/>
    <w:link w:val="19"/>
    <w:autoRedefine/>
    <w:semiHidden/>
    <w:qFormat/>
    <w:uiPriority w:val="99"/>
    <w:rPr>
      <w:rFonts w:ascii="Times New Roman" w:hAnsi="Times New Roman"/>
      <w:kern w:val="2"/>
      <w:sz w:val="21"/>
      <w:szCs w:val="24"/>
    </w:rPr>
  </w:style>
  <w:style w:type="character" w:customStyle="1" w:styleId="53">
    <w:name w:val="页脚 字符"/>
    <w:link w:val="22"/>
    <w:autoRedefine/>
    <w:qFormat/>
    <w:uiPriority w:val="99"/>
    <w:rPr>
      <w:sz w:val="18"/>
      <w:szCs w:val="18"/>
    </w:rPr>
  </w:style>
  <w:style w:type="character" w:customStyle="1" w:styleId="54">
    <w:name w:val="页眉 字符"/>
    <w:link w:val="23"/>
    <w:autoRedefine/>
    <w:qFormat/>
    <w:uiPriority w:val="99"/>
    <w:rPr>
      <w:sz w:val="18"/>
      <w:szCs w:val="18"/>
    </w:rPr>
  </w:style>
  <w:style w:type="character" w:customStyle="1" w:styleId="55">
    <w:name w:val="批注主题 字符"/>
    <w:link w:val="29"/>
    <w:autoRedefine/>
    <w:qFormat/>
    <w:uiPriority w:val="99"/>
    <w:rPr>
      <w:rFonts w:ascii="Times New Roman" w:hAnsi="Times New Roman"/>
      <w:b/>
      <w:bCs/>
      <w:kern w:val="2"/>
      <w:sz w:val="21"/>
      <w:szCs w:val="24"/>
    </w:rPr>
  </w:style>
  <w:style w:type="character" w:customStyle="1" w:styleId="56">
    <w:name w:val="纯文本 字符1"/>
    <w:autoRedefine/>
    <w:qFormat/>
    <w:uiPriority w:val="0"/>
    <w:rPr>
      <w:rFonts w:ascii="宋体" w:hAnsi="Courier New"/>
    </w:rPr>
  </w:style>
  <w:style w:type="character" w:customStyle="1" w:styleId="57">
    <w:name w:val="正文文本 Char"/>
    <w:autoRedefine/>
    <w:qFormat/>
    <w:uiPriority w:val="0"/>
    <w:rPr>
      <w:rFonts w:ascii="Times New Roman" w:hAnsi="Times New Roman"/>
      <w:kern w:val="2"/>
      <w:sz w:val="21"/>
      <w:szCs w:val="24"/>
    </w:rPr>
  </w:style>
  <w:style w:type="character" w:customStyle="1" w:styleId="58">
    <w:name w:val="NormalCharacter"/>
    <w:autoRedefine/>
    <w:qFormat/>
    <w:uiPriority w:val="0"/>
  </w:style>
  <w:style w:type="character" w:customStyle="1" w:styleId="59">
    <w:name w:val="批注文字 Char"/>
    <w:autoRedefine/>
    <w:qFormat/>
    <w:uiPriority w:val="0"/>
    <w:rPr>
      <w:rFonts w:ascii="Times New Roman" w:hAnsi="Times New Roman"/>
      <w:kern w:val="2"/>
      <w:sz w:val="21"/>
      <w:szCs w:val="24"/>
    </w:rPr>
  </w:style>
  <w:style w:type="character" w:customStyle="1" w:styleId="60">
    <w:name w:val="apple-style-span"/>
    <w:autoRedefine/>
    <w:qFormat/>
    <w:uiPriority w:val="0"/>
  </w:style>
  <w:style w:type="character" w:customStyle="1" w:styleId="61">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2">
    <w:name w:val="UserStyle_15"/>
    <w:basedOn w:val="58"/>
    <w:autoRedefine/>
    <w:qFormat/>
    <w:uiPriority w:val="0"/>
  </w:style>
  <w:style w:type="character" w:customStyle="1" w:styleId="63">
    <w:name w:val="纯文本 Char"/>
    <w:autoRedefine/>
    <w:qFormat/>
    <w:uiPriority w:val="0"/>
    <w:rPr>
      <w:rFonts w:ascii="宋体" w:hAnsi="Courier New" w:eastAsia="宋体" w:cs="Courier New"/>
      <w:szCs w:val="21"/>
    </w:rPr>
  </w:style>
  <w:style w:type="character" w:customStyle="1" w:styleId="64">
    <w:name w:val="标题 8 Char"/>
    <w:autoRedefine/>
    <w:qFormat/>
    <w:uiPriority w:val="0"/>
    <w:rPr>
      <w:rFonts w:ascii="Arial" w:hAnsi="Arial" w:eastAsia="黑体"/>
      <w:kern w:val="2"/>
      <w:sz w:val="24"/>
      <w:szCs w:val="24"/>
    </w:rPr>
  </w:style>
  <w:style w:type="character" w:customStyle="1" w:styleId="65">
    <w:name w:val="批注文字 字符1"/>
    <w:autoRedefine/>
    <w:qFormat/>
    <w:uiPriority w:val="0"/>
    <w:rPr>
      <w:rFonts w:ascii="Times New Roman" w:hAnsi="Times New Roman"/>
      <w:kern w:val="2"/>
      <w:sz w:val="21"/>
      <w:szCs w:val="24"/>
    </w:rPr>
  </w:style>
  <w:style w:type="character" w:customStyle="1" w:styleId="66">
    <w:name w:val="标题 2 Char"/>
    <w:autoRedefine/>
    <w:qFormat/>
    <w:uiPriority w:val="9"/>
    <w:rPr>
      <w:rFonts w:ascii="Cambria" w:hAnsi="Cambria" w:eastAsia="宋体" w:cs="Times New Roman"/>
      <w:b/>
      <w:bCs/>
      <w:kern w:val="2"/>
      <w:sz w:val="32"/>
      <w:szCs w:val="32"/>
    </w:rPr>
  </w:style>
  <w:style w:type="character" w:customStyle="1" w:styleId="67">
    <w:name w:val="纯文本 字符2"/>
    <w:autoRedefine/>
    <w:qFormat/>
    <w:uiPriority w:val="0"/>
    <w:rPr>
      <w:rFonts w:ascii="宋体" w:hAnsi="Courier New" w:eastAsia="宋体" w:cs="Courier New"/>
      <w:szCs w:val="21"/>
    </w:rPr>
  </w:style>
  <w:style w:type="character" w:customStyle="1" w:styleId="68">
    <w:name w:val="textcontents"/>
    <w:autoRedefine/>
    <w:qFormat/>
    <w:uiPriority w:val="0"/>
  </w:style>
  <w:style w:type="paragraph" w:customStyle="1" w:styleId="69">
    <w:name w:val="默认段落字体 Para Char Char Char Char Char Char Char Char Char1 Char Char Char Char"/>
    <w:basedOn w:val="1"/>
    <w:autoRedefine/>
    <w:qFormat/>
    <w:uiPriority w:val="0"/>
    <w:rPr>
      <w:rFonts w:ascii="Tahoma" w:hAnsi="Tahoma"/>
      <w:sz w:val="24"/>
      <w:szCs w:val="20"/>
    </w:rPr>
  </w:style>
  <w:style w:type="paragraph" w:styleId="70">
    <w:name w:val="List Paragraph"/>
    <w:basedOn w:val="1"/>
    <w:autoRedefine/>
    <w:qFormat/>
    <w:uiPriority w:val="34"/>
    <w:pPr>
      <w:ind w:firstLine="420" w:firstLineChars="200"/>
    </w:pPr>
  </w:style>
  <w:style w:type="paragraph" w:customStyle="1" w:styleId="71">
    <w:name w:val="Table Paragraph"/>
    <w:basedOn w:val="1"/>
    <w:autoRedefine/>
    <w:qFormat/>
    <w:uiPriority w:val="1"/>
    <w:rPr>
      <w:rFonts w:ascii="宋体" w:hAnsi="宋体" w:cs="宋体"/>
      <w:lang w:val="zh-CN" w:bidi="zh-CN"/>
    </w:rPr>
  </w:style>
  <w:style w:type="paragraph" w:customStyle="1" w:styleId="72">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73">
    <w:name w:val="Title1"/>
    <w:basedOn w:val="1"/>
    <w:next w:val="1"/>
    <w:autoRedefine/>
    <w:qFormat/>
    <w:uiPriority w:val="99"/>
    <w:pPr>
      <w:jc w:val="center"/>
      <w:outlineLvl w:val="0"/>
    </w:pPr>
    <w:rPr>
      <w:rFonts w:ascii="Calibri Light" w:hAnsi="Calibri Light" w:eastAsia="仿宋_GB2312"/>
      <w:b/>
      <w:sz w:val="32"/>
    </w:rPr>
  </w:style>
  <w:style w:type="table" w:customStyle="1" w:styleId="74">
    <w:name w:val="Table Normal"/>
    <w:autoRedefine/>
    <w:semiHidden/>
    <w:unhideWhenUsed/>
    <w:qFormat/>
    <w:uiPriority w:val="0"/>
    <w:tblPr>
      <w:tblCellMar>
        <w:top w:w="0" w:type="dxa"/>
        <w:left w:w="0" w:type="dxa"/>
        <w:bottom w:w="0" w:type="dxa"/>
        <w:right w:w="0" w:type="dxa"/>
      </w:tblCellMar>
    </w:tblPr>
  </w:style>
  <w:style w:type="paragraph" w:customStyle="1" w:styleId="75">
    <w:name w:val="WPSOffice手动目录 1"/>
    <w:autoRedefine/>
    <w:qFormat/>
    <w:uiPriority w:val="0"/>
    <w:rPr>
      <w:rFonts w:ascii="Times New Roman" w:hAnsi="Times New Roman" w:eastAsia="宋体" w:cs="Times New Roman"/>
      <w:lang w:val="en-US" w:eastAsia="zh-CN" w:bidi="ar-SA"/>
    </w:rPr>
  </w:style>
  <w:style w:type="paragraph" w:customStyle="1" w:styleId="76">
    <w:name w:val="表格文字"/>
    <w:basedOn w:val="1"/>
    <w:autoRedefine/>
    <w:qFormat/>
    <w:uiPriority w:val="0"/>
    <w:pPr>
      <w:adjustRightInd w:val="0"/>
      <w:spacing w:line="420" w:lineRule="atLeast"/>
      <w:textAlignment w:val="baseline"/>
    </w:pPr>
    <w:rPr>
      <w:szCs w:val="20"/>
    </w:rPr>
  </w:style>
  <w:style w:type="paragraph" w:customStyle="1" w:styleId="77">
    <w:name w:val="_Style 4"/>
    <w:basedOn w:val="1"/>
    <w:autoRedefine/>
    <w:qFormat/>
    <w:uiPriority w:val="0"/>
    <w:pPr>
      <w:spacing w:line="360" w:lineRule="auto"/>
      <w:ind w:firstLine="420" w:firstLineChars="200"/>
    </w:pPr>
    <w:rPr>
      <w:rFonts w:eastAsia="仿宋"/>
      <w:sz w:val="28"/>
      <w:szCs w:val="22"/>
    </w:rPr>
  </w:style>
  <w:style w:type="paragraph" w:customStyle="1" w:styleId="78">
    <w:name w:val="BodyText"/>
    <w:basedOn w:val="1"/>
    <w:autoRedefine/>
    <w:qFormat/>
    <w:uiPriority w:val="0"/>
    <w:pPr>
      <w:textAlignment w:val="baseline"/>
    </w:pPr>
  </w:style>
  <w:style w:type="paragraph" w:customStyle="1" w:styleId="79">
    <w:name w:val="表格"/>
    <w:basedOn w:val="1"/>
    <w:next w:val="80"/>
    <w:autoRedefine/>
    <w:qFormat/>
    <w:uiPriority w:val="0"/>
    <w:rPr>
      <w:szCs w:val="21"/>
    </w:rPr>
  </w:style>
  <w:style w:type="paragraph" w:customStyle="1" w:styleId="80">
    <w:name w:val="表格后空格"/>
    <w:basedOn w:val="1"/>
    <w:next w:val="1"/>
    <w:autoRedefine/>
    <w:qFormat/>
    <w:uiPriority w:val="0"/>
  </w:style>
  <w:style w:type="paragraph" w:customStyle="1" w:styleId="8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82">
    <w:name w:val="PlainText"/>
    <w:basedOn w:val="1"/>
    <w:next w:val="1"/>
    <w:autoRedefine/>
    <w:qFormat/>
    <w:uiPriority w:val="0"/>
    <w:pPr>
      <w:widowControl/>
      <w:textAlignment w:val="baseline"/>
    </w:pPr>
    <w:rPr>
      <w:rFonts w:ascii="宋体" w:hAnsi="Courier New"/>
      <w:kern w:val="0"/>
      <w:sz w:val="20"/>
      <w:szCs w:val="21"/>
    </w:rPr>
  </w:style>
  <w:style w:type="paragraph" w:customStyle="1" w:styleId="83">
    <w:name w:val="Other|1"/>
    <w:basedOn w:val="1"/>
    <w:autoRedefine/>
    <w:qFormat/>
    <w:uiPriority w:val="0"/>
    <w:pPr>
      <w:spacing w:line="406" w:lineRule="auto"/>
      <w:ind w:firstLine="400"/>
    </w:pPr>
    <w:rPr>
      <w:rFonts w:ascii="宋体" w:hAnsi="宋体" w:cs="宋体"/>
      <w:sz w:val="22"/>
      <w:szCs w:val="22"/>
      <w:lang w:val="zh-TW" w:eastAsia="zh-TW" w:bidi="zh-TW"/>
    </w:rPr>
  </w:style>
  <w:style w:type="character" w:customStyle="1" w:styleId="84">
    <w:name w:val="gram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67</Pages>
  <Words>2221</Words>
  <Characters>2621</Characters>
  <Lines>307</Lines>
  <Paragraphs>86</Paragraphs>
  <TotalTime>26</TotalTime>
  <ScaleCrop>false</ScaleCrop>
  <LinksUpToDate>false</LinksUpToDate>
  <CharactersWithSpaces>2699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2022-12-29T10:24:00Z</dcterms:created>
  <dc:creator>MACBOOK</dc:creator>
  <cp:lastModifiedBy>章鱼小嘴</cp:lastModifiedBy>
  <cp:lastPrinted>2023-01-04T08:13:00Z</cp:lastPrinted>
  <dcterms:modified xsi:type="dcterms:W3CDTF">2025-04-11T10:56:18Z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54748F17A27240CD91F53018D6A8C98B_13</vt:lpwstr>
  </property>
  <property fmtid="{D5CDD505-2E9C-101B-9397-08002B2CF9AE}" pid="4" name="KSOTemplateDocerSaveRecord">
    <vt:lpwstr>eyJoZGlkIjoiNjY1ZGQ0NzU1ODYyZjE4YzQ5Njk2MmUyNzkyZDYxY2EiLCJ1c2VySWQiOiIyNjU5OTczMTEifQ==</vt:lpwstr>
  </property>
</Properties>
</file>