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319EB">
      <w:pPr>
        <w:spacing w:before="156" w:beforeLines="50"/>
        <w:jc w:val="center"/>
        <w:rPr>
          <w:rFonts w:ascii="宋体" w:hAnsi="宋体" w:cs="宋体"/>
          <w:b/>
          <w:bCs/>
          <w:color w:val="auto"/>
          <w:sz w:val="52"/>
          <w:szCs w:val="52"/>
          <w:highlight w:val="none"/>
        </w:rPr>
      </w:pPr>
      <w:bookmarkStart w:id="173" w:name="_GoBack"/>
      <w:bookmarkEnd w:id="173"/>
      <w:r>
        <w:rPr>
          <w:rFonts w:hint="eastAsia" w:ascii="宋体" w:hAnsi="宋体" w:cs="宋体"/>
          <w:b/>
          <w:bCs/>
          <w:color w:val="auto"/>
          <w:sz w:val="52"/>
          <w:szCs w:val="52"/>
          <w:highlight w:val="none"/>
        </w:rPr>
        <w:t>广西壮族自治区政府采购</w:t>
      </w:r>
    </w:p>
    <w:p w14:paraId="162C064D">
      <w:pPr>
        <w:spacing w:before="156" w:beforeLines="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服务类</w:t>
      </w:r>
    </w:p>
    <w:p w14:paraId="5C0CD773">
      <w:pPr>
        <w:snapToGrid w:val="0"/>
        <w:spacing w:before="156" w:beforeLines="50" w:line="360" w:lineRule="auto"/>
        <w:jc w:val="center"/>
        <w:rPr>
          <w:rFonts w:ascii="宋体" w:hAnsi="宋体" w:cs="宋体"/>
          <w:color w:val="auto"/>
          <w:sz w:val="28"/>
          <w:szCs w:val="72"/>
          <w:highlight w:val="none"/>
        </w:rPr>
      </w:pPr>
    </w:p>
    <w:p w14:paraId="233EF4C8">
      <w:pPr>
        <w:pStyle w:val="2"/>
        <w:rPr>
          <w:color w:val="auto"/>
          <w:highlight w:val="none"/>
        </w:rPr>
      </w:pPr>
    </w:p>
    <w:p w14:paraId="4BD4175F">
      <w:pPr>
        <w:pStyle w:val="19"/>
        <w:snapToGrid w:val="0"/>
        <w:spacing w:before="120" w:after="120" w:line="360" w:lineRule="auto"/>
        <w:jc w:val="center"/>
        <w:rPr>
          <w:rFonts w:hAnsi="宋体" w:cs="宋体"/>
          <w:b/>
          <w:bCs/>
          <w:color w:val="auto"/>
          <w:sz w:val="40"/>
          <w:szCs w:val="40"/>
          <w:highlight w:val="none"/>
        </w:rPr>
      </w:pPr>
      <w:r>
        <w:rPr>
          <w:rFonts w:hint="eastAsia" w:eastAsia="宋体"/>
          <w:b/>
          <w:color w:val="auto"/>
          <w:spacing w:val="20"/>
          <w:sz w:val="52"/>
          <w:szCs w:val="52"/>
          <w:highlight w:val="none"/>
          <w:lang w:eastAsia="zh-CN" w:bidi="ar"/>
        </w:rPr>
        <w:drawing>
          <wp:anchor distT="0" distB="0" distL="114300" distR="114300" simplePos="0" relativeHeight="251660288" behindDoc="0" locked="0" layoutInCell="1" allowOverlap="1">
            <wp:simplePos x="0" y="0"/>
            <wp:positionH relativeFrom="column">
              <wp:posOffset>1793875</wp:posOffset>
            </wp:positionH>
            <wp:positionV relativeFrom="paragraph">
              <wp:posOffset>1174750</wp:posOffset>
            </wp:positionV>
            <wp:extent cx="2174875" cy="1631315"/>
            <wp:effectExtent l="0" t="0" r="15875" b="6985"/>
            <wp:wrapNone/>
            <wp:docPr id="5" name="图片 4" descr="a08df6e229dc7e5739d766740e5e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a08df6e229dc7e5739d766740e5e61c"/>
                    <pic:cNvPicPr>
                      <a:picLocks noChangeAspect="1"/>
                    </pic:cNvPicPr>
                  </pic:nvPicPr>
                  <pic:blipFill>
                    <a:blip r:embed="rId8"/>
                    <a:stretch>
                      <a:fillRect/>
                    </a:stretch>
                  </pic:blipFill>
                  <pic:spPr>
                    <a:xfrm>
                      <a:off x="0" y="0"/>
                      <a:ext cx="2174875" cy="1631315"/>
                    </a:xfrm>
                    <a:prstGeom prst="rect">
                      <a:avLst/>
                    </a:prstGeom>
                    <a:noFill/>
                    <a:ln>
                      <a:noFill/>
                    </a:ln>
                  </pic:spPr>
                </pic:pic>
              </a:graphicData>
            </a:graphic>
          </wp:anchor>
        </w:drawing>
      </w:r>
      <w:r>
        <w:rPr>
          <w:rFonts w:hint="eastAsia" w:hAnsi="宋体" w:cs="宋体"/>
          <w:b/>
          <w:bCs/>
          <w:color w:val="auto"/>
          <w:sz w:val="96"/>
          <w:szCs w:val="96"/>
          <w:highlight w:val="none"/>
        </w:rPr>
        <w:t>竞争性磋商文件</w:t>
      </w:r>
    </w:p>
    <w:p w14:paraId="6171FFF4">
      <w:pPr>
        <w:pStyle w:val="19"/>
        <w:snapToGrid w:val="0"/>
        <w:spacing w:before="120" w:after="120" w:line="360" w:lineRule="auto"/>
        <w:ind w:firstLine="1593" w:firstLineChars="496"/>
        <w:rPr>
          <w:rFonts w:hAnsi="宋体" w:cs="宋体"/>
          <w:b/>
          <w:bCs/>
          <w:color w:val="auto"/>
          <w:sz w:val="32"/>
          <w:szCs w:val="32"/>
          <w:highlight w:val="none"/>
        </w:rPr>
      </w:pPr>
    </w:p>
    <w:p w14:paraId="7ECE1783">
      <w:pPr>
        <w:tabs>
          <w:tab w:val="left" w:pos="4122"/>
        </w:tabs>
        <w:snapToGrid w:val="0"/>
        <w:spacing w:before="156" w:beforeLines="50" w:line="360" w:lineRule="auto"/>
        <w:rPr>
          <w:rFonts w:hint="eastAsia" w:ascii="宋体" w:hAnsi="宋体" w:eastAsia="宋体" w:cs="宋体"/>
          <w:b/>
          <w:color w:val="auto"/>
          <w:sz w:val="32"/>
          <w:szCs w:val="96"/>
          <w:highlight w:val="none"/>
          <w:lang w:eastAsia="zh-CN"/>
        </w:rPr>
      </w:pPr>
      <w:r>
        <w:rPr>
          <w:rFonts w:hint="eastAsia" w:ascii="宋体" w:hAnsi="宋体" w:cs="宋体"/>
          <w:b/>
          <w:color w:val="auto"/>
          <w:sz w:val="32"/>
          <w:szCs w:val="96"/>
          <w:highlight w:val="none"/>
          <w:lang w:eastAsia="zh-CN"/>
        </w:rPr>
        <w:tab/>
      </w:r>
    </w:p>
    <w:p w14:paraId="3B75B841">
      <w:pPr>
        <w:snapToGrid w:val="0"/>
        <w:spacing w:before="156" w:beforeLines="50" w:line="360" w:lineRule="auto"/>
        <w:rPr>
          <w:rFonts w:hint="eastAsia" w:ascii="宋体" w:hAnsi="宋体" w:cs="宋体"/>
          <w:b/>
          <w:color w:val="auto"/>
          <w:sz w:val="32"/>
          <w:szCs w:val="96"/>
          <w:highlight w:val="none"/>
        </w:rPr>
      </w:pPr>
    </w:p>
    <w:p w14:paraId="4607D850">
      <w:pPr>
        <w:snapToGrid w:val="0"/>
        <w:spacing w:before="156" w:beforeLines="50" w:line="360" w:lineRule="auto"/>
        <w:rPr>
          <w:rFonts w:hint="eastAsia" w:ascii="宋体" w:hAnsi="宋体" w:cs="宋体"/>
          <w:b/>
          <w:color w:val="auto"/>
          <w:sz w:val="32"/>
          <w:szCs w:val="96"/>
          <w:highlight w:val="none"/>
        </w:rPr>
      </w:pPr>
    </w:p>
    <w:p w14:paraId="7C5682F1">
      <w:pPr>
        <w:snapToGrid w:val="0"/>
        <w:spacing w:before="156" w:beforeLines="50" w:line="360" w:lineRule="auto"/>
        <w:jc w:val="center"/>
        <w:rPr>
          <w:rFonts w:hint="eastAsia" w:ascii="宋体" w:hAnsi="宋体" w:eastAsia="宋体" w:cs="宋体"/>
          <w:b/>
          <w:color w:val="auto"/>
          <w:sz w:val="32"/>
          <w:szCs w:val="96"/>
          <w:highlight w:val="none"/>
          <w:lang w:eastAsia="zh-CN"/>
        </w:rPr>
      </w:pPr>
      <w:r>
        <w:rPr>
          <w:rFonts w:hint="eastAsia" w:ascii="宋体" w:hAnsi="宋体" w:cs="宋体"/>
          <w:b/>
          <w:color w:val="auto"/>
          <w:sz w:val="32"/>
          <w:szCs w:val="96"/>
          <w:highlight w:val="none"/>
        </w:rPr>
        <w:t>项目名称：</w:t>
      </w:r>
      <w:r>
        <w:rPr>
          <w:rFonts w:hint="eastAsia" w:ascii="宋体" w:hAnsi="宋体" w:cs="宋体"/>
          <w:b/>
          <w:color w:val="auto"/>
          <w:sz w:val="32"/>
          <w:szCs w:val="96"/>
          <w:highlight w:val="none"/>
          <w:lang w:eastAsia="zh-CN"/>
        </w:rPr>
        <w:t>右江区隐形耕地流出排查技术服务项目</w:t>
      </w:r>
    </w:p>
    <w:p w14:paraId="30F4626A">
      <w:pPr>
        <w:snapToGrid w:val="0"/>
        <w:spacing w:before="156" w:beforeLines="50" w:line="360" w:lineRule="auto"/>
        <w:jc w:val="center"/>
        <w:rPr>
          <w:rFonts w:ascii="宋体" w:hAnsi="宋体" w:cs="宋体"/>
          <w:b/>
          <w:color w:val="auto"/>
          <w:sz w:val="32"/>
          <w:szCs w:val="96"/>
          <w:highlight w:val="none"/>
        </w:rPr>
      </w:pPr>
      <w:r>
        <w:rPr>
          <w:rFonts w:hint="eastAsia" w:ascii="宋体" w:hAnsi="宋体" w:cs="宋体"/>
          <w:b/>
          <w:bCs/>
          <w:color w:val="auto"/>
          <w:sz w:val="32"/>
          <w:szCs w:val="32"/>
          <w:highlight w:val="none"/>
        </w:rPr>
        <w:t>项目编号：BSZC2024-C3-020174-DXGS</w:t>
      </w:r>
    </w:p>
    <w:p w14:paraId="16CB489B">
      <w:pPr>
        <w:snapToGrid w:val="0"/>
        <w:spacing w:before="156" w:beforeLines="50" w:line="360" w:lineRule="auto"/>
        <w:jc w:val="center"/>
        <w:rPr>
          <w:rFonts w:ascii="宋体" w:hAnsi="宋体" w:cs="宋体"/>
          <w:b/>
          <w:color w:val="auto"/>
          <w:sz w:val="32"/>
          <w:szCs w:val="96"/>
          <w:highlight w:val="none"/>
        </w:rPr>
      </w:pPr>
    </w:p>
    <w:p w14:paraId="4ED7ACF5">
      <w:pPr>
        <w:snapToGrid w:val="0"/>
        <w:spacing w:before="156" w:beforeLines="50" w:line="360" w:lineRule="auto"/>
        <w:ind w:firstLine="1285" w:firstLineChars="400"/>
        <w:rPr>
          <w:rFonts w:ascii="宋体" w:hAnsi="宋体" w:cs="宋体"/>
          <w:b/>
          <w:color w:val="auto"/>
          <w:sz w:val="32"/>
          <w:szCs w:val="96"/>
          <w:highlight w:val="none"/>
        </w:rPr>
      </w:pPr>
    </w:p>
    <w:p w14:paraId="53A51CF4">
      <w:pPr>
        <w:snapToGrid w:val="0"/>
        <w:spacing w:before="156" w:beforeLines="50" w:line="360" w:lineRule="auto"/>
        <w:jc w:val="center"/>
        <w:rPr>
          <w:rFonts w:ascii="宋体" w:hAnsi="宋体" w:cs="宋体"/>
          <w:b/>
          <w:color w:val="auto"/>
          <w:sz w:val="32"/>
          <w:szCs w:val="96"/>
          <w:highlight w:val="none"/>
        </w:rPr>
      </w:pPr>
      <w:r>
        <w:rPr>
          <w:rFonts w:hint="eastAsia" w:ascii="宋体" w:hAnsi="宋体" w:cs="宋体"/>
          <w:b/>
          <w:color w:val="auto"/>
          <w:sz w:val="32"/>
          <w:szCs w:val="96"/>
          <w:highlight w:val="none"/>
        </w:rPr>
        <w:t>采 购 人：</w:t>
      </w:r>
      <w:r>
        <w:rPr>
          <w:rFonts w:hint="eastAsia" w:ascii="宋体" w:hAnsi="宋体" w:cs="宋体"/>
          <w:b/>
          <w:color w:val="auto"/>
          <w:sz w:val="32"/>
          <w:szCs w:val="96"/>
          <w:highlight w:val="none"/>
          <w:lang w:eastAsia="zh-CN"/>
        </w:rPr>
        <w:t>百色市右江区自然资源局</w:t>
      </w:r>
    </w:p>
    <w:p w14:paraId="6DCC5AB7">
      <w:pPr>
        <w:snapToGrid w:val="0"/>
        <w:spacing w:before="156" w:beforeLines="50" w:line="360" w:lineRule="auto"/>
        <w:jc w:val="center"/>
        <w:rPr>
          <w:rFonts w:hint="eastAsia" w:ascii="宋体" w:hAnsi="宋体" w:eastAsia="宋体" w:cs="宋体"/>
          <w:b/>
          <w:color w:val="auto"/>
          <w:sz w:val="32"/>
          <w:szCs w:val="96"/>
          <w:highlight w:val="none"/>
          <w:lang w:eastAsia="zh-CN"/>
        </w:rPr>
      </w:pPr>
      <w:r>
        <w:rPr>
          <w:rFonts w:hint="eastAsia" w:ascii="宋体" w:hAnsi="宋体" w:cs="宋体"/>
          <w:b/>
          <w:color w:val="auto"/>
          <w:sz w:val="32"/>
          <w:szCs w:val="96"/>
          <w:highlight w:val="none"/>
        </w:rPr>
        <w:t>采购代理机构：</w:t>
      </w:r>
      <w:r>
        <w:rPr>
          <w:rFonts w:hint="eastAsia" w:ascii="宋体" w:hAnsi="宋体" w:cs="宋体"/>
          <w:b/>
          <w:color w:val="auto"/>
          <w:sz w:val="32"/>
          <w:szCs w:val="96"/>
          <w:highlight w:val="none"/>
          <w:lang w:eastAsia="zh-CN"/>
        </w:rPr>
        <w:t>东信工程项目管理有限公司</w:t>
      </w:r>
    </w:p>
    <w:p w14:paraId="111171E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96"/>
          <w:highlight w:val="none"/>
        </w:rPr>
        <w:t>202</w:t>
      </w:r>
      <w:r>
        <w:rPr>
          <w:rFonts w:hint="eastAsia" w:ascii="宋体" w:hAnsi="宋体" w:cs="宋体"/>
          <w:b/>
          <w:color w:val="auto"/>
          <w:sz w:val="32"/>
          <w:szCs w:val="96"/>
          <w:highlight w:val="none"/>
          <w:lang w:val="en-US" w:eastAsia="zh-CN"/>
        </w:rPr>
        <w:t>4</w:t>
      </w:r>
      <w:r>
        <w:rPr>
          <w:rFonts w:hint="eastAsia" w:ascii="宋体" w:hAnsi="宋体" w:cs="宋体"/>
          <w:b/>
          <w:color w:val="auto"/>
          <w:sz w:val="32"/>
          <w:szCs w:val="96"/>
          <w:highlight w:val="none"/>
        </w:rPr>
        <w:t>年</w:t>
      </w:r>
      <w:r>
        <w:rPr>
          <w:rFonts w:hint="eastAsia" w:ascii="宋体" w:hAnsi="宋体" w:cs="宋体"/>
          <w:b/>
          <w:color w:val="auto"/>
          <w:sz w:val="32"/>
          <w:szCs w:val="96"/>
          <w:highlight w:val="none"/>
          <w:lang w:val="en-US" w:eastAsia="zh-CN"/>
        </w:rPr>
        <w:t>11</w:t>
      </w:r>
      <w:r>
        <w:rPr>
          <w:rFonts w:hint="eastAsia" w:ascii="宋体" w:hAnsi="宋体" w:cs="宋体"/>
          <w:b/>
          <w:color w:val="auto"/>
          <w:sz w:val="32"/>
          <w:szCs w:val="96"/>
          <w:highlight w:val="none"/>
        </w:rPr>
        <w:t>月</w:t>
      </w:r>
    </w:p>
    <w:sdt>
      <w:sdtPr>
        <w:rPr>
          <w:rFonts w:hint="eastAsia" w:ascii="宋体" w:hAnsi="宋体" w:cs="宋体"/>
          <w:color w:val="auto"/>
          <w:sz w:val="32"/>
          <w:szCs w:val="40"/>
          <w:highlight w:val="none"/>
        </w:rPr>
        <w:id w:val="147454562"/>
        <w:docPartObj>
          <w:docPartGallery w:val="Table of Contents"/>
          <w:docPartUnique/>
        </w:docPartObj>
      </w:sdtPr>
      <w:sdtEndPr>
        <w:rPr>
          <w:rFonts w:hint="eastAsia" w:ascii="宋体" w:hAnsi="宋体" w:cs="宋体"/>
          <w:color w:val="auto"/>
          <w:sz w:val="21"/>
          <w:szCs w:val="44"/>
          <w:highlight w:val="none"/>
        </w:rPr>
      </w:sdtEndPr>
      <w:sdtContent>
        <w:p w14:paraId="3E8F905F">
          <w:pPr>
            <w:jc w:val="center"/>
            <w:rPr>
              <w:rStyle w:val="44"/>
              <w:color w:val="auto"/>
              <w:highlight w:val="none"/>
            </w:rPr>
          </w:pPr>
          <w:r>
            <w:rPr>
              <w:rStyle w:val="44"/>
              <w:rFonts w:hint="eastAsia"/>
              <w:color w:val="auto"/>
              <w:highlight w:val="none"/>
            </w:rPr>
            <w:t>目录</w:t>
          </w:r>
        </w:p>
        <w:p w14:paraId="2F6797F3">
          <w:pPr>
            <w:pStyle w:val="25"/>
            <w:tabs>
              <w:tab w:val="right" w:leader="dot" w:pos="9522"/>
            </w:tabs>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"_Toc9953"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_Toc9953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A1AF8B4">
          <w:pPr>
            <w:pStyle w:val="25"/>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"_Toc28251" </w:instrText>
          </w:r>
          <w:r>
            <w:rPr>
              <w:color w:val="auto"/>
              <w:highlight w:val="none"/>
            </w:rPr>
            <w:fldChar w:fldCharType="separate"/>
          </w:r>
          <w:r>
            <w:rPr>
              <w:rFonts w:hint="eastAsia" w:ascii="宋体" w:hAnsi="宋体" w:cs="宋体"/>
              <w:color w:val="auto"/>
              <w:sz w:val="28"/>
              <w:szCs w:val="28"/>
              <w:highlight w:val="none"/>
            </w:rPr>
            <w:t>第二章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_Toc28251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3066D73">
          <w:pPr>
            <w:pStyle w:val="25"/>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"_Toc30239" </w:instrText>
          </w:r>
          <w:r>
            <w:rPr>
              <w:color w:val="auto"/>
              <w:highlight w:val="none"/>
            </w:rPr>
            <w:fldChar w:fldCharType="separate"/>
          </w:r>
          <w:r>
            <w:rPr>
              <w:rFonts w:hint="eastAsia" w:ascii="宋体" w:hAnsi="宋体" w:cs="宋体"/>
              <w:color w:val="auto"/>
              <w:sz w:val="28"/>
              <w:szCs w:val="28"/>
              <w:highlight w:val="none"/>
            </w:rPr>
            <w:t>第三章 项目需求和说明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_Toc30239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AAD5590">
          <w:pPr>
            <w:pStyle w:val="25"/>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"_Toc489" </w:instrText>
          </w:r>
          <w:r>
            <w:rPr>
              <w:color w:val="auto"/>
              <w:highlight w:val="none"/>
            </w:rPr>
            <w:fldChar w:fldCharType="separate"/>
          </w:r>
          <w:r>
            <w:rPr>
              <w:rFonts w:hint="eastAsia" w:ascii="宋体" w:hAnsi="宋体" w:cs="宋体"/>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_Toc489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DF4EE23">
          <w:pPr>
            <w:pStyle w:val="25"/>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"_Toc31802" </w:instrText>
          </w:r>
          <w:r>
            <w:rPr>
              <w:color w:val="auto"/>
              <w:highlight w:val="none"/>
            </w:rPr>
            <w:fldChar w:fldCharType="separate"/>
          </w:r>
          <w:r>
            <w:rPr>
              <w:rFonts w:hint="eastAsia" w:ascii="宋体" w:hAnsi="宋体" w:cs="宋体"/>
              <w:color w:val="auto"/>
              <w:sz w:val="28"/>
              <w:szCs w:val="28"/>
              <w:highlight w:val="none"/>
            </w:rPr>
            <w:t>第五章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_Toc31802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12B0C6A">
          <w:pPr>
            <w:pStyle w:val="25"/>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"_Toc24421" </w:instrText>
          </w:r>
          <w:r>
            <w:rPr>
              <w:color w:val="auto"/>
              <w:highlight w:val="none"/>
            </w:rPr>
            <w:fldChar w:fldCharType="separate"/>
          </w:r>
          <w:r>
            <w:rPr>
              <w:rFonts w:hint="eastAsia" w:ascii="宋体" w:hAnsi="宋体" w:cs="宋体"/>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_Toc24421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E39F4FE">
          <w:pPr>
            <w:spacing w:line="480" w:lineRule="auto"/>
            <w:jc w:val="center"/>
            <w:rPr>
              <w:rFonts w:ascii="宋体" w:hAnsi="宋体" w:cs="宋体"/>
              <w:b/>
              <w:color w:val="auto"/>
              <w:sz w:val="44"/>
              <w:szCs w:val="44"/>
              <w:highlight w:val="none"/>
            </w:rPr>
          </w:pPr>
          <w:r>
            <w:rPr>
              <w:rFonts w:hint="eastAsia" w:ascii="宋体" w:hAnsi="宋体" w:cs="宋体"/>
              <w:color w:val="auto"/>
              <w:sz w:val="28"/>
              <w:szCs w:val="28"/>
              <w:highlight w:val="none"/>
            </w:rPr>
            <w:fldChar w:fldCharType="end"/>
          </w:r>
        </w:p>
      </w:sdtContent>
    </w:sdt>
    <w:p w14:paraId="58A3E0FD">
      <w:pPr>
        <w:pStyle w:val="26"/>
        <w:tabs>
          <w:tab w:val="left" w:pos="7199"/>
          <w:tab w:val="clear" w:pos="8296"/>
        </w:tabs>
        <w:spacing w:line="360" w:lineRule="auto"/>
        <w:rPr>
          <w:rFonts w:ascii="宋体" w:hAnsi="宋体" w:cs="宋体"/>
          <w:color w:val="auto"/>
          <w:sz w:val="32"/>
          <w:szCs w:val="40"/>
          <w:highlight w:val="none"/>
        </w:rPr>
      </w:pPr>
      <w:r>
        <w:rPr>
          <w:rFonts w:hint="eastAsia" w:ascii="宋体" w:hAnsi="宋体" w:cs="宋体"/>
          <w:b/>
          <w:color w:val="auto"/>
          <w:sz w:val="44"/>
          <w:szCs w:val="44"/>
          <w:highlight w:val="none"/>
        </w:rPr>
        <w:tab/>
      </w:r>
      <w:r>
        <w:rPr>
          <w:rFonts w:hint="eastAsia" w:ascii="宋体" w:hAnsi="宋体" w:cs="宋体"/>
          <w:b/>
          <w:color w:val="auto"/>
          <w:sz w:val="44"/>
          <w:szCs w:val="44"/>
          <w:highlight w:val="none"/>
        </w:rPr>
        <w:fldChar w:fldCharType="begin"/>
      </w:r>
      <w:r>
        <w:rPr>
          <w:rFonts w:hint="eastAsia" w:ascii="宋体" w:hAnsi="宋体" w:cs="宋体"/>
          <w:b/>
          <w:color w:val="auto"/>
          <w:sz w:val="44"/>
          <w:szCs w:val="44"/>
          <w:highlight w:val="none"/>
        </w:rPr>
        <w:instrText xml:space="preserve"> TOC \o "1-3" \h \z \u </w:instrText>
      </w:r>
      <w:r>
        <w:rPr>
          <w:rFonts w:hint="eastAsia" w:ascii="宋体" w:hAnsi="宋体" w:cs="宋体"/>
          <w:b/>
          <w:color w:val="auto"/>
          <w:sz w:val="44"/>
          <w:szCs w:val="44"/>
          <w:highlight w:val="none"/>
        </w:rPr>
        <w:fldChar w:fldCharType="separate"/>
      </w:r>
    </w:p>
    <w:p w14:paraId="3EE6B6DA">
      <w:pPr>
        <w:pStyle w:val="26"/>
        <w:spacing w:line="360" w:lineRule="auto"/>
        <w:rPr>
          <w:rFonts w:ascii="宋体" w:hAnsi="宋体" w:cs="宋体"/>
          <w:color w:val="auto"/>
          <w:sz w:val="28"/>
          <w:szCs w:val="28"/>
          <w:highlight w:val="none"/>
        </w:rPr>
      </w:pPr>
      <w:r>
        <w:rPr>
          <w:rFonts w:hint="eastAsia" w:ascii="宋体" w:hAnsi="宋体" w:cs="宋体"/>
          <w:color w:val="auto"/>
          <w:sz w:val="32"/>
          <w:szCs w:val="44"/>
          <w:highlight w:val="none"/>
        </w:rPr>
        <w:fldChar w:fldCharType="end"/>
      </w:r>
    </w:p>
    <w:p w14:paraId="59B17006">
      <w:pPr>
        <w:spacing w:line="400" w:lineRule="exact"/>
        <w:jc w:val="left"/>
        <w:rPr>
          <w:rFonts w:ascii="宋体" w:hAnsi="宋体" w:cs="宋体"/>
          <w:b/>
          <w:color w:val="auto"/>
          <w:sz w:val="32"/>
          <w:szCs w:val="32"/>
          <w:highlight w:val="none"/>
        </w:rPr>
      </w:pPr>
    </w:p>
    <w:p w14:paraId="4B86A2A1">
      <w:pPr>
        <w:spacing w:line="400" w:lineRule="exact"/>
        <w:jc w:val="center"/>
        <w:rPr>
          <w:rFonts w:ascii="宋体" w:hAnsi="宋体" w:cs="宋体"/>
          <w:b/>
          <w:color w:val="auto"/>
          <w:sz w:val="32"/>
          <w:szCs w:val="32"/>
          <w:highlight w:val="none"/>
        </w:rPr>
      </w:pPr>
    </w:p>
    <w:p w14:paraId="577AEA4A">
      <w:pPr>
        <w:spacing w:line="400" w:lineRule="exact"/>
        <w:jc w:val="center"/>
        <w:rPr>
          <w:rFonts w:ascii="宋体" w:hAnsi="宋体" w:cs="宋体"/>
          <w:b/>
          <w:color w:val="auto"/>
          <w:sz w:val="32"/>
          <w:szCs w:val="32"/>
          <w:highlight w:val="none"/>
        </w:rPr>
      </w:pPr>
    </w:p>
    <w:p w14:paraId="7F71486A">
      <w:pPr>
        <w:spacing w:line="400" w:lineRule="exact"/>
        <w:jc w:val="center"/>
        <w:rPr>
          <w:rFonts w:ascii="宋体" w:hAnsi="宋体" w:cs="宋体"/>
          <w:b/>
          <w:color w:val="auto"/>
          <w:sz w:val="32"/>
          <w:szCs w:val="32"/>
          <w:highlight w:val="none"/>
        </w:rPr>
      </w:pPr>
    </w:p>
    <w:p w14:paraId="085DC736">
      <w:pPr>
        <w:spacing w:line="400" w:lineRule="exact"/>
        <w:jc w:val="center"/>
        <w:rPr>
          <w:rFonts w:ascii="宋体" w:hAnsi="宋体" w:cs="宋体"/>
          <w:b/>
          <w:color w:val="auto"/>
          <w:sz w:val="32"/>
          <w:szCs w:val="32"/>
          <w:highlight w:val="none"/>
        </w:rPr>
      </w:pPr>
    </w:p>
    <w:p w14:paraId="7B0454B6">
      <w:pPr>
        <w:spacing w:line="400" w:lineRule="exact"/>
        <w:rPr>
          <w:rFonts w:ascii="宋体" w:hAnsi="宋体" w:cs="宋体"/>
          <w:b/>
          <w:color w:val="auto"/>
          <w:sz w:val="32"/>
          <w:szCs w:val="32"/>
          <w:highlight w:val="none"/>
        </w:rPr>
        <w:sectPr>
          <w:headerReference r:id="rId4" w:type="first"/>
          <w:headerReference r:id="rId3" w:type="default"/>
          <w:pgSz w:w="11906" w:h="16838"/>
          <w:pgMar w:top="1440" w:right="1080" w:bottom="1440" w:left="1304" w:header="851" w:footer="992" w:gutter="0"/>
          <w:cols w:space="720" w:num="1"/>
          <w:titlePg/>
          <w:docGrid w:type="lines" w:linePitch="312" w:charSpace="0"/>
        </w:sectPr>
      </w:pPr>
    </w:p>
    <w:p w14:paraId="4FBF717D">
      <w:pPr>
        <w:pStyle w:val="4"/>
        <w:numPr>
          <w:ilvl w:val="0"/>
          <w:numId w:val="1"/>
        </w:numPr>
        <w:spacing w:before="0" w:after="0" w:line="240" w:lineRule="auto"/>
        <w:jc w:val="center"/>
        <w:rPr>
          <w:rFonts w:hint="eastAsia" w:ascii="宋体" w:hAnsi="宋体" w:cs="宋体"/>
          <w:color w:val="auto"/>
          <w:highlight w:val="none"/>
        </w:rPr>
      </w:pPr>
      <w:bookmarkStart w:id="0" w:name="_Toc20756"/>
      <w:bookmarkStart w:id="1" w:name="_Toc9953"/>
      <w:r>
        <w:rPr>
          <w:rFonts w:hint="eastAsia" w:ascii="宋体" w:hAnsi="宋体" w:cs="宋体"/>
          <w:color w:val="auto"/>
          <w:highlight w:val="none"/>
        </w:rPr>
        <w:t>竞争性磋商公告</w:t>
      </w:r>
      <w:bookmarkEnd w:id="0"/>
      <w:bookmarkEnd w:id="1"/>
    </w:p>
    <w:p w14:paraId="07F340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eastAsia="zh-CN"/>
        </w:rPr>
        <w:t>东信工程项目管理有限公司</w:t>
      </w:r>
      <w:r>
        <w:rPr>
          <w:rFonts w:hint="eastAsia" w:ascii="宋体" w:hAnsi="宋体" w:eastAsia="宋体" w:cs="宋体"/>
          <w:b/>
          <w:bCs/>
          <w:color w:val="auto"/>
          <w:sz w:val="28"/>
          <w:szCs w:val="36"/>
          <w:highlight w:val="none"/>
        </w:rPr>
        <w:t>关于</w:t>
      </w:r>
      <w:r>
        <w:rPr>
          <w:rFonts w:hint="eastAsia" w:ascii="宋体" w:hAnsi="宋体" w:cs="宋体"/>
          <w:b/>
          <w:bCs/>
          <w:color w:val="auto"/>
          <w:sz w:val="28"/>
          <w:szCs w:val="36"/>
          <w:highlight w:val="none"/>
          <w:lang w:eastAsia="zh-CN"/>
        </w:rPr>
        <w:t>右江区隐形耕地流出排查技术服务项目</w:t>
      </w:r>
      <w:r>
        <w:rPr>
          <w:rFonts w:hint="eastAsia" w:ascii="宋体" w:hAnsi="宋体" w:eastAsia="宋体" w:cs="宋体"/>
          <w:b/>
          <w:bCs/>
          <w:color w:val="auto"/>
          <w:sz w:val="28"/>
          <w:szCs w:val="36"/>
          <w:highlight w:val="none"/>
        </w:rPr>
        <w:t>竞争性磋商公告</w:t>
      </w:r>
      <w:r>
        <w:rPr>
          <w:rFonts w:hint="eastAsia" w:ascii="宋体" w:hAnsi="宋体" w:eastAsia="宋体" w:cs="宋体"/>
          <w:b/>
          <w:bCs/>
          <w:color w:val="auto"/>
          <w:sz w:val="28"/>
          <w:szCs w:val="36"/>
          <w:highlight w:val="none"/>
          <w:lang w:eastAsia="zh-CN"/>
        </w:rPr>
        <w:t>（</w:t>
      </w:r>
      <w:r>
        <w:rPr>
          <w:rFonts w:hint="eastAsia" w:ascii="宋体" w:hAnsi="宋体" w:eastAsia="宋体" w:cs="宋体"/>
          <w:b/>
          <w:bCs/>
          <w:color w:val="auto"/>
          <w:sz w:val="28"/>
          <w:szCs w:val="36"/>
          <w:highlight w:val="none"/>
          <w:lang w:val="en-US" w:eastAsia="zh-CN"/>
        </w:rPr>
        <w:t>远程异地评标</w:t>
      </w:r>
      <w:r>
        <w:rPr>
          <w:rFonts w:hint="eastAsia" w:ascii="宋体" w:hAnsi="宋体" w:eastAsia="宋体" w:cs="宋体"/>
          <w:b/>
          <w:bCs/>
          <w:color w:val="auto"/>
          <w:sz w:val="28"/>
          <w:szCs w:val="36"/>
          <w:highlight w:val="none"/>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14:paraId="0DE0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14:paraId="26C13C57">
            <w:pPr>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auto"/>
                <w:sz w:val="24"/>
                <w:highlight w:val="none"/>
              </w:rPr>
            </w:pPr>
            <w:r>
              <w:rPr>
                <w:rFonts w:hint="eastAsia" w:ascii="宋体" w:hAnsi="宋体" w:cs="宋体"/>
                <w:b/>
                <w:color w:val="auto"/>
                <w:sz w:val="24"/>
                <w:highlight w:val="none"/>
              </w:rPr>
              <w:t>项目概况</w:t>
            </w:r>
          </w:p>
          <w:p w14:paraId="5ECE6E06">
            <w:pPr>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宋体" w:hAnsi="宋体" w:cs="宋体"/>
                <w:b/>
                <w:color w:val="auto"/>
                <w:sz w:val="24"/>
                <w:highlight w:val="none"/>
              </w:rPr>
            </w:pPr>
            <w:r>
              <w:rPr>
                <w:rFonts w:hint="eastAsia" w:ascii="宋体" w:hAnsi="宋体" w:cs="宋体"/>
                <w:bCs/>
                <w:color w:val="auto"/>
                <w:sz w:val="24"/>
                <w:highlight w:val="none"/>
                <w:u w:val="single"/>
                <w:lang w:eastAsia="zh-CN"/>
              </w:rPr>
              <w:t>右江区隐形耕地流出排查技术服务项目</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采购的潜在供应商应在</w:t>
            </w:r>
            <w:r>
              <w:rPr>
                <w:rFonts w:hint="eastAsia" w:ascii="宋体" w:hAnsi="宋体" w:cs="宋体"/>
                <w:color w:val="auto"/>
                <w:sz w:val="24"/>
                <w:highlight w:val="none"/>
                <w:u w:val="single"/>
                <w:lang w:eastAsia="zh-CN"/>
              </w:rPr>
              <w:t>广西政府采购云平台系统（https://www.gcy.zfcg.gxzf.gov.cn/）</w:t>
            </w:r>
            <w:r>
              <w:rPr>
                <w:rFonts w:hint="eastAsia" w:ascii="宋体" w:hAnsi="宋体" w:cs="宋体"/>
                <w:bCs/>
                <w:color w:val="auto"/>
                <w:sz w:val="24"/>
                <w:highlight w:val="none"/>
              </w:rPr>
              <w:t>获取采购文件，并于</w:t>
            </w:r>
            <w:r>
              <w:rPr>
                <w:rFonts w:hint="eastAsia" w:ascii="宋体" w:hAnsi="宋体" w:cs="宋体"/>
                <w:bCs/>
                <w:color w:val="auto"/>
                <w:sz w:val="24"/>
                <w:highlight w:val="none"/>
                <w:u w:val="single"/>
                <w:lang w:eastAsia="zh-CN"/>
              </w:rPr>
              <w:t>2024年11月19日15时00分</w:t>
            </w:r>
            <w:r>
              <w:rPr>
                <w:rFonts w:hint="eastAsia" w:ascii="宋体" w:hAnsi="宋体" w:cs="宋体"/>
                <w:bCs/>
                <w:color w:val="auto"/>
                <w:sz w:val="24"/>
                <w:highlight w:val="none"/>
              </w:rPr>
              <w:t>（北京时间）前提交响应文件。</w:t>
            </w:r>
          </w:p>
        </w:tc>
      </w:tr>
    </w:tbl>
    <w:p w14:paraId="06D5A7DC">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2" w:name="_Toc28359012"/>
      <w:bookmarkStart w:id="3" w:name="_Toc35393798"/>
      <w:bookmarkStart w:id="4" w:name="_Toc44229878"/>
      <w:bookmarkStart w:id="5" w:name="_Toc10597"/>
      <w:bookmarkStart w:id="6" w:name="_Toc28359089"/>
      <w:bookmarkStart w:id="7" w:name="_Toc35393629"/>
      <w:bookmarkStart w:id="8" w:name="_Hlk37430271"/>
      <w:r>
        <w:rPr>
          <w:rFonts w:hint="eastAsia" w:ascii="宋体" w:hAnsi="宋体" w:cs="宋体"/>
          <w:bCs w:val="0"/>
          <w:color w:val="auto"/>
          <w:sz w:val="24"/>
          <w:szCs w:val="24"/>
          <w:highlight w:val="none"/>
        </w:rPr>
        <w:t>一、项目基本情况</w:t>
      </w:r>
      <w:bookmarkEnd w:id="2"/>
      <w:bookmarkEnd w:id="3"/>
      <w:bookmarkEnd w:id="4"/>
      <w:bookmarkEnd w:id="5"/>
      <w:bookmarkEnd w:id="6"/>
      <w:bookmarkEnd w:id="7"/>
    </w:p>
    <w:p w14:paraId="2E79FC2A">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项目编号：BSZC2024-C3-020174-DXGS</w:t>
      </w:r>
    </w:p>
    <w:p w14:paraId="7AE979AF">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右江区隐形耕地流出排查技术服务项目</w:t>
      </w:r>
    </w:p>
    <w:p w14:paraId="00B2A9E2">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采购方式：竞争性磋商</w:t>
      </w:r>
    </w:p>
    <w:p w14:paraId="0D6B1C6C">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预算总金额（元）：2999731</w:t>
      </w:r>
      <w:r>
        <w:rPr>
          <w:rFonts w:hint="eastAsia" w:ascii="宋体" w:hAnsi="宋体" w:cs="宋体"/>
          <w:color w:val="auto"/>
          <w:sz w:val="24"/>
          <w:highlight w:val="none"/>
          <w:lang w:val="en-US" w:eastAsia="zh-CN"/>
        </w:rPr>
        <w:t>.00</w:t>
      </w:r>
    </w:p>
    <w:p w14:paraId="3CC4CAAC">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p>
    <w:p w14:paraId="627B3867">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 xml:space="preserve">标项一 </w:t>
      </w:r>
    </w:p>
    <w:p w14:paraId="51780B82">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右江区隐形耕地流出排查技术服务项目</w:t>
      </w:r>
      <w:r>
        <w:rPr>
          <w:rFonts w:hint="eastAsia" w:ascii="宋体" w:hAnsi="宋体" w:cs="宋体"/>
          <w:color w:val="auto"/>
          <w:sz w:val="24"/>
          <w:highlight w:val="none"/>
          <w:lang w:val="en-US" w:eastAsia="zh-CN"/>
        </w:rPr>
        <w:t>A标</w:t>
      </w:r>
    </w:p>
    <w:p w14:paraId="302D20BD">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数量:1</w:t>
      </w:r>
    </w:p>
    <w:p w14:paraId="2AE9D92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预算金额（元）:1313004</w:t>
      </w:r>
    </w:p>
    <w:p w14:paraId="6EBC730D">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简要规格描述或项目基本概况介绍、用途：到右江区范围内排查自治区下发隐形图斑现场情况，后续根据自然资源厅要求制作数据库，判断整改方向等</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具体内容详见</w:t>
      </w:r>
      <w:r>
        <w:rPr>
          <w:rFonts w:hint="eastAsia" w:ascii="宋体" w:hAnsi="宋体" w:cs="宋体"/>
          <w:color w:val="auto"/>
          <w:sz w:val="24"/>
          <w:highlight w:val="none"/>
          <w:lang w:val="en-US" w:eastAsia="zh-CN"/>
        </w:rPr>
        <w:t>竞争性磋商文件</w:t>
      </w:r>
      <w:r>
        <w:rPr>
          <w:rFonts w:hint="eastAsia" w:ascii="宋体" w:hAnsi="宋体" w:cs="宋体"/>
          <w:color w:val="auto"/>
          <w:sz w:val="24"/>
          <w:highlight w:val="none"/>
        </w:rPr>
        <w:t>。</w:t>
      </w:r>
    </w:p>
    <w:p w14:paraId="644532AF">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最高限价（如有）：1313004</w:t>
      </w:r>
    </w:p>
    <w:p w14:paraId="3CE4E7C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合同签订之日起至30天内提交成果</w:t>
      </w:r>
      <w:r>
        <w:rPr>
          <w:rFonts w:hint="eastAsia" w:ascii="宋体" w:hAnsi="宋体" w:cs="宋体"/>
          <w:color w:val="auto"/>
          <w:sz w:val="24"/>
          <w:highlight w:val="none"/>
        </w:rPr>
        <w:t>。</w:t>
      </w:r>
    </w:p>
    <w:p w14:paraId="565BD668">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本标项（否）接受联合体投标</w:t>
      </w:r>
    </w:p>
    <w:p w14:paraId="0CD987DC">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color w:val="auto"/>
          <w:sz w:val="24"/>
          <w:highlight w:val="none"/>
        </w:rPr>
      </w:pPr>
    </w:p>
    <w:p w14:paraId="5A91E9C1">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 xml:space="preserve"> </w:t>
      </w:r>
    </w:p>
    <w:p w14:paraId="0F592F5C">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右江区隐形耕地流出排查技术服务项目</w:t>
      </w:r>
      <w:r>
        <w:rPr>
          <w:rFonts w:hint="eastAsia" w:ascii="宋体" w:hAnsi="宋体" w:cs="宋体"/>
          <w:color w:val="auto"/>
          <w:sz w:val="24"/>
          <w:highlight w:val="none"/>
          <w:lang w:val="en-US" w:eastAsia="zh-CN"/>
        </w:rPr>
        <w:t>B标</w:t>
      </w:r>
    </w:p>
    <w:p w14:paraId="461F9039">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数量:1</w:t>
      </w:r>
    </w:p>
    <w:p w14:paraId="2F074DE3">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预算金额（元）:471163</w:t>
      </w:r>
    </w:p>
    <w:p w14:paraId="5C9C8630">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简要规格描述或项目基本概况介绍、用途：到右江区范围内排查自治区下发隐形图斑现场情况，后续根据自然资源厅要求制作数据库，判断整改方向等</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具体内容详见</w:t>
      </w:r>
      <w:r>
        <w:rPr>
          <w:rFonts w:hint="eastAsia" w:ascii="宋体" w:hAnsi="宋体" w:cs="宋体"/>
          <w:color w:val="auto"/>
          <w:sz w:val="24"/>
          <w:highlight w:val="none"/>
          <w:lang w:val="en-US" w:eastAsia="zh-CN"/>
        </w:rPr>
        <w:t>竞争性磋商文件</w:t>
      </w:r>
      <w:r>
        <w:rPr>
          <w:rFonts w:hint="eastAsia" w:ascii="宋体" w:hAnsi="宋体" w:cs="宋体"/>
          <w:color w:val="auto"/>
          <w:sz w:val="24"/>
          <w:highlight w:val="none"/>
        </w:rPr>
        <w:t>。</w:t>
      </w:r>
    </w:p>
    <w:p w14:paraId="5160E74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最高限价（如有）：471163</w:t>
      </w:r>
    </w:p>
    <w:p w14:paraId="789FCB09">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合同签订之日起至30天内提交成果</w:t>
      </w:r>
      <w:r>
        <w:rPr>
          <w:rFonts w:hint="eastAsia" w:ascii="宋体" w:hAnsi="宋体" w:cs="宋体"/>
          <w:color w:val="auto"/>
          <w:sz w:val="24"/>
          <w:highlight w:val="none"/>
        </w:rPr>
        <w:t>。</w:t>
      </w:r>
    </w:p>
    <w:p w14:paraId="4D8B4D57">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本标项（否）接受联合体投标</w:t>
      </w:r>
    </w:p>
    <w:p w14:paraId="2FC9EFA3">
      <w:pPr>
        <w:pStyle w:val="2"/>
        <w:rPr>
          <w:rFonts w:hint="eastAsia" w:ascii="宋体" w:hAnsi="宋体" w:cs="宋体"/>
          <w:color w:val="auto"/>
          <w:sz w:val="24"/>
          <w:highlight w:val="none"/>
        </w:rPr>
      </w:pPr>
    </w:p>
    <w:p w14:paraId="7DE3110E">
      <w:pPr>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标项</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 xml:space="preserve"> </w:t>
      </w:r>
    </w:p>
    <w:p w14:paraId="51FCA2F6">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右江区隐形耕地流出排查技术服务项目</w:t>
      </w:r>
      <w:r>
        <w:rPr>
          <w:rFonts w:hint="eastAsia" w:ascii="宋体" w:hAnsi="宋体" w:cs="宋体"/>
          <w:color w:val="auto"/>
          <w:sz w:val="24"/>
          <w:highlight w:val="none"/>
          <w:lang w:val="en-US" w:eastAsia="zh-CN"/>
        </w:rPr>
        <w:t>C标</w:t>
      </w:r>
    </w:p>
    <w:p w14:paraId="72B4F3DE">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数量:1</w:t>
      </w:r>
    </w:p>
    <w:p w14:paraId="1659F6A0">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预算金额（元）:1215564</w:t>
      </w:r>
    </w:p>
    <w:p w14:paraId="56C37F02">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简要规格描述或项目基本概况介绍、用途：到右江区范围内排查自治区下发隐形图斑现场情况，后续根据自然资源厅要求制作数据库，判断整改方向等</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具体内容详见</w:t>
      </w:r>
      <w:r>
        <w:rPr>
          <w:rFonts w:hint="eastAsia" w:ascii="宋体" w:hAnsi="宋体" w:cs="宋体"/>
          <w:color w:val="auto"/>
          <w:sz w:val="24"/>
          <w:highlight w:val="none"/>
          <w:lang w:val="en-US" w:eastAsia="zh-CN"/>
        </w:rPr>
        <w:t>竞争性磋商文件</w:t>
      </w:r>
      <w:r>
        <w:rPr>
          <w:rFonts w:hint="eastAsia" w:ascii="宋体" w:hAnsi="宋体" w:cs="宋体"/>
          <w:color w:val="auto"/>
          <w:sz w:val="24"/>
          <w:highlight w:val="none"/>
        </w:rPr>
        <w:t>。</w:t>
      </w:r>
    </w:p>
    <w:p w14:paraId="02AA3C60">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最高限价（如有）：1215564</w:t>
      </w:r>
    </w:p>
    <w:p w14:paraId="154E3D31">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合同签订之日起至30天内提交成果</w:t>
      </w:r>
      <w:r>
        <w:rPr>
          <w:rFonts w:hint="eastAsia" w:ascii="宋体" w:hAnsi="宋体" w:cs="宋体"/>
          <w:color w:val="auto"/>
          <w:sz w:val="24"/>
          <w:highlight w:val="none"/>
        </w:rPr>
        <w:t>。</w:t>
      </w:r>
    </w:p>
    <w:p w14:paraId="45C2B93F">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本标项（否）接受联合体投标</w:t>
      </w:r>
    </w:p>
    <w:p w14:paraId="18E0C733">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9" w:name="_Toc8917"/>
      <w:bookmarkStart w:id="10" w:name="_Toc28359013"/>
      <w:bookmarkStart w:id="11" w:name="_Toc35393630"/>
      <w:bookmarkStart w:id="12" w:name="_Toc28359090"/>
      <w:bookmarkStart w:id="13" w:name="_Toc44229879"/>
      <w:bookmarkStart w:id="14" w:name="_Toc35393799"/>
      <w:r>
        <w:rPr>
          <w:rFonts w:hint="eastAsia" w:ascii="宋体" w:hAnsi="宋体" w:cs="宋体"/>
          <w:bCs w:val="0"/>
          <w:color w:val="auto"/>
          <w:sz w:val="24"/>
          <w:szCs w:val="24"/>
          <w:highlight w:val="none"/>
        </w:rPr>
        <w:t>二、供应商的资格条件</w:t>
      </w:r>
      <w:bookmarkEnd w:id="9"/>
      <w:bookmarkEnd w:id="10"/>
      <w:bookmarkEnd w:id="11"/>
      <w:bookmarkEnd w:id="12"/>
      <w:bookmarkEnd w:id="13"/>
      <w:bookmarkEnd w:id="14"/>
    </w:p>
    <w:p w14:paraId="12ECA68E">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bookmarkStart w:id="15" w:name="_Toc35393631"/>
      <w:bookmarkStart w:id="16" w:name="_Toc28359091"/>
      <w:bookmarkStart w:id="17" w:name="_Toc35393800"/>
      <w:bookmarkStart w:id="18" w:name="_Toc44229880"/>
      <w:bookmarkStart w:id="19" w:name="_Toc28359014"/>
      <w:r>
        <w:rPr>
          <w:rFonts w:hint="eastAsia" w:ascii="宋体" w:hAnsi="宋体" w:cs="宋体"/>
          <w:color w:val="auto"/>
          <w:sz w:val="24"/>
          <w:highlight w:val="none"/>
        </w:rPr>
        <w:t>1.满足《中华人民共和国政府采购法》第二十二条规定。</w:t>
      </w:r>
    </w:p>
    <w:p w14:paraId="129A55A9">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2.落实政府采购政策需满足的资格要求：分标1、2、3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本项目专门面向中小企业采购（供应商应为中小微企业）。</w:t>
      </w:r>
    </w:p>
    <w:p w14:paraId="776DFFF5">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3.本项目的特定资格要求：【分标1、2、3】</w:t>
      </w:r>
      <w:r>
        <w:rPr>
          <w:rFonts w:hint="eastAsia" w:ascii="宋体" w:hAnsi="宋体" w:eastAsia="宋体" w:cs="宋体"/>
          <w:color w:val="auto"/>
          <w:sz w:val="24"/>
          <w:highlight w:val="none"/>
          <w:lang w:eastAsia="zh-CN"/>
        </w:rPr>
        <w:t>具备土地规划乙级及以上(含乙级)资质或测绘乙级及以上(含乙级)资质</w:t>
      </w:r>
      <w:r>
        <w:rPr>
          <w:rFonts w:hint="eastAsia" w:ascii="宋体" w:hAnsi="宋体" w:cs="宋体"/>
          <w:color w:val="auto"/>
          <w:sz w:val="24"/>
          <w:highlight w:val="none"/>
          <w:lang w:eastAsia="zh-CN"/>
        </w:rPr>
        <w:t>的供应商</w:t>
      </w:r>
      <w:r>
        <w:rPr>
          <w:rFonts w:hint="eastAsia" w:ascii="宋体" w:hAnsi="宋体" w:cs="宋体"/>
          <w:color w:val="auto"/>
          <w:sz w:val="24"/>
          <w:highlight w:val="none"/>
        </w:rPr>
        <w:t>。</w:t>
      </w:r>
    </w:p>
    <w:p w14:paraId="57F67900">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20" w:name="_Toc16902"/>
      <w:r>
        <w:rPr>
          <w:rFonts w:hint="eastAsia" w:ascii="宋体" w:hAnsi="宋体" w:cs="宋体"/>
          <w:bCs w:val="0"/>
          <w:color w:val="auto"/>
          <w:sz w:val="24"/>
          <w:szCs w:val="24"/>
          <w:highlight w:val="none"/>
        </w:rPr>
        <w:t>三、获取竞争性磋商文件</w:t>
      </w:r>
      <w:bookmarkEnd w:id="15"/>
      <w:bookmarkEnd w:id="16"/>
      <w:bookmarkEnd w:id="17"/>
      <w:bookmarkEnd w:id="18"/>
      <w:bookmarkEnd w:id="19"/>
      <w:bookmarkEnd w:id="20"/>
    </w:p>
    <w:p w14:paraId="2B77308F">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lang w:eastAsia="zh-CN"/>
        </w:rPr>
        <w:t>日至202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，每天上午08:00至12:00，下午15:00至18:00（北京时间，法定节假日除外）。</w:t>
      </w:r>
    </w:p>
    <w:p w14:paraId="62167F11">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广西政府采购云平台系统（https://www.gcy.zfcg.gxzf.gov.cn/）</w:t>
      </w:r>
      <w:r>
        <w:rPr>
          <w:rFonts w:hint="eastAsia" w:ascii="宋体" w:hAnsi="宋体" w:cs="宋体"/>
          <w:color w:val="auto"/>
          <w:sz w:val="24"/>
          <w:highlight w:val="none"/>
        </w:rPr>
        <w:t>。</w:t>
      </w:r>
    </w:p>
    <w:p w14:paraId="7D2EEC86">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方式：供应商登录</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https://www.gcy.zfcg.gxzf.gov.cn/在线申请获取采购文件（进入“项目采购”应用，在获取采购文件菜单中选择项目，申请获取采购文件）</w:t>
      </w:r>
      <w:r>
        <w:rPr>
          <w:rFonts w:hint="eastAsia" w:ascii="宋体" w:hAnsi="宋体" w:cs="宋体"/>
          <w:color w:val="auto"/>
          <w:sz w:val="24"/>
          <w:highlight w:val="none"/>
          <w:lang w:eastAsia="zh-CN"/>
        </w:rPr>
        <w:t>。</w:t>
      </w:r>
    </w:p>
    <w:p w14:paraId="7F657E61">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售价：0元</w:t>
      </w:r>
    </w:p>
    <w:p w14:paraId="02F04643">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21" w:name="_Toc35393801"/>
      <w:bookmarkStart w:id="22" w:name="_Toc18912"/>
      <w:bookmarkStart w:id="23" w:name="_Toc28359092"/>
      <w:bookmarkStart w:id="24" w:name="_Toc28359015"/>
      <w:bookmarkStart w:id="25" w:name="_Toc44229881"/>
      <w:bookmarkStart w:id="26" w:name="_Toc35393632"/>
      <w:r>
        <w:rPr>
          <w:rFonts w:hint="eastAsia" w:ascii="宋体" w:hAnsi="宋体" w:cs="宋体"/>
          <w:bCs w:val="0"/>
          <w:color w:val="auto"/>
          <w:sz w:val="24"/>
          <w:szCs w:val="24"/>
          <w:highlight w:val="none"/>
        </w:rPr>
        <w:t>四、响应文件提交</w:t>
      </w:r>
      <w:bookmarkEnd w:id="21"/>
      <w:bookmarkEnd w:id="22"/>
      <w:bookmarkEnd w:id="23"/>
      <w:bookmarkEnd w:id="24"/>
      <w:bookmarkEnd w:id="25"/>
      <w:bookmarkEnd w:id="26"/>
    </w:p>
    <w:p w14:paraId="160A382D">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2024年11月19日15时00分</w:t>
      </w:r>
      <w:r>
        <w:rPr>
          <w:rFonts w:hint="eastAsia" w:ascii="宋体" w:hAnsi="宋体" w:cs="宋体"/>
          <w:color w:val="auto"/>
          <w:sz w:val="24"/>
          <w:highlight w:val="none"/>
        </w:rPr>
        <w:t>（北京时间）</w:t>
      </w:r>
    </w:p>
    <w:p w14:paraId="1EBAEC8C">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地点：请登录广西政府采购云平台投标客户端竞标。</w:t>
      </w:r>
    </w:p>
    <w:p w14:paraId="435FC3F8">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27" w:name="_Toc35393802"/>
      <w:bookmarkStart w:id="28" w:name="_Toc28359093"/>
      <w:bookmarkStart w:id="29" w:name="_Toc44229882"/>
      <w:bookmarkStart w:id="30" w:name="_Toc35393633"/>
      <w:bookmarkStart w:id="31" w:name="_Toc28359016"/>
      <w:bookmarkStart w:id="32" w:name="_Toc10815"/>
      <w:r>
        <w:rPr>
          <w:rFonts w:hint="eastAsia" w:ascii="宋体" w:hAnsi="宋体" w:cs="宋体"/>
          <w:bCs w:val="0"/>
          <w:color w:val="auto"/>
          <w:sz w:val="24"/>
          <w:szCs w:val="24"/>
          <w:highlight w:val="none"/>
        </w:rPr>
        <w:t>五、</w:t>
      </w:r>
      <w:bookmarkEnd w:id="27"/>
      <w:bookmarkEnd w:id="28"/>
      <w:bookmarkEnd w:id="29"/>
      <w:bookmarkEnd w:id="30"/>
      <w:bookmarkEnd w:id="31"/>
      <w:bookmarkEnd w:id="32"/>
      <w:r>
        <w:rPr>
          <w:rFonts w:hint="eastAsia" w:ascii="宋体" w:hAnsi="宋体" w:cs="宋体"/>
          <w:bCs w:val="0"/>
          <w:color w:val="auto"/>
          <w:sz w:val="24"/>
          <w:szCs w:val="24"/>
          <w:highlight w:val="none"/>
        </w:rPr>
        <w:t>响应文件开启</w:t>
      </w:r>
    </w:p>
    <w:p w14:paraId="30CE302F">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2024年11月19日15时00分</w:t>
      </w:r>
      <w:r>
        <w:rPr>
          <w:rFonts w:hint="eastAsia" w:ascii="宋体" w:hAnsi="宋体" w:cs="宋体"/>
          <w:color w:val="auto"/>
          <w:sz w:val="24"/>
          <w:highlight w:val="none"/>
        </w:rPr>
        <w:t>（北京时间）</w:t>
      </w:r>
    </w:p>
    <w:p w14:paraId="71505B7C">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bCs/>
          <w:color w:val="auto"/>
          <w:sz w:val="24"/>
          <w:highlight w:val="none"/>
          <w:u w:val="single"/>
        </w:rPr>
      </w:pPr>
      <w:r>
        <w:rPr>
          <w:rFonts w:hint="eastAsia" w:ascii="宋体" w:hAnsi="宋体" w:cs="宋体"/>
          <w:color w:val="auto"/>
          <w:sz w:val="24"/>
          <w:highlight w:val="none"/>
        </w:rPr>
        <w:t>地点：广西政府采购云平台电子开标大厅在线解密开启。</w:t>
      </w:r>
    </w:p>
    <w:p w14:paraId="6B82E1BE">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33" w:name="_Toc26833"/>
      <w:bookmarkStart w:id="34" w:name="_Toc28359094"/>
      <w:bookmarkStart w:id="35" w:name="_Toc44229883"/>
      <w:bookmarkStart w:id="36" w:name="_Toc35393634"/>
      <w:bookmarkStart w:id="37" w:name="_Toc28359017"/>
      <w:bookmarkStart w:id="38" w:name="_Toc35393803"/>
      <w:r>
        <w:rPr>
          <w:rFonts w:hint="eastAsia" w:ascii="宋体" w:hAnsi="宋体" w:cs="宋体"/>
          <w:bCs w:val="0"/>
          <w:color w:val="auto"/>
          <w:sz w:val="24"/>
          <w:szCs w:val="24"/>
          <w:highlight w:val="none"/>
        </w:rPr>
        <w:t>六、公告期限</w:t>
      </w:r>
      <w:bookmarkEnd w:id="33"/>
      <w:bookmarkEnd w:id="34"/>
      <w:bookmarkEnd w:id="35"/>
      <w:bookmarkEnd w:id="36"/>
      <w:bookmarkEnd w:id="37"/>
      <w:bookmarkEnd w:id="38"/>
    </w:p>
    <w:p w14:paraId="5308098E">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0C447941">
      <w:pPr>
        <w:pStyle w:val="4"/>
        <w:pageBreakBefore w:val="0"/>
        <w:widowControl w:val="0"/>
        <w:numPr>
          <w:ilvl w:val="0"/>
          <w:numId w:val="2"/>
        </w:numPr>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39" w:name="_Toc30655"/>
      <w:bookmarkStart w:id="40" w:name="_Toc35393635"/>
      <w:bookmarkStart w:id="41" w:name="_Toc44229884"/>
      <w:bookmarkStart w:id="42" w:name="_Toc35393804"/>
      <w:r>
        <w:rPr>
          <w:rFonts w:hint="eastAsia" w:ascii="宋体" w:hAnsi="宋体" w:cs="宋体"/>
          <w:bCs w:val="0"/>
          <w:color w:val="auto"/>
          <w:sz w:val="24"/>
          <w:szCs w:val="24"/>
          <w:highlight w:val="none"/>
        </w:rPr>
        <w:t>其他补充事宜</w:t>
      </w:r>
      <w:bookmarkEnd w:id="39"/>
      <w:bookmarkEnd w:id="40"/>
      <w:bookmarkEnd w:id="41"/>
      <w:bookmarkEnd w:id="42"/>
    </w:p>
    <w:p w14:paraId="48214C1D">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1.竞标保证金：本项目不收取竞标保证金。</w:t>
      </w:r>
    </w:p>
    <w:p w14:paraId="797E5BCF">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7311AC">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D31F3E2">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4.网上查询地址：中国政府采购网( http://www.ccgp.gov.cn )、广西壮族自治区政府采购网（http://zfcg.gxzf.gov.cn）。</w:t>
      </w:r>
    </w:p>
    <w:p w14:paraId="5617F4C0">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本项目需要落实的政府采购政策：《关于进一步加大政府采购支持中小企业力度的通知》财政部财库〔2022〕19号、财政部工业和信息化部关于印发《政府采购促进中小企业发展管理办法》的通知（财库〔2020〕46号）、财政部司法部《关于政府采购支持监狱企业发展有关问题的通知》（财库〔2014〕68号）、财政部民政部中国残疾人联合会三部门联合发布《关于促进残疾人就业政府采购政策的通知》（财库〔2017〕141号）。</w:t>
      </w:r>
    </w:p>
    <w:p w14:paraId="155334F2">
      <w:pPr>
        <w:keepNext w:val="0"/>
        <w:keepLines w:val="0"/>
        <w:pageBreakBefore w:val="0"/>
        <w:widowControl w:val="0"/>
        <w:kinsoku/>
        <w:wordWrap/>
        <w:overflowPunct/>
        <w:topLinePunct w:val="0"/>
        <w:autoSpaceDE/>
        <w:autoSpaceDN/>
        <w:bidi w:val="0"/>
        <w:adjustRightInd/>
        <w:snapToGrid/>
        <w:spacing w:line="38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.在线投标响应（电子投标）说明：</w:t>
      </w:r>
    </w:p>
    <w:p w14:paraId="55FAF09D">
      <w:pPr>
        <w:pStyle w:val="8"/>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通过广西政府采购云平台实行在线投标响应（电子投标），竞标人需要下载客户端进行电子投标，客户端下载路径：广西政府采购网（访问地址http://zfcg.gxzf.gov.cn/）—办事服务—下载专区，并按照本采购文件和广西政府采购云平台的要求，通过“广西政府采购云电子交易客户端”编制并加密响应文件。竞标人未按规定编制并加密的响应文件，广西政府采购云平台将予以拒收。</w:t>
      </w:r>
    </w:p>
    <w:p w14:paraId="5023E0CE">
      <w:pPr>
        <w:pStyle w:val="8"/>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2）为确保网上操作合法、有效和安全，竞标人应当在响应文件递交截止时间前完成在“政府采购云平台”的身份认证，确保在电子投标过程中能够对相关数据电文进行加密和使用电子签章。使用“广西政府采购云电子交易客户端”需要提前申领CA数字证书；</w:t>
      </w:r>
    </w:p>
    <w:p w14:paraId="453A4FFD">
      <w:pPr>
        <w:pStyle w:val="8"/>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3）竞标人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556F89D3">
      <w:pPr>
        <w:pStyle w:val="8"/>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4）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我公司开启响应文件；供应商超过解密时限的，系统默认自动放弃竞标。</w:t>
      </w:r>
    </w:p>
    <w:p w14:paraId="496B674C">
      <w:pPr>
        <w:pStyle w:val="8"/>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color w:val="auto"/>
          <w:sz w:val="24"/>
          <w:szCs w:val="24"/>
          <w:highlight w:val="none"/>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5）若对项目采购电子交易系统操作有疑问，可登录广西政府采购云平台，点击右侧咨询小采获取采小蜜智能服务管家帮助或点击右侧帮助文档查看供应商指南或拨打广西政府采购云平台服务热线获取热线服务帮助。</w:t>
      </w:r>
    </w:p>
    <w:p w14:paraId="5179EBAF">
      <w:pPr>
        <w:pStyle w:val="4"/>
        <w:pageBreakBefore w:val="0"/>
        <w:widowControl w:val="0"/>
        <w:kinsoku/>
        <w:wordWrap/>
        <w:overflowPunct/>
        <w:topLinePunct w:val="0"/>
        <w:autoSpaceDE/>
        <w:autoSpaceDN/>
        <w:bidi w:val="0"/>
        <w:adjustRightInd/>
        <w:snapToGrid/>
        <w:spacing w:before="0" w:after="0" w:line="380" w:lineRule="exact"/>
        <w:ind w:firstLine="482" w:firstLineChars="200"/>
        <w:textAlignment w:val="auto"/>
        <w:rPr>
          <w:rFonts w:ascii="宋体" w:hAnsi="宋体" w:cs="宋体"/>
          <w:bCs w:val="0"/>
          <w:color w:val="auto"/>
          <w:sz w:val="24"/>
          <w:szCs w:val="24"/>
          <w:highlight w:val="none"/>
        </w:rPr>
      </w:pPr>
      <w:bookmarkStart w:id="43" w:name="_Toc35393636"/>
      <w:bookmarkStart w:id="44" w:name="_Toc35393805"/>
      <w:bookmarkStart w:id="45" w:name="_Toc28153"/>
      <w:bookmarkStart w:id="46" w:name="_Toc44229885"/>
      <w:bookmarkStart w:id="47" w:name="_Toc28359095"/>
      <w:bookmarkStart w:id="48" w:name="_Toc28359018"/>
      <w:r>
        <w:rPr>
          <w:rFonts w:hint="eastAsia" w:ascii="宋体" w:hAnsi="宋体" w:cs="宋体"/>
          <w:bCs w:val="0"/>
          <w:color w:val="auto"/>
          <w:sz w:val="24"/>
          <w:szCs w:val="24"/>
          <w:highlight w:val="none"/>
        </w:rPr>
        <w:t>八、</w:t>
      </w:r>
      <w:bookmarkEnd w:id="43"/>
      <w:bookmarkEnd w:id="44"/>
      <w:bookmarkEnd w:id="45"/>
      <w:bookmarkEnd w:id="46"/>
      <w:bookmarkEnd w:id="47"/>
      <w:bookmarkEnd w:id="48"/>
      <w:bookmarkStart w:id="49" w:name="_Toc35393806"/>
      <w:bookmarkStart w:id="50" w:name="_Toc35393807"/>
      <w:bookmarkStart w:id="51" w:name="_Toc28359096"/>
      <w:bookmarkStart w:id="52" w:name="_Toc28359097"/>
      <w:bookmarkStart w:id="53" w:name="_Toc35393638"/>
      <w:bookmarkStart w:id="54" w:name="_Toc35393637"/>
      <w:bookmarkStart w:id="55" w:name="_Toc28359019"/>
      <w:bookmarkStart w:id="56" w:name="_Toc28359020"/>
      <w:r>
        <w:rPr>
          <w:rFonts w:hint="eastAsia" w:ascii="宋体" w:hAnsi="宋体" w:cs="宋体"/>
          <w:bCs w:val="0"/>
          <w:color w:val="auto"/>
          <w:sz w:val="24"/>
          <w:szCs w:val="24"/>
          <w:highlight w:val="none"/>
        </w:rPr>
        <w:t>凡对本次采购提出询问，请按以下方式联系。</w:t>
      </w:r>
    </w:p>
    <w:bookmarkEnd w:id="8"/>
    <w:bookmarkEnd w:id="49"/>
    <w:bookmarkEnd w:id="50"/>
    <w:bookmarkEnd w:id="51"/>
    <w:bookmarkEnd w:id="52"/>
    <w:bookmarkEnd w:id="53"/>
    <w:bookmarkEnd w:id="54"/>
    <w:bookmarkEnd w:id="55"/>
    <w:bookmarkEnd w:id="56"/>
    <w:p w14:paraId="52E06E33">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890D694">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百色市右江区自然资源局</w:t>
      </w:r>
    </w:p>
    <w:p w14:paraId="2D6CAF0B">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右江区龙景街道石龙大道第六办公区</w:t>
      </w:r>
    </w:p>
    <w:p w14:paraId="4154375C">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覃艳亿</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0776-2847893</w:t>
      </w:r>
    </w:p>
    <w:p w14:paraId="507E8E10">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2.招标代理机构信息</w:t>
      </w:r>
    </w:p>
    <w:p w14:paraId="1752FCFD">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东信工程项目管理有限公司</w:t>
      </w:r>
    </w:p>
    <w:p w14:paraId="02975A11">
      <w:pPr>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百色市右江区大湾社区第十四组“家和花园”2#公寓楼一单元510号</w:t>
      </w:r>
      <w:r>
        <w:rPr>
          <w:rFonts w:hint="eastAsia" w:ascii="宋体" w:hAnsi="宋体" w:cs="宋体"/>
          <w:color w:val="auto"/>
          <w:sz w:val="24"/>
          <w:highlight w:val="none"/>
        </w:rPr>
        <w:t xml:space="preserve"> </w:t>
      </w:r>
    </w:p>
    <w:p w14:paraId="75255493">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陈巧玲</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0776-2847001</w:t>
      </w:r>
    </w:p>
    <w:p w14:paraId="6E0361CF">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3.监督部门:</w:t>
      </w:r>
      <w:r>
        <w:rPr>
          <w:rFonts w:hint="eastAsia" w:ascii="宋体" w:hAnsi="宋体" w:cs="宋体"/>
          <w:color w:val="auto"/>
          <w:sz w:val="24"/>
          <w:highlight w:val="none"/>
          <w:lang w:eastAsia="zh-CN"/>
        </w:rPr>
        <w:t>百色市右江区政府采购管理中心</w:t>
      </w:r>
    </w:p>
    <w:p w14:paraId="3BBE8E74">
      <w:pPr>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0776-2995126</w:t>
      </w:r>
    </w:p>
    <w:p w14:paraId="6397AE5F">
      <w:pPr>
        <w:pageBreakBefore w:val="0"/>
        <w:widowControl w:val="0"/>
        <w:kinsoku/>
        <w:wordWrap/>
        <w:overflowPunct/>
        <w:topLinePunct w:val="0"/>
        <w:autoSpaceDE/>
        <w:autoSpaceDN/>
        <w:bidi w:val="0"/>
        <w:adjustRightInd/>
        <w:snapToGrid/>
        <w:spacing w:line="380" w:lineRule="exact"/>
        <w:ind w:firstLine="720" w:firstLineChars="300"/>
        <w:jc w:val="right"/>
        <w:textAlignment w:val="auto"/>
        <w:rPr>
          <w:rFonts w:hint="eastAsia" w:ascii="宋体" w:hAnsi="宋体" w:cs="宋体"/>
          <w:color w:val="auto"/>
          <w:sz w:val="24"/>
          <w:highlight w:val="none"/>
          <w:lang w:eastAsia="zh-CN"/>
        </w:rPr>
      </w:pPr>
    </w:p>
    <w:p w14:paraId="793FEAA3">
      <w:pPr>
        <w:pageBreakBefore w:val="0"/>
        <w:widowControl w:val="0"/>
        <w:kinsoku/>
        <w:wordWrap/>
        <w:overflowPunct/>
        <w:topLinePunct w:val="0"/>
        <w:autoSpaceDE/>
        <w:autoSpaceDN/>
        <w:bidi w:val="0"/>
        <w:adjustRightInd/>
        <w:snapToGrid/>
        <w:spacing w:line="380" w:lineRule="exact"/>
        <w:ind w:firstLine="720" w:firstLineChars="300"/>
        <w:jc w:val="righ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东信工程项目管理有限公司</w:t>
      </w:r>
    </w:p>
    <w:p w14:paraId="636D902B">
      <w:pPr>
        <w:pageBreakBefore w:val="0"/>
        <w:widowControl w:val="0"/>
        <w:kinsoku/>
        <w:wordWrap/>
        <w:overflowPunct/>
        <w:topLinePunct w:val="0"/>
        <w:autoSpaceDE/>
        <w:autoSpaceDN/>
        <w:bidi w:val="0"/>
        <w:adjustRightInd/>
        <w:snapToGrid/>
        <w:spacing w:line="380" w:lineRule="exact"/>
        <w:ind w:firstLine="480" w:firstLineChars="200"/>
        <w:jc w:val="right"/>
        <w:textAlignment w:val="auto"/>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日</w:t>
      </w:r>
    </w:p>
    <w:p w14:paraId="4FBCE0C4">
      <w:pPr>
        <w:pStyle w:val="4"/>
        <w:spacing w:before="0" w:after="0" w:line="240" w:lineRule="auto"/>
        <w:jc w:val="center"/>
        <w:rPr>
          <w:rFonts w:ascii="宋体" w:hAnsi="宋体" w:cs="宋体"/>
          <w:color w:val="auto"/>
          <w:highlight w:val="none"/>
        </w:rPr>
      </w:pPr>
      <w:r>
        <w:rPr>
          <w:rFonts w:hint="eastAsia" w:ascii="宋体" w:hAnsi="宋体" w:cs="宋体"/>
          <w:color w:val="auto"/>
          <w:highlight w:val="none"/>
        </w:rPr>
        <w:br w:type="page"/>
      </w:r>
      <w:bookmarkStart w:id="57" w:name="_Toc28251"/>
      <w:bookmarkStart w:id="58" w:name="_Toc22894"/>
      <w:r>
        <w:rPr>
          <w:rFonts w:hint="eastAsia" w:ascii="宋体" w:hAnsi="宋体" w:cs="宋体"/>
          <w:color w:val="auto"/>
          <w:highlight w:val="none"/>
        </w:rPr>
        <w:t>第二章 供应商须知</w:t>
      </w:r>
      <w:bookmarkEnd w:id="57"/>
      <w:bookmarkEnd w:id="58"/>
      <w:r>
        <w:rPr>
          <w:rFonts w:hint="eastAsia" w:ascii="宋体" w:hAnsi="宋体" w:cs="宋体"/>
          <w:color w:val="auto"/>
          <w:highlight w:val="none"/>
        </w:rPr>
        <w:t>(分标1、2、3)</w:t>
      </w:r>
    </w:p>
    <w:p w14:paraId="14036A7A">
      <w:pPr>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供应商须知前附表</w:t>
      </w:r>
    </w:p>
    <w:tbl>
      <w:tblPr>
        <w:tblStyle w:val="33"/>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8754"/>
      </w:tblGrid>
      <w:tr w14:paraId="39F26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0" w:type="dxa"/>
          </w:tcPr>
          <w:p w14:paraId="0F73AFFF">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754" w:type="dxa"/>
          </w:tcPr>
          <w:p w14:paraId="4F27A95A">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内    容</w:t>
            </w:r>
          </w:p>
        </w:tc>
      </w:tr>
      <w:tr w14:paraId="12742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B7B182D">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54" w:type="dxa"/>
            <w:vAlign w:val="center"/>
          </w:tcPr>
          <w:p w14:paraId="756EFE27">
            <w:pPr>
              <w:spacing w:line="460" w:lineRule="exact"/>
              <w:rPr>
                <w:rFonts w:ascii="宋体" w:hAnsi="宋体" w:cs="宋体"/>
                <w:color w:val="auto"/>
                <w:sz w:val="24"/>
                <w:highlight w:val="none"/>
              </w:rPr>
            </w:pPr>
            <w:r>
              <w:rPr>
                <w:rFonts w:hint="eastAsia" w:ascii="宋体" w:hAnsi="宋体" w:cs="宋体"/>
                <w:bCs/>
                <w:color w:val="auto"/>
                <w:sz w:val="24"/>
                <w:highlight w:val="none"/>
              </w:rPr>
              <w:t>供应商的资格条件</w:t>
            </w:r>
            <w:r>
              <w:rPr>
                <w:rFonts w:hint="eastAsia" w:ascii="宋体" w:hAnsi="宋体" w:cs="宋体"/>
                <w:color w:val="auto"/>
                <w:sz w:val="24"/>
                <w:highlight w:val="none"/>
              </w:rPr>
              <w:t>：详见竞争性磋商公告</w:t>
            </w:r>
          </w:p>
        </w:tc>
      </w:tr>
      <w:tr w14:paraId="5555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4114B888">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8754" w:type="dxa"/>
            <w:vAlign w:val="center"/>
          </w:tcPr>
          <w:p w14:paraId="01F95288">
            <w:pPr>
              <w:spacing w:line="460" w:lineRule="exac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w:t>
            </w:r>
            <w:r>
              <w:rPr>
                <w:rFonts w:hint="eastAsia" w:ascii="宋体" w:hAnsi="宋体" w:cs="宋体"/>
                <w:color w:val="auto"/>
                <w:sz w:val="24"/>
                <w:highlight w:val="none"/>
                <w:lang w:val="en-US" w:eastAsia="zh-CN"/>
              </w:rPr>
              <w:t>竞标</w:t>
            </w:r>
            <w:r>
              <w:rPr>
                <w:rFonts w:hint="eastAsia" w:ascii="宋体" w:hAnsi="宋体" w:cs="宋体"/>
                <w:color w:val="auto"/>
                <w:sz w:val="24"/>
                <w:highlight w:val="none"/>
              </w:rPr>
              <w:t>。</w:t>
            </w:r>
          </w:p>
        </w:tc>
      </w:tr>
      <w:tr w14:paraId="20EF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49DD6E1">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6.2</w:t>
            </w:r>
          </w:p>
        </w:tc>
        <w:tc>
          <w:tcPr>
            <w:tcW w:w="8754" w:type="dxa"/>
            <w:vAlign w:val="center"/>
          </w:tcPr>
          <w:p w14:paraId="7330C1E7">
            <w:pPr>
              <w:pStyle w:val="14"/>
              <w:spacing w:line="460" w:lineRule="exact"/>
              <w:rPr>
                <w:rFonts w:ascii="宋体" w:hAnsi="宋体" w:cs="宋体"/>
                <w:color w:val="auto"/>
                <w:sz w:val="24"/>
                <w:highlight w:val="none"/>
              </w:rPr>
            </w:pPr>
            <w:r>
              <w:rPr>
                <w:rFonts w:hint="eastAsia" w:ascii="宋体" w:hAnsi="宋体" w:cs="宋体"/>
                <w:color w:val="auto"/>
                <w:sz w:val="24"/>
                <w:highlight w:val="none"/>
              </w:rPr>
              <w:t>☑不允许分包</w:t>
            </w:r>
          </w:p>
          <w:p w14:paraId="3AA08039">
            <w:pPr>
              <w:pStyle w:val="14"/>
              <w:spacing w:line="460" w:lineRule="exact"/>
              <w:rPr>
                <w:rFonts w:ascii="宋体" w:hAnsi="宋体" w:cs="宋体"/>
                <w:color w:val="auto"/>
                <w:sz w:val="24"/>
                <w:highlight w:val="none"/>
              </w:rPr>
            </w:pPr>
            <w:r>
              <w:rPr>
                <w:rFonts w:hint="eastAsia" w:ascii="宋体" w:hAnsi="宋体" w:cs="宋体"/>
                <w:color w:val="auto"/>
                <w:sz w:val="24"/>
                <w:highlight w:val="none"/>
              </w:rPr>
              <w:t>□允许分包</w:t>
            </w:r>
          </w:p>
          <w:p w14:paraId="4656647C">
            <w:pPr>
              <w:pStyle w:val="14"/>
              <w:spacing w:line="460" w:lineRule="exact"/>
              <w:rPr>
                <w:rFonts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 xml:space="preserve">   / 。</w:t>
            </w:r>
          </w:p>
          <w:p w14:paraId="4258644A">
            <w:pPr>
              <w:pStyle w:val="14"/>
              <w:spacing w:line="460" w:lineRule="exact"/>
              <w:rPr>
                <w:rFonts w:ascii="宋体" w:hAnsi="宋体" w:cs="宋体"/>
                <w:color w:val="auto"/>
                <w:sz w:val="24"/>
                <w:highlight w:val="non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 xml:space="preserve">   /  。</w:t>
            </w:r>
          </w:p>
        </w:tc>
      </w:tr>
      <w:tr w14:paraId="346D6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F7862BE">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12.1.1</w:t>
            </w:r>
          </w:p>
        </w:tc>
        <w:tc>
          <w:tcPr>
            <w:tcW w:w="8754" w:type="dxa"/>
            <w:vAlign w:val="center"/>
          </w:tcPr>
          <w:p w14:paraId="6EA2E509">
            <w:pPr>
              <w:spacing w:line="460" w:lineRule="exact"/>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资格证明文件</w:t>
            </w:r>
            <w:r>
              <w:rPr>
                <w:rFonts w:hint="eastAsia" w:ascii="宋体" w:hAnsi="宋体" w:cs="宋体"/>
                <w:b/>
                <w:color w:val="auto"/>
                <w:sz w:val="24"/>
                <w:highlight w:val="none"/>
                <w:lang w:val="en-US" w:eastAsia="zh-CN"/>
              </w:rPr>
              <w:t>(分标1、2、3)</w:t>
            </w:r>
          </w:p>
          <w:p w14:paraId="5CB688CB">
            <w:pPr>
              <w:spacing w:line="4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1.本项目的特定资格要求：</w:t>
            </w:r>
            <w:r>
              <w:rPr>
                <w:rFonts w:hint="eastAsia" w:ascii="宋体" w:hAnsi="宋体" w:eastAsia="宋体" w:cs="宋体"/>
                <w:color w:val="auto"/>
                <w:sz w:val="24"/>
                <w:highlight w:val="none"/>
                <w:lang w:eastAsia="zh-CN"/>
              </w:rPr>
              <w:t>具备土地规划乙级及以上(含乙级)资质或测绘乙级及以上(含乙级)资质</w:t>
            </w:r>
            <w:r>
              <w:rPr>
                <w:rFonts w:hint="eastAsia" w:ascii="宋体" w:hAnsi="宋体" w:cs="宋体"/>
                <w:color w:val="auto"/>
                <w:sz w:val="24"/>
                <w:highlight w:val="none"/>
                <w:lang w:eastAsia="zh-CN"/>
              </w:rPr>
              <w:t>的供应商</w:t>
            </w:r>
            <w:r>
              <w:rPr>
                <w:rFonts w:hint="eastAsia" w:ascii="宋体" w:hAnsi="宋体" w:cs="宋体"/>
                <w:bCs/>
                <w:color w:val="auto"/>
                <w:sz w:val="24"/>
                <w:highlight w:val="none"/>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543C719A">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7A2C10C7">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3.供应商依法缴纳税收的相关材料（</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lang w:eastAsia="zh-CN"/>
              </w:rPr>
              <w:t>月至2024年11月</w:t>
            </w:r>
            <w:r>
              <w:rPr>
                <w:rFonts w:hint="eastAsia" w:ascii="宋体" w:hAnsi="宋体" w:cs="宋体"/>
                <w:color w:val="auto"/>
                <w:sz w:val="24"/>
                <w:highlight w:val="none"/>
              </w:rPr>
              <w:t>内</w:t>
            </w:r>
            <w:r>
              <w:rPr>
                <w:rFonts w:hint="eastAsia" w:ascii="宋体" w:hAnsi="宋体" w:cs="宋体"/>
                <w:color w:val="auto"/>
                <w:sz w:val="24"/>
                <w:highlight w:val="none"/>
                <w:lang w:eastAsia="zh-CN"/>
              </w:rPr>
              <w:t>任意</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个月</w:t>
            </w:r>
            <w:r>
              <w:rPr>
                <w:rFonts w:hint="eastAsia" w:ascii="宋体" w:hAnsi="宋体" w:cs="宋体"/>
                <w:color w:val="auto"/>
                <w:sz w:val="24"/>
                <w:highlight w:val="none"/>
              </w:rPr>
              <w:t>的依法缴纳税收的凭据复印件；依法免税的，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4384ED96">
            <w:pPr>
              <w:spacing w:line="46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4.供应商依法缴纳社会保障资金的相关材料[</w:t>
            </w:r>
            <w:r>
              <w:rPr>
                <w:rFonts w:hint="eastAsia" w:ascii="宋体" w:hAnsi="宋体" w:cs="宋体"/>
                <w:color w:val="auto"/>
                <w:sz w:val="24"/>
                <w:highlight w:val="none"/>
                <w:u w:val="single"/>
                <w:lang w:eastAsia="zh-CN"/>
              </w:rPr>
              <w:t>2024年6月至2024年11月</w:t>
            </w:r>
            <w:r>
              <w:rPr>
                <w:rFonts w:hint="eastAsia" w:ascii="宋体" w:hAnsi="宋体" w:cs="宋体"/>
                <w:color w:val="auto"/>
                <w:sz w:val="24"/>
                <w:highlight w:val="none"/>
              </w:rPr>
              <w:t>内</w:t>
            </w:r>
            <w:r>
              <w:rPr>
                <w:rFonts w:hint="eastAsia" w:ascii="宋体" w:hAnsi="宋体" w:cs="宋体"/>
                <w:color w:val="auto"/>
                <w:sz w:val="24"/>
                <w:highlight w:val="none"/>
                <w:lang w:eastAsia="zh-CN"/>
              </w:rPr>
              <w:t>任意</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个月</w:t>
            </w:r>
            <w:r>
              <w:rPr>
                <w:rFonts w:hint="eastAsia" w:ascii="宋体" w:hAnsi="宋体" w:cs="宋体"/>
                <w:color w:val="auto"/>
                <w:sz w:val="24"/>
                <w:highlight w:val="none"/>
              </w:rPr>
              <w:t>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r>
              <w:rPr>
                <w:rFonts w:hint="eastAsia" w:ascii="宋体" w:hAnsi="宋体" w:cs="宋体"/>
                <w:b/>
                <w:bCs/>
                <w:color w:val="auto"/>
                <w:sz w:val="24"/>
                <w:highlight w:val="none"/>
              </w:rPr>
              <w:t>；</w:t>
            </w:r>
          </w:p>
          <w:p w14:paraId="278F7719">
            <w:pPr>
              <w:spacing w:line="46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5.供应商提供</w:t>
            </w:r>
            <w:r>
              <w:rPr>
                <w:rFonts w:hint="eastAsia" w:ascii="宋体" w:hAnsi="宋体" w:cs="宋体"/>
                <w:color w:val="auto"/>
                <w:sz w:val="24"/>
                <w:highlight w:val="none"/>
                <w:lang w:eastAsia="zh-CN"/>
              </w:rPr>
              <w:t>2023年度的财务审计报告或近季度财务报表</w:t>
            </w:r>
            <w:r>
              <w:rPr>
                <w:rFonts w:hint="eastAsia" w:ascii="宋体" w:hAnsi="宋体" w:cs="宋体"/>
                <w:color w:val="auto"/>
                <w:sz w:val="24"/>
                <w:highlight w:val="none"/>
              </w:rPr>
              <w:t>（新注册单位按实际情况提供）</w:t>
            </w:r>
            <w:r>
              <w:rPr>
                <w:rFonts w:hint="eastAsia" w:ascii="宋体" w:hAnsi="宋体" w:cs="宋体"/>
                <w:bCs/>
                <w:color w:val="auto"/>
                <w:sz w:val="24"/>
                <w:highlight w:val="none"/>
                <w:lang w:eastAsia="zh-CN"/>
              </w:rPr>
              <w:t>（必须提供，否则响应文件按无效响应处理）</w:t>
            </w:r>
            <w:r>
              <w:rPr>
                <w:rFonts w:hint="eastAsia" w:ascii="宋体" w:hAnsi="宋体" w:cs="宋体"/>
                <w:color w:val="auto"/>
                <w:sz w:val="24"/>
                <w:highlight w:val="none"/>
              </w:rPr>
              <w:t>；</w:t>
            </w:r>
          </w:p>
          <w:p w14:paraId="4B80B1C0">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6.供应商直接控股、管理关系信息表（格式后附）</w:t>
            </w:r>
            <w:r>
              <w:rPr>
                <w:rFonts w:hint="eastAsia" w:ascii="宋体" w:hAnsi="宋体" w:cs="宋体"/>
                <w:color w:val="auto"/>
                <w:sz w:val="24"/>
                <w:highlight w:val="none"/>
                <w:lang w:eastAsia="zh-CN"/>
              </w:rPr>
              <w:t>（必须提供，否则响应文件按无效响应处理）</w:t>
            </w:r>
            <w:r>
              <w:rPr>
                <w:rFonts w:hint="eastAsia" w:ascii="宋体" w:hAnsi="宋体" w:cs="宋体"/>
                <w:color w:val="auto"/>
                <w:sz w:val="24"/>
                <w:highlight w:val="none"/>
              </w:rPr>
              <w:t>；</w:t>
            </w:r>
          </w:p>
          <w:p w14:paraId="223F18FB">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7.竞标声明（格式后附）（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0E4362FC">
            <w:pPr>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8.中小企业声明函</w:t>
            </w:r>
            <w:r>
              <w:rPr>
                <w:rFonts w:hint="eastAsia" w:ascii="宋体" w:hAnsi="宋体" w:cs="宋体"/>
                <w:color w:val="auto"/>
                <w:sz w:val="24"/>
                <w:highlight w:val="none"/>
              </w:rPr>
              <w:t>（</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E30BECE">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.除磋商文件规定必须提供以外，供应商认为需要提供的其他证明材料；</w:t>
            </w:r>
          </w:p>
          <w:p w14:paraId="0917B366">
            <w:pPr>
              <w:spacing w:line="46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以上标明“必须提供”的材料属于复印件的，必须加盖供应商电子公章，否则响应文件按无效响应处理。</w:t>
            </w:r>
          </w:p>
          <w:p w14:paraId="17389B55">
            <w:pPr>
              <w:spacing w:line="46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竞标声明必须由法定代表人在规定签章处签字或签章并加盖供应商公章，否则响应文件按无效响应处理。</w:t>
            </w:r>
          </w:p>
          <w:p w14:paraId="5761B7C6">
            <w:pPr>
              <w:spacing w:line="46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lang w:eastAsia="zh-CN"/>
              </w:rPr>
              <w:t>）</w:t>
            </w:r>
            <w:r>
              <w:rPr>
                <w:rFonts w:hint="eastAsia" w:ascii="宋体" w:hAnsi="宋体" w:cs="宋体"/>
                <w:b/>
                <w:color w:val="auto"/>
                <w:sz w:val="24"/>
                <w:highlight w:val="none"/>
              </w:rPr>
              <w:t>磋商文件标注“▲”或要求“必须提供”的证明等材料，磋商供应商必须全部提供，缺一不可，否则磋商无效。</w:t>
            </w:r>
          </w:p>
          <w:p w14:paraId="788B66DE">
            <w:pPr>
              <w:spacing w:line="46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所有材料均以经有效的CA认证电子文件为评审依据，供应商须对所提供材料的真实性和一致性负责。</w:t>
            </w:r>
          </w:p>
          <w:p w14:paraId="6EE353A2">
            <w:pPr>
              <w:pStyle w:val="31"/>
              <w:rPr>
                <w:color w:val="auto"/>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kern w:val="2"/>
                <w:sz w:val="24"/>
                <w:szCs w:val="24"/>
                <w:highlight w:val="none"/>
                <w:lang w:val="en-US" w:eastAsia="zh-CN" w:bidi="ar-SA"/>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故如竞标人如已按此通知要求提供了《信用承诺函》的，不再需要提供序号1-5项的资格证明材料。（备注：供应商对其信用承诺内容的真实性、合法性、有效性负责。 经调查核实为虚假承诺的，属于“提供虚假材料谋取中标、成交”的违法行为，依照《中华人民共和国政府采购法》等法律法规追究相应责任。）</w:t>
            </w:r>
          </w:p>
        </w:tc>
      </w:tr>
      <w:tr w14:paraId="0B4B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F40F77D">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12.1.2</w:t>
            </w:r>
          </w:p>
        </w:tc>
        <w:tc>
          <w:tcPr>
            <w:tcW w:w="8754" w:type="dxa"/>
            <w:vAlign w:val="center"/>
          </w:tcPr>
          <w:p w14:paraId="61639169">
            <w:pPr>
              <w:spacing w:line="460" w:lineRule="exact"/>
              <w:rPr>
                <w:rFonts w:ascii="宋体" w:hAnsi="宋体" w:cs="宋体"/>
                <w:color w:val="auto"/>
                <w:sz w:val="24"/>
                <w:highlight w:val="none"/>
              </w:rPr>
            </w:pPr>
            <w:r>
              <w:rPr>
                <w:rFonts w:hint="eastAsia" w:ascii="宋体" w:hAnsi="宋体" w:cs="宋体"/>
                <w:b/>
                <w:bCs/>
                <w:color w:val="auto"/>
                <w:sz w:val="24"/>
                <w:highlight w:val="none"/>
              </w:rPr>
              <w:t>报价文件(分标1、2、3)</w:t>
            </w:r>
          </w:p>
          <w:p w14:paraId="40DBB4C6">
            <w:pPr>
              <w:spacing w:line="460" w:lineRule="exact"/>
              <w:rPr>
                <w:rFonts w:ascii="宋体" w:hAnsi="宋体" w:cs="宋体"/>
                <w:b/>
                <w:color w:val="auto"/>
                <w:sz w:val="24"/>
                <w:highlight w:val="none"/>
              </w:rPr>
            </w:pPr>
            <w:r>
              <w:rPr>
                <w:rFonts w:hint="eastAsia" w:ascii="宋体" w:hAnsi="宋体" w:cs="宋体"/>
                <w:color w:val="auto"/>
                <w:sz w:val="24"/>
                <w:highlight w:val="none"/>
              </w:rPr>
              <w:t>竞标报价表（格式后附）（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41CBE5EB">
            <w:pPr>
              <w:spacing w:line="46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注：以上标明“必须提供”的材料属于复印件的，必须加盖供应商公章，否则响应文件按无效响应处理。</w:t>
            </w:r>
          </w:p>
        </w:tc>
      </w:tr>
      <w:tr w14:paraId="26C0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6834CF1">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12.2</w:t>
            </w:r>
          </w:p>
        </w:tc>
        <w:tc>
          <w:tcPr>
            <w:tcW w:w="8754" w:type="dxa"/>
            <w:vAlign w:val="center"/>
          </w:tcPr>
          <w:p w14:paraId="717D2CF6">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商务技术文件(分标1、2、3)</w:t>
            </w:r>
          </w:p>
          <w:p w14:paraId="1C38C4F7">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1.无串通竞标行为的承诺函（格式后附）（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7A75A2B7">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2.法定代表人身份证明书及法定代表人有效身份证正反面复印件（格式后附）（</w:t>
            </w:r>
            <w:r>
              <w:rPr>
                <w:rFonts w:hint="eastAsia" w:ascii="宋体" w:hAnsi="宋体" w:cs="宋体"/>
                <w:b/>
                <w:bCs/>
                <w:color w:val="auto"/>
                <w:sz w:val="24"/>
                <w:highlight w:val="none"/>
              </w:rPr>
              <w:t>除自然人竞标外</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EFC94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3.法定代表人授权委托书及委托代理人有效身份证正反面复印件（格式后附）（</w:t>
            </w:r>
            <w:r>
              <w:rPr>
                <w:rFonts w:hint="eastAsia" w:ascii="宋体" w:hAnsi="宋体" w:cs="宋体"/>
                <w:b/>
                <w:color w:val="auto"/>
                <w:sz w:val="24"/>
                <w:highlight w:val="none"/>
              </w:rPr>
              <w:t>委托时必须提供，否则响应文件按无效响应处理</w:t>
            </w:r>
            <w:r>
              <w:rPr>
                <w:rFonts w:hint="eastAsia" w:ascii="宋体" w:hAnsi="宋体" w:cs="宋体"/>
                <w:color w:val="auto"/>
                <w:sz w:val="24"/>
                <w:highlight w:val="none"/>
              </w:rPr>
              <w:t>）；</w:t>
            </w:r>
          </w:p>
          <w:p w14:paraId="00196DA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4.商务条款偏离表（格式后附）（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2199BC3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.技术需求偏离表（格式后附）（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5D628F5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项目技术方案</w:t>
            </w:r>
            <w:r>
              <w:rPr>
                <w:rFonts w:hint="eastAsia" w:ascii="宋体" w:hAnsi="宋体" w:cs="宋体"/>
                <w:color w:val="auto"/>
                <w:sz w:val="24"/>
                <w:highlight w:val="none"/>
              </w:rPr>
              <w:t>（格式自拟）（</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74E0AA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.项目实施人员一览表</w:t>
            </w:r>
            <w:r>
              <w:rPr>
                <w:rFonts w:hint="eastAsia" w:ascii="宋体" w:hAnsi="宋体" w:cs="宋体"/>
                <w:b/>
                <w:bCs/>
                <w:color w:val="auto"/>
                <w:sz w:val="24"/>
                <w:highlight w:val="none"/>
              </w:rPr>
              <w:t>（必须提供，否则响应文件按无效响应处理）</w:t>
            </w:r>
            <w:r>
              <w:rPr>
                <w:rFonts w:hint="eastAsia" w:ascii="宋体" w:hAnsi="宋体" w:cs="宋体"/>
                <w:color w:val="auto"/>
                <w:sz w:val="24"/>
                <w:highlight w:val="none"/>
              </w:rPr>
              <w:t>；</w:t>
            </w:r>
          </w:p>
          <w:p w14:paraId="5D08ED0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pacing w:val="-1"/>
                <w:sz w:val="24"/>
                <w:highlight w:val="none"/>
              </w:rPr>
              <w:t>近年供应商类似成功案例的业绩证明</w:t>
            </w:r>
            <w:r>
              <w:rPr>
                <w:rFonts w:hint="eastAsia" w:ascii="宋体" w:hAnsi="宋体" w:cs="宋体"/>
                <w:color w:val="auto"/>
                <w:sz w:val="24"/>
                <w:highlight w:val="none"/>
              </w:rPr>
              <w:t>（格式自拟、如有请提供）；</w:t>
            </w:r>
          </w:p>
          <w:p w14:paraId="02300718">
            <w:pPr>
              <w:spacing w:line="46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.对应采购需求的技术需求、商务条款提供的其他文件资料（格式自拟、如有请提供）。</w:t>
            </w:r>
          </w:p>
          <w:p w14:paraId="536BD820">
            <w:pPr>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以上标明“必须提供”的材料属于复印件的，必须加盖供应商公章，否则响应文件按无效响应处理。</w:t>
            </w:r>
          </w:p>
          <w:p w14:paraId="3767034C">
            <w:pPr>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以上材料未附格式的，由供应商自行拟定。</w:t>
            </w:r>
          </w:p>
          <w:p w14:paraId="5FC841C3">
            <w:pPr>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lang w:eastAsia="zh-CN"/>
              </w:rPr>
              <w:t>）</w:t>
            </w:r>
            <w:r>
              <w:rPr>
                <w:rFonts w:hint="eastAsia" w:ascii="宋体" w:hAnsi="宋体" w:cs="宋体"/>
                <w:b/>
                <w:color w:val="auto"/>
                <w:sz w:val="24"/>
                <w:highlight w:val="none"/>
              </w:rPr>
              <w:t>磋商文件标注“▲”或要求“必须提供”的证明等材料，磋商供应商必须全部提供，缺一不可，否则磋商无效。</w:t>
            </w:r>
          </w:p>
          <w:p w14:paraId="00EFE1FF">
            <w:pPr>
              <w:spacing w:line="460" w:lineRule="exact"/>
              <w:ind w:firstLine="482" w:firstLineChars="200"/>
              <w:rPr>
                <w:rFonts w:ascii="宋体" w:hAnsi="宋体" w:cs="宋体"/>
                <w:color w:val="auto"/>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所有材料均以经有效的CA认证电子文件为评审依据，供应商须对所提供材料的真实性和一致性负责。</w:t>
            </w:r>
          </w:p>
        </w:tc>
      </w:tr>
      <w:tr w14:paraId="20FB5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F9E3268">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15.2</w:t>
            </w:r>
          </w:p>
        </w:tc>
        <w:tc>
          <w:tcPr>
            <w:tcW w:w="8754" w:type="dxa"/>
            <w:vAlign w:val="center"/>
          </w:tcPr>
          <w:p w14:paraId="15432B05">
            <w:pPr>
              <w:spacing w:line="460" w:lineRule="exact"/>
              <w:jc w:val="left"/>
              <w:rPr>
                <w:rFonts w:ascii="宋体" w:hAnsi="宋体" w:cs="宋体"/>
                <w:color w:val="auto"/>
                <w:sz w:val="24"/>
                <w:highlight w:val="none"/>
              </w:rPr>
            </w:pPr>
            <w:r>
              <w:rPr>
                <w:rFonts w:hint="eastAsia" w:ascii="宋体" w:hAnsi="宋体" w:cs="宋体"/>
                <w:color w:val="auto"/>
                <w:sz w:val="24"/>
                <w:highlight w:val="none"/>
              </w:rPr>
              <w:t>竞标报价必须包含满足本次竞标全部采购需求所应提供的服务，以及伴随的货物和工程（如有）的价格；包含竞标服务、货物、工程的成本、运输（含保险）、安装（如有）、调试、检验、技术服务、培训、税费等所有费用。</w:t>
            </w:r>
          </w:p>
        </w:tc>
      </w:tr>
      <w:tr w14:paraId="23D8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1567714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16.2</w:t>
            </w:r>
          </w:p>
        </w:tc>
        <w:tc>
          <w:tcPr>
            <w:tcW w:w="8754" w:type="dxa"/>
            <w:vAlign w:val="center"/>
          </w:tcPr>
          <w:p w14:paraId="089B9F32">
            <w:pPr>
              <w:pStyle w:val="12"/>
              <w:widowControl w:val="0"/>
              <w:tabs>
                <w:tab w:val="clear" w:pos="454"/>
              </w:tabs>
              <w:spacing w:after="0" w:afterLines="0" w:line="460" w:lineRule="exact"/>
              <w:ind w:left="324" w:hanging="324" w:hangingChars="135"/>
              <w:rPr>
                <w:rFonts w:ascii="宋体" w:hAnsi="宋体" w:cs="宋体"/>
                <w:color w:val="auto"/>
                <w:kern w:val="2"/>
                <w:szCs w:val="24"/>
                <w:highlight w:val="none"/>
              </w:rPr>
            </w:pPr>
            <w:r>
              <w:rPr>
                <w:rFonts w:hint="eastAsia" w:ascii="宋体" w:hAnsi="宋体" w:cs="宋体"/>
                <w:color w:val="auto"/>
                <w:kern w:val="2"/>
                <w:szCs w:val="24"/>
                <w:highlight w:val="none"/>
              </w:rPr>
              <w:t>竞标有效期：自首次响应文件提交截止之日起</w:t>
            </w:r>
            <w:r>
              <w:rPr>
                <w:rFonts w:hint="eastAsia" w:ascii="宋体" w:hAnsi="宋体" w:cs="宋体"/>
                <w:color w:val="auto"/>
                <w:kern w:val="2"/>
                <w:szCs w:val="24"/>
                <w:highlight w:val="none"/>
                <w:u w:val="single"/>
              </w:rPr>
              <w:t>60</w:t>
            </w:r>
            <w:r>
              <w:rPr>
                <w:rFonts w:hint="eastAsia" w:ascii="宋体" w:hAnsi="宋体" w:cs="宋体"/>
                <w:color w:val="auto"/>
                <w:kern w:val="2"/>
                <w:szCs w:val="24"/>
                <w:highlight w:val="none"/>
              </w:rPr>
              <w:t>日。</w:t>
            </w:r>
          </w:p>
        </w:tc>
      </w:tr>
      <w:tr w14:paraId="3867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91A12D4">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17.1</w:t>
            </w:r>
          </w:p>
        </w:tc>
        <w:tc>
          <w:tcPr>
            <w:tcW w:w="8754" w:type="dxa"/>
            <w:vAlign w:val="center"/>
          </w:tcPr>
          <w:p w14:paraId="5719E928">
            <w:pPr>
              <w:spacing w:line="460" w:lineRule="exact"/>
              <w:rPr>
                <w:rFonts w:ascii="宋体" w:hAnsi="宋体" w:cs="宋体"/>
                <w:color w:val="auto"/>
                <w:sz w:val="24"/>
                <w:highlight w:val="none"/>
              </w:rPr>
            </w:pPr>
            <w:r>
              <w:rPr>
                <w:rFonts w:hint="eastAsia" w:ascii="宋体" w:hAnsi="宋体" w:cs="宋体"/>
                <w:color w:val="auto"/>
                <w:kern w:val="0"/>
                <w:sz w:val="24"/>
                <w:highlight w:val="none"/>
              </w:rPr>
              <w:t>磋商保证金：本项目无需缴纳竞标保证金。</w:t>
            </w:r>
          </w:p>
        </w:tc>
      </w:tr>
      <w:tr w14:paraId="46A47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AB368EE">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18.2</w:t>
            </w:r>
          </w:p>
        </w:tc>
        <w:tc>
          <w:tcPr>
            <w:tcW w:w="8754" w:type="dxa"/>
            <w:vAlign w:val="center"/>
          </w:tcPr>
          <w:p w14:paraId="257F912A">
            <w:pPr>
              <w:spacing w:line="460" w:lineRule="exact"/>
              <w:rPr>
                <w:rFonts w:ascii="宋体" w:hAnsi="宋体" w:cs="宋体"/>
                <w:color w:val="auto"/>
                <w:sz w:val="24"/>
                <w:highlight w:val="none"/>
              </w:rPr>
            </w:pPr>
            <w:r>
              <w:rPr>
                <w:rFonts w:hint="eastAsia" w:ascii="宋体" w:hAnsi="宋体" w:cs="宋体"/>
                <w:color w:val="auto"/>
                <w:sz w:val="24"/>
                <w:highlight w:val="none"/>
              </w:rPr>
              <w:t>响应文件格式：资格审查部分、报价部分、商务技术部分三部分组成，分别对应上传至</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系统。</w:t>
            </w:r>
          </w:p>
        </w:tc>
      </w:tr>
      <w:tr w14:paraId="2CB3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57065F6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20.1</w:t>
            </w:r>
          </w:p>
        </w:tc>
        <w:tc>
          <w:tcPr>
            <w:tcW w:w="8754" w:type="dxa"/>
            <w:vAlign w:val="center"/>
          </w:tcPr>
          <w:p w14:paraId="6600FBE9">
            <w:pPr>
              <w:spacing w:line="440" w:lineRule="exact"/>
              <w:ind w:firstLine="468" w:firstLineChars="195"/>
              <w:rPr>
                <w:rFonts w:hint="eastAsia" w:ascii="宋体" w:hAnsi="宋体" w:cs="宋体"/>
                <w:color w:val="auto"/>
                <w:spacing w:val="2"/>
                <w:sz w:val="24"/>
                <w:szCs w:val="24"/>
                <w:highlight w:val="none"/>
              </w:rPr>
            </w:pPr>
            <w:r>
              <w:rPr>
                <w:rFonts w:hint="eastAsia" w:ascii="宋体" w:hAnsi="宋体" w:cs="宋体"/>
                <w:color w:val="auto"/>
                <w:sz w:val="24"/>
                <w:highlight w:val="none"/>
              </w:rPr>
              <w:t>本项目为全流程电子化项目，没有现场递交投标文件及现场开标环节，通过</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实行在线电子投标，供应商应先安装“</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投标客户端”（请自行前往</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进行下载），并按照本项目招标文件和</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的要求使用CA认证编制、加密投标文件后在投标截止时间前上传至</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，供应商在</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提交电子版投标文件时，请填写参加远程开标活动经办人联系方式。</w:t>
            </w:r>
          </w:p>
          <w:p w14:paraId="7CE32FC3">
            <w:pPr>
              <w:spacing w:line="460" w:lineRule="exact"/>
              <w:ind w:firstLine="482" w:firstLineChars="200"/>
              <w:rPr>
                <w:rFonts w:ascii="宋体" w:hAnsi="宋体" w:cs="宋体"/>
                <w:color w:val="auto"/>
                <w:sz w:val="24"/>
                <w:highlight w:val="none"/>
              </w:rPr>
            </w:pPr>
            <w:r>
              <w:rPr>
                <w:rFonts w:hint="eastAsia" w:ascii="宋体" w:hAnsi="宋体" w:cs="宋体"/>
                <w:b/>
                <w:color w:val="auto"/>
                <w:sz w:val="24"/>
                <w:highlight w:val="none"/>
                <w:lang w:val="en-US" w:eastAsia="zh-CN"/>
              </w:rPr>
              <w:t>注：</w:t>
            </w:r>
            <w:r>
              <w:rPr>
                <w:rFonts w:hint="eastAsia" w:ascii="宋体" w:hAnsi="宋体" w:cs="宋体"/>
                <w:b/>
                <w:color w:val="auto"/>
                <w:sz w:val="24"/>
                <w:highlight w:val="none"/>
              </w:rPr>
              <w:t>所有材料均以经有效的CA认证电子文件为评审依据，供应商须对所提供材料的真实性和一致性负责。</w:t>
            </w:r>
          </w:p>
        </w:tc>
      </w:tr>
      <w:tr w14:paraId="1630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549E1BFF">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24.1</w:t>
            </w:r>
          </w:p>
        </w:tc>
        <w:tc>
          <w:tcPr>
            <w:tcW w:w="8754" w:type="dxa"/>
            <w:vAlign w:val="center"/>
          </w:tcPr>
          <w:p w14:paraId="38075CED">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rPr>
              <w:t>磋商小组的人数：</w:t>
            </w:r>
            <w:r>
              <w:rPr>
                <w:rFonts w:hint="eastAsia" w:ascii="宋体" w:hAnsi="宋体" w:cs="宋体"/>
                <w:color w:val="auto"/>
                <w:sz w:val="24"/>
                <w:highlight w:val="none"/>
                <w:u w:val="single"/>
              </w:rPr>
              <w:t>3</w:t>
            </w:r>
            <w:r>
              <w:rPr>
                <w:rFonts w:hint="eastAsia" w:ascii="宋体" w:hAnsi="宋体" w:cs="宋体"/>
                <w:color w:val="auto"/>
                <w:sz w:val="24"/>
                <w:highlight w:val="none"/>
              </w:rPr>
              <w:t>人。</w:t>
            </w:r>
          </w:p>
        </w:tc>
      </w:tr>
      <w:tr w14:paraId="3210E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0" w:type="dxa"/>
            <w:vMerge w:val="restart"/>
            <w:vAlign w:val="center"/>
          </w:tcPr>
          <w:p w14:paraId="1098B3A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26.2</w:t>
            </w:r>
          </w:p>
        </w:tc>
        <w:tc>
          <w:tcPr>
            <w:tcW w:w="8754" w:type="dxa"/>
            <w:vAlign w:val="center"/>
          </w:tcPr>
          <w:p w14:paraId="339B582A">
            <w:pPr>
              <w:spacing w:line="460" w:lineRule="exact"/>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0</w:t>
            </w:r>
            <w:r>
              <w:rPr>
                <w:rFonts w:hint="eastAsia" w:ascii="宋体" w:hAnsi="宋体" w:cs="宋体"/>
                <w:color w:val="auto"/>
                <w:sz w:val="24"/>
                <w:highlight w:val="none"/>
              </w:rPr>
              <w:t>项。</w:t>
            </w:r>
          </w:p>
          <w:p w14:paraId="58D382E6">
            <w:pPr>
              <w:spacing w:line="460" w:lineRule="exact"/>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0</w:t>
            </w:r>
            <w:r>
              <w:rPr>
                <w:rFonts w:hint="eastAsia" w:ascii="宋体" w:hAnsi="宋体" w:cs="宋体"/>
                <w:color w:val="auto"/>
                <w:sz w:val="24"/>
                <w:highlight w:val="none"/>
              </w:rPr>
              <w:t>项。</w:t>
            </w:r>
          </w:p>
        </w:tc>
      </w:tr>
      <w:tr w14:paraId="6BF45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Merge w:val="continue"/>
            <w:vAlign w:val="center"/>
          </w:tcPr>
          <w:p w14:paraId="43728A98">
            <w:pPr>
              <w:spacing w:line="460" w:lineRule="exact"/>
              <w:jc w:val="center"/>
              <w:rPr>
                <w:rFonts w:ascii="宋体" w:hAnsi="宋体" w:cs="宋体"/>
                <w:color w:val="auto"/>
                <w:sz w:val="24"/>
                <w:highlight w:val="none"/>
              </w:rPr>
            </w:pPr>
          </w:p>
        </w:tc>
        <w:tc>
          <w:tcPr>
            <w:tcW w:w="8754" w:type="dxa"/>
            <w:vAlign w:val="center"/>
          </w:tcPr>
          <w:p w14:paraId="18A6C6E3">
            <w:pPr>
              <w:pStyle w:val="14"/>
              <w:spacing w:line="460" w:lineRule="exact"/>
              <w:rPr>
                <w:rFonts w:ascii="宋体" w:hAnsi="宋体" w:cs="宋体"/>
                <w:b/>
                <w:color w:val="auto"/>
                <w:sz w:val="24"/>
                <w:highlight w:val="none"/>
              </w:rPr>
            </w:pPr>
            <w:r>
              <w:rPr>
                <w:rFonts w:hint="eastAsia" w:ascii="宋体" w:hAnsi="宋体" w:cs="宋体"/>
                <w:b/>
                <w:bCs/>
                <w:color w:val="auto"/>
                <w:sz w:val="24"/>
                <w:highlight w:val="none"/>
              </w:rPr>
              <w:t>磋商时间：</w:t>
            </w:r>
            <w:r>
              <w:rPr>
                <w:rFonts w:hint="eastAsia" w:ascii="宋体" w:hAnsi="宋体" w:cs="宋体"/>
                <w:color w:val="auto"/>
                <w:sz w:val="24"/>
                <w:highlight w:val="none"/>
              </w:rPr>
              <w:t>本项目不要求供应商到达开标现场，供应商应派法定代表人或委托代理人</w:t>
            </w:r>
            <w:r>
              <w:rPr>
                <w:rFonts w:hint="eastAsia" w:ascii="宋体" w:hAnsi="宋体" w:cs="宋体"/>
                <w:color w:val="auto"/>
                <w:sz w:val="24"/>
                <w:highlight w:val="none"/>
                <w:u w:val="single"/>
                <w:lang w:eastAsia="zh-CN"/>
              </w:rPr>
              <w:t>2024年11月19日15时00分</w:t>
            </w:r>
            <w:r>
              <w:rPr>
                <w:rFonts w:hint="eastAsia" w:ascii="宋体" w:hAnsi="宋体" w:cs="宋体"/>
                <w:color w:val="auto"/>
                <w:sz w:val="24"/>
                <w:highlight w:val="none"/>
              </w:rPr>
              <w:t>准时在线“政府采购云平台”出席电子开评标会议，随时关注开评标进度，如在开评标过程中有电子询标，应在规定的时间内对电子询标函进行澄清回复）</w:t>
            </w:r>
          </w:p>
        </w:tc>
      </w:tr>
      <w:tr w14:paraId="46BEC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5A5BA406">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28.1</w:t>
            </w:r>
          </w:p>
        </w:tc>
        <w:tc>
          <w:tcPr>
            <w:tcW w:w="8754" w:type="dxa"/>
            <w:vAlign w:val="center"/>
          </w:tcPr>
          <w:p w14:paraId="6B4F66C5">
            <w:pPr>
              <w:spacing w:line="460" w:lineRule="exact"/>
              <w:rPr>
                <w:rFonts w:ascii="宋体" w:hAnsi="宋体" w:cs="宋体"/>
                <w:color w:val="auto"/>
                <w:sz w:val="24"/>
                <w:highlight w:val="none"/>
              </w:rPr>
            </w:pPr>
            <w:r>
              <w:rPr>
                <w:rFonts w:hint="eastAsia" w:ascii="宋体" w:hAnsi="宋体" w:cs="宋体"/>
                <w:color w:val="auto"/>
                <w:sz w:val="24"/>
                <w:highlight w:val="none"/>
              </w:rPr>
              <w:t>履约保证金金额：</w:t>
            </w:r>
            <w:r>
              <w:rPr>
                <w:rFonts w:hint="eastAsia" w:ascii="宋体" w:hAnsi="宋体" w:cs="宋体"/>
                <w:b/>
                <w:bCs/>
                <w:color w:val="auto"/>
                <w:sz w:val="24"/>
                <w:highlight w:val="none"/>
              </w:rPr>
              <w:t>本项目无需缴纳履约保证金。</w:t>
            </w:r>
          </w:p>
        </w:tc>
      </w:tr>
      <w:tr w14:paraId="1DB9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135B7A1B">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29.1</w:t>
            </w:r>
          </w:p>
        </w:tc>
        <w:tc>
          <w:tcPr>
            <w:tcW w:w="8754" w:type="dxa"/>
            <w:vAlign w:val="center"/>
          </w:tcPr>
          <w:p w14:paraId="5D4BCA10">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50DE36DB">
            <w:pPr>
              <w:spacing w:line="460" w:lineRule="exact"/>
              <w:rPr>
                <w:rFonts w:ascii="宋体" w:hAnsi="宋体" w:cs="宋体"/>
                <w:color w:val="auto"/>
                <w:sz w:val="24"/>
                <w:highlight w:val="none"/>
              </w:rPr>
            </w:pPr>
            <w:r>
              <w:rPr>
                <w:rFonts w:hint="eastAsia" w:ascii="宋体" w:hAnsi="宋体" w:cs="宋体"/>
                <w:color w:val="auto"/>
                <w:sz w:val="24"/>
                <w:highlight w:val="none"/>
              </w:rPr>
              <w:t>（1）委托代理人负责签订合同的，须携带授权委托书及委托代理人身份证原件等其他资格证件。</w:t>
            </w:r>
          </w:p>
          <w:p w14:paraId="52083FF1">
            <w:pPr>
              <w:spacing w:line="460" w:lineRule="exact"/>
              <w:rPr>
                <w:rFonts w:ascii="宋体" w:hAnsi="宋体" w:cs="宋体"/>
                <w:color w:val="auto"/>
                <w:sz w:val="24"/>
                <w:highlight w:val="none"/>
              </w:rPr>
            </w:pPr>
            <w:r>
              <w:rPr>
                <w:rFonts w:hint="eastAsia" w:ascii="宋体" w:hAnsi="宋体" w:cs="宋体"/>
                <w:color w:val="auto"/>
                <w:sz w:val="24"/>
                <w:highlight w:val="none"/>
              </w:rPr>
              <w:t>（2）法定代表人负责签订合同的，须携带法定代表人身份证明原件及身份证原件等其他证明材料。</w:t>
            </w:r>
          </w:p>
        </w:tc>
      </w:tr>
      <w:tr w14:paraId="0CE48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C994DC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31.2</w:t>
            </w:r>
          </w:p>
        </w:tc>
        <w:tc>
          <w:tcPr>
            <w:tcW w:w="8754" w:type="dxa"/>
            <w:vAlign w:val="center"/>
          </w:tcPr>
          <w:p w14:paraId="62486044">
            <w:pPr>
              <w:spacing w:line="460" w:lineRule="exact"/>
              <w:rPr>
                <w:rFonts w:ascii="宋体" w:hAnsi="宋体" w:cs="宋体"/>
                <w:color w:val="auto"/>
                <w:sz w:val="24"/>
                <w:highlight w:val="none"/>
              </w:rPr>
            </w:pPr>
            <w:r>
              <w:rPr>
                <w:rFonts w:hint="eastAsia" w:ascii="宋体" w:hAnsi="宋体" w:cs="宋体"/>
                <w:color w:val="auto"/>
                <w:sz w:val="24"/>
                <w:highlight w:val="none"/>
              </w:rPr>
              <w:t>接收质疑函方式：以书面形式。</w:t>
            </w:r>
          </w:p>
          <w:p w14:paraId="4820598B">
            <w:pPr>
              <w:pStyle w:val="19"/>
              <w:spacing w:line="460" w:lineRule="exact"/>
              <w:rPr>
                <w:rFonts w:hAnsi="宋体" w:cs="宋体"/>
                <w:color w:val="auto"/>
                <w:kern w:val="2"/>
                <w:sz w:val="24"/>
                <w:szCs w:val="24"/>
                <w:highlight w:val="none"/>
              </w:rPr>
            </w:pPr>
            <w:r>
              <w:rPr>
                <w:rFonts w:hint="eastAsia" w:hAnsi="宋体" w:cs="宋体"/>
                <w:color w:val="auto"/>
                <w:kern w:val="2"/>
                <w:sz w:val="24"/>
                <w:szCs w:val="24"/>
                <w:highlight w:val="none"/>
              </w:rPr>
              <w:t>质疑联系部门及联系方式：</w:t>
            </w:r>
            <w:r>
              <w:rPr>
                <w:rFonts w:hint="eastAsia" w:hAnsi="宋体" w:cs="宋体"/>
                <w:color w:val="auto"/>
                <w:kern w:val="2"/>
                <w:sz w:val="24"/>
                <w:szCs w:val="24"/>
                <w:highlight w:val="none"/>
                <w:lang w:eastAsia="zh-CN"/>
              </w:rPr>
              <w:t>东信工程项目管理有限公司</w:t>
            </w:r>
            <w:r>
              <w:rPr>
                <w:rFonts w:hint="eastAsia" w:hAnsi="宋体" w:cs="宋体"/>
                <w:color w:val="auto"/>
                <w:kern w:val="2"/>
                <w:sz w:val="24"/>
                <w:szCs w:val="24"/>
                <w:highlight w:val="none"/>
              </w:rPr>
              <w:t>，联系电话：</w:t>
            </w:r>
            <w:r>
              <w:rPr>
                <w:rFonts w:hint="eastAsia" w:hAnsi="宋体" w:cs="宋体"/>
                <w:color w:val="auto"/>
                <w:kern w:val="2"/>
                <w:sz w:val="24"/>
                <w:szCs w:val="24"/>
                <w:highlight w:val="none"/>
                <w:lang w:eastAsia="zh-CN"/>
              </w:rPr>
              <w:t>0776-2847001</w:t>
            </w:r>
            <w:r>
              <w:rPr>
                <w:rFonts w:hint="eastAsia" w:hAnsi="宋体" w:cs="宋体"/>
                <w:color w:val="auto"/>
                <w:kern w:val="2"/>
                <w:sz w:val="24"/>
                <w:szCs w:val="24"/>
                <w:highlight w:val="none"/>
              </w:rPr>
              <w:t>，</w:t>
            </w:r>
          </w:p>
          <w:p w14:paraId="0BB10A49">
            <w:pPr>
              <w:pStyle w:val="19"/>
              <w:spacing w:line="460" w:lineRule="exact"/>
              <w:rPr>
                <w:rFonts w:hAnsi="宋体" w:cs="宋体"/>
                <w:color w:val="auto"/>
                <w:kern w:val="2"/>
                <w:sz w:val="24"/>
                <w:szCs w:val="24"/>
                <w:highlight w:val="none"/>
              </w:rPr>
            </w:pPr>
            <w:r>
              <w:rPr>
                <w:rFonts w:hint="eastAsia" w:hAnsi="宋体" w:cs="宋体"/>
                <w:color w:val="auto"/>
                <w:kern w:val="2"/>
                <w:sz w:val="24"/>
                <w:szCs w:val="24"/>
                <w:highlight w:val="none"/>
              </w:rPr>
              <w:t>通讯地址：</w:t>
            </w:r>
            <w:r>
              <w:rPr>
                <w:rFonts w:hint="eastAsia" w:hAnsi="宋体" w:cs="宋体"/>
                <w:color w:val="auto"/>
                <w:kern w:val="2"/>
                <w:sz w:val="24"/>
                <w:szCs w:val="24"/>
                <w:highlight w:val="none"/>
                <w:lang w:eastAsia="zh-CN"/>
              </w:rPr>
              <w:t>百色市右江区大湾社区第十四组“家和花园”2#公寓楼一单元510号</w:t>
            </w:r>
            <w:r>
              <w:rPr>
                <w:rFonts w:hint="eastAsia" w:hAnsi="宋体" w:cs="宋体"/>
                <w:color w:val="auto"/>
                <w:kern w:val="2"/>
                <w:sz w:val="24"/>
                <w:szCs w:val="24"/>
                <w:highlight w:val="none"/>
              </w:rPr>
              <w:t>。</w:t>
            </w:r>
          </w:p>
          <w:p w14:paraId="6E246F9E">
            <w:pPr>
              <w:spacing w:line="460" w:lineRule="exact"/>
              <w:rPr>
                <w:rFonts w:ascii="宋体" w:hAnsi="宋体" w:cs="宋体"/>
                <w:color w:val="auto"/>
                <w:sz w:val="24"/>
                <w:highlight w:val="none"/>
              </w:rPr>
            </w:pPr>
            <w:r>
              <w:rPr>
                <w:rFonts w:hint="eastAsia" w:ascii="宋体" w:hAnsi="宋体" w:cs="宋体"/>
                <w:color w:val="auto"/>
                <w:sz w:val="24"/>
                <w:highlight w:val="none"/>
              </w:rPr>
              <w:t>业务时间：上午8时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0分到12时00分，下午15时00分到18时00分，业务时间以外、双休日和法定节假日不办理业务。</w:t>
            </w:r>
          </w:p>
        </w:tc>
      </w:tr>
      <w:tr w14:paraId="70488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BB2755B">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32.1</w:t>
            </w:r>
          </w:p>
        </w:tc>
        <w:tc>
          <w:tcPr>
            <w:tcW w:w="8754" w:type="dxa"/>
            <w:vAlign w:val="center"/>
          </w:tcPr>
          <w:p w14:paraId="348BB83B">
            <w:pPr>
              <w:pStyle w:val="19"/>
              <w:spacing w:line="460" w:lineRule="exact"/>
              <w:rPr>
                <w:rFonts w:hAnsi="宋体" w:cs="宋体"/>
                <w:color w:val="auto"/>
                <w:sz w:val="24"/>
                <w:szCs w:val="24"/>
                <w:highlight w:val="none"/>
              </w:rPr>
            </w:pPr>
            <w:r>
              <w:rPr>
                <w:rFonts w:hint="eastAsia" w:hAnsi="宋体" w:cs="宋体"/>
                <w:color w:val="auto"/>
                <w:sz w:val="24"/>
                <w:szCs w:val="24"/>
                <w:highlight w:val="none"/>
              </w:rPr>
              <w:t>1.采购代理费支付方式：</w:t>
            </w:r>
          </w:p>
          <w:p w14:paraId="62CE6E6E">
            <w:pPr>
              <w:pStyle w:val="19"/>
              <w:spacing w:line="460" w:lineRule="exact"/>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成交供应商</w:t>
            </w:r>
            <w:r>
              <w:rPr>
                <w:rFonts w:hint="eastAsia" w:hAnsi="宋体" w:cs="宋体"/>
                <w:color w:val="auto"/>
                <w:sz w:val="24"/>
                <w:szCs w:val="24"/>
                <w:highlight w:val="none"/>
              </w:rPr>
              <w:t>领取成交通知书前，一次性向采购代理机构支付。</w:t>
            </w:r>
          </w:p>
          <w:p w14:paraId="2E1ACA9C">
            <w:pPr>
              <w:pStyle w:val="19"/>
              <w:spacing w:line="460" w:lineRule="exact"/>
              <w:rPr>
                <w:rFonts w:hAnsi="宋体" w:cs="宋体"/>
                <w:color w:val="auto"/>
                <w:sz w:val="24"/>
                <w:szCs w:val="24"/>
                <w:highlight w:val="none"/>
              </w:rPr>
            </w:pPr>
            <w:r>
              <w:rPr>
                <w:rFonts w:hint="eastAsia" w:hAnsi="宋体" w:cs="宋体"/>
                <w:color w:val="auto"/>
                <w:sz w:val="24"/>
                <w:szCs w:val="24"/>
                <w:highlight w:val="none"/>
              </w:rPr>
              <w:t>□采购人支付。</w:t>
            </w:r>
          </w:p>
          <w:p w14:paraId="6548D3C7">
            <w:pPr>
              <w:pStyle w:val="19"/>
              <w:spacing w:line="460" w:lineRule="exact"/>
              <w:rPr>
                <w:rFonts w:hAnsi="宋体" w:cs="宋体"/>
                <w:color w:val="auto"/>
                <w:sz w:val="24"/>
                <w:szCs w:val="24"/>
                <w:highlight w:val="none"/>
              </w:rPr>
            </w:pPr>
            <w:r>
              <w:rPr>
                <w:rFonts w:hint="eastAsia" w:hAnsi="宋体" w:cs="宋体"/>
                <w:color w:val="auto"/>
                <w:sz w:val="24"/>
                <w:szCs w:val="24"/>
                <w:highlight w:val="none"/>
              </w:rPr>
              <w:t>2.采购代理费收取标准：按国家发改委计价格[2002]1980号（服务类）规定累进计取。</w:t>
            </w:r>
          </w:p>
          <w:p w14:paraId="3E0C8DEF">
            <w:pPr>
              <w:pStyle w:val="19"/>
              <w:spacing w:line="460" w:lineRule="exact"/>
              <w:rPr>
                <w:rFonts w:hint="eastAsia" w:hAnsi="宋体" w:cs="宋体"/>
                <w:color w:val="auto"/>
                <w:sz w:val="24"/>
                <w:szCs w:val="24"/>
                <w:highlight w:val="none"/>
              </w:rPr>
            </w:pPr>
            <w:r>
              <w:rPr>
                <w:rFonts w:hint="eastAsia" w:hAnsi="宋体" w:cs="宋体"/>
                <w:color w:val="auto"/>
                <w:sz w:val="24"/>
                <w:szCs w:val="24"/>
                <w:highlight w:val="none"/>
              </w:rPr>
              <w:t>☑以分标（☑成交金额/□采购预算/□暂定成交金额/□其他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）为计费额，按本须知正文第31.2条规定的收费计算标准（□货物类/☑服务类/□工程类）采用差额定率累进法计算出收费基准价格，采购代理收费以（☑收费基准价格/□收费基准价格下浮</w:t>
            </w:r>
            <w:r>
              <w:rPr>
                <w:rFonts w:hint="eastAsia" w:hAnsi="宋体" w:cs="宋体"/>
                <w:color w:val="auto"/>
                <w:sz w:val="24"/>
                <w:szCs w:val="24"/>
                <w:highlight w:val="none"/>
                <w:u w:val="single"/>
              </w:rPr>
              <w:t>/%</w:t>
            </w:r>
            <w:r>
              <w:rPr>
                <w:rFonts w:hint="eastAsia" w:hAnsi="宋体" w:cs="宋体"/>
                <w:color w:val="auto"/>
                <w:sz w:val="24"/>
                <w:szCs w:val="24"/>
                <w:highlight w:val="none"/>
              </w:rPr>
              <w:t>/□收费基准价格上浮</w:t>
            </w:r>
            <w:r>
              <w:rPr>
                <w:rFonts w:hint="eastAsia" w:hAnsi="宋体" w:cs="宋体"/>
                <w:color w:val="auto"/>
                <w:sz w:val="24"/>
                <w:szCs w:val="24"/>
                <w:highlight w:val="none"/>
                <w:u w:val="single"/>
              </w:rPr>
              <w:t>/%</w:t>
            </w:r>
            <w:r>
              <w:rPr>
                <w:rFonts w:hint="eastAsia" w:hAnsi="宋体" w:cs="宋体"/>
                <w:color w:val="auto"/>
                <w:sz w:val="24"/>
                <w:szCs w:val="24"/>
                <w:highlight w:val="none"/>
              </w:rPr>
              <w:t>）收取。</w:t>
            </w:r>
          </w:p>
          <w:p w14:paraId="5B2BB187">
            <w:pPr>
              <w:pStyle w:val="19"/>
              <w:spacing w:line="460" w:lineRule="exact"/>
              <w:rPr>
                <w:rFonts w:hAnsi="宋体" w:cs="宋体"/>
                <w:color w:val="auto"/>
                <w:sz w:val="24"/>
                <w:szCs w:val="24"/>
                <w:highlight w:val="none"/>
              </w:rPr>
            </w:pPr>
            <w:r>
              <w:rPr>
                <w:rFonts w:hint="eastAsia" w:hAnsi="宋体" w:cs="宋体"/>
                <w:color w:val="auto"/>
                <w:sz w:val="24"/>
                <w:szCs w:val="24"/>
                <w:highlight w:val="none"/>
              </w:rPr>
              <w:t>□固定采购代理收费</w:t>
            </w:r>
            <w:r>
              <w:rPr>
                <w:rFonts w:hint="eastAsia" w:hAnsi="宋体" w:cs="宋体"/>
                <w:color w:val="auto"/>
                <w:sz w:val="24"/>
                <w:szCs w:val="24"/>
                <w:highlight w:val="none"/>
                <w:u w:val="single"/>
              </w:rPr>
              <w:t xml:space="preserve">  / 。</w:t>
            </w:r>
          </w:p>
        </w:tc>
      </w:tr>
      <w:tr w14:paraId="55F80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6E86432">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33.1</w:t>
            </w:r>
          </w:p>
        </w:tc>
        <w:tc>
          <w:tcPr>
            <w:tcW w:w="8754" w:type="dxa"/>
            <w:vAlign w:val="center"/>
          </w:tcPr>
          <w:p w14:paraId="766927A3">
            <w:pPr>
              <w:pStyle w:val="19"/>
              <w:spacing w:line="460" w:lineRule="exact"/>
              <w:rPr>
                <w:rFonts w:hAnsi="宋体" w:cs="宋体"/>
                <w:color w:val="auto"/>
                <w:kern w:val="2"/>
                <w:sz w:val="24"/>
                <w:szCs w:val="24"/>
                <w:highlight w:val="none"/>
              </w:rPr>
            </w:pPr>
            <w:r>
              <w:rPr>
                <w:rFonts w:hint="eastAsia" w:hAnsi="宋体" w:cs="宋体"/>
                <w:color w:val="auto"/>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9120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758D39F">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33.2</w:t>
            </w:r>
          </w:p>
        </w:tc>
        <w:tc>
          <w:tcPr>
            <w:tcW w:w="8754" w:type="dxa"/>
            <w:vAlign w:val="center"/>
          </w:tcPr>
          <w:p w14:paraId="3512D64C">
            <w:pPr>
              <w:pStyle w:val="19"/>
              <w:spacing w:line="460" w:lineRule="exact"/>
              <w:rPr>
                <w:rFonts w:hAnsi="宋体" w:cs="宋体"/>
                <w:color w:val="auto"/>
                <w:sz w:val="24"/>
                <w:szCs w:val="24"/>
                <w:highlight w:val="none"/>
              </w:rPr>
            </w:pPr>
            <w:r>
              <w:rPr>
                <w:rFonts w:hint="eastAsia" w:hAnsi="宋体" w:cs="宋体"/>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w:t>
            </w:r>
          </w:p>
          <w:p w14:paraId="4573DC2E">
            <w:pPr>
              <w:pStyle w:val="19"/>
              <w:spacing w:line="460" w:lineRule="exact"/>
              <w:rPr>
                <w:rFonts w:hAnsi="宋体" w:cs="宋体"/>
                <w:color w:val="auto"/>
                <w:sz w:val="24"/>
                <w:szCs w:val="24"/>
                <w:highlight w:val="none"/>
              </w:rPr>
            </w:pPr>
            <w:r>
              <w:rPr>
                <w:rFonts w:hint="eastAsia" w:hAnsi="宋体" w:cs="宋体"/>
                <w:b/>
                <w:bCs/>
                <w:color w:val="auto"/>
                <w:sz w:val="24"/>
                <w:highlight w:val="none"/>
              </w:rPr>
              <w:t>法定代表人或其授权代表签字或盖章：</w:t>
            </w:r>
            <w:r>
              <w:rPr>
                <w:rFonts w:hint="eastAsia" w:hAnsi="宋体" w:cs="宋体"/>
                <w:color w:val="auto"/>
                <w:sz w:val="24"/>
                <w:highlight w:val="none"/>
              </w:rPr>
              <w:t>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14:paraId="36B70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40508446">
            <w:pPr>
              <w:spacing w:line="460" w:lineRule="exact"/>
              <w:jc w:val="center"/>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其他</w:t>
            </w:r>
          </w:p>
        </w:tc>
        <w:tc>
          <w:tcPr>
            <w:tcW w:w="8754" w:type="dxa"/>
            <w:vAlign w:val="center"/>
          </w:tcPr>
          <w:p w14:paraId="3D16595A">
            <w:pPr>
              <w:pStyle w:val="19"/>
              <w:spacing w:line="460" w:lineRule="exact"/>
              <w:rPr>
                <w:rFonts w:hint="eastAsia" w:hAnsi="宋体" w:cs="宋体"/>
                <w:b/>
                <w:bCs/>
                <w:color w:val="auto"/>
                <w:sz w:val="24"/>
                <w:highlight w:val="none"/>
              </w:rPr>
            </w:pPr>
            <w:r>
              <w:rPr>
                <w:rFonts w:hint="eastAsia" w:hAnsi="宋体" w:cs="宋体"/>
                <w:b/>
                <w:bCs/>
                <w:color w:val="auto"/>
                <w:sz w:val="24"/>
                <w:highlight w:val="none"/>
                <w:lang w:eastAsia="zh-CN"/>
              </w:rPr>
              <w:t>本</w:t>
            </w:r>
            <w:r>
              <w:rPr>
                <w:rFonts w:hint="eastAsia" w:hAnsi="宋体" w:cs="宋体"/>
                <w:b/>
                <w:bCs/>
                <w:color w:val="auto"/>
                <w:sz w:val="24"/>
                <w:highlight w:val="none"/>
              </w:rPr>
              <w:t>项目所属行业：其他未列明行业</w:t>
            </w:r>
          </w:p>
        </w:tc>
      </w:tr>
    </w:tbl>
    <w:p w14:paraId="121EEA5A">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1AF69E0B">
      <w:pPr>
        <w:spacing w:line="400" w:lineRule="exact"/>
        <w:jc w:val="center"/>
        <w:rPr>
          <w:rFonts w:ascii="宋体" w:hAnsi="宋体" w:cs="宋体"/>
          <w:b/>
          <w:color w:val="auto"/>
          <w:sz w:val="32"/>
          <w:szCs w:val="32"/>
          <w:highlight w:val="none"/>
        </w:rPr>
      </w:pPr>
    </w:p>
    <w:p w14:paraId="05CCADD5">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1A3C18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22F7C8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F9B31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1.2本竞争性磋商文件（以下简称磋商文件）适用于本项目的所有采购程序和环节（法律、法规另有规定的，从其规定）。</w:t>
      </w:r>
    </w:p>
    <w:p w14:paraId="342D6F5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33EF8B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2.1“采购人”是指依法进行政府采购的国家机关、事业单位、团体组织。</w:t>
      </w:r>
    </w:p>
    <w:p w14:paraId="537E616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2.2“采购代理机构”是指政府采购代理机构（以下简称采购代理机构）是指集中采购机构以外、受采购人委托从事政府采购代理业务的社会中介机构。</w:t>
      </w:r>
    </w:p>
    <w:p w14:paraId="2BA84F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2.3“供应商”是指向采购人提供货物、工程或者服务的法人、其他组织或者自然人。</w:t>
      </w:r>
    </w:p>
    <w:p w14:paraId="38DB9B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2.4“服务”是指除货物和工程以外的其他政府采购对象。</w:t>
      </w:r>
    </w:p>
    <w:p w14:paraId="7E15B3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2.5“竞标”是指供应商按照本项目竞争性磋商公告或者邀请函规定的方式获取磋商文件、提交响应文件并希望获得标的的行为。</w:t>
      </w:r>
    </w:p>
    <w:p w14:paraId="6FF0D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2.6“响应文件”是指：供应商根据本磋商文件要求，编制包含资格证明、报价商务技术等所有内容的文件。</w:t>
      </w:r>
    </w:p>
    <w:p w14:paraId="3BE6AC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2.7“实质性要求”是指磋商文件中已经指明不满足则响应文件按无效响应处理的条款，或者不能负偏离的条款，或者采购需求中带“▲”的条款。</w:t>
      </w:r>
    </w:p>
    <w:p w14:paraId="08979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2.8“正偏离”，是指响应文件对磋商文件“采购需求”中有关条款作出的响应优于条款要求并有利于采购人的情形。</w:t>
      </w:r>
    </w:p>
    <w:p w14:paraId="16555D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2.9“负偏离”，是指响应文件对磋商文件“采购需求”中有关条款作出的响应不满足条款要求，导致采购人要求不能得到满足的情形。</w:t>
      </w:r>
    </w:p>
    <w:p w14:paraId="283AAE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2.10“允许负偏离的条款”是指采购需求中的不属于“实质性要求”的条款。</w:t>
      </w:r>
    </w:p>
    <w:p w14:paraId="7CA76C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2.11“书面形式”是指合同书、信件和数据电文（包括电报、电传、传真、电子数据交换和电子邮件）等可以有形地表现所载内容的形式。</w:t>
      </w:r>
    </w:p>
    <w:p w14:paraId="3535DB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2.12“首次报价”是指供应商提交的首次响应文件中的报价。</w:t>
      </w:r>
    </w:p>
    <w:p w14:paraId="11A707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2.13“评审价”是指供应商提交的最后报价并经修正（如有）和政策功能价格扣除（如有）后的价格。</w:t>
      </w:r>
    </w:p>
    <w:p w14:paraId="4CA298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4058BA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供应商的资格条件详见“供应商须知前附表”。</w:t>
      </w:r>
    </w:p>
    <w:p w14:paraId="322409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4868D2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供应商应承担参与本次采购活动有关的所有费用，包括但不限于获取磋商文件、勘查现场、编制和提交响应文件、参加磋商与应答、签订合同等，不论竞标结果如何，均应自行承担。</w:t>
      </w:r>
    </w:p>
    <w:p w14:paraId="1383E8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704F8D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5.1本项目是否接受联合体竞标，详见“供应商须知前附表”。</w:t>
      </w:r>
    </w:p>
    <w:p w14:paraId="470375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5.2如接受联合体竞标，联合体竞标要求详见“供应商须知前附表”。</w:t>
      </w:r>
    </w:p>
    <w:p w14:paraId="3F6E0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w:t>
      </w:r>
      <w:bookmarkStart w:id="59" w:name="_Hlk66782192"/>
      <w:r>
        <w:rPr>
          <w:rFonts w:hint="eastAsia" w:ascii="宋体" w:hAnsi="宋体" w:cs="宋体"/>
          <w:color w:val="auto"/>
          <w:sz w:val="24"/>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w:t>
      </w:r>
      <w:bookmarkEnd w:id="59"/>
    </w:p>
    <w:p w14:paraId="792D10B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78A481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6.1本项目不允许转包。</w:t>
      </w:r>
    </w:p>
    <w:p w14:paraId="3B568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6.2本项目是否允许分包详见“供应商须知前附表”，本项目不允许违法分包。</w:t>
      </w:r>
    </w:p>
    <w:p w14:paraId="3C737AB1">
      <w:pPr>
        <w:spacing w:line="360" w:lineRule="auto"/>
        <w:ind w:firstLine="482" w:firstLineChars="200"/>
        <w:rPr>
          <w:rFonts w:ascii="宋体" w:hAnsi="宋体" w:cs="宋体"/>
          <w:b/>
          <w:bCs/>
          <w:color w:val="auto"/>
          <w:sz w:val="24"/>
          <w:highlight w:val="none"/>
        </w:rPr>
      </w:pPr>
      <w:bookmarkStart w:id="60" w:name="_Toc254970673"/>
      <w:bookmarkStart w:id="61" w:name="_Toc254970532"/>
      <w:r>
        <w:rPr>
          <w:rFonts w:hint="eastAsia" w:ascii="宋体" w:hAnsi="宋体" w:cs="宋体"/>
          <w:b/>
          <w:bCs/>
          <w:color w:val="auto"/>
          <w:sz w:val="24"/>
          <w:highlight w:val="none"/>
        </w:rPr>
        <w:t>7.特别说明</w:t>
      </w:r>
      <w:bookmarkEnd w:id="60"/>
      <w:bookmarkEnd w:id="61"/>
    </w:p>
    <w:p w14:paraId="22D17625">
      <w:pPr>
        <w:spacing w:line="360" w:lineRule="auto"/>
        <w:ind w:firstLine="480" w:firstLineChars="200"/>
        <w:rPr>
          <w:rFonts w:ascii="宋体" w:hAnsi="宋体" w:cs="宋体"/>
          <w:color w:val="auto"/>
          <w:sz w:val="24"/>
          <w:highlight w:val="none"/>
        </w:rPr>
      </w:pPr>
      <w:bookmarkStart w:id="62" w:name="_8.1提供相同品牌产品且通过资格审查、符合性审查的不同投标人参加同一合"/>
      <w:bookmarkEnd w:id="62"/>
      <w:r>
        <w:rPr>
          <w:rFonts w:hint="eastAsia" w:ascii="宋体" w:hAnsi="宋体" w:cs="宋体"/>
          <w:color w:val="auto"/>
          <w:sz w:val="24"/>
          <w:highlight w:val="none"/>
        </w:rPr>
        <w:t>7.1如果本磋商文件要求供应商提供资格、信誉、荣誉、业绩与企业认证等材料的，则供应商所提供的以上材料必须为供应商所拥有。</w:t>
      </w:r>
    </w:p>
    <w:p w14:paraId="6DEF33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7.2供应商应仔细阅读磋商文件的所有内容，按照磋商文件的要求提交响应文件，并对所提供的全部资料的真实性承担法律责任。</w:t>
      </w:r>
    </w:p>
    <w:p w14:paraId="38375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AE9AF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7.4在政府采购活动中，采购人员及相关人员与供应商有下列利害关系之一的，应当回避：</w:t>
      </w:r>
    </w:p>
    <w:p w14:paraId="4570AE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（1）参加采购活动前3年内与供应商存在劳动关系；</w:t>
      </w:r>
    </w:p>
    <w:p w14:paraId="42D773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（2）参加采购活动前3年内担任供应商的董事、监事；</w:t>
      </w:r>
    </w:p>
    <w:p w14:paraId="1EDF2F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（3）参加采购活动前3年内是供应商的控股股东或者实际控制人；</w:t>
      </w:r>
    </w:p>
    <w:p w14:paraId="0EA92D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（4）与供应商的法定代表人或者负责人有夫妻、直系血亲、三代以内旁系血亲或者近姻亲关系；</w:t>
      </w:r>
    </w:p>
    <w:p w14:paraId="0A22F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（5）与供应商有其他可能影响政府采购活动公平、公正进行的关系。</w:t>
      </w:r>
    </w:p>
    <w:p w14:paraId="63D63F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9998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7.5有下列情形之一的视为供应商相互串通竞标，响应文件将被视为无效：</w:t>
      </w:r>
    </w:p>
    <w:p w14:paraId="2E5E54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43F83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6EBB33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（3）不同的供应商的响应文件载明的项目管理员为同一个人；</w:t>
      </w:r>
    </w:p>
    <w:p w14:paraId="363390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（4）不同供应商的响应文件异常一致或者报价呈规律性差异；</w:t>
      </w:r>
    </w:p>
    <w:p w14:paraId="10A3A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r>
        <w:rPr>
          <w:rFonts w:hint="eastAsia" w:ascii="宋体" w:hAnsi="宋体" w:cs="宋体"/>
          <w:color w:val="auto"/>
          <w:sz w:val="24"/>
          <w:highlight w:val="none"/>
        </w:rPr>
        <w:tab/>
      </w:r>
    </w:p>
    <w:p w14:paraId="74F67E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7.6供应商有下列情形之一的，属于恶意串通行为，将报同级监督管理部门：</w:t>
      </w:r>
    </w:p>
    <w:p w14:paraId="5CF69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25AD12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3F6E0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（3）供应商之间协商报价、技术方案等响应文件或者响应文件的实质性内容；</w:t>
      </w:r>
    </w:p>
    <w:p w14:paraId="677CA0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15EC01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（5）供应商之间事先约定一致抬高或者压低报价，或者在政府采购活动中事先约定轮流以高价位或者低价位成交，或者事先约定由某一特定供应商成交，然后再参加竞标；</w:t>
      </w:r>
    </w:p>
    <w:p w14:paraId="6E24F9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1B83647C">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（7）供应商与采购人或者采购代理机构之间、供应商相互之间，为谋求特定供应商成交或者排斥其他供应商的其他串通行为。</w:t>
      </w:r>
    </w:p>
    <w:p w14:paraId="1A91836A">
      <w:pPr>
        <w:rPr>
          <w:color w:val="auto"/>
          <w:highlight w:val="none"/>
        </w:rPr>
      </w:pPr>
      <w:bookmarkStart w:id="63" w:name="_Toc254970534"/>
      <w:bookmarkStart w:id="64" w:name="_Toc254970675"/>
    </w:p>
    <w:p w14:paraId="25204DCC">
      <w:pPr>
        <w:spacing w:line="360" w:lineRule="auto"/>
        <w:ind w:left="1" w:firstLine="639" w:firstLineChars="19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63"/>
      <w:bookmarkEnd w:id="64"/>
    </w:p>
    <w:p w14:paraId="6C1BA1AF">
      <w:pPr>
        <w:spacing w:line="360" w:lineRule="auto"/>
        <w:jc w:val="center"/>
        <w:rPr>
          <w:rFonts w:ascii="宋体" w:hAnsi="宋体" w:cs="宋体"/>
          <w:color w:val="auto"/>
          <w:szCs w:val="21"/>
          <w:highlight w:val="none"/>
        </w:rPr>
      </w:pPr>
    </w:p>
    <w:p w14:paraId="2492F2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5894D2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（1）竞争性磋商公告或者邀请函；</w:t>
      </w:r>
    </w:p>
    <w:p w14:paraId="28DC66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（2）供应商须知； </w:t>
      </w:r>
    </w:p>
    <w:p w14:paraId="55C1AD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（3）采购需求；</w:t>
      </w:r>
    </w:p>
    <w:p w14:paraId="2285BD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（4）评审程序、评审方法和评审标准；</w:t>
      </w:r>
    </w:p>
    <w:p w14:paraId="68E0DB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（5）响应文件格式；</w:t>
      </w:r>
    </w:p>
    <w:p w14:paraId="582F21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（6）合同文本。</w:t>
      </w:r>
    </w:p>
    <w:p w14:paraId="525259E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479DDF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7EF4F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099D81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19DA982A">
      <w:pPr>
        <w:spacing w:line="360" w:lineRule="auto"/>
        <w:rPr>
          <w:rFonts w:ascii="宋体" w:hAnsi="宋体" w:cs="宋体"/>
          <w:color w:val="auto"/>
          <w:szCs w:val="21"/>
          <w:highlight w:val="none"/>
        </w:rPr>
      </w:pPr>
    </w:p>
    <w:p w14:paraId="0C82597E">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313A0B26">
      <w:pPr>
        <w:spacing w:line="360" w:lineRule="auto"/>
        <w:rPr>
          <w:rFonts w:ascii="宋体" w:hAnsi="宋体" w:cs="宋体"/>
          <w:color w:val="auto"/>
          <w:sz w:val="24"/>
          <w:highlight w:val="none"/>
        </w:rPr>
      </w:pPr>
    </w:p>
    <w:p w14:paraId="253F2CD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7744AC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供应商必须按照磋商文件的要求编制响应文件，并对其提交的响应文件的真实性、合法性承担法律责任。响应文件必须对磋商文件作出实质性响应。</w:t>
      </w:r>
    </w:p>
    <w:p w14:paraId="178AF5E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2F438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12.1响应文件由资格证明文件、报价、商务技术文件三部分组成。</w:t>
      </w:r>
    </w:p>
    <w:p w14:paraId="6A3B3FE6">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12.1.1资格证明文件：详见须知前附表</w:t>
      </w:r>
    </w:p>
    <w:p w14:paraId="2BE3DE6D">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12.1.2报价文件：详见须知前附表</w:t>
      </w:r>
    </w:p>
    <w:p w14:paraId="45F0C5E6">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12.2商务技术文件：详见须知前附表</w:t>
      </w:r>
    </w:p>
    <w:p w14:paraId="461FB4C1">
      <w:pPr>
        <w:pStyle w:val="8"/>
        <w:rPr>
          <w:rFonts w:ascii="宋体" w:hAnsi="宋体" w:cs="宋体"/>
          <w:color w:val="auto"/>
          <w:highlight w:val="none"/>
        </w:rPr>
      </w:pPr>
      <w:r>
        <w:rPr>
          <w:rFonts w:hint="eastAsia" w:ascii="宋体" w:hAnsi="宋体" w:cs="宋体"/>
          <w:color w:val="auto"/>
          <w:sz w:val="24"/>
          <w:highlight w:val="none"/>
        </w:rPr>
        <w:t>12.3</w:t>
      </w:r>
      <w:r>
        <w:rPr>
          <w:rFonts w:hint="eastAsia" w:ascii="宋体" w:hAnsi="宋体" w:cs="宋体"/>
          <w:b/>
          <w:color w:val="auto"/>
          <w:sz w:val="24"/>
          <w:szCs w:val="24"/>
          <w:highlight w:val="none"/>
        </w:rPr>
        <w:t>所有材料均以经有效的CA认证电子文件为评审依据，供应商须对所提供材料的真实性和一致性负责。</w:t>
      </w:r>
    </w:p>
    <w:p w14:paraId="119E80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05CC3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磋商文件已有明确规定的，使用磋商文件规定的计量单位；磋商文件没有规定的，应采用中华人民共和国法定计量单位，货币种类为人民币，否则视同未响应。</w:t>
      </w:r>
    </w:p>
    <w:p w14:paraId="497039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5CC766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供应商没有按照磋商文件要求提供全部资料，或者供应商没有对磋商文件在各方面作出实质性响应可能导致其响应无效，是供应商应当考虑的风险。</w:t>
      </w:r>
    </w:p>
    <w:p w14:paraId="75FB59C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4A2937BE">
      <w:pPr>
        <w:tabs>
          <w:tab w:val="left" w:pos="249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15.1竞标报价应按磋商文件中“竞标报价表”格式填写。</w:t>
      </w:r>
    </w:p>
    <w:p w14:paraId="33B36DFE">
      <w:pPr>
        <w:tabs>
          <w:tab w:val="left" w:pos="249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15.2竞标报价的价格构成见“供应商须知前附表”。</w:t>
      </w:r>
    </w:p>
    <w:p w14:paraId="5C229D44">
      <w:pPr>
        <w:spacing w:line="360" w:lineRule="auto"/>
        <w:ind w:left="426" w:leftChars="203"/>
        <w:rPr>
          <w:rFonts w:ascii="宋体" w:hAnsi="宋体" w:cs="宋体"/>
          <w:color w:val="auto"/>
          <w:sz w:val="24"/>
          <w:highlight w:val="none"/>
        </w:rPr>
      </w:pPr>
      <w:r>
        <w:rPr>
          <w:rFonts w:hint="eastAsia" w:ascii="宋体" w:hAnsi="宋体" w:cs="宋体"/>
          <w:color w:val="auto"/>
          <w:sz w:val="24"/>
          <w:highlight w:val="none"/>
        </w:rPr>
        <w:t>15.3竞标报价要求</w:t>
      </w:r>
    </w:p>
    <w:p w14:paraId="7A3F3C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15.3.1供应商的竞标报价应符合以下要求，否则响应文件按无效响应处理：</w:t>
      </w:r>
    </w:p>
    <w:p w14:paraId="05A1687E">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（1）供应商必须就“采购需求”中所竞标的每个分标的全部内容分别作完整唯一总价报价，</w:t>
      </w:r>
    </w:p>
    <w:p w14:paraId="7256A6BF">
      <w:pPr>
        <w:spacing w:line="360" w:lineRule="auto"/>
        <w:rPr>
          <w:rFonts w:ascii="宋体" w:hAnsi="宋体" w:cs="宋体"/>
          <w:color w:val="auto"/>
          <w:sz w:val="24"/>
          <w:highlight w:val="none"/>
        </w:rPr>
      </w:pPr>
      <w:r>
        <w:rPr>
          <w:rFonts w:hint="eastAsia" w:ascii="宋体" w:hAnsi="宋体" w:cs="宋体"/>
          <w:color w:val="auto"/>
          <w:sz w:val="24"/>
          <w:highlight w:val="none"/>
        </w:rPr>
        <w:t>不得存在漏项报价；</w:t>
      </w:r>
    </w:p>
    <w:p w14:paraId="2B341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（2）供应商必须就所竞标的分标的单项内容作唯一报价。</w:t>
      </w:r>
    </w:p>
    <w:p w14:paraId="476F8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15.3.2竞标报价（包含首次报价、最后报价）超过所竞标分标规定的采购预算金额或者最高限价的，其响应文件将作无效处理。</w:t>
      </w:r>
    </w:p>
    <w:p w14:paraId="0D6E80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15.3.3</w:t>
      </w:r>
      <w:bookmarkStart w:id="65" w:name="_Hlk42592874"/>
      <w:r>
        <w:rPr>
          <w:rFonts w:hint="eastAsia" w:ascii="宋体" w:hAnsi="宋体" w:cs="宋体"/>
          <w:color w:val="auto"/>
          <w:sz w:val="24"/>
          <w:highlight w:val="none"/>
        </w:rPr>
        <w:t>竞标报价（包含首次报价、最后报价）超过分项采购预算金额或者最高限价的，其响应文件将作无效处理。</w:t>
      </w:r>
    </w:p>
    <w:bookmarkEnd w:id="65"/>
    <w:p w14:paraId="23B2B5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62824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16.1竞标有效期是指为保证采购人有足够的时间在提交响应文件后完成评审、确定成交供应商、合同签订等工作而要求供应商提交的响应文件在一定时间内保持有效的期限。</w:t>
      </w:r>
    </w:p>
    <w:p w14:paraId="508B8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竞标有效期应由供应商按“供应商须知前附表”规定的期限作出响应。</w:t>
      </w:r>
    </w:p>
    <w:p w14:paraId="663F17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16.3供应商的响应文件在竞标有效期内均保持有效。</w:t>
      </w:r>
    </w:p>
    <w:p w14:paraId="3E0123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9BFE6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本项目无需缴纳竞标保证金。</w:t>
      </w:r>
    </w:p>
    <w:p w14:paraId="6E53B95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52B0D3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18.1供应商应按本磋商文件规定的格式和顺序编制，响应文件并标注页码，响应文件内容不完整、编排混乱导致响应文件被误读、漏读或者查找不到相关内容的，由此引发的后果由供应商承担。</w:t>
      </w:r>
    </w:p>
    <w:p w14:paraId="1C0B4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18.2响应文件应按资格证明文件、报价、商务技术文件分别编制，资格证明文件、报价、商务技术文件对应上传至</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系统。</w:t>
      </w:r>
    </w:p>
    <w:p w14:paraId="1E3D0F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p w14:paraId="677D0E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18.4响应文件中标注的供应商名称应与营业执照（事业单位法人证书、执业许可证、自然人身份证）及公章一致，否则其响应文件按无效响应处理。</w:t>
      </w:r>
    </w:p>
    <w:p w14:paraId="0FBCA3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1F2ADA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19.响应文件的形式</w:t>
      </w:r>
    </w:p>
    <w:p w14:paraId="5A3D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19.1磋商供应商应准备电子响应文件。</w:t>
      </w:r>
    </w:p>
    <w:p w14:paraId="1A1E7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电子响应文件是指通过“</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电子交易客户端”完成响应文件编制后生成并加密的数据电文形式的电子加密响应文件。</w:t>
      </w:r>
    </w:p>
    <w:p w14:paraId="4C1ED35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611F5D9">
      <w:pPr>
        <w:spacing w:line="440" w:lineRule="exact"/>
        <w:ind w:firstLine="468" w:firstLineChars="195"/>
        <w:rPr>
          <w:rFonts w:hint="eastAsia" w:ascii="宋体" w:hAnsi="宋体" w:cs="宋体"/>
          <w:color w:val="auto"/>
          <w:spacing w:val="2"/>
          <w:sz w:val="24"/>
          <w:szCs w:val="24"/>
          <w:highlight w:val="none"/>
        </w:rPr>
      </w:pPr>
      <w:r>
        <w:rPr>
          <w:rFonts w:hint="eastAsia" w:ascii="宋体" w:hAnsi="宋体" w:cs="宋体"/>
          <w:color w:val="auto"/>
          <w:sz w:val="24"/>
          <w:highlight w:val="none"/>
          <w:lang w:val="en-US" w:eastAsia="zh-CN"/>
        </w:rPr>
        <w:t>20.1</w:t>
      </w:r>
      <w:r>
        <w:rPr>
          <w:rFonts w:hint="eastAsia" w:ascii="宋体" w:hAnsi="宋体" w:cs="宋体"/>
          <w:color w:val="auto"/>
          <w:sz w:val="24"/>
          <w:highlight w:val="none"/>
        </w:rPr>
        <w:t>本项目为全流程电子化项目，没有现场递交投标文件及现场开标环节，通过</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实行在线电子投标，供应商应先安装“</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投标客户端”（请自行前往</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进行下载），并按照本项目招标文件和</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的要求使用CA认证编制、加密投标文件后在投标截止时间前上传至</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，供应商在</w:t>
      </w:r>
      <w:r>
        <w:rPr>
          <w:rFonts w:hint="eastAsia" w:ascii="宋体" w:hAnsi="宋体" w:cs="宋体"/>
          <w:color w:val="auto"/>
          <w:sz w:val="24"/>
          <w:highlight w:val="none"/>
          <w:lang w:eastAsia="zh-CN"/>
        </w:rPr>
        <w:t>广西政府采购云平台系统</w:t>
      </w:r>
      <w:r>
        <w:rPr>
          <w:rFonts w:hint="eastAsia" w:ascii="宋体" w:hAnsi="宋体" w:cs="宋体"/>
          <w:color w:val="auto"/>
          <w:sz w:val="24"/>
          <w:highlight w:val="none"/>
        </w:rPr>
        <w:t>提交电子版投标文件时，请填写参加远程开标活动经办人联系方式。</w:t>
      </w:r>
    </w:p>
    <w:p w14:paraId="0ADDF9DC">
      <w:pPr>
        <w:spacing w:line="440" w:lineRule="exact"/>
        <w:ind w:firstLine="475" w:firstLineChars="195"/>
        <w:rPr>
          <w:rFonts w:ascii="宋体" w:hAnsi="宋体" w:cs="宋体"/>
          <w:color w:val="auto"/>
          <w:sz w:val="24"/>
          <w:highlight w:val="none"/>
        </w:rPr>
      </w:pPr>
      <w:r>
        <w:rPr>
          <w:rFonts w:hint="eastAsia" w:ascii="宋体" w:hAnsi="宋体" w:cs="宋体"/>
          <w:color w:val="auto"/>
          <w:spacing w:val="2"/>
          <w:sz w:val="24"/>
          <w:szCs w:val="24"/>
          <w:highlight w:val="none"/>
          <w:lang w:val="en-US" w:eastAsia="zh-CN"/>
        </w:rPr>
        <w:t>20</w:t>
      </w:r>
      <w:r>
        <w:rPr>
          <w:rFonts w:hint="eastAsia" w:ascii="宋体" w:hAnsi="宋体" w:cs="宋体"/>
          <w:color w:val="auto"/>
          <w:spacing w:val="2"/>
          <w:sz w:val="24"/>
          <w:szCs w:val="24"/>
          <w:highlight w:val="none"/>
        </w:rPr>
        <w:t>.2供应商进行电子投标应安装客户端软件，并按照采购文件和电子交易平台的要求编制并加密</w:t>
      </w:r>
      <w:r>
        <w:rPr>
          <w:rFonts w:hint="eastAsia" w:ascii="宋体" w:hAnsi="宋体" w:cs="宋体"/>
          <w:color w:val="auto"/>
          <w:spacing w:val="2"/>
          <w:sz w:val="24"/>
          <w:szCs w:val="24"/>
          <w:highlight w:val="none"/>
          <w:lang w:eastAsia="zh-CN"/>
        </w:rPr>
        <w:t>磋商</w:t>
      </w:r>
      <w:r>
        <w:rPr>
          <w:rFonts w:hint="eastAsia" w:ascii="宋体" w:hAnsi="宋体" w:cs="宋体"/>
          <w:color w:val="auto"/>
          <w:spacing w:val="2"/>
          <w:sz w:val="24"/>
          <w:szCs w:val="24"/>
          <w:highlight w:val="none"/>
        </w:rPr>
        <w:t>响应文件。供应商未按规定加密的</w:t>
      </w:r>
      <w:r>
        <w:rPr>
          <w:rFonts w:hint="eastAsia" w:ascii="宋体" w:hAnsi="宋体" w:cs="宋体"/>
          <w:color w:val="auto"/>
          <w:spacing w:val="2"/>
          <w:sz w:val="24"/>
          <w:szCs w:val="24"/>
          <w:highlight w:val="none"/>
          <w:lang w:eastAsia="zh-CN"/>
        </w:rPr>
        <w:t>磋商</w:t>
      </w:r>
      <w:r>
        <w:rPr>
          <w:rFonts w:hint="eastAsia" w:ascii="宋体" w:hAnsi="宋体" w:cs="宋体"/>
          <w:color w:val="auto"/>
          <w:spacing w:val="2"/>
          <w:sz w:val="24"/>
          <w:szCs w:val="24"/>
          <w:highlight w:val="none"/>
        </w:rPr>
        <w:t>响应文件，电子交易平台将拒收。</w:t>
      </w:r>
    </w:p>
    <w:p w14:paraId="2B83FA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722ED3CA">
      <w:pPr>
        <w:spacing w:line="360" w:lineRule="auto"/>
        <w:ind w:firstLine="488" w:firstLineChars="200"/>
        <w:rPr>
          <w:rFonts w:ascii="宋体" w:hAnsi="宋体" w:cs="宋体"/>
          <w:color w:val="auto"/>
          <w:sz w:val="24"/>
          <w:highlight w:val="none"/>
        </w:rPr>
      </w:pPr>
      <w:r>
        <w:rPr>
          <w:rFonts w:hint="eastAsia" w:ascii="宋体" w:hAnsi="宋体" w:cs="宋体"/>
          <w:color w:val="auto"/>
          <w:spacing w:val="2"/>
          <w:sz w:val="24"/>
          <w:highlight w:val="none"/>
        </w:rPr>
        <w:t>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w:t>
      </w:r>
    </w:p>
    <w:p w14:paraId="759E83A0">
      <w:pPr>
        <w:spacing w:line="360" w:lineRule="auto"/>
        <w:ind w:firstLine="482"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22.首次响应文件的退回</w:t>
      </w:r>
    </w:p>
    <w:p w14:paraId="6EA6B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在首次响应文件提交截止时间止提交响应文件的供应商不足3家时，应当由供应商签字领回响应文件，除此之外采购人和采购代理机构对已提交的响应文件概不退回。</w:t>
      </w:r>
    </w:p>
    <w:p w14:paraId="107482B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6400C175">
      <w:pPr>
        <w:spacing w:line="360" w:lineRule="auto"/>
        <w:ind w:firstLine="488" w:firstLineChars="200"/>
        <w:rPr>
          <w:rFonts w:ascii="宋体" w:hAnsi="宋体" w:cs="宋体"/>
          <w:color w:val="auto"/>
          <w:sz w:val="24"/>
          <w:highlight w:val="none"/>
        </w:rPr>
      </w:pPr>
      <w:r>
        <w:rPr>
          <w:rFonts w:hint="eastAsia" w:ascii="宋体" w:hAnsi="宋体" w:cs="宋体"/>
          <w:color w:val="auto"/>
          <w:spacing w:val="2"/>
          <w:sz w:val="24"/>
          <w:highlight w:val="none"/>
        </w:rPr>
        <w:t>截止时间后，供应商不得撤回、修改响应文件。</w:t>
      </w:r>
    </w:p>
    <w:bookmarkEnd w:id="66"/>
    <w:p w14:paraId="243AFB04">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176FFDF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19B7B7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9263C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5F088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342077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首次响应文件由磋商小组或者采购代理机构在“供应商须知前附表”规定的时间开启。</w:t>
      </w:r>
    </w:p>
    <w:p w14:paraId="7558C3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791A209C">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26.1本项目的评审方法为</w:t>
      </w:r>
      <w:r>
        <w:rPr>
          <w:rFonts w:hint="eastAsia" w:ascii="宋体" w:hAnsi="宋体" w:cs="宋体"/>
          <w:b/>
          <w:bCs/>
          <w:color w:val="auto"/>
          <w:sz w:val="24"/>
          <w:highlight w:val="none"/>
        </w:rPr>
        <w:t>综合评分法。</w:t>
      </w:r>
    </w:p>
    <w:p w14:paraId="54F5A4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26.2磋商小组按照“第四章评审程序、评审方法和评审标准”规定的方法、评审因素、标准和程序对响应文件进行评审。</w:t>
      </w:r>
    </w:p>
    <w:p w14:paraId="4785AC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5C4FEE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5C6F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27.2采购代理机构应当在</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38BD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88C7CAA">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00847B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203C9B55">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2C14C10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7C8DBD4A">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29.1成交供应商在收到成交通知书后，应当在签订合同时向采购人出示相关证明材料，具体内容详见 “供应商须知前附表”，经采购人核验合格后方可签订合同。</w:t>
      </w:r>
    </w:p>
    <w:p w14:paraId="62C98272">
      <w:pPr>
        <w:spacing w:line="360" w:lineRule="auto"/>
        <w:ind w:firstLine="487" w:firstLineChars="202"/>
        <w:rPr>
          <w:rFonts w:ascii="宋体" w:hAnsi="宋体" w:cs="宋体"/>
          <w:b/>
          <w:bCs/>
          <w:color w:val="auto"/>
          <w:sz w:val="24"/>
          <w:highlight w:val="none"/>
        </w:rPr>
      </w:pPr>
      <w:r>
        <w:rPr>
          <w:rFonts w:hint="eastAsia" w:ascii="宋体" w:hAnsi="宋体" w:cs="宋体"/>
          <w:b/>
          <w:bCs/>
          <w:color w:val="auto"/>
          <w:sz w:val="24"/>
          <w:highlight w:val="none"/>
        </w:rPr>
        <w:t>29.2 签订合同时间：成交人在收到成交通知书后25个自然日内与与采购人签订合同。</w:t>
      </w:r>
    </w:p>
    <w:p w14:paraId="2AA73956">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3DE18F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3F02CA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760A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C583A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31.1供应商对政府采购活动事项有疑问的，可以向采购人、采购代理机构提出询问，采购人或者采购代理机构应当在3个工作日内对供应商依法提出的询问作出答复。</w:t>
      </w:r>
    </w:p>
    <w:p w14:paraId="78EF34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 w:val="24"/>
          <w:highlight w:val="none"/>
          <w:shd w:val="clear" w:color="auto" w:fill="FFFFFF"/>
        </w:rPr>
        <w:t>接收质疑函的方式、联系部门、联系电话和通讯地址等信息详见</w:t>
      </w:r>
      <w:r>
        <w:rPr>
          <w:rFonts w:hint="eastAsia" w:ascii="宋体" w:hAnsi="宋体" w:cs="宋体"/>
          <w:color w:val="auto"/>
          <w:sz w:val="24"/>
          <w:highlight w:val="none"/>
        </w:rPr>
        <w:t>“供应商须知前附表”。具体质疑起算时间如下：</w:t>
      </w:r>
    </w:p>
    <w:p w14:paraId="637FE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（1）对可以质疑的磋商文件提出质疑的，为收到磋商文件之日或者竞争性磋商公告期限届满之日；</w:t>
      </w:r>
    </w:p>
    <w:p w14:paraId="5F6227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14:paraId="0ACC66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14:paraId="1B733B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95F85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highlight w:val="none"/>
        </w:rPr>
        <w:t>（质疑函格式后附）</w:t>
      </w:r>
      <w:r>
        <w:rPr>
          <w:rFonts w:hint="eastAsia" w:ascii="宋体" w:hAnsi="宋体" w:cs="宋体"/>
          <w:color w:val="auto"/>
          <w:sz w:val="24"/>
          <w:highlight w:val="none"/>
        </w:rPr>
        <w:t>：</w:t>
      </w:r>
    </w:p>
    <w:p w14:paraId="355006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（1）供应商的姓名或者名称、地址、邮编、联系人及联系电话；</w:t>
      </w:r>
    </w:p>
    <w:p w14:paraId="41CB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（2）质疑项目的名称、编号；</w:t>
      </w:r>
    </w:p>
    <w:p w14:paraId="172974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（3）具体、明确的质疑事项和与质疑事项相关的请求；</w:t>
      </w:r>
    </w:p>
    <w:p w14:paraId="06533A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（4）事实依据；</w:t>
      </w:r>
    </w:p>
    <w:p w14:paraId="452C2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（5）必要的法律依据；</w:t>
      </w:r>
    </w:p>
    <w:p w14:paraId="08D957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（6）提出质疑的日期。</w:t>
      </w:r>
    </w:p>
    <w:p w14:paraId="3B74F0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供应商为自然人的，应当由本人签字；供应商为法人或者其他组织的，应当由法定代表人、主要负责人，或者其委托代理人签字或者盖章，并加盖公章。</w:t>
      </w:r>
    </w:p>
    <w:p w14:paraId="0A6E0E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1A0AD5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7426CC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10E485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质疑答复导致成交结果改变的，采购人或者采购代理机构应当将有关情况书面报告本级财政部门。</w:t>
      </w:r>
    </w:p>
    <w:p w14:paraId="15DADB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0725BD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711E6E36">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32.1代理服务收费标准及缴费账户详见“供应商须知前附表”，供应商为联合体的，可以由联合体中的一方或者多方共同交纳代理服务费。</w:t>
      </w:r>
    </w:p>
    <w:p w14:paraId="695247AD">
      <w:pPr>
        <w:tabs>
          <w:tab w:val="left" w:pos="2835"/>
        </w:tabs>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32.2代理服务费收费计算标准：</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5CE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3DB04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费率</w:t>
            </w:r>
          </w:p>
          <w:p w14:paraId="54871693">
            <w:pPr>
              <w:spacing w:line="360" w:lineRule="auto"/>
              <w:rPr>
                <w:rFonts w:ascii="宋体" w:hAnsi="宋体" w:cs="宋体"/>
                <w:color w:val="auto"/>
                <w:sz w:val="24"/>
                <w:highlight w:val="none"/>
              </w:rPr>
            </w:pPr>
            <w:r>
              <w:rPr>
                <w:rFonts w:hint="eastAsia" w:ascii="宋体" w:hAnsi="宋体" w:cs="宋体"/>
                <w:color w:val="auto"/>
                <w:sz w:val="24"/>
                <w:highlight w:val="none"/>
              </w:rPr>
              <w:t>金额</w:t>
            </w:r>
          </w:p>
        </w:tc>
        <w:tc>
          <w:tcPr>
            <w:tcW w:w="1659" w:type="dxa"/>
            <w:vAlign w:val="center"/>
          </w:tcPr>
          <w:p w14:paraId="1EC807BA">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货物类</w:t>
            </w:r>
          </w:p>
        </w:tc>
        <w:tc>
          <w:tcPr>
            <w:tcW w:w="1532" w:type="dxa"/>
            <w:vAlign w:val="center"/>
          </w:tcPr>
          <w:p w14:paraId="6B1302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c>
          <w:tcPr>
            <w:tcW w:w="1546" w:type="dxa"/>
            <w:vAlign w:val="center"/>
          </w:tcPr>
          <w:p w14:paraId="5C6B3F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工程类</w:t>
            </w:r>
          </w:p>
        </w:tc>
      </w:tr>
      <w:tr w14:paraId="71F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F123BE">
            <w:pPr>
              <w:spacing w:line="360" w:lineRule="auto"/>
              <w:rPr>
                <w:rFonts w:ascii="宋体" w:hAnsi="宋体" w:cs="宋体"/>
                <w:color w:val="auto"/>
                <w:sz w:val="24"/>
                <w:highlight w:val="none"/>
              </w:rPr>
            </w:pPr>
            <w:r>
              <w:rPr>
                <w:rFonts w:hint="eastAsia" w:ascii="宋体" w:hAnsi="宋体" w:cs="宋体"/>
                <w:color w:val="auto"/>
                <w:sz w:val="24"/>
                <w:highlight w:val="none"/>
              </w:rPr>
              <w:t>100万元以下</w:t>
            </w:r>
          </w:p>
        </w:tc>
        <w:tc>
          <w:tcPr>
            <w:tcW w:w="1659" w:type="dxa"/>
          </w:tcPr>
          <w:p w14:paraId="256A44FE">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1.5%                </w:t>
            </w:r>
          </w:p>
        </w:tc>
        <w:tc>
          <w:tcPr>
            <w:tcW w:w="1532" w:type="dxa"/>
          </w:tcPr>
          <w:p w14:paraId="315C045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1.5%</w:t>
            </w:r>
          </w:p>
        </w:tc>
        <w:tc>
          <w:tcPr>
            <w:tcW w:w="1546" w:type="dxa"/>
          </w:tcPr>
          <w:p w14:paraId="5805DF8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1.0% </w:t>
            </w:r>
          </w:p>
        </w:tc>
      </w:tr>
      <w:tr w14:paraId="027C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BA7616">
            <w:pPr>
              <w:spacing w:line="360" w:lineRule="auto"/>
              <w:rPr>
                <w:rFonts w:ascii="宋体" w:hAnsi="宋体" w:cs="宋体"/>
                <w:color w:val="auto"/>
                <w:sz w:val="24"/>
                <w:highlight w:val="none"/>
              </w:rPr>
            </w:pPr>
            <w:r>
              <w:rPr>
                <w:rFonts w:hint="eastAsia" w:ascii="宋体" w:hAnsi="宋体" w:cs="宋体"/>
                <w:color w:val="auto"/>
                <w:sz w:val="24"/>
                <w:highlight w:val="none"/>
              </w:rPr>
              <w:t>100～500万元</w:t>
            </w:r>
          </w:p>
        </w:tc>
        <w:tc>
          <w:tcPr>
            <w:tcW w:w="1659" w:type="dxa"/>
          </w:tcPr>
          <w:p w14:paraId="17A2AF96">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1.1%                 </w:t>
            </w:r>
          </w:p>
        </w:tc>
        <w:tc>
          <w:tcPr>
            <w:tcW w:w="1532" w:type="dxa"/>
          </w:tcPr>
          <w:p w14:paraId="144F67F6">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0.8%</w:t>
            </w:r>
          </w:p>
        </w:tc>
        <w:tc>
          <w:tcPr>
            <w:tcW w:w="1546" w:type="dxa"/>
          </w:tcPr>
          <w:p w14:paraId="25FA325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0.7% </w:t>
            </w:r>
          </w:p>
        </w:tc>
      </w:tr>
      <w:tr w14:paraId="3CF2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725B68">
            <w:pPr>
              <w:spacing w:line="360" w:lineRule="auto"/>
              <w:rPr>
                <w:rFonts w:ascii="宋体" w:hAnsi="宋体" w:cs="宋体"/>
                <w:color w:val="auto"/>
                <w:sz w:val="24"/>
                <w:highlight w:val="none"/>
              </w:rPr>
            </w:pPr>
            <w:r>
              <w:rPr>
                <w:rFonts w:hint="eastAsia" w:ascii="宋体" w:hAnsi="宋体" w:cs="宋体"/>
                <w:color w:val="auto"/>
                <w:sz w:val="24"/>
                <w:highlight w:val="none"/>
              </w:rPr>
              <w:t>500～1000万元</w:t>
            </w:r>
          </w:p>
        </w:tc>
        <w:tc>
          <w:tcPr>
            <w:tcW w:w="1659" w:type="dxa"/>
          </w:tcPr>
          <w:p w14:paraId="6400A3EF">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0.8%                </w:t>
            </w:r>
          </w:p>
        </w:tc>
        <w:tc>
          <w:tcPr>
            <w:tcW w:w="1532" w:type="dxa"/>
          </w:tcPr>
          <w:p w14:paraId="2E3C5AEF">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0.45%</w:t>
            </w:r>
          </w:p>
        </w:tc>
        <w:tc>
          <w:tcPr>
            <w:tcW w:w="1546" w:type="dxa"/>
          </w:tcPr>
          <w:p w14:paraId="3C83B5D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0.55%</w:t>
            </w:r>
          </w:p>
        </w:tc>
      </w:tr>
      <w:tr w14:paraId="3BD8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9323321">
            <w:pPr>
              <w:spacing w:line="360" w:lineRule="auto"/>
              <w:rPr>
                <w:rFonts w:ascii="宋体" w:hAnsi="宋体" w:cs="宋体"/>
                <w:color w:val="auto"/>
                <w:sz w:val="24"/>
                <w:highlight w:val="none"/>
              </w:rPr>
            </w:pPr>
            <w:r>
              <w:rPr>
                <w:rFonts w:hint="eastAsia" w:ascii="宋体" w:hAnsi="宋体" w:cs="宋体"/>
                <w:color w:val="auto"/>
                <w:sz w:val="24"/>
                <w:highlight w:val="none"/>
              </w:rPr>
              <w:t>1000～5000万元</w:t>
            </w:r>
          </w:p>
        </w:tc>
        <w:tc>
          <w:tcPr>
            <w:tcW w:w="1659" w:type="dxa"/>
          </w:tcPr>
          <w:p w14:paraId="672AC3E2">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0.5%                </w:t>
            </w:r>
          </w:p>
        </w:tc>
        <w:tc>
          <w:tcPr>
            <w:tcW w:w="1532" w:type="dxa"/>
          </w:tcPr>
          <w:p w14:paraId="26493592">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0.25%</w:t>
            </w:r>
          </w:p>
        </w:tc>
        <w:tc>
          <w:tcPr>
            <w:tcW w:w="1546" w:type="dxa"/>
          </w:tcPr>
          <w:p w14:paraId="2D7A015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0.35% </w:t>
            </w:r>
          </w:p>
        </w:tc>
      </w:tr>
      <w:tr w14:paraId="08A2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915F93">
            <w:pPr>
              <w:spacing w:line="360" w:lineRule="auto"/>
              <w:rPr>
                <w:rFonts w:ascii="宋体" w:hAnsi="宋体" w:cs="宋体"/>
                <w:color w:val="auto"/>
                <w:sz w:val="24"/>
                <w:highlight w:val="none"/>
              </w:rPr>
            </w:pPr>
            <w:r>
              <w:rPr>
                <w:rFonts w:hint="eastAsia" w:ascii="宋体" w:hAnsi="宋体" w:cs="宋体"/>
                <w:color w:val="auto"/>
                <w:sz w:val="24"/>
                <w:highlight w:val="none"/>
              </w:rPr>
              <w:t>5000万元～1亿元</w:t>
            </w:r>
          </w:p>
        </w:tc>
        <w:tc>
          <w:tcPr>
            <w:tcW w:w="1659" w:type="dxa"/>
          </w:tcPr>
          <w:p w14:paraId="2020938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0.25%                 </w:t>
            </w:r>
          </w:p>
        </w:tc>
        <w:tc>
          <w:tcPr>
            <w:tcW w:w="1532" w:type="dxa"/>
          </w:tcPr>
          <w:p w14:paraId="4E1B2239">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0.1%</w:t>
            </w:r>
          </w:p>
        </w:tc>
        <w:tc>
          <w:tcPr>
            <w:tcW w:w="1546" w:type="dxa"/>
          </w:tcPr>
          <w:p w14:paraId="7AFEA58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0.2%</w:t>
            </w:r>
          </w:p>
        </w:tc>
      </w:tr>
      <w:tr w14:paraId="09BD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183EF3B">
            <w:pPr>
              <w:spacing w:line="360" w:lineRule="auto"/>
              <w:rPr>
                <w:rFonts w:ascii="宋体" w:hAnsi="宋体" w:cs="宋体"/>
                <w:color w:val="auto"/>
                <w:sz w:val="24"/>
                <w:highlight w:val="none"/>
              </w:rPr>
            </w:pPr>
            <w:r>
              <w:rPr>
                <w:rFonts w:hint="eastAsia" w:ascii="宋体" w:hAnsi="宋体" w:cs="宋体"/>
                <w:color w:val="auto"/>
                <w:sz w:val="24"/>
                <w:highlight w:val="none"/>
              </w:rPr>
              <w:t>1～5亿元</w:t>
            </w:r>
          </w:p>
        </w:tc>
        <w:tc>
          <w:tcPr>
            <w:tcW w:w="1659" w:type="dxa"/>
          </w:tcPr>
          <w:p w14:paraId="2AD75D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0.05%</w:t>
            </w:r>
          </w:p>
        </w:tc>
        <w:tc>
          <w:tcPr>
            <w:tcW w:w="1532" w:type="dxa"/>
          </w:tcPr>
          <w:p w14:paraId="749398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0.05%</w:t>
            </w:r>
          </w:p>
        </w:tc>
        <w:tc>
          <w:tcPr>
            <w:tcW w:w="1546" w:type="dxa"/>
          </w:tcPr>
          <w:p w14:paraId="4D9515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0.05%</w:t>
            </w:r>
          </w:p>
        </w:tc>
      </w:tr>
      <w:tr w14:paraId="7FC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14C0506">
            <w:pPr>
              <w:spacing w:line="360" w:lineRule="auto"/>
              <w:rPr>
                <w:rFonts w:ascii="宋体" w:hAnsi="宋体" w:cs="宋体"/>
                <w:color w:val="auto"/>
                <w:sz w:val="24"/>
                <w:highlight w:val="none"/>
              </w:rPr>
            </w:pPr>
            <w:r>
              <w:rPr>
                <w:rFonts w:hint="eastAsia" w:ascii="宋体" w:hAnsi="宋体" w:cs="宋体"/>
                <w:color w:val="auto"/>
                <w:sz w:val="24"/>
                <w:highlight w:val="none"/>
              </w:rPr>
              <w:t>5～10亿元</w:t>
            </w:r>
          </w:p>
        </w:tc>
        <w:tc>
          <w:tcPr>
            <w:tcW w:w="1659" w:type="dxa"/>
          </w:tcPr>
          <w:p w14:paraId="40A6CC6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0.035%</w:t>
            </w:r>
          </w:p>
        </w:tc>
        <w:tc>
          <w:tcPr>
            <w:tcW w:w="1532" w:type="dxa"/>
          </w:tcPr>
          <w:p w14:paraId="57507B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0.035%</w:t>
            </w:r>
          </w:p>
        </w:tc>
        <w:tc>
          <w:tcPr>
            <w:tcW w:w="1546" w:type="dxa"/>
          </w:tcPr>
          <w:p w14:paraId="39C5078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0.035%</w:t>
            </w:r>
          </w:p>
        </w:tc>
      </w:tr>
      <w:tr w14:paraId="51F1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B73899">
            <w:pPr>
              <w:spacing w:line="360" w:lineRule="auto"/>
              <w:rPr>
                <w:rFonts w:ascii="宋体" w:hAnsi="宋体" w:cs="宋体"/>
                <w:color w:val="auto"/>
                <w:sz w:val="24"/>
                <w:highlight w:val="none"/>
              </w:rPr>
            </w:pPr>
            <w:r>
              <w:rPr>
                <w:rFonts w:hint="eastAsia" w:ascii="宋体" w:hAnsi="宋体" w:cs="宋体"/>
                <w:color w:val="auto"/>
                <w:sz w:val="24"/>
                <w:highlight w:val="none"/>
              </w:rPr>
              <w:t>10～50亿元</w:t>
            </w:r>
          </w:p>
        </w:tc>
        <w:tc>
          <w:tcPr>
            <w:tcW w:w="1659" w:type="dxa"/>
          </w:tcPr>
          <w:p w14:paraId="0C710BA5">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0.008%</w:t>
            </w:r>
          </w:p>
        </w:tc>
        <w:tc>
          <w:tcPr>
            <w:tcW w:w="1532" w:type="dxa"/>
          </w:tcPr>
          <w:p w14:paraId="2045DC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0.008%</w:t>
            </w:r>
          </w:p>
        </w:tc>
        <w:tc>
          <w:tcPr>
            <w:tcW w:w="1546" w:type="dxa"/>
          </w:tcPr>
          <w:p w14:paraId="223D63B1">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0.008%</w:t>
            </w:r>
          </w:p>
        </w:tc>
      </w:tr>
      <w:tr w14:paraId="121E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C0816A">
            <w:pPr>
              <w:spacing w:line="360" w:lineRule="auto"/>
              <w:rPr>
                <w:rFonts w:ascii="宋体" w:hAnsi="宋体" w:cs="宋体"/>
                <w:color w:val="auto"/>
                <w:sz w:val="24"/>
                <w:highlight w:val="none"/>
              </w:rPr>
            </w:pPr>
            <w:r>
              <w:rPr>
                <w:rFonts w:hint="eastAsia" w:ascii="宋体" w:hAnsi="宋体" w:cs="宋体"/>
                <w:color w:val="auto"/>
                <w:sz w:val="24"/>
                <w:highlight w:val="none"/>
              </w:rPr>
              <w:t>50～100亿元</w:t>
            </w:r>
          </w:p>
        </w:tc>
        <w:tc>
          <w:tcPr>
            <w:tcW w:w="1659" w:type="dxa"/>
          </w:tcPr>
          <w:p w14:paraId="171CD6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0.006%</w:t>
            </w:r>
          </w:p>
        </w:tc>
        <w:tc>
          <w:tcPr>
            <w:tcW w:w="1532" w:type="dxa"/>
          </w:tcPr>
          <w:p w14:paraId="314AB6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0.006%</w:t>
            </w:r>
          </w:p>
        </w:tc>
        <w:tc>
          <w:tcPr>
            <w:tcW w:w="1546" w:type="dxa"/>
          </w:tcPr>
          <w:p w14:paraId="101B732E">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0.006%</w:t>
            </w:r>
          </w:p>
        </w:tc>
      </w:tr>
      <w:tr w14:paraId="1407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7966AA">
            <w:pPr>
              <w:spacing w:line="360" w:lineRule="auto"/>
              <w:rPr>
                <w:rFonts w:ascii="宋体" w:hAnsi="宋体" w:cs="宋体"/>
                <w:color w:val="auto"/>
                <w:sz w:val="24"/>
                <w:highlight w:val="none"/>
              </w:rPr>
            </w:pPr>
            <w:r>
              <w:rPr>
                <w:rFonts w:hint="eastAsia" w:ascii="宋体" w:hAnsi="宋体" w:cs="宋体"/>
                <w:color w:val="auto"/>
                <w:sz w:val="24"/>
                <w:highlight w:val="none"/>
              </w:rPr>
              <w:t>100亿以上</w:t>
            </w:r>
          </w:p>
        </w:tc>
        <w:tc>
          <w:tcPr>
            <w:tcW w:w="1659" w:type="dxa"/>
          </w:tcPr>
          <w:p w14:paraId="63A6A4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0.004%</w:t>
            </w:r>
          </w:p>
        </w:tc>
        <w:tc>
          <w:tcPr>
            <w:tcW w:w="1532" w:type="dxa"/>
          </w:tcPr>
          <w:p w14:paraId="56CF97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0.004%</w:t>
            </w:r>
          </w:p>
        </w:tc>
        <w:tc>
          <w:tcPr>
            <w:tcW w:w="1546" w:type="dxa"/>
          </w:tcPr>
          <w:p w14:paraId="69445355">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0.004%</w:t>
            </w:r>
          </w:p>
        </w:tc>
      </w:tr>
    </w:tbl>
    <w:p w14:paraId="42D306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217B2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6F0CF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654C4E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例如：某服务采购代理业务成交金额或者暂定价为</w:t>
      </w:r>
      <w:r>
        <w:rPr>
          <w:rFonts w:hint="eastAsia" w:ascii="宋体" w:hAnsi="宋体" w:cs="宋体"/>
          <w:color w:val="auto"/>
          <w:sz w:val="24"/>
          <w:highlight w:val="none"/>
          <w:lang w:val="en-US" w:eastAsia="zh-CN"/>
        </w:rPr>
        <w:t>150</w:t>
      </w:r>
      <w:r>
        <w:rPr>
          <w:rFonts w:hint="eastAsia" w:ascii="宋体" w:hAnsi="宋体" w:cs="宋体"/>
          <w:color w:val="auto"/>
          <w:sz w:val="24"/>
          <w:highlight w:val="none"/>
        </w:rPr>
        <w:t>万元，计算采购代理收费额如下：</w:t>
      </w:r>
    </w:p>
    <w:p w14:paraId="4F3953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100万元×l.5％＝ 1.5万元</w:t>
      </w:r>
    </w:p>
    <w:p w14:paraId="6BF4B8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（150－100）万元×0.8％＝0.4万元</w:t>
      </w:r>
    </w:p>
    <w:p w14:paraId="3A0138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 ＋0.4＝ 1.9万元</w:t>
      </w:r>
    </w:p>
    <w:p w14:paraId="2C9BAA4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33.验收要求</w:t>
      </w:r>
    </w:p>
    <w:p w14:paraId="7FEE04D6">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w:t>
      </w:r>
    </w:p>
    <w:p w14:paraId="271172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6E8F58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34.1本磋商文件解释规则详见“供应商须知前附表”。</w:t>
      </w:r>
    </w:p>
    <w:p w14:paraId="1422A498">
      <w:pPr>
        <w:pStyle w:val="19"/>
        <w:spacing w:line="360" w:lineRule="auto"/>
        <w:ind w:firstLine="480" w:firstLineChars="200"/>
        <w:contextualSpacing/>
        <w:rPr>
          <w:rFonts w:hAnsi="宋体" w:cs="宋体"/>
          <w:color w:val="auto"/>
          <w:sz w:val="24"/>
          <w:highlight w:val="none"/>
        </w:rPr>
      </w:pPr>
      <w:r>
        <w:rPr>
          <w:rFonts w:hint="eastAsia" w:hAnsi="宋体" w:cs="宋体"/>
          <w:color w:val="auto"/>
          <w:sz w:val="24"/>
          <w:highlight w:val="none"/>
        </w:rPr>
        <w:t>34.2 其他事项详见“供应商须知前附表”。</w:t>
      </w:r>
    </w:p>
    <w:p w14:paraId="2575502C">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5DE099A0">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269283D">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依据本文件规定享受扶持政策获得政府采购合同的，小微企业不得将合同分包给大中型企业，中型企业不得将合同分包给大型企业。</w:t>
      </w:r>
      <w:r>
        <w:rPr>
          <w:rFonts w:hint="eastAsia" w:ascii="宋体" w:hAnsi="宋体" w:cs="宋体"/>
          <w:b/>
          <w:color w:val="auto"/>
          <w:sz w:val="24"/>
          <w:highlight w:val="none"/>
        </w:rPr>
        <w:br w:type="page"/>
      </w:r>
      <w:r>
        <w:rPr>
          <w:rFonts w:hint="eastAsia" w:ascii="宋体" w:hAnsi="宋体" w:cs="宋体"/>
          <w:bCs/>
          <w:color w:val="auto"/>
          <w:sz w:val="32"/>
          <w:szCs w:val="32"/>
          <w:highlight w:val="none"/>
        </w:rPr>
        <w:t>附件1：</w:t>
      </w:r>
    </w:p>
    <w:p w14:paraId="7C7D8595">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783105B8">
      <w:pPr>
        <w:widowControl/>
        <w:shd w:val="clear" w:color="auto" w:fill="FFFFFF"/>
        <w:spacing w:line="480" w:lineRule="atLeast"/>
        <w:jc w:val="center"/>
        <w:rPr>
          <w:rFonts w:ascii="宋体" w:hAnsi="宋体" w:cs="宋体"/>
          <w:color w:val="auto"/>
          <w:kern w:val="0"/>
          <w:sz w:val="32"/>
          <w:szCs w:val="32"/>
          <w:highlight w:val="none"/>
        </w:rPr>
      </w:pPr>
    </w:p>
    <w:p w14:paraId="44B43136">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A1C6D86">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3F8B12B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60602E4">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1FEAD51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A8054FE">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0A35E5B6">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903C86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7D76F9D">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029DC15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03311C0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E8CC79D">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C416C19">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5F70481">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97B858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73F955D">
            <w:pPr>
              <w:widowControl/>
              <w:spacing w:before="100" w:beforeAutospacing="1" w:after="100" w:afterAutospacing="1" w:line="240" w:lineRule="atLeast"/>
              <w:jc w:val="center"/>
              <w:rPr>
                <w:rFonts w:ascii="宋体" w:hAnsi="宋体" w:cs="宋体"/>
                <w:color w:val="auto"/>
                <w:kern w:val="0"/>
                <w:szCs w:val="21"/>
                <w:highlight w:val="none"/>
              </w:rPr>
            </w:pPr>
          </w:p>
        </w:tc>
      </w:tr>
      <w:tr w14:paraId="52BD785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4850C10">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DD902F6">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E5E387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9532CD0">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BE73EC3">
            <w:pPr>
              <w:widowControl/>
              <w:spacing w:before="100" w:beforeAutospacing="1" w:after="100" w:afterAutospacing="1" w:line="240" w:lineRule="atLeast"/>
              <w:jc w:val="center"/>
              <w:rPr>
                <w:rFonts w:ascii="宋体" w:hAnsi="宋体" w:cs="宋体"/>
                <w:color w:val="auto"/>
                <w:kern w:val="0"/>
                <w:szCs w:val="21"/>
                <w:highlight w:val="none"/>
              </w:rPr>
            </w:pPr>
          </w:p>
        </w:tc>
      </w:tr>
      <w:tr w14:paraId="413CA61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3B969A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8B6C5BE">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20D4886">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CF3C0F0">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610DFFA">
            <w:pPr>
              <w:widowControl/>
              <w:spacing w:before="100" w:beforeAutospacing="1" w:after="100" w:afterAutospacing="1" w:line="240" w:lineRule="atLeast"/>
              <w:jc w:val="center"/>
              <w:rPr>
                <w:rFonts w:ascii="宋体" w:hAnsi="宋体" w:cs="宋体"/>
                <w:color w:val="auto"/>
                <w:kern w:val="0"/>
                <w:szCs w:val="21"/>
                <w:highlight w:val="none"/>
              </w:rPr>
            </w:pPr>
          </w:p>
        </w:tc>
      </w:tr>
      <w:tr w14:paraId="0596DC18">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390160E">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093EDA39">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D4D5536">
            <w:pPr>
              <w:widowControl/>
              <w:spacing w:before="100" w:beforeAutospacing="1" w:after="100" w:afterAutospacing="1" w:line="240" w:lineRule="atLeast"/>
              <w:jc w:val="center"/>
              <w:rPr>
                <w:rFonts w:ascii="宋体" w:hAnsi="宋体" w:cs="宋体"/>
                <w:color w:val="auto"/>
                <w:kern w:val="0"/>
                <w:szCs w:val="21"/>
                <w:highlight w:val="none"/>
              </w:rPr>
            </w:pPr>
          </w:p>
        </w:tc>
      </w:tr>
      <w:tr w14:paraId="108E0FC1">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2128FC96">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1ABE9EA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BC5153D">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2A757C57">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9E73456">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8D90A63">
            <w:pPr>
              <w:widowControl/>
              <w:spacing w:before="100" w:beforeAutospacing="1" w:after="100" w:afterAutospacing="1" w:line="240" w:lineRule="atLeast"/>
              <w:jc w:val="center"/>
              <w:rPr>
                <w:rFonts w:ascii="宋体" w:hAnsi="宋体" w:cs="宋体"/>
                <w:color w:val="auto"/>
                <w:kern w:val="0"/>
                <w:szCs w:val="21"/>
                <w:highlight w:val="none"/>
              </w:rPr>
            </w:pPr>
          </w:p>
        </w:tc>
      </w:tr>
      <w:tr w14:paraId="13CF3CF3">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16A67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9DCDF34">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B83C81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27BD5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9FC3D5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23E4BA16">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D4EC550">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7235181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66E2EB3">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49E75BB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509883">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49DBBA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785BB3">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58876E6F">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17BE150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39A17E2A">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49E1B809">
            <w:pPr>
              <w:widowControl/>
              <w:spacing w:before="100" w:beforeAutospacing="1" w:after="100" w:afterAutospacing="1" w:line="320" w:lineRule="atLeast"/>
              <w:jc w:val="left"/>
              <w:rPr>
                <w:rFonts w:ascii="宋体" w:hAnsi="宋体" w:cs="宋体"/>
                <w:color w:val="auto"/>
                <w:kern w:val="0"/>
                <w:szCs w:val="21"/>
                <w:highlight w:val="none"/>
              </w:rPr>
            </w:pPr>
          </w:p>
          <w:p w14:paraId="519EF106">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61A521F1">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081B668B">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40CC0CD8">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24D8B2A8">
      <w:pPr>
        <w:pStyle w:val="4"/>
        <w:numPr>
          <w:ilvl w:val="0"/>
          <w:numId w:val="3"/>
        </w:numPr>
        <w:jc w:val="center"/>
        <w:rPr>
          <w:rFonts w:ascii="宋体" w:hAnsi="宋体" w:cs="宋体"/>
          <w:color w:val="auto"/>
          <w:highlight w:val="none"/>
        </w:rPr>
      </w:pPr>
      <w:r>
        <w:rPr>
          <w:rFonts w:hint="eastAsia" w:ascii="宋体" w:hAnsi="宋体" w:cs="宋体"/>
          <w:color w:val="auto"/>
          <w:highlight w:val="none"/>
        </w:rPr>
        <w:br w:type="page"/>
      </w:r>
      <w:bookmarkStart w:id="67" w:name="_Toc30239"/>
      <w:r>
        <w:rPr>
          <w:rFonts w:hint="eastAsia" w:ascii="宋体" w:hAnsi="宋体" w:cs="宋体"/>
          <w:color w:val="auto"/>
          <w:highlight w:val="none"/>
        </w:rPr>
        <w:t>项目需求和说明</w:t>
      </w:r>
      <w:bookmarkEnd w:id="67"/>
    </w:p>
    <w:p w14:paraId="22E833AB">
      <w:pPr>
        <w:spacing w:line="440" w:lineRule="exact"/>
        <w:jc w:val="left"/>
        <w:rPr>
          <w:rFonts w:ascii="宋体" w:hAnsi="宋体" w:cs="宋体"/>
          <w:color w:val="auto"/>
          <w:sz w:val="24"/>
          <w:highlight w:val="none"/>
        </w:rPr>
      </w:pPr>
      <w:r>
        <w:rPr>
          <w:rFonts w:hint="eastAsia" w:ascii="宋体" w:hAnsi="宋体" w:cs="宋体"/>
          <w:color w:val="auto"/>
          <w:sz w:val="24"/>
          <w:highlight w:val="none"/>
        </w:rPr>
        <w:t>说明：</w:t>
      </w:r>
    </w:p>
    <w:p w14:paraId="78180506">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1.为落实政府采购政策需满足的要求（根据项目实际情况填写内容）</w:t>
      </w:r>
    </w:p>
    <w:p w14:paraId="2E186796">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（1）本竞争性磋商采购文件所称中小企业必须符合《政府采购促进中小企业发展管理办法》（财库〔2020〕46号）的规定。</w:t>
      </w:r>
    </w:p>
    <w:p w14:paraId="2DD4AEC6">
      <w:pPr>
        <w:tabs>
          <w:tab w:val="left" w:pos="180"/>
          <w:tab w:val="left" w:pos="1620"/>
        </w:tabs>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596E179C">
      <w:pPr>
        <w:spacing w:line="44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2.“实质性要求”是指采购需求中带“▲”的条款或者不能负偏离的条款或者已经指明不满足按响应文件作无效处理的条款。</w:t>
      </w:r>
    </w:p>
    <w:p w14:paraId="16719725">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3.采购需求中</w:t>
      </w:r>
      <w:r>
        <w:rPr>
          <w:rFonts w:hint="eastAsia" w:ascii="宋体" w:hAnsi="宋体" w:cs="宋体"/>
          <w:color w:val="auto"/>
          <w:sz w:val="24"/>
          <w:highlight w:val="none"/>
          <w:lang w:eastAsia="zh-CN"/>
        </w:rPr>
        <w:t>如</w:t>
      </w:r>
      <w:r>
        <w:rPr>
          <w:rFonts w:hint="eastAsia" w:ascii="宋体" w:hAnsi="宋体" w:cs="宋体"/>
          <w:color w:val="auto"/>
          <w:sz w:val="24"/>
          <w:highlight w:val="none"/>
        </w:rPr>
        <w:t>出现的品牌、型号或者生产供应商仅起参考作用，不属于指定品牌、型号或者生产供应商的情形。供应商可参照或者选用其他相当的品牌、型号或者生产供应商替代。</w:t>
      </w:r>
    </w:p>
    <w:p w14:paraId="531FAB4A">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.供应商必须自行为其竞标产品侵犯他人的知识产权或者专利成果的行为承担相应法律责任。</w:t>
      </w:r>
    </w:p>
    <w:p w14:paraId="4931E510">
      <w:pPr>
        <w:spacing w:line="440" w:lineRule="exact"/>
        <w:ind w:firstLine="484" w:firstLineChars="20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5.“分标”等同于“标项”，“采购文件”等同于“招标文件”。</w:t>
      </w:r>
    </w:p>
    <w:p w14:paraId="71BBECE8">
      <w:pPr>
        <w:spacing w:line="440" w:lineRule="exact"/>
        <w:ind w:firstLine="484" w:firstLineChars="20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6.本项目对应的中小企业划分标准所属行业名称：</w:t>
      </w:r>
      <w:r>
        <w:rPr>
          <w:rFonts w:hint="eastAsia" w:ascii="宋体" w:hAnsi="宋体" w:eastAsia="宋体" w:cs="宋体"/>
          <w:color w:val="auto"/>
          <w:sz w:val="24"/>
          <w:highlight w:val="none"/>
          <w:u w:val="single"/>
          <w:lang w:val="en-US" w:eastAsia="zh-CN"/>
        </w:rPr>
        <w:t>其他未列明行业</w:t>
      </w:r>
      <w:r>
        <w:rPr>
          <w:rFonts w:hint="eastAsia" w:ascii="宋体" w:hAnsi="宋体" w:eastAsia="宋体" w:cs="宋体"/>
          <w:color w:val="auto"/>
          <w:sz w:val="24"/>
          <w:highlight w:val="none"/>
          <w:lang w:val="en-US" w:eastAsia="zh-CN"/>
        </w:rPr>
        <w:t>。</w:t>
      </w:r>
    </w:p>
    <w:p w14:paraId="3BFA46D4">
      <w:pPr>
        <w:tabs>
          <w:tab w:val="left" w:pos="180"/>
          <w:tab w:val="left" w:pos="1620"/>
        </w:tabs>
        <w:spacing w:line="360" w:lineRule="auto"/>
        <w:ind w:firstLine="422" w:firstLineChars="200"/>
        <w:jc w:val="center"/>
        <w:rPr>
          <w:rFonts w:ascii="宋体" w:hAnsi="宋体" w:cs="宋体"/>
          <w:b/>
          <w:bCs/>
          <w:color w:val="auto"/>
          <w:sz w:val="24"/>
          <w:highlight w:val="none"/>
        </w:rPr>
      </w:pPr>
      <w:r>
        <w:rPr>
          <w:rFonts w:hint="eastAsia" w:ascii="宋体" w:hAnsi="宋体" w:cs="宋体"/>
          <w:b/>
          <w:bCs/>
          <w:color w:val="auto"/>
          <w:szCs w:val="21"/>
          <w:highlight w:val="none"/>
        </w:rPr>
        <w:br w:type="page"/>
      </w:r>
    </w:p>
    <w:tbl>
      <w:tblPr>
        <w:tblStyle w:val="3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98"/>
        <w:gridCol w:w="576"/>
        <w:gridCol w:w="624"/>
        <w:gridCol w:w="6023"/>
        <w:gridCol w:w="710"/>
      </w:tblGrid>
      <w:tr w14:paraId="2928C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14:paraId="5F462343">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4F5D2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0" w:type="dxa"/>
            <w:gridSpan w:val="2"/>
            <w:tcBorders>
              <w:top w:val="single" w:color="auto" w:sz="4" w:space="0"/>
              <w:left w:val="single" w:color="auto" w:sz="4" w:space="0"/>
              <w:bottom w:val="nil"/>
              <w:right w:val="single" w:color="auto" w:sz="4" w:space="0"/>
            </w:tcBorders>
            <w:noWrap w:val="0"/>
            <w:vAlign w:val="center"/>
          </w:tcPr>
          <w:p w14:paraId="5F33F5C7">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标段</w:t>
            </w:r>
          </w:p>
        </w:tc>
        <w:tc>
          <w:tcPr>
            <w:tcW w:w="9031" w:type="dxa"/>
            <w:gridSpan w:val="5"/>
            <w:tcBorders>
              <w:top w:val="single" w:color="auto" w:sz="4" w:space="0"/>
              <w:left w:val="single" w:color="auto" w:sz="4" w:space="0"/>
              <w:bottom w:val="nil"/>
              <w:right w:val="single" w:color="auto" w:sz="4" w:space="0"/>
            </w:tcBorders>
            <w:noWrap w:val="0"/>
            <w:vAlign w:val="center"/>
          </w:tcPr>
          <w:p w14:paraId="372B798E">
            <w:pPr>
              <w:spacing w:line="320" w:lineRule="exact"/>
              <w:jc w:val="left"/>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eastAsia="zh-CN"/>
              </w:rPr>
              <w:t>标项一</w:t>
            </w:r>
          </w:p>
        </w:tc>
      </w:tr>
      <w:tr w14:paraId="0C574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top"/>
          </w:tcPr>
          <w:p w14:paraId="342561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87CEB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55851D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2D2D731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207EE7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023" w:type="dxa"/>
            <w:tcBorders>
              <w:top w:val="single" w:color="auto" w:sz="4" w:space="0"/>
              <w:left w:val="single" w:color="auto" w:sz="4" w:space="0"/>
              <w:bottom w:val="single" w:color="auto" w:sz="4" w:space="0"/>
              <w:right w:val="single" w:color="auto" w:sz="4" w:space="0"/>
            </w:tcBorders>
            <w:noWrap w:val="0"/>
            <w:vAlign w:val="center"/>
          </w:tcPr>
          <w:p w14:paraId="72CF31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182B4A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14:paraId="42E6C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632AFC5C">
            <w:pPr>
              <w:widowControl/>
              <w:jc w:val="left"/>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F233F88">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59E4E5CF">
            <w:pPr>
              <w:spacing w:line="2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右江区隐形耕地流出排查技术服务项目</w:t>
            </w:r>
            <w:r>
              <w:rPr>
                <w:rFonts w:hint="eastAsia" w:ascii="宋体" w:hAnsi="宋体" w:eastAsia="宋体" w:cs="宋体"/>
                <w:color w:val="auto"/>
                <w:sz w:val="21"/>
                <w:szCs w:val="21"/>
                <w:highlight w:val="none"/>
                <w:lang w:val="en-US" w:eastAsia="zh-CN"/>
              </w:rPr>
              <w:t>A标</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3F585A93">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115B971A">
            <w:pPr>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6023" w:type="dxa"/>
            <w:tcBorders>
              <w:top w:val="single" w:color="auto" w:sz="4" w:space="0"/>
              <w:left w:val="single" w:color="auto" w:sz="4" w:space="0"/>
              <w:bottom w:val="single" w:color="auto" w:sz="4" w:space="0"/>
              <w:right w:val="single" w:color="auto" w:sz="4" w:space="0"/>
            </w:tcBorders>
            <w:noWrap w:val="0"/>
            <w:vAlign w:val="top"/>
          </w:tcPr>
          <w:p w14:paraId="4DF08DC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一、工作目标</w:t>
            </w:r>
          </w:p>
          <w:p w14:paraId="7EEB9E6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（一）2021年度耕地流出问题排查整改</w:t>
            </w:r>
          </w:p>
          <w:p w14:paraId="75A8882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关于明确2021年度耕地流出问题排查整改成果提交要求的通知》（自然资调查函〔2021〕32号）和《广西壮族自治区自然资源厅办公室关于转发2021年度耕地流出问题排查整改方案的通知》的文件要求，在“国土调查云”平台上逐图斑逐地块分类排查整改耕地流出问题，分别按照耕地流向其他农用地排查整改要求以及耕地流向建设用地排查整改要求进行严肃整改，符合要求无需整改的，逐地块提交照片、影像等举证材料。</w:t>
            </w:r>
          </w:p>
          <w:p w14:paraId="53C96BA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（二）县（区）级年度耕地“进出平衡”方案</w:t>
            </w:r>
          </w:p>
          <w:p w14:paraId="518558E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根据《自然资源部 农业农村部 国家林业和草原局关于严格耕地用途管制有关问题的通知》（自然资发〔2021〕166号）、《自然资源部办公厅 国家林业和草原局办公室关于印发&lt;2021年度耕地流出问题排查整改方案&gt;的通知》（自然资办发〔2022〕22号）和《广西壮族自治区自然资源厅 广西壮族自治区农业农村厅 广西壮族自治区林业局关于严格耕地用途管制的实施意见》（桂自然资发〔2022〕24号）的文件精神，要求对耕地转为其他农用地及农业设施建设用地实行年度“进出”平衡，除国家安排的生态退耕、自然灾害损毁难以复耕、河湖水面自然扩大造成耕地永久淹没等情形外，应当通过统筹林地、草地、园地等其他农用地及农业设施建设用地整治为耕地等方式补足同等数量、质量的耕地，严肃处置违法违规占用耕地问题，加强对耕地的保护，以确保长期稳定利用的耕地不再减少。2021年起，严控新增耕地减少的发生，全面实行耕地年度“进出平衡”。</w:t>
            </w:r>
          </w:p>
          <w:p w14:paraId="1552039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耕地的“进出平衡”仅适用于一般耕地（即永久基本农田以外的耕地）确需转为林地、草地、园地等其他农用地及农业设施建设用地的情况，通过收集耕地进出平衡项目的相关资料及第三次右江区国土调查成果、2020年国土变更调查、2021年国土变更调查、耕地资源质量分类以及生态保护红线等资料，科学分析耕地流入与耕地流出情况，实行以县（区）域自行平衡为主、市域或自治区范围内统筹落实为辅的年度耕地进出平衡方案。</w:t>
            </w:r>
          </w:p>
          <w:p w14:paraId="35F9F3F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依据自然资源部和自治区自然资源厅相关文件的要求，编制右江区2021年度和2022年度的耕地进出平衡方案，统筹右江区农用地内的耕地进出平衡。</w:t>
            </w:r>
          </w:p>
          <w:p w14:paraId="09A4100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二、项目区范围</w:t>
            </w:r>
          </w:p>
          <w:p w14:paraId="4BB1388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调查范围为四塘镇、百城街道、龙景街道、永乐镇、汪甸瑶族乡，排查图斑数量共6468个。充分运用“三调”和上一年度国土变更调查等成果，重点核实调查范围内的“耕地拟流出”和“耕地拟流入”地块的位置、面积、现状、拟恢复耕地地类、耕地等别等情况，做好年度进出平衡耕地流转情况工作。</w:t>
            </w:r>
          </w:p>
          <w:p w14:paraId="7E2F707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三、工作依据</w:t>
            </w:r>
          </w:p>
          <w:p w14:paraId="1A7C7CC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（一）法律法规</w:t>
            </w:r>
          </w:p>
          <w:p w14:paraId="700782B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（1）《中华人民共和国土地管理法》（2019年修订）</w:t>
            </w:r>
          </w:p>
          <w:p w14:paraId="0B7C65C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（2）《中华人民共和国城乡规划法》（2019年修订）</w:t>
            </w:r>
          </w:p>
          <w:p w14:paraId="191F05C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（3）《建设项目环境保护管理条例》（2017年修订）</w:t>
            </w:r>
          </w:p>
          <w:p w14:paraId="71D5788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（4）《中华人民共和国农业法》（2012年修正）</w:t>
            </w:r>
          </w:p>
          <w:p w14:paraId="67C97B1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（二）政策文件</w:t>
            </w:r>
          </w:p>
          <w:p w14:paraId="2FDE7A5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（1）《自然资源部 农业农村部关于加强和改进永久基本农田保护工作的通知》（自然资规〔2019〕1号）</w:t>
            </w:r>
          </w:p>
          <w:p w14:paraId="61848A0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（2）《自然资源部农业农村部国家林业和草原局关于严格耕地用途管制有关问题的通知》（自然资发〔2021〕166号）</w:t>
            </w:r>
          </w:p>
          <w:p w14:paraId="79B8D30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（3）《广西壮族自治区自然资源厅关于印发进一步做好补充耕地项目新增耕地核定和报备入库有关事项的通知》（桂自然资发〔2020〕56号）</w:t>
            </w:r>
          </w:p>
          <w:p w14:paraId="0819459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（4）《广西壮族自治区田长制办公室关于开展耕地“非农化”图斑核查处理工作的通知》（桂田长办〔2022〕6号）</w:t>
            </w:r>
          </w:p>
          <w:p w14:paraId="16EC4AC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（5）《广西壮族自治区自治区自然资源厅农业农村厅林业局关于严格耕地用途管制的实施意见》（桂自然资发〔2022〕24号）</w:t>
            </w:r>
          </w:p>
          <w:p w14:paraId="4DBB919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（6）《广西壮族自治区自然资源厅办公室关于进一步核实整改2021年违法违规占用耕地重点问题的通知》（桂自然资发〔2022〕236号）</w:t>
            </w:r>
          </w:p>
          <w:p w14:paraId="5508066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（7）《广西壮族自治区自然资源厅办公室关于“三调”成果启用后耕地占补平衡有关事项的通知》（桂自然资发〔2022〕39号）</w:t>
            </w:r>
          </w:p>
          <w:p w14:paraId="37A013B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（8）《自然资源部办公厅国家林业和草原局办公室关于印发&lt;2021年度耕地流出问题排查整改方案&gt;的通知》（自然资办发〔2022〕22号）</w:t>
            </w:r>
          </w:p>
          <w:p w14:paraId="3E8AA8E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（9）《国务院办公厅关于防止耕地“非粮化”稳定粮食生产的意见》（国办发〔2020〕44号）</w:t>
            </w:r>
          </w:p>
          <w:p w14:paraId="72F2616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（10）《关于明确2021年度耕地流出问题排查整改成果提交要求的通知》（自然资调查函〔2021〕32号）</w:t>
            </w:r>
          </w:p>
          <w:p w14:paraId="287F0F8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（11）《广西壮族自治区自然资源厅办公室关于转发2021年度耕地流出问题排查整改方案的通知》</w:t>
            </w:r>
          </w:p>
          <w:p w14:paraId="206F8D5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（12）《广西壮族自治区自然资源厅关于进一步做好2021年度国士变更调查成果技术性整改工作的通知》（桂自然资办〔2022〕273号）</w:t>
            </w:r>
          </w:p>
          <w:p w14:paraId="1E90ECB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（三）其他依据</w:t>
            </w:r>
          </w:p>
          <w:p w14:paraId="06716AB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（1）《农用地定级规程》（GB/T28405-2012）</w:t>
            </w:r>
          </w:p>
          <w:p w14:paraId="728C512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（2）《农用地质量分等规程》（GB/T 28407-2012）</w:t>
            </w:r>
          </w:p>
          <w:p w14:paraId="75BEB3B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（3）《土地开发整理项目规划设计规范》（TD/T1012-2016）</w:t>
            </w:r>
          </w:p>
          <w:p w14:paraId="6260DCF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（4）《土地利用现状分类》（GB/T 21010-2017）</w:t>
            </w:r>
          </w:p>
          <w:p w14:paraId="61C9653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（5）《第三次全国国土调查技术规程》（TD/T 1055-2019）</w:t>
            </w:r>
          </w:p>
          <w:p w14:paraId="144BCE3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（6）《右江区全域永久基本农田划定方案》（2017年）</w:t>
            </w:r>
          </w:p>
          <w:p w14:paraId="7934DC9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（7）《右江区永久基本农田核实整改补足方案》（2022年）</w:t>
            </w:r>
          </w:p>
          <w:p w14:paraId="422341F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（8）《右江区国土空间总体规划（2020-2035年）》</w:t>
            </w:r>
          </w:p>
          <w:p w14:paraId="34950F7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（9）《右江区生态保护红线和永久基本农田保护研究》</w:t>
            </w:r>
          </w:p>
          <w:p w14:paraId="672B33D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四、工作内容</w:t>
            </w:r>
          </w:p>
          <w:p w14:paraId="4EBAC30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（一）2021年度耕地流出问题排查整改方案</w:t>
            </w:r>
          </w:p>
          <w:p w14:paraId="009EB08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1、“国土调查云”平台图斑核实</w:t>
            </w:r>
          </w:p>
          <w:p w14:paraId="25C7813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国土调查云平台上逐图斑逐地块分类排查整改耕地流出问题，符合要求无需整改的，逐地块提交照片、影像等举证材料。整改到位的图斑，补充写入2021年度国土变更调查更新数据包，形成包含整改成果的2021年度国土变更调查更新数据包重新报部。不符合法律法规及相关政策要求的，应限期整改到位，整改不到位的，按实地现状纳入变更,并单独标识，继续整改。在排查整改工作中，要结合实际、周密部署，做好政策解释工作，积极稳妥推进，防止简单化、“一刀切”，防止损害群众利益、防止造成社会负面影响。</w:t>
            </w:r>
          </w:p>
          <w:p w14:paraId="29CB3E3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2、核定排查整改结果</w:t>
            </w:r>
          </w:p>
          <w:p w14:paraId="2B5DF33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上报的整改成果进行全面核实，确认整改到位的问题，协助国土变更编制单位写入2021年度国土变更调查更新数据包，形成包含整改成果的2021年度国土变更调查更新数据包重新报部，包括数据库成果、表格数据和举证数据包。</w:t>
            </w:r>
          </w:p>
          <w:p w14:paraId="5F626B8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（二）县（区）级年度耕地“进出平衡”方案</w:t>
            </w:r>
          </w:p>
          <w:p w14:paraId="4F0998F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1、年度“耕地流出”情况</w:t>
            </w:r>
          </w:p>
          <w:p w14:paraId="00DE56E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耕地流出”地块原则上不得转为建设用地和未利用地，耕地流出明确需落实耕地进出平衡的情形与不得纳入“耕地流出”范围的情形，分析右江区内各乡镇耕地流出图斑情况，涉及主要项目及规模，流出主体（权属）、权利人意见情况以及流出后用途等意见，分析耕地流出的合理性及必要性。“耕地流出”应优先选择不稳定利用、质量较低、零星分散、不宜集中连片耕作管护的耕地，原则上集中连片的优质耕地（尤其是高标准农田）不予转出。</w:t>
            </w:r>
          </w:p>
          <w:p w14:paraId="2E16B89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2、年度“耕地流入”情况</w:t>
            </w:r>
          </w:p>
          <w:p w14:paraId="0B81FFA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纳入“耕地流入”范围的包括但不局限于：“二调”为耕地（不含可调整地类）、但“三调”标注属性为即可恢复和工程恢复的林地、园地等其他农用地以及农业设施建设用地。“耕地流入”应遵循“集中连片、质量相当、可长期稳定利用”的原则，明确耕地流入允许转进条件与不得转进的情形，分析拟复耕的耕地地类及等别、实施方式等。分析耕地流入的可行性和合规性，确保耕地流入后更集中连片，质量相当。</w:t>
            </w:r>
          </w:p>
          <w:p w14:paraId="53478BB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3、耕地“进出平衡”情况分析</w:t>
            </w:r>
          </w:p>
          <w:p w14:paraId="5034D0D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分析耕地流入和耕地流出的耕地数量、质量、布局等情况，分析年度耕地“进出平衡”调整是否合理性，是否符合“以进定出、先进后出、进优出劣”的要求等；是否能完成年度耕地进出平衡。</w:t>
            </w:r>
          </w:p>
          <w:p w14:paraId="5354CC1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4、资金来源</w:t>
            </w:r>
          </w:p>
          <w:p w14:paraId="305182F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测算年度“耕地流入”工程实施费用，建立政府、农民、企业和社会议题的资金筹集渠道。</w:t>
            </w:r>
          </w:p>
          <w:p w14:paraId="716D78E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5、时序安排</w:t>
            </w:r>
          </w:p>
          <w:p w14:paraId="09F8332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明确各乡镇“耕地流入”和“耕地流出”的具体时序安排，包括项目规模、实施进度与布局情况。</w:t>
            </w:r>
          </w:p>
          <w:p w14:paraId="09C2F59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6、效益分析</w:t>
            </w:r>
          </w:p>
          <w:p w14:paraId="46B22E7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根据方案目标任务、涉及的耕地流入流出情况等，合理分析方案实施的生态效益、社会效益和经济效益。</w:t>
            </w:r>
          </w:p>
          <w:p w14:paraId="76E3549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7、数据库建设</w:t>
            </w:r>
          </w:p>
          <w:p w14:paraId="51838CB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做好右江区年度耕地进出平衡方案的数据库。</w:t>
            </w:r>
          </w:p>
          <w:p w14:paraId="0FECC7F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五、提交成果时间要求</w:t>
            </w:r>
          </w:p>
          <w:p w14:paraId="5BC3073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（一）时间要求</w:t>
            </w:r>
          </w:p>
          <w:p w14:paraId="65058EE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合同签订之日起至30天内提交成果。</w:t>
            </w:r>
          </w:p>
          <w:p w14:paraId="5F42954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（二）成果要求</w:t>
            </w:r>
          </w:p>
          <w:p w14:paraId="26A191E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1、报告文档</w:t>
            </w:r>
          </w:p>
          <w:p w14:paraId="1A7DC14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（1）《右江区2021年度耕地“进出平衡”方案》</w:t>
            </w:r>
          </w:p>
          <w:p w14:paraId="6A3EE40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（2）《右江区2022年度耕地“进出平衡”方案》</w:t>
            </w:r>
          </w:p>
          <w:p w14:paraId="17DDB30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2、数据库成果</w:t>
            </w:r>
          </w:p>
          <w:p w14:paraId="3ABFB38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（1）《右江区2021年度耕地“进出平衡”方案》的数据库</w:t>
            </w:r>
          </w:p>
          <w:p w14:paraId="12BD6D6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（2）《右江区2022年度耕地“进出平衡”方案》的数据库</w:t>
            </w:r>
          </w:p>
          <w:p w14:paraId="15F2160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3、图件</w:t>
            </w:r>
          </w:p>
          <w:p w14:paraId="60D8B38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（1）右江区2021年度耕地“进出平衡”地块示意图</w:t>
            </w:r>
          </w:p>
          <w:p w14:paraId="64DE872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（2）右江区2022年度耕地“进出平衡”地块示意图</w:t>
            </w:r>
          </w:p>
          <w:p w14:paraId="7DE131C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4、表格成果</w:t>
            </w:r>
          </w:p>
          <w:p w14:paraId="69250A6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（1）右江区2021年度耕地拟流出情况表</w:t>
            </w:r>
          </w:p>
          <w:p w14:paraId="218203C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（2）右江区2021年度耕地拟流入情况表</w:t>
            </w:r>
          </w:p>
          <w:p w14:paraId="5669BDB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（3）右江区2021年度耕地“进出平衡”情况表</w:t>
            </w:r>
          </w:p>
          <w:p w14:paraId="42C2761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（4）右江区2022年度耕地拟流出情况表</w:t>
            </w:r>
          </w:p>
          <w:p w14:paraId="436579C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（5）右江区2022年度耕地拟流入情况表</w:t>
            </w:r>
          </w:p>
          <w:p w14:paraId="7B4D242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（6）右江区2022年度耕地“进出平衡”情况表</w:t>
            </w:r>
          </w:p>
          <w:p w14:paraId="1B1C831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二、服务期及地点：</w:t>
            </w:r>
          </w:p>
          <w:p w14:paraId="13C0D36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合同签订之日起至30天内提交成果</w:t>
            </w:r>
            <w:r>
              <w:rPr>
                <w:rFonts w:hint="eastAsia" w:ascii="宋体" w:hAnsi="宋体" w:eastAsia="宋体" w:cs="宋体"/>
                <w:color w:val="auto"/>
                <w:sz w:val="21"/>
                <w:szCs w:val="21"/>
                <w:highlight w:val="none"/>
                <w:lang w:val="en-US" w:eastAsia="zh-CN"/>
              </w:rPr>
              <w:t>。</w:t>
            </w:r>
          </w:p>
          <w:p w14:paraId="0CAE0D2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2、交付地点：采购人指定地点。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118D244C">
            <w:pPr>
              <w:spacing w:line="260" w:lineRule="exact"/>
              <w:jc w:val="center"/>
              <w:rPr>
                <w:rFonts w:hint="eastAsia" w:ascii="宋体" w:hAnsi="宋体" w:eastAsia="宋体" w:cs="宋体"/>
                <w:b/>
                <w:bCs/>
                <w:color w:val="auto"/>
                <w:szCs w:val="21"/>
                <w:highlight w:val="none"/>
                <w:lang w:val="en-US" w:eastAsia="zh-CN"/>
              </w:rPr>
            </w:pPr>
          </w:p>
        </w:tc>
      </w:tr>
      <w:tr w14:paraId="35476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90" w:type="dxa"/>
            <w:gridSpan w:val="2"/>
            <w:tcBorders>
              <w:top w:val="single" w:color="auto" w:sz="4" w:space="0"/>
              <w:left w:val="single" w:color="auto" w:sz="4" w:space="0"/>
              <w:bottom w:val="single" w:color="auto" w:sz="4" w:space="0"/>
              <w:right w:val="single" w:color="auto" w:sz="4" w:space="0"/>
            </w:tcBorders>
            <w:noWrap w:val="0"/>
            <w:vAlign w:val="center"/>
          </w:tcPr>
          <w:p w14:paraId="559B50D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标段</w:t>
            </w:r>
          </w:p>
        </w:tc>
        <w:tc>
          <w:tcPr>
            <w:tcW w:w="9031" w:type="dxa"/>
            <w:gridSpan w:val="5"/>
            <w:tcBorders>
              <w:top w:val="single" w:color="auto" w:sz="4" w:space="0"/>
              <w:left w:val="single" w:color="auto" w:sz="4" w:space="0"/>
              <w:bottom w:val="single" w:color="auto" w:sz="4" w:space="0"/>
              <w:right w:val="single" w:color="auto" w:sz="4" w:space="0"/>
            </w:tcBorders>
            <w:noWrap w:val="0"/>
            <w:vAlign w:val="center"/>
          </w:tcPr>
          <w:p w14:paraId="795CBD1B">
            <w:pPr>
              <w:spacing w:line="32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8"/>
                <w:highlight w:val="none"/>
                <w:lang w:eastAsia="zh-CN"/>
              </w:rPr>
              <w:t>标项二</w:t>
            </w:r>
          </w:p>
        </w:tc>
      </w:tr>
      <w:tr w14:paraId="58ADD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49ADA8DE">
            <w:pPr>
              <w:widowControl/>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noWrap w:val="0"/>
            <w:vAlign w:val="center"/>
          </w:tcPr>
          <w:p w14:paraId="0A7A96DE">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序号</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08CF600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采购服务名称</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0B27638D">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单位</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7C2CCCF8">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数量</w:t>
            </w:r>
          </w:p>
        </w:tc>
        <w:tc>
          <w:tcPr>
            <w:tcW w:w="6023" w:type="dxa"/>
            <w:tcBorders>
              <w:top w:val="single" w:color="auto" w:sz="4" w:space="0"/>
              <w:left w:val="single" w:color="auto" w:sz="4" w:space="0"/>
              <w:bottom w:val="single" w:color="auto" w:sz="4" w:space="0"/>
              <w:right w:val="single" w:color="auto" w:sz="4" w:space="0"/>
            </w:tcBorders>
            <w:noWrap w:val="0"/>
            <w:vAlign w:val="center"/>
          </w:tcPr>
          <w:p w14:paraId="36350F47">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服务参数</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1C1D2A2">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tc>
      </w:tr>
      <w:tr w14:paraId="7DAD4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0AC2B0F9">
            <w:pPr>
              <w:widowControl/>
              <w:jc w:val="left"/>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F237474">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0D277015">
            <w:pPr>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右江区隐形耕地流出排查技术服务项目</w:t>
            </w:r>
            <w:r>
              <w:rPr>
                <w:rFonts w:hint="eastAsia" w:ascii="宋体" w:hAnsi="宋体" w:eastAsia="宋体" w:cs="宋体"/>
                <w:color w:val="auto"/>
                <w:sz w:val="21"/>
                <w:szCs w:val="21"/>
                <w:highlight w:val="none"/>
                <w:lang w:val="en-US" w:eastAsia="zh-CN"/>
              </w:rPr>
              <w:t>B标</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6ECAEC09">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3A9CA422">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23" w:type="dxa"/>
            <w:tcBorders>
              <w:top w:val="single" w:color="auto" w:sz="4" w:space="0"/>
              <w:left w:val="single" w:color="auto" w:sz="4" w:space="0"/>
              <w:bottom w:val="single" w:color="auto" w:sz="4" w:space="0"/>
              <w:right w:val="single" w:color="auto" w:sz="4" w:space="0"/>
            </w:tcBorders>
            <w:noWrap w:val="0"/>
            <w:vAlign w:val="top"/>
          </w:tcPr>
          <w:p w14:paraId="79E0B3E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一、工作目标</w:t>
            </w:r>
          </w:p>
          <w:p w14:paraId="0EF13C2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（一）2021年度耕地流出问题排查整改</w:t>
            </w:r>
          </w:p>
          <w:p w14:paraId="3CE8D8B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关于明确2021年度耕地流出问题排查整改成果提交要求的通知》（自然资调查函〔2021〕32号）和《广西壮族自治区自然资源厅办公室关于转发2021年度耕地流出问题排查整改方案的通知》的文件要求，在“国土调查云”平台上逐图斑逐地块分类排查整改耕地流出问题，分别按照耕地流向其他农用地排查整改要求以及耕地流向建设用地排查整改要求进行严肃整改，符合要求无需整改的，逐地块提交照片、影像等举证材料。</w:t>
            </w:r>
          </w:p>
          <w:p w14:paraId="249AECE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（二）县（区）级年度耕地“进出平衡”方案</w:t>
            </w:r>
          </w:p>
          <w:p w14:paraId="6A31E1D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根据《自然资源部 农业农村部 国家林业和草原局关于严格耕地用途管制有关问题的通知》（自然资发〔2021〕166号）、《自然资源部办公厅 国家林业和草原局办公室关于印发&lt;2021年度耕地流出问题排查整改方案&gt;的通知》（自然资办发〔2022〕22号）和《广西壮族自治区自然资源厅 广西壮族自治区农业农村厅 广西壮族自治区林业局关于严格耕地用途管制的实施意见》（桂自然资发〔2022〕24号）的文件精神，要求对耕地转为其他农用地及农业设施建设用地实行年度“进出”平衡，除国家安排的生态退耕、自然灾害损毁难以复耕、河湖水面自然扩大造成耕地永久淹没等情形外，应当通过统筹林地、草地、园地等其他农用地及农业设施建设用地整治为耕地等方式补足同等数量、质量的耕地，严肃处置违法违规占用耕地问题，加强对耕地的保护，以确保长期稳定利用的耕地不再减少。2021年起，严控新增耕地减少的发生，全面实行耕地年度“进出平衡”。</w:t>
            </w:r>
          </w:p>
          <w:p w14:paraId="7ACA499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耕地的“进出平衡”仅适用于一般耕地（即永久基本农田以外的耕地）确需转为林地、草地、园地等其他农用地及农业设施建设用地的情况，通过收集耕地进出平衡项目的相关资料及第三次右江区国土调查成果、2020年国土变更调查、2021年国土变更调查、耕地资源质量分类以及生态保护红线等资料，科学分析耕地流入与耕地流出情况，实行以县（区）域自行平衡为主、市域或自治区范围内统筹落实为辅的年度耕地进出平衡方案。</w:t>
            </w:r>
          </w:p>
          <w:p w14:paraId="24D039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依据自然资源部和自治区自然资源厅相关文件的要求，编制右江区2021年度和2022年度的耕地进出平衡方案，统筹右江区农用地内的耕地进出平衡。</w:t>
            </w:r>
          </w:p>
          <w:p w14:paraId="5B81689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二、项目区范围</w:t>
            </w:r>
          </w:p>
          <w:p w14:paraId="158EB50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调查范围为大楞乡、泮水乡，排查图斑数量共2321个。充分运用“三调”和上一年度国土变更调查等成果，重点核实调查范围内的“耕地拟流出”和“耕地拟流入”地块的位置、面积、现状、拟恢复耕地地类、耕地等别等情况，做好年度进出平衡耕地流转情况工作。</w:t>
            </w:r>
          </w:p>
          <w:p w14:paraId="1EBB181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三、工作依据</w:t>
            </w:r>
          </w:p>
          <w:p w14:paraId="148CB24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（一）法律法规</w:t>
            </w:r>
          </w:p>
          <w:p w14:paraId="2BB903C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（1）《中华人民共和国土地管理法》（2019年修订）</w:t>
            </w:r>
          </w:p>
          <w:p w14:paraId="155EBC1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（2）《中华人民共和国城乡规划法》（2019年修订）</w:t>
            </w:r>
          </w:p>
          <w:p w14:paraId="34149D5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（3）《建设项目环境保护管理条例》（2017年修订）</w:t>
            </w:r>
          </w:p>
          <w:p w14:paraId="2AC3DFB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（4）《中华人民共和国农业法》（2012年修正）</w:t>
            </w:r>
          </w:p>
          <w:p w14:paraId="2E9FB95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（二）政策文件</w:t>
            </w:r>
          </w:p>
          <w:p w14:paraId="50C44DF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（1）《自然资源部 农业农村部关于加强和改进永久基本农田保护工作的通知》（自然资规〔2019〕1号）</w:t>
            </w:r>
          </w:p>
          <w:p w14:paraId="429E8DC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（2）《自然资源部农业农村部国家林业和草原局关于严格耕地用途管制有关问题的通知》（自然资发〔2021〕166号）</w:t>
            </w:r>
          </w:p>
          <w:p w14:paraId="40CE2A9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（3）《广西壮族自治区自然资源厅关于印发进一步做好补充耕地项目新增耕地核定和报备入库有关事项的通知》（桂自然资发〔2020〕56号）</w:t>
            </w:r>
          </w:p>
          <w:p w14:paraId="7ACF19D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（4）《广西壮族自治区田长制办公室关于开展耕地“非农化”图斑核查处理工作的通知》（桂田长办〔2022〕6号）</w:t>
            </w:r>
          </w:p>
          <w:p w14:paraId="3BAE8B2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（5）《广西壮族自治区自治区自然资源厅农业农村厅林业局关于严格耕地用途管制的实施意见》（桂自然资发〔2022〕24号）</w:t>
            </w:r>
          </w:p>
          <w:p w14:paraId="4AE89C4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（6）《广西壮族自治区自然资源厅办公室关于进一步核实整改2021年违法违规占用耕地重点问题的通知》（桂自然资发〔2022〕236号）</w:t>
            </w:r>
          </w:p>
          <w:p w14:paraId="635336E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（7）《广西壮族自治区自然资源厅办公室关于“三调”成果启用后耕地占补平衡有关事项的通知》（桂自然资发〔2022〕39号）</w:t>
            </w:r>
          </w:p>
          <w:p w14:paraId="01BEBB7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（8）《自然资源部办公厅国家林业和草原局办公室关于印发&lt;2021年度耕地流出问题排查整改方案&gt;的通知》（自然资办发〔2022〕22号）</w:t>
            </w:r>
          </w:p>
          <w:p w14:paraId="780F49B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（9）《国务院办公厅关于防止耕地“非粮化”稳定粮食生产的意见》（国办发〔2020〕44号）</w:t>
            </w:r>
          </w:p>
          <w:p w14:paraId="31F8249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（10）《关于明确2021年度耕地流出问题排查整改成果提交要求的通知》（自然资调查函〔2021〕32号）</w:t>
            </w:r>
          </w:p>
          <w:p w14:paraId="48B5A4F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（11）《广西壮族自治区自然资源厅办公室关于转发2021年度耕地流出问题排查整改方案的通知》</w:t>
            </w:r>
          </w:p>
          <w:p w14:paraId="6F0B0C3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（12）《广西壮族自治区自然资源厅关于进一步做好2021年度国士变更调查成果技术性整改工作的通知》（桂自然资办〔2022〕273号）</w:t>
            </w:r>
          </w:p>
          <w:p w14:paraId="7DC57C3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（三）其他依据</w:t>
            </w:r>
          </w:p>
          <w:p w14:paraId="023754D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（1）《农用地定级规程》（GB/T28405-2012）</w:t>
            </w:r>
          </w:p>
          <w:p w14:paraId="199E5F0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（2）《农用地质量分等规程》（GB/T 28407-2012）</w:t>
            </w:r>
          </w:p>
          <w:p w14:paraId="4969822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（3）《土地开发整理项目规划设计规范》（TD/T1012-2016）</w:t>
            </w:r>
          </w:p>
          <w:p w14:paraId="11F1B8E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（4）《土地利用现状分类》（GB/T 21010-2017）</w:t>
            </w:r>
          </w:p>
          <w:p w14:paraId="0CB75CE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（5）《第三次全国国土调查技术规程》（TD/T 1055-2019）</w:t>
            </w:r>
          </w:p>
          <w:p w14:paraId="7242345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（6）《右江区全域永久基本农田划定方案》（2017年）</w:t>
            </w:r>
          </w:p>
          <w:p w14:paraId="3632633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（7）《右江区永久基本农田核实整改补足方案》（2022年）</w:t>
            </w:r>
          </w:p>
          <w:p w14:paraId="7082E5E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（8）《右江区国土空间总体规划（2020-2035年）》</w:t>
            </w:r>
          </w:p>
          <w:p w14:paraId="17AB486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（9）《右江区生态保护红线和永久基本农田保护研究》</w:t>
            </w:r>
          </w:p>
          <w:p w14:paraId="3809A18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四、工作内容</w:t>
            </w:r>
          </w:p>
          <w:p w14:paraId="1EBBE92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（一）2021年度耕地流出问题排查整改方案</w:t>
            </w:r>
          </w:p>
          <w:p w14:paraId="33AF87A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1、“国土调查云”平台图斑核实</w:t>
            </w:r>
          </w:p>
          <w:p w14:paraId="39426B6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国土调查云平台上逐图斑逐地块分类排查整改耕地流出问题，符合要求无需整改的，逐地块提交照片、影像等举证材料。整改到位的图斑，补充写入2021年度国土变更调查更新数据包，形成包含整改成果的2021年度国土变更调查更新数据包重新报部。不符合法律法规及相关政策要求的，应限期整改到位，整改不到位的，按实地现状纳入变更,并单独标识，继续整改。在排查整改工作中，要结合实际、周密部署，做好政策解释工作，积极稳妥推进，防止简单化、“一刀切”，防止损害群众利益、防止造成社会负面影响。</w:t>
            </w:r>
          </w:p>
          <w:p w14:paraId="1B4726C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2、核定排查整改结果</w:t>
            </w:r>
          </w:p>
          <w:p w14:paraId="746584D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上报的整改成果进行全面核实，确认整改到位的问题，协助国土变更编制单位写入2021年度国土变更调查更新数据包，形成包含整改成果的2021年度国土变更调查更新数据包重新报部，包括数据库成果、表格数据和举证数据包。</w:t>
            </w:r>
          </w:p>
          <w:p w14:paraId="2AEA21D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（二）县（区）级年度耕地“进出平衡”方案</w:t>
            </w:r>
          </w:p>
          <w:p w14:paraId="3B7EC71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1、年度“耕地流出”情况</w:t>
            </w:r>
          </w:p>
          <w:p w14:paraId="16D78C2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耕地流出”地块原则上不得转为建设用地和未利用地，耕地流出明确需落实耕地进出平衡的情形与不得纳入“耕地流出”范围的情形，分析右江区内各乡镇耕地流出图斑情况，涉及主要项目及规模，流出主体（权属）、权利人意见情况以及流出后用途等意见，分析耕地流出的合理性及必要性。“耕地流出”应优先选择不稳定利用、质量较低、零星分散、不宜集中连片耕作管护的耕地，原则上集中连片的优质耕地（尤其是高标准农田）不予转出。</w:t>
            </w:r>
          </w:p>
          <w:p w14:paraId="6B47C8A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2、年度“耕地流入”情况</w:t>
            </w:r>
          </w:p>
          <w:p w14:paraId="7DA586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纳入“耕地流入”范围的包括但不局限于：“二调”为耕地（不含可调整地类）、但“三调”标注属性为即可恢复和工程恢复的林地、园地等其他农用地以及农业设施建设用地。“耕地流入”应遵循“集中连片、质量相当、可长期稳定利用”的原则，明确耕地流入允许转进条件与不得转进的情形，分析拟复耕的耕地地类及等别、实施方式等。分析耕地流入的可行性和合规性，确保耕地流入后更集中连片，质量相当。</w:t>
            </w:r>
          </w:p>
          <w:p w14:paraId="023EFBE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3、耕地“进出平衡”情况分析</w:t>
            </w:r>
          </w:p>
          <w:p w14:paraId="6056EA1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分析耕地流入和耕地流出的耕地数量、质量、布局等情况，分析年度耕地“进出平衡”调整是否合理性，是否符合“以进定出、先进后出、进优出劣”的要求等；是否能完成年度耕地进出平衡。</w:t>
            </w:r>
          </w:p>
          <w:p w14:paraId="7D08D6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4、资金来源</w:t>
            </w:r>
          </w:p>
          <w:p w14:paraId="3EF72AD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测算年度“耕地流入”工程实施费用，建立政府、农民、企业和社会议题的资金筹集渠道。</w:t>
            </w:r>
          </w:p>
          <w:p w14:paraId="1A581D5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5、时序安排</w:t>
            </w:r>
          </w:p>
          <w:p w14:paraId="33E8FDF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明确各乡镇“耕地流入”和“耕地流出”的具体时序安排，包括项目规模、实施进度与布局情况。</w:t>
            </w:r>
          </w:p>
          <w:p w14:paraId="33C6802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6、效益分析</w:t>
            </w:r>
          </w:p>
          <w:p w14:paraId="56803AD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根据方案目标任务、涉及的耕地流入流出情况等，合理分析方案实施的生态效益、社会效益和经济效益。</w:t>
            </w:r>
          </w:p>
          <w:p w14:paraId="4D3A483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7、数据库建设</w:t>
            </w:r>
          </w:p>
          <w:p w14:paraId="0FA9932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做好右江区年度耕地进出平衡方案的数据库。</w:t>
            </w:r>
          </w:p>
          <w:p w14:paraId="6775EF1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五、提交成果时间要求</w:t>
            </w:r>
          </w:p>
          <w:p w14:paraId="6635115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（一）时间要求</w:t>
            </w:r>
          </w:p>
          <w:p w14:paraId="751713E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合同签订之日起至30天内提交成果。</w:t>
            </w:r>
          </w:p>
          <w:p w14:paraId="0A25687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（二）成果要求</w:t>
            </w:r>
          </w:p>
          <w:p w14:paraId="58E6A93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1、报告文档</w:t>
            </w:r>
          </w:p>
          <w:p w14:paraId="636AC69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（1）《右江区2021年度耕地“进出平衡”方案》</w:t>
            </w:r>
          </w:p>
          <w:p w14:paraId="1F9318D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（2）《右江区2022年度耕地“进出平衡”方案》</w:t>
            </w:r>
          </w:p>
          <w:p w14:paraId="6A09D8F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2、数据库成果</w:t>
            </w:r>
          </w:p>
          <w:p w14:paraId="4818866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（1）《右江区2021年度耕地“进出平衡”方案》的数据库</w:t>
            </w:r>
          </w:p>
          <w:p w14:paraId="687779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（2）《右江区2022年度耕地“进出平衡”方案》的数据库</w:t>
            </w:r>
          </w:p>
          <w:p w14:paraId="2A8618D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3、图件</w:t>
            </w:r>
          </w:p>
          <w:p w14:paraId="4E61D0A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（1）右江区2021年度耕地“进出平衡”地块示意图</w:t>
            </w:r>
          </w:p>
          <w:p w14:paraId="0B5A958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（2）右江区2022年度耕地“进出平衡”地块示意图</w:t>
            </w:r>
          </w:p>
          <w:p w14:paraId="13C27E3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4、表格成果</w:t>
            </w:r>
          </w:p>
          <w:p w14:paraId="3BB1EFB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（1）右江区2021年度耕地拟流出情况表</w:t>
            </w:r>
          </w:p>
          <w:p w14:paraId="17CF13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（2）右江区2021年度耕地拟流入情况表</w:t>
            </w:r>
          </w:p>
          <w:p w14:paraId="6AB1354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（3）右江区2021年度耕地“进出平衡”情况表</w:t>
            </w:r>
          </w:p>
          <w:p w14:paraId="51A94E9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（4）右江区2022年度耕地拟流出情况表</w:t>
            </w:r>
          </w:p>
          <w:p w14:paraId="33462B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（5）右江区2022年度耕地拟流入情况表</w:t>
            </w:r>
          </w:p>
          <w:p w14:paraId="3EBBED2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（6）右江区2022年度耕地“进出平衡”情况表</w:t>
            </w:r>
          </w:p>
          <w:p w14:paraId="321047B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二、服务期及地点：</w:t>
            </w:r>
          </w:p>
          <w:p w14:paraId="338AE30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合同签订之日起至30天内提交成果</w:t>
            </w:r>
            <w:r>
              <w:rPr>
                <w:rFonts w:hint="eastAsia" w:ascii="宋体" w:hAnsi="宋体" w:eastAsia="宋体" w:cs="宋体"/>
                <w:color w:val="auto"/>
                <w:sz w:val="21"/>
                <w:szCs w:val="21"/>
                <w:highlight w:val="none"/>
                <w:lang w:val="en-US" w:eastAsia="zh-CN"/>
              </w:rPr>
              <w:t>。</w:t>
            </w:r>
          </w:p>
          <w:p w14:paraId="6DA1845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2、交付地点：采购人指定地点。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EEE1C3D">
            <w:pPr>
              <w:spacing w:line="260" w:lineRule="exact"/>
              <w:jc w:val="center"/>
              <w:rPr>
                <w:rFonts w:hint="eastAsia" w:ascii="宋体" w:hAnsi="宋体" w:eastAsia="宋体" w:cs="宋体"/>
                <w:b/>
                <w:bCs/>
                <w:color w:val="auto"/>
                <w:szCs w:val="21"/>
                <w:highlight w:val="none"/>
                <w:lang w:val="en-US" w:eastAsia="zh-CN"/>
              </w:rPr>
            </w:pPr>
          </w:p>
        </w:tc>
      </w:tr>
      <w:tr w14:paraId="25D06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90" w:type="dxa"/>
            <w:gridSpan w:val="2"/>
            <w:tcBorders>
              <w:top w:val="single" w:color="auto" w:sz="4" w:space="0"/>
              <w:left w:val="single" w:color="auto" w:sz="4" w:space="0"/>
              <w:bottom w:val="single" w:color="auto" w:sz="4" w:space="0"/>
              <w:right w:val="single" w:color="auto" w:sz="4" w:space="0"/>
            </w:tcBorders>
            <w:noWrap w:val="0"/>
            <w:vAlign w:val="center"/>
          </w:tcPr>
          <w:p w14:paraId="79BE8C9A">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标段</w:t>
            </w:r>
          </w:p>
        </w:tc>
        <w:tc>
          <w:tcPr>
            <w:tcW w:w="9031" w:type="dxa"/>
            <w:gridSpan w:val="5"/>
            <w:tcBorders>
              <w:top w:val="single" w:color="auto" w:sz="4" w:space="0"/>
              <w:left w:val="single" w:color="auto" w:sz="4" w:space="0"/>
              <w:bottom w:val="single" w:color="auto" w:sz="4" w:space="0"/>
              <w:right w:val="single" w:color="auto" w:sz="4" w:space="0"/>
            </w:tcBorders>
            <w:noWrap w:val="0"/>
            <w:vAlign w:val="center"/>
          </w:tcPr>
          <w:p w14:paraId="677F499A">
            <w:pPr>
              <w:spacing w:line="320" w:lineRule="exact"/>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8"/>
                <w:highlight w:val="none"/>
                <w:lang w:eastAsia="zh-CN"/>
              </w:rPr>
              <w:t>标项三</w:t>
            </w:r>
          </w:p>
        </w:tc>
      </w:tr>
      <w:tr w14:paraId="130C8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02730FD8">
            <w:pPr>
              <w:widowControl/>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noWrap w:val="0"/>
            <w:vAlign w:val="center"/>
          </w:tcPr>
          <w:p w14:paraId="610EC488">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序号</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2BE263A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采购服务名称</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6AA04E38">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单位</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40C6483B">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数量</w:t>
            </w:r>
          </w:p>
        </w:tc>
        <w:tc>
          <w:tcPr>
            <w:tcW w:w="6023" w:type="dxa"/>
            <w:tcBorders>
              <w:top w:val="single" w:color="auto" w:sz="4" w:space="0"/>
              <w:left w:val="single" w:color="auto" w:sz="4" w:space="0"/>
              <w:bottom w:val="single" w:color="auto" w:sz="4" w:space="0"/>
              <w:right w:val="single" w:color="auto" w:sz="4" w:space="0"/>
            </w:tcBorders>
            <w:noWrap w:val="0"/>
            <w:vAlign w:val="center"/>
          </w:tcPr>
          <w:p w14:paraId="0FCB36A1">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服务参数</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7A31365">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tc>
      </w:tr>
      <w:tr w14:paraId="3C021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00F0C214">
            <w:pPr>
              <w:widowControl/>
              <w:jc w:val="left"/>
              <w:rPr>
                <w:rFonts w:hint="eastAsia" w:ascii="宋体" w:hAnsi="宋体" w:eastAsia="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5BF525B">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2712D301">
            <w:pPr>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右江区隐形耕地流出排查技术服务项目</w:t>
            </w:r>
            <w:r>
              <w:rPr>
                <w:rFonts w:hint="eastAsia" w:ascii="宋体" w:hAnsi="宋体" w:eastAsia="宋体" w:cs="宋体"/>
                <w:color w:val="auto"/>
                <w:sz w:val="21"/>
                <w:szCs w:val="21"/>
                <w:highlight w:val="none"/>
                <w:lang w:val="en-US" w:eastAsia="zh-CN"/>
              </w:rPr>
              <w:t>C标</w:t>
            </w:r>
          </w:p>
        </w:tc>
        <w:tc>
          <w:tcPr>
            <w:tcW w:w="576" w:type="dxa"/>
            <w:tcBorders>
              <w:top w:val="single" w:color="auto" w:sz="4" w:space="0"/>
              <w:left w:val="single" w:color="auto" w:sz="4" w:space="0"/>
              <w:bottom w:val="single" w:color="auto" w:sz="4" w:space="0"/>
              <w:right w:val="single" w:color="auto" w:sz="4" w:space="0"/>
            </w:tcBorders>
            <w:noWrap w:val="0"/>
            <w:vAlign w:val="center"/>
          </w:tcPr>
          <w:p w14:paraId="150F47F6">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765B0B1B">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23" w:type="dxa"/>
            <w:tcBorders>
              <w:top w:val="single" w:color="auto" w:sz="4" w:space="0"/>
              <w:left w:val="single" w:color="auto" w:sz="4" w:space="0"/>
              <w:bottom w:val="single" w:color="auto" w:sz="4" w:space="0"/>
              <w:right w:val="single" w:color="auto" w:sz="4" w:space="0"/>
            </w:tcBorders>
            <w:noWrap w:val="0"/>
            <w:vAlign w:val="top"/>
          </w:tcPr>
          <w:p w14:paraId="2056A92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一、工作目标</w:t>
            </w:r>
          </w:p>
          <w:p w14:paraId="6499313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（一）2021年度耕地流出问题排查整改</w:t>
            </w:r>
          </w:p>
          <w:p w14:paraId="104D334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关于明确2021年度耕地流出问题排查整改成果提交要求的通知》（自然资调查函〔2021〕32号）和《广西壮族自治区自然资源厅办公室关于转发2021年度耕地流出问题排查整改方案的通知》的文件要求，在“国土调查云”平台上逐图斑逐地块分类排查整改耕地流出问题，分别按照耕地流向其他农用地排查整改要求以及耕地流向建设用地排查整改要求进行严肃整改，符合要求无需整改的，逐地块提交照片、影像等举证材料。</w:t>
            </w:r>
          </w:p>
          <w:p w14:paraId="75A4D1A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（二）县（区）级年度耕地“进出平衡”方案</w:t>
            </w:r>
          </w:p>
          <w:p w14:paraId="0DF685F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根据《自然资源部 农业农村部 国家林业和草原局关于严格耕地用途管制有关问题的通知》（自然资发〔2021〕166号）、《自然资源部办公厅 国家林业和草原局办公室关于印发&lt;2021年度耕地流出问题排查整改方案&gt;的通知》（自然资办发〔2022〕22号）和《广西壮族自治区自然资源厅 广西壮族自治区农业农村厅 广西壮族自治区林业局关于严格耕地用途管制的实施意见》（桂自然资发〔2022〕24号）的文件精神，要求对耕地转为其他农用地及农业设施建设用地实行年度“进出”平衡，除国家安排的生态退耕、自然灾害损毁难以复耕、河湖水面自然扩大造成耕地永久淹没等情形外，应当通过统筹林地、草地、园地等其他农用地及农业设施建设用地整治为耕地等方式补足同等数量、质量的耕地，严肃处置违法违规占用耕地问题，加强对耕地的保护，以确保长期稳定利用的耕地不再减少。2021年起，严控新增耕地减少的发生，全面实行耕地年度“进出平衡”。</w:t>
            </w:r>
          </w:p>
          <w:p w14:paraId="76772F8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耕地的“进出平衡”仅适用于一般耕地（即永久基本农田以外的耕地）确需转为林地、草地、园地等其他农用地及农业设施建设用地的情况，通过收集耕地进出平衡项目的相关资料及第三次右江区国土调查成果、2020年国土变更调查、2021年国土变更调查、耕地资源质量分类以及生态保护红线等资料，科学分析耕地流入与耕地流出情况，实行以县（区）域自行平衡为主、市域或自治区范围内统筹落实为辅的年度耕地进出平衡方案。</w:t>
            </w:r>
          </w:p>
          <w:p w14:paraId="698A589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依据自然资源部和自治区自然资源厅相关文件的要求，编制右江区2021年度和2022年度的耕地进出平衡方案，统筹右江区农用地内的耕地进出平衡。</w:t>
            </w:r>
          </w:p>
          <w:p w14:paraId="1A1C39D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二、项目区范围</w:t>
            </w:r>
          </w:p>
          <w:p w14:paraId="558B510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调查范围为龙川镇、阳圩镇，排查图斑数量共5988个。充分运用“三调”和上一年度国土变更调查等成果，重点核实调查范围内的“耕地拟流出”和“耕地拟流入”地块的位置、面积、现状、拟恢复耕地地类、耕地等别等情况，做好年度进出平衡耕地流转情况工作。</w:t>
            </w:r>
          </w:p>
          <w:p w14:paraId="7CCD428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三、工作依据</w:t>
            </w:r>
          </w:p>
          <w:p w14:paraId="5D9433E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（一）法律法规</w:t>
            </w:r>
          </w:p>
          <w:p w14:paraId="6D264DC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（1）《中华人民共和国土地管理法》（2019年修订）</w:t>
            </w:r>
          </w:p>
          <w:p w14:paraId="4BAE67A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（2）《中华人民共和国城乡规划法》（2019年修订）</w:t>
            </w:r>
          </w:p>
          <w:p w14:paraId="53738F4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（3）《建设项目环境保护管理条例》（2017年修订）</w:t>
            </w:r>
          </w:p>
          <w:p w14:paraId="39A3D97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（4）《中华人民共和国农业法》（2012年修正）</w:t>
            </w:r>
          </w:p>
          <w:p w14:paraId="6A0D5B7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（二）政策文件</w:t>
            </w:r>
          </w:p>
          <w:p w14:paraId="689A8FB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（1）《自然资源部 农业农村部关于加强和改进永久基本农田保护工作的通知》（自然资规〔2019〕1号）</w:t>
            </w:r>
          </w:p>
          <w:p w14:paraId="674312E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（2）《自然资源部农业农村部国家林业和草原局关于严格耕地用途管制有关问题的通知》（自然资发〔2021〕166号）</w:t>
            </w:r>
          </w:p>
          <w:p w14:paraId="4866A72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（3）《广西壮族自治区自然资源厅关于印发进一步做好补充耕地项目新增耕地核定和报备入库有关事项的通知》（桂自然资发〔2020〕56号）</w:t>
            </w:r>
          </w:p>
          <w:p w14:paraId="6573A6E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（4）《广西壮族自治区田长制办公室关于开展耕地“非农化”图斑核查处理工作的通知》（桂田长办〔2022〕6号）</w:t>
            </w:r>
          </w:p>
          <w:p w14:paraId="6A4B0DC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（5）《广西壮族自治区自治区自然资源厅农业农村厅林业局关于严格耕地用途管制的实施意见》（桂自然资发〔2022〕24号）</w:t>
            </w:r>
          </w:p>
          <w:p w14:paraId="2245125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（6）《广西壮族自治区自然资源厅办公室关于进一步核实整改2021年违法违规占用耕地重点问题的通知》（桂自然资发〔2022〕236号）</w:t>
            </w:r>
          </w:p>
          <w:p w14:paraId="2B23EBF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（7）《广西壮族自治区自然资源厅办公室关于“三调”成果启用后耕地占补平衡有关事项的通知》（桂自然资发〔2022〕39号）</w:t>
            </w:r>
          </w:p>
          <w:p w14:paraId="0193ED8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（8）《自然资源部办公厅国家林业和草原局办公室关于印发&lt;2021年度耕地流出问题排查整改方案&gt;的通知》（自然资办发〔2022〕22号）</w:t>
            </w:r>
          </w:p>
          <w:p w14:paraId="66C1671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（9）《国务院办公厅关于防止耕地“非粮化”稳定粮食生产的意见》（国办发〔2020〕44号）</w:t>
            </w:r>
          </w:p>
          <w:p w14:paraId="4E3D8F0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（10）《关于明确2021年度耕地流出问题排查整改成果提交要求的通知》（自然资调查函〔2021〕32号）</w:t>
            </w:r>
          </w:p>
          <w:p w14:paraId="487CE96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（11）《广西壮族自治区自然资源厅办公室关于转发2021年度耕地流出问题排查整改方案的通知》</w:t>
            </w:r>
          </w:p>
          <w:p w14:paraId="4FFE389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（12）《广西壮族自治区自然资源厅关于进一步做好2021年度国士变更调查成果技术性整改工作的通知》（桂自然资办〔2022〕273号）</w:t>
            </w:r>
          </w:p>
          <w:p w14:paraId="5D0D744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（三）其他依据</w:t>
            </w:r>
          </w:p>
          <w:p w14:paraId="6995374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（1）《农用地定级规程》（GB/T28405-2012）</w:t>
            </w:r>
          </w:p>
          <w:p w14:paraId="0638110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（2）《农用地质量分等规程》（GB/T 28407-2012）</w:t>
            </w:r>
          </w:p>
          <w:p w14:paraId="7CE790E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（3）《土地开发整理项目规划设计规范》（TD/T1012-2016）</w:t>
            </w:r>
          </w:p>
          <w:p w14:paraId="06568C9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（4）《土地利用现状分类》（GB/T 21010-2017）</w:t>
            </w:r>
          </w:p>
          <w:p w14:paraId="3262E12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（5）《第三次全国国土调查技术规程》（TD/T 1055-2019）</w:t>
            </w:r>
          </w:p>
          <w:p w14:paraId="3C24671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（6）《右江区全域永久基本农田划定方案》（2017年）</w:t>
            </w:r>
          </w:p>
          <w:p w14:paraId="26E7C1A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（7）《右江区永久基本农田核实整改补足方案》（2022年）</w:t>
            </w:r>
          </w:p>
          <w:p w14:paraId="2BE56CA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（8）《右江区国土空间总体规划（2020-2035年）》</w:t>
            </w:r>
          </w:p>
          <w:p w14:paraId="6AF6F32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（9）《右江区生态保护红线和永久基本农田保护研究》</w:t>
            </w:r>
          </w:p>
          <w:p w14:paraId="2D0B08B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四、工作内容</w:t>
            </w:r>
          </w:p>
          <w:p w14:paraId="0D5D04A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（一）2021年度耕地流出问题排查整改方案</w:t>
            </w:r>
          </w:p>
          <w:p w14:paraId="34C1E91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1、“国土调查云”平台图斑核实</w:t>
            </w:r>
          </w:p>
          <w:p w14:paraId="224FC1F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国土调查云平台上逐图斑逐地块分类排查整改耕地流出问题，符合要求无需整改的，逐地块提交照片、影像等举证材料。整改到位的图斑，补充写入2021年度国土变更调查更新数据包，形成包含整改成果的2021年度国土变更调查更新数据包重新报部。不符合法律法规及相关政策要求的，应限期整改到位，整改不到位的，按实地现状纳入变更,并单独标识，继续整改。在排查整改工作中，要结合实际、周密部署，做好政策解释工作，积极稳妥推进，防止简单化、“一刀切”，防止损害群众利益、防止造成社会负面影响。</w:t>
            </w:r>
          </w:p>
          <w:p w14:paraId="42679AA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2、核定排查整改结果</w:t>
            </w:r>
          </w:p>
          <w:p w14:paraId="13C8793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上报的整改成果进行全面核实，确认整改到位的问题，协助国土变更编制单位写入2021年度国土变更调查更新数据包，形成包含整改成果的2021年度国土变更调查更新数据包重新报部，包括数据库成果、表格数据和举证数据包。</w:t>
            </w:r>
          </w:p>
          <w:p w14:paraId="42EBBB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（二）县（区）级年度耕地“进出平衡”方案</w:t>
            </w:r>
          </w:p>
          <w:p w14:paraId="10961E0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1、年度“耕地流出”情况</w:t>
            </w:r>
          </w:p>
          <w:p w14:paraId="6558FDB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耕地流出”地块原则上不得转为建设用地和未利用地，耕地流出明确需落实耕地进出平衡的情形与不得纳入“耕地流出”范围的情形，分析右江区内各乡镇耕地流出图斑情况，涉及主要项目及规模，流出主体（权属）、权利人意见情况以及流出后用途等意见，分析耕地流出的合理性及必要性。“耕地流出”应优先选择不稳定利用、质量较低、零星分散、不宜集中连片耕作管护的耕地，原则上集中连片的优质耕地（尤其是高标准农田）不予转出。</w:t>
            </w:r>
          </w:p>
          <w:p w14:paraId="2D99BF7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2、年度“耕地流入”情况</w:t>
            </w:r>
          </w:p>
          <w:p w14:paraId="2264192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纳入“耕地流入”范围的包括但不局限于：“二调”为耕地（不含可调整地类）、但“三调”标注属性为即可恢复和工程恢复的林地、园地等其他农用地以及农业设施建设用地。“耕地流入”应遵循“集中连片、质量相当、可长期稳定利用”的原则，明确耕地流入允许转进条件与不得转进的情形，分析拟复耕的耕地地类及等别、实施方式等。分析耕地流入的可行性和合规性，确保耕地流入后更集中连片，质量相当。</w:t>
            </w:r>
          </w:p>
          <w:p w14:paraId="601C9BB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3、耕地“进出平衡”情况分析</w:t>
            </w:r>
          </w:p>
          <w:p w14:paraId="69C4530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分析耕地流入和耕地流出的耕地数量、质量、布局等情况，分析年度耕地“进出平衡”调整是否合理性，是否符合“以进定出、先进后出、进优出劣”的要求等；是否能完成年度耕地进出平衡。</w:t>
            </w:r>
          </w:p>
          <w:p w14:paraId="54021F6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4、资金来源</w:t>
            </w:r>
          </w:p>
          <w:p w14:paraId="574015C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测算年度“耕地流入”工程实施费用，建立政府、农民、企业和社会议题的资金筹集渠道。</w:t>
            </w:r>
          </w:p>
          <w:p w14:paraId="3B61483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5、时序安排</w:t>
            </w:r>
          </w:p>
          <w:p w14:paraId="17C503A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明确各乡镇“耕地流入”和“耕地流出”的具体时序安排，包括项目规模、实施进度与布局情况。</w:t>
            </w:r>
          </w:p>
          <w:p w14:paraId="265A8C8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6、效益分析</w:t>
            </w:r>
          </w:p>
          <w:p w14:paraId="7EBC521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根据方案目标任务、涉及的耕地流入流出情况等，合理分析方案实施的生态效益、社会效益和经济效益。</w:t>
            </w:r>
          </w:p>
          <w:p w14:paraId="24CB061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7、数据库建设</w:t>
            </w:r>
          </w:p>
          <w:p w14:paraId="294D1E5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做好右江区年度耕地进出平衡方案的数据库。</w:t>
            </w:r>
          </w:p>
          <w:p w14:paraId="6C389D1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五、提交成果时间要求</w:t>
            </w:r>
          </w:p>
          <w:p w14:paraId="24D841E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（一）时间要求</w:t>
            </w:r>
          </w:p>
          <w:p w14:paraId="3D36D0D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合同签订之日起至30天内提交成果。</w:t>
            </w:r>
          </w:p>
          <w:p w14:paraId="03166DF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（二）成果要求</w:t>
            </w:r>
          </w:p>
          <w:p w14:paraId="17F8BD0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1、报告文档</w:t>
            </w:r>
          </w:p>
          <w:p w14:paraId="1DA0DEC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（1）《右江区2021年度耕地“进出平衡”方案》</w:t>
            </w:r>
          </w:p>
          <w:p w14:paraId="737A80C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（2）《右江区2022年度耕地“进出平衡”方案》</w:t>
            </w:r>
          </w:p>
          <w:p w14:paraId="22BBF13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2、数据库成果</w:t>
            </w:r>
          </w:p>
          <w:p w14:paraId="6E5D9ED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（1）《右江区2021年度耕地“进出平衡”方案》的数据库</w:t>
            </w:r>
          </w:p>
          <w:p w14:paraId="106E095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（2）《右江区2022年度耕地“进出平衡”方案》的数据库</w:t>
            </w:r>
          </w:p>
          <w:p w14:paraId="610F05F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3、图件</w:t>
            </w:r>
          </w:p>
          <w:p w14:paraId="3D8F254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（1）右江区2021年度耕地“进出平衡”地块示意图</w:t>
            </w:r>
          </w:p>
          <w:p w14:paraId="65A4232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（2）右江区2022年度耕地“进出平衡”地块示意图</w:t>
            </w:r>
          </w:p>
          <w:p w14:paraId="40C1A71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4、表格成果</w:t>
            </w:r>
          </w:p>
          <w:p w14:paraId="43164E4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（1）右江区2021年度耕地拟流出情况表</w:t>
            </w:r>
          </w:p>
          <w:p w14:paraId="4F37617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（2）右江区2021年度耕地拟流入情况表</w:t>
            </w:r>
          </w:p>
          <w:p w14:paraId="07F0F43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（3）右江区2021年度耕地“进出平衡”情况表</w:t>
            </w:r>
          </w:p>
          <w:p w14:paraId="61EA295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（4）右江区2022年度耕地拟流出情况表</w:t>
            </w:r>
          </w:p>
          <w:p w14:paraId="3FC7926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（5）右江区2022年度耕地拟流入情况表</w:t>
            </w:r>
          </w:p>
          <w:p w14:paraId="03E3E0A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（6）右江区2022年度耕地“进出平衡”情况表</w:t>
            </w:r>
          </w:p>
          <w:p w14:paraId="73BEE49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二、服务期及地点：</w:t>
            </w:r>
          </w:p>
          <w:p w14:paraId="06BEC64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合同签订之日起至30天内提交成果</w:t>
            </w:r>
            <w:r>
              <w:rPr>
                <w:rFonts w:hint="eastAsia" w:ascii="宋体" w:hAnsi="宋体" w:eastAsia="宋体" w:cs="宋体"/>
                <w:color w:val="auto"/>
                <w:sz w:val="21"/>
                <w:szCs w:val="21"/>
                <w:highlight w:val="none"/>
                <w:lang w:val="en-US" w:eastAsia="zh-CN"/>
              </w:rPr>
              <w:t>。</w:t>
            </w:r>
          </w:p>
          <w:p w14:paraId="2ED1E8D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2、交付地点：采购人指定地点。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3496CA8B">
            <w:pPr>
              <w:spacing w:line="260" w:lineRule="exact"/>
              <w:jc w:val="center"/>
              <w:rPr>
                <w:rFonts w:hint="eastAsia" w:ascii="宋体" w:hAnsi="宋体" w:eastAsia="宋体" w:cs="宋体"/>
                <w:b/>
                <w:bCs/>
                <w:color w:val="auto"/>
                <w:szCs w:val="21"/>
                <w:highlight w:val="none"/>
                <w:lang w:val="en-US" w:eastAsia="zh-CN"/>
              </w:rPr>
            </w:pPr>
          </w:p>
        </w:tc>
      </w:tr>
      <w:tr w14:paraId="1ED7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121" w:type="dxa"/>
            <w:gridSpan w:val="7"/>
            <w:tcBorders>
              <w:left w:val="single" w:color="auto" w:sz="4" w:space="0"/>
              <w:bottom w:val="single" w:color="auto" w:sz="4" w:space="0"/>
              <w:right w:val="single" w:color="auto" w:sz="4" w:space="0"/>
            </w:tcBorders>
            <w:noWrap w:val="0"/>
            <w:vAlign w:val="center"/>
          </w:tcPr>
          <w:p w14:paraId="41B776CE">
            <w:pPr>
              <w:spacing w:line="26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商务条款（标项一、标项二、标项三）</w:t>
            </w:r>
          </w:p>
        </w:tc>
      </w:tr>
      <w:tr w14:paraId="3698C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0121" w:type="dxa"/>
            <w:gridSpan w:val="7"/>
            <w:tcBorders>
              <w:top w:val="single" w:color="auto" w:sz="4" w:space="0"/>
              <w:left w:val="single" w:color="auto" w:sz="4" w:space="0"/>
              <w:bottom w:val="single" w:color="auto" w:sz="4" w:space="0"/>
              <w:right w:val="single" w:color="auto" w:sz="4" w:space="0"/>
            </w:tcBorders>
            <w:noWrap w:val="0"/>
            <w:vAlign w:val="top"/>
          </w:tcPr>
          <w:p w14:paraId="3827F3DA">
            <w:pPr>
              <w:rPr>
                <w:rFonts w:hint="eastAsia" w:ascii="宋体" w:hAnsi="宋体" w:eastAsia="宋体" w:cs="宋体"/>
                <w:color w:val="auto"/>
                <w:highlight w:val="none"/>
              </w:rPr>
            </w:pPr>
            <w:r>
              <w:rPr>
                <w:rFonts w:hint="eastAsia"/>
                <w:color w:val="auto"/>
                <w:highlight w:val="none"/>
              </w:rPr>
              <w:t>一、▲合同签订期：自</w:t>
            </w:r>
            <w:r>
              <w:rPr>
                <w:rFonts w:hint="eastAsia"/>
                <w:color w:val="auto"/>
                <w:highlight w:val="none"/>
                <w:lang w:eastAsia="zh-CN"/>
              </w:rPr>
              <w:t>中标</w:t>
            </w:r>
            <w:r>
              <w:rPr>
                <w:rFonts w:hint="eastAsia"/>
                <w:color w:val="auto"/>
                <w:highlight w:val="none"/>
              </w:rPr>
              <w:t>通知书发出之</w:t>
            </w:r>
            <w:r>
              <w:rPr>
                <w:rFonts w:hint="eastAsia" w:ascii="宋体" w:hAnsi="宋体" w:eastAsia="宋体" w:cs="宋体"/>
                <w:color w:val="auto"/>
                <w:highlight w:val="none"/>
              </w:rPr>
              <w:t>日起25日内</w:t>
            </w:r>
          </w:p>
          <w:p w14:paraId="27FFD097">
            <w:pPr>
              <w:rPr>
                <w:rFonts w:hint="eastAsia" w:ascii="宋体" w:hAnsi="宋体" w:eastAsia="宋体" w:cs="宋体"/>
                <w:color w:val="auto"/>
                <w:highlight w:val="none"/>
                <w:lang w:eastAsia="zh-CN"/>
              </w:rPr>
            </w:pPr>
            <w:r>
              <w:rPr>
                <w:rFonts w:hint="eastAsia" w:ascii="宋体" w:hAnsi="宋体" w:eastAsia="宋体" w:cs="宋体"/>
                <w:color w:val="auto"/>
                <w:highlight w:val="none"/>
              </w:rPr>
              <w:t>二、▲提供服务时间：</w:t>
            </w:r>
            <w:r>
              <w:rPr>
                <w:rFonts w:hint="eastAsia" w:ascii="宋体" w:hAnsi="宋体" w:eastAsia="宋体" w:cs="宋体"/>
                <w:color w:val="auto"/>
                <w:sz w:val="21"/>
                <w:szCs w:val="21"/>
                <w:highlight w:val="none"/>
                <w:lang w:eastAsia="zh-CN"/>
              </w:rPr>
              <w:t>合同签订之日起至30天内提交成果</w:t>
            </w:r>
            <w:r>
              <w:rPr>
                <w:rFonts w:hint="eastAsia" w:ascii="宋体" w:hAnsi="宋体" w:eastAsia="宋体" w:cs="宋体"/>
                <w:color w:val="auto"/>
                <w:sz w:val="21"/>
                <w:szCs w:val="21"/>
                <w:highlight w:val="none"/>
              </w:rPr>
              <w:t>。</w:t>
            </w:r>
          </w:p>
          <w:p w14:paraId="64C4AA8A">
            <w:pPr>
              <w:rPr>
                <w:rFonts w:hint="eastAsia" w:ascii="宋体" w:hAnsi="宋体" w:eastAsia="宋体" w:cs="宋体"/>
                <w:color w:val="auto"/>
                <w:highlight w:val="none"/>
              </w:rPr>
            </w:pPr>
            <w:r>
              <w:rPr>
                <w:rFonts w:hint="eastAsia" w:ascii="宋体" w:hAnsi="宋体" w:eastAsia="宋体" w:cs="宋体"/>
                <w:color w:val="auto"/>
                <w:highlight w:val="none"/>
              </w:rPr>
              <w:t>三、▲服务地点：</w:t>
            </w:r>
            <w:r>
              <w:rPr>
                <w:rFonts w:hint="eastAsia" w:ascii="宋体" w:hAnsi="宋体" w:eastAsia="宋体" w:cs="宋体"/>
                <w:color w:val="auto"/>
                <w:highlight w:val="none"/>
                <w:lang w:eastAsia="zh-CN"/>
              </w:rPr>
              <w:t>采购人指定地点</w:t>
            </w:r>
            <w:r>
              <w:rPr>
                <w:rFonts w:hint="eastAsia" w:ascii="宋体" w:hAnsi="宋体" w:eastAsia="宋体" w:cs="宋体"/>
                <w:color w:val="auto"/>
                <w:highlight w:val="none"/>
              </w:rPr>
              <w:t>。</w:t>
            </w:r>
          </w:p>
          <w:p w14:paraId="05358551">
            <w:pPr>
              <w:rPr>
                <w:rFonts w:hint="eastAsia"/>
                <w:color w:val="auto"/>
                <w:highlight w:val="none"/>
              </w:rPr>
            </w:pPr>
            <w:r>
              <w:rPr>
                <w:rFonts w:hint="eastAsia"/>
                <w:color w:val="auto"/>
                <w:highlight w:val="none"/>
              </w:rPr>
              <w:t>四、▲验收标准、</w:t>
            </w:r>
            <w:r>
              <w:rPr>
                <w:rFonts w:hint="eastAsia"/>
                <w:color w:val="auto"/>
                <w:highlight w:val="none"/>
                <w:lang w:eastAsia="zh-CN"/>
              </w:rPr>
              <w:t>规范</w:t>
            </w:r>
            <w:r>
              <w:rPr>
                <w:rFonts w:hint="eastAsia"/>
                <w:color w:val="auto"/>
                <w:highlight w:val="none"/>
              </w:rPr>
              <w:t>：</w:t>
            </w:r>
            <w:r>
              <w:rPr>
                <w:rFonts w:hint="eastAsia"/>
                <w:color w:val="auto"/>
                <w:highlight w:val="none"/>
              </w:rPr>
              <w:t>采购标的需执行的国家标准、行业标准、地方标准或者其他标准、规范。多项标准的，按最新标准或较高标准执行。</w:t>
            </w:r>
          </w:p>
          <w:p w14:paraId="3B15B4FB">
            <w:pPr>
              <w:numPr>
                <w:ilvl w:val="0"/>
                <w:numId w:val="4"/>
              </w:numPr>
              <w:rPr>
                <w:rFonts w:hint="eastAsia"/>
                <w:color w:val="auto"/>
                <w:highlight w:val="none"/>
                <w:lang w:eastAsia="zh-CN"/>
              </w:rPr>
            </w:pPr>
            <w:r>
              <w:rPr>
                <w:rFonts w:hint="eastAsia"/>
                <w:color w:val="auto"/>
                <w:highlight w:val="none"/>
              </w:rPr>
              <w:t>▲</w:t>
            </w:r>
            <w:r>
              <w:rPr>
                <w:rFonts w:hint="eastAsia"/>
                <w:color w:val="auto"/>
                <w:highlight w:val="none"/>
                <w:lang w:val="en-US" w:eastAsia="zh-CN"/>
              </w:rPr>
              <w:t>服务</w:t>
            </w:r>
            <w:r>
              <w:rPr>
                <w:rFonts w:hint="eastAsia"/>
                <w:color w:val="auto"/>
                <w:highlight w:val="none"/>
                <w:lang w:eastAsia="zh-CN"/>
              </w:rPr>
              <w:t>要求：</w:t>
            </w:r>
          </w:p>
          <w:p w14:paraId="43CBDD4B">
            <w:pPr>
              <w:widowControl/>
              <w:numPr>
                <w:ilvl w:val="0"/>
                <w:numId w:val="0"/>
              </w:numPr>
              <w:shd w:val="clear" w:color="auto" w:fill="FFFFFF"/>
              <w:spacing w:line="330" w:lineRule="atLeast"/>
              <w:ind w:firstLine="420" w:firstLineChars="200"/>
              <w:rPr>
                <w:rFonts w:hint="eastAsia"/>
                <w:color w:val="auto"/>
                <w:highlight w:val="none"/>
                <w:lang w:eastAsia="zh-CN"/>
              </w:rPr>
            </w:pPr>
            <w:r>
              <w:rPr>
                <w:rFonts w:hint="eastAsia"/>
                <w:color w:val="auto"/>
                <w:highlight w:val="none"/>
                <w:lang w:eastAsia="zh-CN"/>
              </w:rPr>
              <w:t>1.处理问题响应时间：在项目核查阶段采购人发现问题或有调查沟通时，在接到采购人通知后5 小时内到达采购人指定现场处理。</w:t>
            </w:r>
          </w:p>
          <w:p w14:paraId="65CBFF52">
            <w:pPr>
              <w:widowControl/>
              <w:numPr>
                <w:ilvl w:val="0"/>
                <w:numId w:val="0"/>
              </w:numPr>
              <w:shd w:val="clear" w:color="auto" w:fill="FFFFFF"/>
              <w:spacing w:line="330" w:lineRule="atLeast"/>
              <w:ind w:firstLine="420" w:firstLineChars="200"/>
              <w:rPr>
                <w:rFonts w:hint="eastAsia"/>
                <w:color w:val="auto"/>
                <w:highlight w:val="none"/>
                <w:lang w:eastAsia="zh-CN"/>
              </w:rPr>
            </w:pPr>
            <w:r>
              <w:rPr>
                <w:rFonts w:hint="eastAsia"/>
                <w:color w:val="auto"/>
                <w:highlight w:val="none"/>
                <w:lang w:eastAsia="zh-CN"/>
              </w:rPr>
              <w:t>2.保密要求：工作过程中所使用到的相关数据、图表等资料及工作完成后提交的成果资料涉及保密要求的，均要按照《中华人民共和国保密法》及其相关条例中的保密规定进行使用。成果所有权归采购方所有，成交供应商有义务对成果保密，不得擅自截留使用和转卖或提供他人使用，违反本规定的将追还一切合同款项，情节严重按有关法律处理。</w:t>
            </w:r>
          </w:p>
          <w:p w14:paraId="3FDE08FE">
            <w:pPr>
              <w:numPr>
                <w:ilvl w:val="0"/>
                <w:numId w:val="4"/>
              </w:numPr>
              <w:ind w:left="0" w:leftChars="0" w:firstLine="0" w:firstLineChars="0"/>
              <w:rPr>
                <w:rFonts w:hint="eastAsia"/>
                <w:color w:val="auto"/>
                <w:highlight w:val="none"/>
              </w:rPr>
            </w:pPr>
            <w:r>
              <w:rPr>
                <w:rFonts w:hint="eastAsia"/>
                <w:color w:val="auto"/>
                <w:highlight w:val="none"/>
              </w:rPr>
              <w:t>▲报价要求：</w:t>
            </w:r>
          </w:p>
          <w:p w14:paraId="1CEE897E">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1、本项目采用固定报价的方式进行报价，磋商供应商须就《第三章 项目采购需求》中全部的服务内容作完整唯一报价。</w:t>
            </w:r>
          </w:p>
          <w:p w14:paraId="5403D99C">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2、报价必须含以下部分，包括：</w:t>
            </w:r>
          </w:p>
          <w:p w14:paraId="21A54D78">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（1）服务的价格；</w:t>
            </w:r>
          </w:p>
          <w:p w14:paraId="26C3AF97">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（2）必要的保险费用和各项税金；</w:t>
            </w:r>
          </w:p>
          <w:p w14:paraId="365D449B">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（3）项目验收、评审相关的专家评审费用；</w:t>
            </w:r>
          </w:p>
          <w:p w14:paraId="7E3CF5B1">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（4）技术支持、售后服务费用；</w:t>
            </w:r>
          </w:p>
          <w:p w14:paraId="7F7559FE">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实施和完成服务工作所需的设备、劳务、技术服务费、交通、维护、保险、办公场地、管理费、税费、利润、交通、损耗及人员劳务等费用和政策性文件规定及合同包含的所有风险、责任等各项应有的费用。</w:t>
            </w:r>
          </w:p>
          <w:p w14:paraId="38649705">
            <w:pPr>
              <w:rPr>
                <w:rFonts w:hint="eastAsia"/>
                <w:color w:val="auto"/>
                <w:highlight w:val="none"/>
              </w:rPr>
            </w:pPr>
            <w:r>
              <w:rPr>
                <w:rFonts w:hint="eastAsia"/>
                <w:color w:val="auto"/>
                <w:highlight w:val="none"/>
                <w:lang w:eastAsia="zh-CN"/>
              </w:rPr>
              <w:t>七</w:t>
            </w:r>
            <w:r>
              <w:rPr>
                <w:rFonts w:hint="eastAsia"/>
                <w:color w:val="auto"/>
                <w:highlight w:val="none"/>
              </w:rPr>
              <w:t>、▲服务响应：</w:t>
            </w:r>
          </w:p>
          <w:p w14:paraId="24085BC8">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1、处理问题响应时间：接到采购人处理问题通知后4小时内到达采购人指定现场。</w:t>
            </w:r>
          </w:p>
          <w:p w14:paraId="79EA451D">
            <w:pPr>
              <w:widowControl/>
              <w:numPr>
                <w:ilvl w:val="0"/>
                <w:numId w:val="0"/>
              </w:numPr>
              <w:shd w:val="clear" w:color="auto" w:fill="FFFFFF"/>
              <w:spacing w:line="330" w:lineRule="atLeas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2、如采购人需要，应及时提供必要的技术服务。</w:t>
            </w:r>
          </w:p>
          <w:p w14:paraId="717B3FFC">
            <w:pPr>
              <w:rPr>
                <w:rFonts w:hint="eastAsia"/>
                <w:color w:val="auto"/>
                <w:highlight w:val="none"/>
              </w:rPr>
            </w:pPr>
            <w:r>
              <w:rPr>
                <w:rFonts w:hint="eastAsia"/>
                <w:color w:val="auto"/>
                <w:highlight w:val="none"/>
                <w:lang w:eastAsia="zh-CN"/>
              </w:rPr>
              <w:t>八</w:t>
            </w:r>
            <w:r>
              <w:rPr>
                <w:rFonts w:hint="eastAsia"/>
                <w:color w:val="auto"/>
                <w:highlight w:val="none"/>
              </w:rPr>
              <w:t>、▲付款方式：</w:t>
            </w:r>
          </w:p>
          <w:p w14:paraId="04D22739">
            <w:pPr>
              <w:ind w:firstLine="420" w:firstLineChars="200"/>
              <w:rPr>
                <w:rFonts w:hint="eastAsia"/>
                <w:color w:val="auto"/>
                <w:highlight w:val="none"/>
                <w:lang w:eastAsia="zh-CN"/>
              </w:rPr>
            </w:pPr>
            <w:r>
              <w:rPr>
                <w:rFonts w:hint="eastAsia"/>
                <w:color w:val="auto"/>
                <w:highlight w:val="none"/>
                <w:lang w:eastAsia="zh-CN"/>
              </w:rPr>
              <w:t>（1）合同签订后10个工作日内，采购人向成交供应商支付合同总价30%作为预付款；</w:t>
            </w:r>
          </w:p>
          <w:p w14:paraId="1D7DBFB5">
            <w:pPr>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）成交供应商完成成果，并通过市级论证后10个工作日内，采购人向成交供应商支付合同总价的</w:t>
            </w:r>
            <w:r>
              <w:rPr>
                <w:rFonts w:hint="eastAsia" w:ascii="Times New Roman" w:hAnsi="Times New Roman" w:eastAsia="宋体" w:cs="Times New Roman"/>
                <w:color w:val="auto"/>
                <w:highlight w:val="none"/>
                <w:lang w:val="en-US" w:eastAsia="zh-CN"/>
              </w:rPr>
              <w:t>60</w:t>
            </w:r>
            <w:r>
              <w:rPr>
                <w:rFonts w:hint="eastAsia" w:ascii="Times New Roman" w:hAnsi="Times New Roman" w:eastAsia="宋体" w:cs="Times New Roman"/>
                <w:color w:val="auto"/>
                <w:highlight w:val="none"/>
                <w:lang w:eastAsia="zh-CN"/>
              </w:rPr>
              <w:t>%。</w:t>
            </w:r>
          </w:p>
          <w:p w14:paraId="69A7AB00">
            <w:pPr>
              <w:ind w:firstLine="420" w:firstLineChars="200"/>
              <w:rPr>
                <w:rFonts w:hint="eastAsia"/>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eastAsia="zh-CN"/>
              </w:rPr>
              <w:t>）成交供应商提交成果至自治</w:t>
            </w:r>
            <w:r>
              <w:rPr>
                <w:rFonts w:hint="eastAsia"/>
                <w:color w:val="auto"/>
                <w:highlight w:val="none"/>
                <w:lang w:eastAsia="zh-CN"/>
              </w:rPr>
              <w:t>区自然资源厅后10个工作日内，采购人支付合同总价10%。</w:t>
            </w:r>
          </w:p>
          <w:p w14:paraId="54D13A3A">
            <w:pPr>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）成交供应商按规定向采购人开具正式发票。</w:t>
            </w:r>
          </w:p>
          <w:p w14:paraId="1741D52E">
            <w:pPr>
              <w:rPr>
                <w:rFonts w:hint="eastAsia" w:ascii="Times New Roman" w:hAnsi="Times New Roman" w:eastAsia="宋体" w:cs="Times New Roman"/>
                <w:color w:val="auto"/>
                <w:highlight w:val="none"/>
                <w:lang w:eastAsia="zh-CN"/>
              </w:rPr>
            </w:pPr>
            <w:r>
              <w:rPr>
                <w:rFonts w:hint="eastAsia"/>
                <w:color w:val="auto"/>
                <w:highlight w:val="none"/>
                <w:lang w:eastAsia="zh-CN"/>
              </w:rPr>
              <w:t>九</w:t>
            </w:r>
            <w:r>
              <w:rPr>
                <w:rFonts w:hint="eastAsia"/>
                <w:color w:val="auto"/>
                <w:highlight w:val="none"/>
              </w:rPr>
              <w:t>、</w:t>
            </w:r>
            <w:r>
              <w:rPr>
                <w:rFonts w:hint="eastAsia"/>
                <w:color w:val="auto"/>
                <w:highlight w:val="none"/>
                <w:lang w:eastAsia="zh-CN"/>
              </w:rPr>
              <w:t>其他要求</w:t>
            </w:r>
            <w:r>
              <w:rPr>
                <w:rFonts w:hint="eastAsia"/>
                <w:color w:val="auto"/>
                <w:highlight w:val="none"/>
              </w:rPr>
              <w:t>：</w:t>
            </w:r>
          </w:p>
          <w:p w14:paraId="04D339B3">
            <w:pPr>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1.采购人在中华人民共和国境内使用供应商提供的成果时免受第三方提出的侵犯其专利权或其它知识产权的起诉。如果第三方提出侵权指控，成交供应商应承担由此而引起的一切法律责任和费用。</w:t>
            </w:r>
          </w:p>
          <w:p w14:paraId="15F97F64">
            <w:pPr>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2.成交后，若成交供应商所供产品及售后服务不按竞争性磋商文件要求履约的，将按照《中华人民共和国政府采购法》及其实施条例等有关规定严肃处理。</w:t>
            </w:r>
          </w:p>
          <w:p w14:paraId="490E088C">
            <w:pPr>
              <w:ind w:firstLine="420" w:firstLineChars="200"/>
              <w:rPr>
                <w:rFonts w:hint="eastAsia"/>
                <w:color w:val="auto"/>
                <w:highlight w:val="none"/>
              </w:rPr>
            </w:pPr>
            <w:r>
              <w:rPr>
                <w:rFonts w:hint="eastAsia" w:ascii="Times New Roman" w:hAnsi="Times New Roman" w:eastAsia="宋体" w:cs="Times New Roman"/>
                <w:color w:val="auto"/>
                <w:highlight w:val="none"/>
                <w:lang w:eastAsia="zh-CN"/>
              </w:rPr>
              <w:t>3. 供应商须对业主提供的资料及完成的成果进行保密，不经业主同意，不对外公布和透露项目相关信息和资料。</w:t>
            </w:r>
          </w:p>
        </w:tc>
      </w:tr>
    </w:tbl>
    <w:p w14:paraId="16CD7725">
      <w:pPr>
        <w:pStyle w:val="19"/>
        <w:jc w:val="left"/>
        <w:rPr>
          <w:rFonts w:hAnsi="宋体" w:cs="宋体"/>
          <w:color w:val="auto"/>
          <w:sz w:val="32"/>
          <w:szCs w:val="32"/>
          <w:highlight w:val="none"/>
        </w:rPr>
      </w:pPr>
    </w:p>
    <w:p w14:paraId="4EF60A77">
      <w:pPr>
        <w:pStyle w:val="19"/>
        <w:jc w:val="left"/>
        <w:rPr>
          <w:rFonts w:hAnsi="宋体" w:cs="宋体"/>
          <w:color w:val="auto"/>
          <w:sz w:val="32"/>
          <w:szCs w:val="32"/>
          <w:highlight w:val="none"/>
        </w:rPr>
      </w:pPr>
    </w:p>
    <w:p w14:paraId="4F8959F8">
      <w:pPr>
        <w:pStyle w:val="19"/>
        <w:jc w:val="left"/>
        <w:rPr>
          <w:rFonts w:hAnsi="宋体" w:cs="宋体"/>
          <w:color w:val="auto"/>
          <w:sz w:val="32"/>
          <w:szCs w:val="32"/>
          <w:highlight w:val="none"/>
        </w:rPr>
      </w:pPr>
    </w:p>
    <w:p w14:paraId="620DF37C">
      <w:pPr>
        <w:pStyle w:val="19"/>
        <w:jc w:val="left"/>
        <w:rPr>
          <w:rFonts w:hAnsi="宋体" w:cs="宋体"/>
          <w:color w:val="auto"/>
          <w:sz w:val="32"/>
          <w:szCs w:val="32"/>
          <w:highlight w:val="none"/>
        </w:rPr>
      </w:pPr>
    </w:p>
    <w:p w14:paraId="1AA1F434">
      <w:pPr>
        <w:pStyle w:val="19"/>
        <w:jc w:val="left"/>
        <w:rPr>
          <w:rFonts w:hAnsi="宋体" w:cs="宋体"/>
          <w:color w:val="auto"/>
          <w:sz w:val="32"/>
          <w:szCs w:val="32"/>
          <w:highlight w:val="none"/>
        </w:rPr>
      </w:pPr>
    </w:p>
    <w:p w14:paraId="2ECC4068">
      <w:pPr>
        <w:pStyle w:val="19"/>
        <w:jc w:val="left"/>
        <w:rPr>
          <w:rFonts w:hAnsi="宋体" w:cs="宋体"/>
          <w:color w:val="auto"/>
          <w:sz w:val="32"/>
          <w:szCs w:val="32"/>
          <w:highlight w:val="none"/>
        </w:rPr>
      </w:pPr>
    </w:p>
    <w:p w14:paraId="40D61500">
      <w:pPr>
        <w:pStyle w:val="19"/>
        <w:jc w:val="left"/>
        <w:rPr>
          <w:rFonts w:hint="eastAsia" w:hAnsi="宋体" w:cs="宋体"/>
          <w:color w:val="auto"/>
          <w:sz w:val="32"/>
          <w:szCs w:val="32"/>
          <w:highlight w:val="none"/>
        </w:rPr>
      </w:pPr>
    </w:p>
    <w:p w14:paraId="016CE440">
      <w:pPr>
        <w:pStyle w:val="19"/>
        <w:jc w:val="left"/>
        <w:rPr>
          <w:rFonts w:hint="eastAsia" w:hAnsi="宋体" w:cs="宋体"/>
          <w:color w:val="auto"/>
          <w:sz w:val="32"/>
          <w:szCs w:val="32"/>
          <w:highlight w:val="none"/>
        </w:rPr>
      </w:pPr>
    </w:p>
    <w:p w14:paraId="06ABCB68">
      <w:pPr>
        <w:pStyle w:val="19"/>
        <w:jc w:val="left"/>
        <w:rPr>
          <w:rFonts w:hint="eastAsia" w:hAnsi="宋体" w:cs="宋体"/>
          <w:color w:val="auto"/>
          <w:sz w:val="32"/>
          <w:szCs w:val="32"/>
          <w:highlight w:val="none"/>
        </w:rPr>
      </w:pPr>
    </w:p>
    <w:p w14:paraId="54632D97">
      <w:pPr>
        <w:pStyle w:val="19"/>
        <w:jc w:val="left"/>
        <w:rPr>
          <w:rFonts w:hint="eastAsia" w:hAnsi="宋体" w:cs="宋体"/>
          <w:color w:val="auto"/>
          <w:sz w:val="32"/>
          <w:szCs w:val="32"/>
          <w:highlight w:val="none"/>
        </w:rPr>
      </w:pPr>
    </w:p>
    <w:p w14:paraId="4F6E3F87">
      <w:pPr>
        <w:pStyle w:val="19"/>
        <w:jc w:val="left"/>
        <w:rPr>
          <w:rFonts w:hint="eastAsia" w:hAnsi="宋体" w:cs="宋体"/>
          <w:color w:val="auto"/>
          <w:sz w:val="32"/>
          <w:szCs w:val="32"/>
          <w:highlight w:val="none"/>
        </w:rPr>
      </w:pPr>
    </w:p>
    <w:p w14:paraId="0355C8CF">
      <w:pPr>
        <w:pStyle w:val="19"/>
        <w:jc w:val="left"/>
        <w:rPr>
          <w:rFonts w:hint="eastAsia" w:hAnsi="宋体" w:cs="宋体"/>
          <w:color w:val="auto"/>
          <w:sz w:val="32"/>
          <w:szCs w:val="32"/>
          <w:highlight w:val="none"/>
        </w:rPr>
      </w:pPr>
    </w:p>
    <w:p w14:paraId="4CC71C01">
      <w:pPr>
        <w:pStyle w:val="19"/>
        <w:jc w:val="left"/>
        <w:rPr>
          <w:rFonts w:hint="eastAsia" w:hAnsi="宋体" w:cs="宋体"/>
          <w:color w:val="auto"/>
          <w:sz w:val="32"/>
          <w:szCs w:val="32"/>
          <w:highlight w:val="none"/>
        </w:rPr>
      </w:pPr>
    </w:p>
    <w:p w14:paraId="0C98C986">
      <w:pPr>
        <w:rPr>
          <w:rFonts w:hint="eastAsia" w:hAnsi="宋体" w:cs="宋体"/>
          <w:color w:val="auto"/>
          <w:sz w:val="32"/>
          <w:szCs w:val="32"/>
          <w:highlight w:val="none"/>
        </w:rPr>
      </w:pPr>
    </w:p>
    <w:p w14:paraId="25DA5092">
      <w:pPr>
        <w:pStyle w:val="2"/>
        <w:rPr>
          <w:rFonts w:hint="eastAsia" w:hAnsi="宋体" w:cs="宋体"/>
          <w:color w:val="auto"/>
          <w:sz w:val="32"/>
          <w:szCs w:val="32"/>
          <w:highlight w:val="none"/>
        </w:rPr>
      </w:pPr>
    </w:p>
    <w:p w14:paraId="2ACD8291">
      <w:pPr>
        <w:pStyle w:val="2"/>
        <w:rPr>
          <w:rFonts w:hint="eastAsia" w:hAnsi="宋体" w:cs="宋体"/>
          <w:color w:val="auto"/>
          <w:sz w:val="32"/>
          <w:szCs w:val="32"/>
          <w:highlight w:val="none"/>
        </w:rPr>
      </w:pPr>
    </w:p>
    <w:p w14:paraId="05DF004D">
      <w:pPr>
        <w:pStyle w:val="19"/>
        <w:jc w:val="left"/>
        <w:rPr>
          <w:rFonts w:hint="eastAsia" w:hAnsi="宋体" w:cs="宋体"/>
          <w:color w:val="auto"/>
          <w:sz w:val="32"/>
          <w:szCs w:val="32"/>
          <w:highlight w:val="none"/>
        </w:rPr>
      </w:pPr>
    </w:p>
    <w:p w14:paraId="382F0CBD">
      <w:pPr>
        <w:pStyle w:val="19"/>
        <w:jc w:val="left"/>
        <w:rPr>
          <w:rFonts w:hAnsi="宋体" w:cs="宋体"/>
          <w:color w:val="auto"/>
          <w:sz w:val="32"/>
          <w:szCs w:val="32"/>
          <w:highlight w:val="none"/>
        </w:rPr>
      </w:pPr>
      <w:r>
        <w:rPr>
          <w:rFonts w:hint="eastAsia" w:hAnsi="宋体" w:cs="宋体"/>
          <w:color w:val="auto"/>
          <w:sz w:val="32"/>
          <w:szCs w:val="32"/>
          <w:highlight w:val="none"/>
        </w:rPr>
        <w:t>附件1：</w:t>
      </w:r>
    </w:p>
    <w:p w14:paraId="6E278908">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3"/>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4861A1F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309D4B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0D22948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7F4677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1D857D6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7633CE30">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4DFCD17F">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5A7E05B">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41FA146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223732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36B89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2D048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67C15D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491C80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44552B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18E2C0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1F5828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BFA18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8CB22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8C534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4A58A3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471BE6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68EA71E">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B5B23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02F30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CC4EE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3D15BB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4FBE97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DD35FF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A5C25B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48D520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06729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0DFAA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4E4F97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A2619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998EE3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7B8C870">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CBC70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17B77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1555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13AF3C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0BC9B5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63359D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FCB015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2988A2C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865BE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24B76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3967F7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1CEAA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4104F8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9A06A5D">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330A9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A732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FDC81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2BD999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5DE803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615FDD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C2A074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7B4430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4640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41204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1536E7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1F5CBE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584C8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6DE356F">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6FFB9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A11F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27FDE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4AD4BE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439507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F391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02D90A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1B9993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3E6A0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5F984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0B67A9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5596C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2AD1A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604B113">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C064F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A9335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F4335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4088C1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0483DE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CB7699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25E3A4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64401D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EFA79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CEB70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238654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14A153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EB937A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71D5538">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96017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03C8B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5D526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364ADE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706D9D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F0B800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76E36B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01DCFC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D7F6B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3CA4A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43496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559BFD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330BA6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FA089DA">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7173E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0C09C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93571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352787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5A5D7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E2969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3F9C90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4DC2B9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B0DF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6C657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0C521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C0FE6E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8C1107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F10B8B8">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84E74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18F52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75080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6B072B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F13560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2DE1B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54281E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4B7481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AB30A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332AE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3DBA2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15526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9D962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3AB5B06">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94DA3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E8311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66046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25E3B3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5FC5F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88877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E2CA4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3040F2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85E9A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327D8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031F81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10D1B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F4D02D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751A65E">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14893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3C735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08910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177E24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1D6D80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435F0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CA0EC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0DCE00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EE941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2CD04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C4531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8A997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50E64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ED420B0">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95B8F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F7BBD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A05D4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40D43C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2A2AF4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5D2922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FE7D02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71D9DF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91F73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69ECD0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54A252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4C34F7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F8D7C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2322D3A">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C758C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1A4B3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61121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659EF8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3260CB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2F8E99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A1EC2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2BBCBE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C4B02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D90A3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1376F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12CA7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F648FC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96CE1AA">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AFCAF5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E5966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32910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225BEB5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5C998A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85EFE0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97E8AAD">
            <w:pPr>
              <w:widowControl/>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0CBF80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4370C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3452E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83B79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77530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240BA2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9A9B55E">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CFD24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E714C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E30D6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3BFD4F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385119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733393">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74B2E58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4DCCC0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A3580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BFE63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32D38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437568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C48DAB3">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cs="宋体"/>
          <w:color w:val="auto"/>
          <w:szCs w:val="21"/>
          <w:highlight w:val="none"/>
        </w:rPr>
        <w:tab/>
      </w:r>
      <w:r>
        <w:rPr>
          <w:rFonts w:hint="eastAsia" w:ascii="宋体" w:hAnsi="宋体" w:cs="宋体"/>
          <w:color w:val="auto"/>
          <w:szCs w:val="21"/>
          <w:highlight w:val="none"/>
        </w:rPr>
        <w:t>。</w:t>
      </w:r>
    </w:p>
    <w:p w14:paraId="7606A34F">
      <w:pPr>
        <w:tabs>
          <w:tab w:val="left" w:pos="180"/>
          <w:tab w:val="left" w:pos="1620"/>
        </w:tabs>
        <w:spacing w:line="440" w:lineRule="exact"/>
        <w:ind w:firstLine="480" w:firstLineChars="200"/>
        <w:rPr>
          <w:rFonts w:ascii="宋体" w:hAnsi="宋体" w:cs="宋体"/>
          <w:color w:val="auto"/>
          <w:sz w:val="24"/>
          <w:highlight w:val="none"/>
        </w:rPr>
      </w:pPr>
    </w:p>
    <w:p w14:paraId="612F6AA0">
      <w:pPr>
        <w:pStyle w:val="32"/>
        <w:ind w:firstLine="480"/>
        <w:rPr>
          <w:rFonts w:ascii="宋体" w:hAnsi="宋体" w:eastAsia="宋体" w:cs="宋体"/>
          <w:color w:val="auto"/>
          <w:sz w:val="24"/>
          <w:highlight w:val="none"/>
        </w:rPr>
      </w:pPr>
    </w:p>
    <w:p w14:paraId="788800D9">
      <w:pPr>
        <w:pStyle w:val="4"/>
        <w:jc w:val="center"/>
        <w:rPr>
          <w:rFonts w:ascii="宋体" w:hAnsi="宋体" w:cs="宋体"/>
          <w:color w:val="auto"/>
          <w:highlight w:val="none"/>
        </w:rPr>
      </w:pPr>
      <w:bookmarkStart w:id="68" w:name="_Toc24265"/>
      <w:bookmarkStart w:id="69" w:name="_Toc489"/>
      <w:r>
        <w:rPr>
          <w:rFonts w:hint="eastAsia" w:ascii="宋体" w:hAnsi="宋体" w:cs="宋体"/>
          <w:color w:val="auto"/>
          <w:highlight w:val="none"/>
        </w:rPr>
        <w:t>第四章  评审程序、评审方法和评审标准</w:t>
      </w:r>
      <w:bookmarkEnd w:id="68"/>
      <w:bookmarkEnd w:id="69"/>
    </w:p>
    <w:p w14:paraId="39EAC5A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298B9F7C">
      <w:pPr>
        <w:pStyle w:val="2"/>
        <w:jc w:val="center"/>
        <w:rPr>
          <w:b/>
          <w:bCs/>
          <w:color w:val="auto"/>
          <w:highlight w:val="none"/>
        </w:rPr>
      </w:pPr>
      <w:r>
        <w:rPr>
          <w:rFonts w:hint="eastAsia"/>
          <w:b/>
          <w:bCs/>
          <w:color w:val="auto"/>
          <w:highlight w:val="none"/>
        </w:rPr>
        <w:t>(分标1、2、3)</w:t>
      </w:r>
    </w:p>
    <w:p w14:paraId="6AE9D8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6F11D8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1.1响应文件开启后，磋商小组依法对供应商的资格证明文件进行审查。</w:t>
      </w:r>
    </w:p>
    <w:p w14:paraId="221B6AD2">
      <w:pPr>
        <w:spacing w:line="360" w:lineRule="auto"/>
        <w:rPr>
          <w:rFonts w:ascii="宋体" w:hAnsi="宋体" w:cs="宋体"/>
          <w:color w:val="auto"/>
          <w:sz w:val="24"/>
          <w:highlight w:val="none"/>
        </w:rPr>
      </w:pPr>
      <w:r>
        <w:rPr>
          <w:rFonts w:hint="eastAsia" w:ascii="宋体" w:hAnsi="宋体" w:cs="宋体"/>
          <w:color w:val="auto"/>
          <w:sz w:val="24"/>
          <w:highlight w:val="none"/>
        </w:rPr>
        <w:t>注：资格审查小组在资格审查结束前，对供应商进行信用查询。</w:t>
      </w:r>
    </w:p>
    <w:p w14:paraId="30F23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（1）查询渠道：“</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”平台“信用中国”网站(www.creditchina.gov.cn)、中国政府采购网(www.ccgp.gov.cn)链接入口。</w:t>
      </w:r>
    </w:p>
    <w:p w14:paraId="6BF5F6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（2）信用查询截止时点：资格审查结束前。</w:t>
      </w:r>
    </w:p>
    <w:p w14:paraId="2FB698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（3）查询记录和证据留存方式：在查询网站中直接查询，截图另存为电子文档作为评审资料保存。</w:t>
      </w:r>
    </w:p>
    <w:p w14:paraId="34E71F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246CB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1.2资格审查标准为本磋商文件中载明对供应商资格要求的条件。资格审查采用合格制，凡符合磋商文件规定的供应商资格要求的响应文件均通过资格审查。</w:t>
      </w:r>
    </w:p>
    <w:p w14:paraId="53C4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1.3供应商有下列情形之一的，资格审查不通过，其响应文件按无效响应处理：</w:t>
      </w:r>
    </w:p>
    <w:p w14:paraId="1DA4AA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（1）不具备磋商文件中规定的资格要求的；</w:t>
      </w:r>
    </w:p>
    <w:p w14:paraId="2544CB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（2）响应文件未提供任一项“供应商须知前附表”资格证明文件规定的“必须提供”的文件资料的；</w:t>
      </w:r>
    </w:p>
    <w:p w14:paraId="2174B6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（3）响应文件提供的资格证明文件出现任一项不符合“供应商须知前附表”资格证明文件规定的“必须提供”的文件资料要求或者无效的。</w:t>
      </w:r>
    </w:p>
    <w:p w14:paraId="53CFE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1.4通过资格审查的合格供应商不足3家的，不得进入符合性审查环节，采购人或者采购代理机构应当重新开展采购活动。</w:t>
      </w:r>
    </w:p>
    <w:p w14:paraId="111CCE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6B0887F8">
      <w:pPr>
        <w:spacing w:line="360" w:lineRule="auto"/>
        <w:ind w:firstLine="480" w:firstLineChars="200"/>
        <w:rPr>
          <w:rFonts w:ascii="宋体" w:hAnsi="宋体" w:cs="宋体"/>
          <w:color w:val="auto"/>
          <w:sz w:val="24"/>
          <w:highlight w:val="none"/>
        </w:rPr>
      </w:pPr>
      <w:bookmarkStart w:id="70" w:name="_Hlk42528882"/>
      <w:r>
        <w:rPr>
          <w:rFonts w:hint="eastAsia" w:ascii="宋体" w:hAnsi="宋体" w:cs="宋体"/>
          <w:color w:val="auto"/>
          <w:sz w:val="24"/>
          <w:highlight w:val="none"/>
        </w:rPr>
        <w:t>2.1由磋商小组对通过资格审查的合格供应商的响应文件的竞标报价、商务、技术等实质性要求进行符合性审查，以确定其是否满足磋商文件的实质性要求。</w:t>
      </w:r>
    </w:p>
    <w:bookmarkEnd w:id="70"/>
    <w:p w14:paraId="70D8A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874D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 w:val="24"/>
          <w:highlight w:val="none"/>
        </w:rPr>
        <w:t>若委托代理人不是响应文件中授权的委托代理人时，必须同时出示有效的法定代表人授权委托书原件</w:t>
      </w:r>
      <w:r>
        <w:rPr>
          <w:rFonts w:hint="eastAsia" w:ascii="宋体" w:hAnsi="宋体" w:cs="宋体"/>
          <w:color w:val="auto"/>
          <w:sz w:val="24"/>
          <w:highlight w:val="none"/>
        </w:rPr>
        <w:t>。供应商为自然人的，必须由本人签字并附身份证明。</w:t>
      </w:r>
    </w:p>
    <w:p w14:paraId="76044D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2.4首次响应文件报价出现前后不一致的，按照下列规定修正： </w:t>
      </w:r>
    </w:p>
    <w:p w14:paraId="0CA462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（1）响应文件中报价表内容与响应文件中相应内容不一致的，以报价表为准；</w:t>
      </w:r>
    </w:p>
    <w:p w14:paraId="5D047D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51D94D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（3）单价金额小数点或者百分比有明显错位的，以报价表的总价为准，并修改单价；</w:t>
      </w:r>
    </w:p>
    <w:p w14:paraId="4B80A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52B10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同时出现两种以上不一致的，按照以上（1）-（4）规定的顺序逐条进行修正。修正后的报价经供应商确认后产生约束力，供应商不确认的，其响应文件按无效响应处理。</w:t>
      </w:r>
    </w:p>
    <w:p w14:paraId="7E486E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2.5商务技术报价评审</w:t>
      </w:r>
    </w:p>
    <w:p w14:paraId="65E3E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在评审时，如发现下列情形之一的，将被视为响应文件无效处理：</w:t>
      </w:r>
    </w:p>
    <w:p w14:paraId="7091F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（1）商务技术评审</w:t>
      </w:r>
    </w:p>
    <w:p w14:paraId="651B76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1）响应文件未按磋商文件要求签署、盖章；</w:t>
      </w:r>
    </w:p>
    <w:p w14:paraId="5E9624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216004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3）商务条款中标“▲”的条款发生负偏离的或者允许负偏离的条款数超过“供应商须知前附表”规定项数的或者标明实质性的要求发生负偏离；</w:t>
      </w:r>
    </w:p>
    <w:p w14:paraId="29C87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4）未对竞标有效期作出响应或者响应文件承诺的竞标有效期不满足磋商文件要求；</w:t>
      </w:r>
    </w:p>
    <w:p w14:paraId="6222C6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5）响应文件的实质性内容未使用中文表述、使用计量单位不符合磋商文件要求；</w:t>
      </w:r>
    </w:p>
    <w:p w14:paraId="2B302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6）响应文件中的文件资料因填写不齐全或者内容虚假或者出现其他情形而导致被磋商小组认定无效；</w:t>
      </w:r>
    </w:p>
    <w:p w14:paraId="72B41E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7）响应文件含有采购人不能接受的附加条件；</w:t>
      </w:r>
    </w:p>
    <w:p w14:paraId="77034D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8）属于“供应商须知正文”第7.5条情形；</w:t>
      </w:r>
    </w:p>
    <w:p w14:paraId="3A8CE2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9）明显不满足磋商文件要求的技术规格、安全、质量标准，或者与磋商文件中标“▲”的技术需求或者标明实质性的要求发生负偏离；</w:t>
      </w:r>
    </w:p>
    <w:p w14:paraId="31D4C7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10）技术需求允许负偏离的条款数超过“供应商须知前附表”规定项数；</w:t>
      </w:r>
    </w:p>
    <w:p w14:paraId="77096C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11）竞标技术方案不明确，磋商文件未允许但响应文件中存在一个或者一个以上备选（替代）竞标方案；</w:t>
      </w:r>
    </w:p>
    <w:p w14:paraId="4EFAE3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12）未响应磋商文件实质性要求；</w:t>
      </w:r>
    </w:p>
    <w:p w14:paraId="4FDC2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13）法律、法规和磋商文件规定的其他无效情形。</w:t>
      </w:r>
    </w:p>
    <w:p w14:paraId="64D42C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（2）报价评审</w:t>
      </w:r>
    </w:p>
    <w:p w14:paraId="0CB2F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响应文件未提供“供应商须知前附表” 报价商务技术文件中规定的“竞标报价表”；</w:t>
      </w:r>
    </w:p>
    <w:p w14:paraId="35E33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w:t>
      </w:r>
    </w:p>
    <w:p w14:paraId="45A2B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BBD70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4）竞标报价（包含首次报价、最后报价）超过所竞标分标规定的采购预算金额或者最高限价的（如本项目公布了最高限价）；</w:t>
      </w:r>
      <w:bookmarkStart w:id="71" w:name="_Hlk42596405"/>
      <w:r>
        <w:rPr>
          <w:rFonts w:hint="eastAsia" w:ascii="宋体" w:hAnsi="宋体" w:cs="宋体"/>
          <w:color w:val="auto"/>
          <w:sz w:val="24"/>
          <w:highlight w:val="none"/>
        </w:rPr>
        <w:t>竞标报价（包含首次报价、最后报价）</w:t>
      </w:r>
      <w:bookmarkEnd w:id="71"/>
      <w:bookmarkStart w:id="72" w:name="_Hlk42596276"/>
      <w:r>
        <w:rPr>
          <w:rFonts w:hint="eastAsia" w:ascii="宋体" w:hAnsi="宋体" w:cs="宋体"/>
          <w:color w:val="auto"/>
          <w:sz w:val="24"/>
          <w:highlight w:val="none"/>
        </w:rPr>
        <w:t>超过磋商文件分项采购预算金额或者最高限价的</w:t>
      </w:r>
      <w:bookmarkEnd w:id="72"/>
      <w:r>
        <w:rPr>
          <w:rFonts w:hint="eastAsia" w:ascii="宋体" w:hAnsi="宋体" w:cs="宋体"/>
          <w:color w:val="auto"/>
          <w:sz w:val="24"/>
          <w:highlight w:val="none"/>
        </w:rPr>
        <w:t>（如本项目公布了最高限价）；</w:t>
      </w:r>
    </w:p>
    <w:p w14:paraId="3DE2D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286A6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36B3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2.7通过符合性审查的合格供应商不足3家的，不得进入磋商环节，采购人或者采购代理机构应当重新开展采购活动。</w:t>
      </w:r>
    </w:p>
    <w:p w14:paraId="756248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w:t>
      </w:r>
    </w:p>
    <w:p w14:paraId="57EB38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3.1磋商的程序</w:t>
      </w:r>
    </w:p>
    <w:p w14:paraId="16C145D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（1）在磋商开始时间截止后30分钟内由各供应商自行对磋商响应文件进行解密；</w:t>
      </w:r>
    </w:p>
    <w:p w14:paraId="035714D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（2）由资格审查小组对供应商进行资格审查；</w:t>
      </w:r>
    </w:p>
    <w:p w14:paraId="5FEF5FA9">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（3）由磋商小组对通过资格审查的供应商进行符合性审查，审查结束后，在线通知无效磋商供应商磋商响应文件无效理由，有效磋商供应商进入磋商程序。</w:t>
      </w:r>
    </w:p>
    <w:p w14:paraId="369F1E66">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（4）系统对各供应商的商务技术进行汇总；</w:t>
      </w:r>
    </w:p>
    <w:p w14:paraId="3940D73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（5）磋商小组所有成员应当集中与单一供应商分别进行在线磋商，并给予所有参加磋商的供应商平等的磋商机会。</w:t>
      </w:r>
    </w:p>
    <w:p w14:paraId="193B243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6）当磋商小组一致确定供应商的竞争性磋商响应文件能够详细列明采购标的的技术、服务要求且符合竞争性磋商文件要求，无需再磋商的，磋商小组按磋商评审标准确定成交候选供应商。第一轮磋商后竞争性磋商文件有实质性变动或仍需磋商的，磋商小组对竞争性磋商文件变动或提出磋商意见后进行第二轮磋商。</w:t>
      </w:r>
    </w:p>
    <w:p w14:paraId="0A44E999">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3.2竞争性磋商文件变动</w:t>
      </w:r>
    </w:p>
    <w:p w14:paraId="6C3EDDF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E20DCDD">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对竞争性磋商文件作出的实质性变动是竞争性磋商文件的有效组成部分，磋商小组应当在询标规定时间内及时通知所有参加磋商的供应商，并要求供应商做出响应（需盖 CA 电子签章）。</w:t>
      </w:r>
    </w:p>
    <w:p w14:paraId="79EA2D4E">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3.3第二轮磋商</w:t>
      </w:r>
    </w:p>
    <w:p w14:paraId="0B3766C6">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3.3.1磋商小组集中就重新提交的响应材料或磋商小组提出的磋商意见与单一响应供应商分别进行在线磋商。</w:t>
      </w:r>
    </w:p>
    <w:p w14:paraId="49F61473">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3.3.2磋商后，在询标规定时间内供应商根据磋商小组统一整理的磋商记录要求做出承诺（需盖 CA 电子签章）。</w:t>
      </w:r>
    </w:p>
    <w:p w14:paraId="3100EFA5">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3.3.3当磋商小组一致确定供应商的竞争性磋商响应文件能够详细列明采购标的的技术、服务要求且符合竞争性磋商文件要求，无需再磋商的，磋商小组按 磋商评审标准确定成交候选供应商。第二轮磋商后竞争性磋商文件仍有实质性变动的或仍需磋商的，磋商小组对竞争性磋商文件变动或提出磋商意见后进行第三轮磋商。以此类推。</w:t>
      </w:r>
    </w:p>
    <w:p w14:paraId="3A780BF2">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3.3.4特别说明</w:t>
      </w:r>
    </w:p>
    <w:p w14:paraId="312249CC">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公司如对电子化开标及评审程序有调整的，按调整后的程序操作。</w:t>
      </w:r>
    </w:p>
    <w:p w14:paraId="54668630">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（2）磋商评审在严格保密的情况下进行，磋商的任何一方不得透露与磋商有关的其他供应商的技术资料、价格和其他信息。</w:t>
      </w:r>
    </w:p>
    <w:p w14:paraId="3331FF3B">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（3）电子磋商过程中需要供应商在线确认的所有内容，供应商不予确认的应说明理由，超过规定时间未确认的，将被视为放弃确认或者无异议。</w:t>
      </w:r>
    </w:p>
    <w:p w14:paraId="437585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澄清问题的形式：对响应文件中含义不明确、同类问题表述不一致或者有明显文字和计算错误的内容，磋商小组可要求供应商作出必要的澄清、说明或者纠正，供应商应在询标规定时间内进行澄清或说明（需盖 CA 电子签章），并不得超出采购文件的范围或者改变磋商响应文件的实质性内容。</w:t>
      </w:r>
    </w:p>
    <w:p w14:paraId="2AA846BF">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F9D04F8">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3.5对磋商过程提交的响应文件进行有效性、完整性和响应程度审查，通过审查的合格供应商不足3家的，除本章第3.4条的情形外，采购人或者采购代理机构应当重新开展采购活动。</w:t>
      </w:r>
    </w:p>
    <w:p w14:paraId="510520C5">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 最后报价</w:t>
      </w:r>
    </w:p>
    <w:p w14:paraId="13BC40E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4.1磋商文件能够详细列明采购标的的技术、服务要求的，磋商结束后，由磋商小组要求所有继续参加磋商的供应商在规定时间内在线提交最后报价，由其法定代表人(负责人)或授权代表 CA 电子签章后提交。提交最后报价的供应商不得少于3家，除本章第4.3条外，否则必须重新采购。</w:t>
      </w:r>
    </w:p>
    <w:p w14:paraId="0A0828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99A6C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BCF18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4.4供应商未在规定时间内提交最后报价的，视为退出磋商，其响应文件作无效处理。</w:t>
      </w:r>
    </w:p>
    <w:p w14:paraId="562210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4.5磋商小组收齐某一分标最后报价后统一开启，磋商小组对最后报价进行有效性、完整性和响应程度的审查。</w:t>
      </w:r>
    </w:p>
    <w:p w14:paraId="03531A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4.6响应文件最后报价出现前后不一致的，按照本章第2.4条的规定修正。 </w:t>
      </w:r>
    </w:p>
    <w:p w14:paraId="329004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4.7修正后的报价出现下列情形的，按无效响应处理：</w:t>
      </w:r>
    </w:p>
    <w:p w14:paraId="77DBC4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（1）供应商不确认的；</w:t>
      </w:r>
    </w:p>
    <w:p w14:paraId="3A92FC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（2）经供应商确认修正后的竞标报价（包含首次报价、最后报价）超过所竞标分标规定的采购预算金额或者最高限价的（如本项目公布了最高限价）；</w:t>
      </w:r>
    </w:p>
    <w:p w14:paraId="4F07B2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（3）经供应商确认修正后的竞标报价（包含首次报价、最后报价）超过分项采购预算金额或者最高限价的（如本项目公布了最高限价）。</w:t>
      </w:r>
    </w:p>
    <w:p w14:paraId="6FAC05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4.8经供应商确认修正后的最后报价作为评审及签订合同的依据。</w:t>
      </w:r>
    </w:p>
    <w:p w14:paraId="04561B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4.9最后报价结束后，磋商小组不得再与供应商进行任何形式的商谈。</w:t>
      </w:r>
    </w:p>
    <w:p w14:paraId="1BD7D54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20C934C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5.1评审方法：综合评分法。</w:t>
      </w:r>
    </w:p>
    <w:p w14:paraId="51E4D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5.2经磋商确定最终采购需求和提交最后报价的供应商后，由磋商小组采用综合评分法对提交最后报价的供应商的响应文件和最后报价进行综合评分。</w:t>
      </w:r>
    </w:p>
    <w:p w14:paraId="5173A7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5.3评审时，磋商小组各成员应当独立对每个有效响应的文件进行评价、打分，然后汇总每个供应商每项评分因素的得分。</w:t>
      </w:r>
    </w:p>
    <w:p w14:paraId="034643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（1）磋商小组按照磋商文件中规定的评审标准计算各供应商的报价得分。项目评审过程中，不得去掉最后报价中的最高报价和最低报价。</w:t>
      </w:r>
    </w:p>
    <w:p w14:paraId="4FC713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（2）各供应商的得分为磋商小组所有成员的有效评分的算术平均数。</w:t>
      </w:r>
    </w:p>
    <w:p w14:paraId="1A77E0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5.4评审价为供应商的最后报价进行政策性扣除后的价格，评审价只是作为评审时使用。最终成交供应商的成交金额等于最后报价（如有修正，以确认修正后的最后报价为准）。</w:t>
      </w:r>
    </w:p>
    <w:p w14:paraId="51806F2E">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5.5由磋商小组根据综合评分情况，按照评审得分由高到低顺序推荐3名以上成交候选供应商，并编写评</w:t>
      </w:r>
      <w:r>
        <w:rPr>
          <w:rFonts w:hint="eastAsia" w:ascii="宋体" w:hAnsi="宋体" w:cs="宋体"/>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08CE1E03">
      <w:pPr>
        <w:spacing w:line="360" w:lineRule="auto"/>
        <w:ind w:firstLine="480" w:firstLineChars="200"/>
        <w:rPr>
          <w:rFonts w:ascii="宋体" w:hAnsi="宋体" w:cs="宋体"/>
          <w:color w:val="auto"/>
          <w:szCs w:val="21"/>
          <w:highlight w:val="none"/>
        </w:rPr>
      </w:pPr>
      <w:r>
        <w:rPr>
          <w:rFonts w:hint="eastAsia" w:ascii="宋体" w:hAnsi="宋体" w:cs="宋体"/>
          <w:color w:val="auto"/>
          <w:kern w:val="0"/>
          <w:sz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60DB4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tbl>
      <w:tblPr>
        <w:tblStyle w:val="33"/>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61"/>
        <w:gridCol w:w="6774"/>
        <w:gridCol w:w="955"/>
      </w:tblGrid>
      <w:tr w14:paraId="443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6" w:type="pct"/>
            <w:noWrap w:val="0"/>
            <w:vAlign w:val="center"/>
          </w:tcPr>
          <w:p w14:paraId="055333D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902" w:type="pct"/>
            <w:noWrap w:val="0"/>
            <w:vAlign w:val="center"/>
          </w:tcPr>
          <w:p w14:paraId="1EC604F0">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评审因素</w:t>
            </w:r>
          </w:p>
        </w:tc>
        <w:tc>
          <w:tcPr>
            <w:tcW w:w="3286" w:type="pct"/>
            <w:noWrap w:val="0"/>
            <w:vAlign w:val="center"/>
          </w:tcPr>
          <w:p w14:paraId="25ACB8CD">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评审因素具体内容</w:t>
            </w:r>
          </w:p>
        </w:tc>
        <w:tc>
          <w:tcPr>
            <w:tcW w:w="463" w:type="pct"/>
            <w:noWrap w:val="0"/>
            <w:vAlign w:val="center"/>
          </w:tcPr>
          <w:p w14:paraId="58481D67">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26A4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0" w:type="pct"/>
            <w:gridSpan w:val="4"/>
            <w:noWrap w:val="0"/>
            <w:vAlign w:val="center"/>
          </w:tcPr>
          <w:p w14:paraId="771F4149">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(分标1、2、3)</w:t>
            </w:r>
          </w:p>
        </w:tc>
      </w:tr>
      <w:tr w14:paraId="6EB6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346" w:type="pct"/>
            <w:noWrap w:val="0"/>
            <w:vAlign w:val="center"/>
          </w:tcPr>
          <w:p w14:paraId="33DD4F6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902" w:type="pct"/>
            <w:noWrap w:val="0"/>
            <w:vAlign w:val="center"/>
          </w:tcPr>
          <w:p w14:paraId="2934E48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w:t>
            </w:r>
          </w:p>
          <w:p w14:paraId="1689F8D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满分10分</w:t>
            </w:r>
            <w:r>
              <w:rPr>
                <w:rFonts w:hint="eastAsia" w:ascii="宋体" w:hAnsi="宋体" w:eastAsia="宋体" w:cs="宋体"/>
                <w:color w:val="auto"/>
                <w:kern w:val="0"/>
                <w:sz w:val="24"/>
                <w:szCs w:val="24"/>
                <w:highlight w:val="none"/>
              </w:rPr>
              <w:t>）</w:t>
            </w:r>
          </w:p>
        </w:tc>
        <w:tc>
          <w:tcPr>
            <w:tcW w:w="3286" w:type="pct"/>
            <w:noWrap w:val="0"/>
            <w:vAlign w:val="center"/>
          </w:tcPr>
          <w:p w14:paraId="2B928266">
            <w:pP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根据《关于进一步加大政府采购支持中小企业力度的通知》财库【2022】19号、《政府采购促进中小企业发展管理办法》的通知（财库〔2020〕46号）规定，如采购项目或采购包属于专门面向中小企业采购的项目或者采购包，不再执行价格评审优惠的扶持政策。（本项目为专门面向中小微企业预留份额100%）</w:t>
            </w:r>
          </w:p>
          <w:p w14:paraId="27DAF16F">
            <w:pP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（2）评标基准价计算：</w:t>
            </w:r>
          </w:p>
          <w:p w14:paraId="22AD4EFF">
            <w:pP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①有效报价范围：为磋商总价低于或等于招标控制价，通过资格评审、符合性评审合格，经评标委员会审定不存在严重不平衡、不合理、不低于其企业成本的供应商磋商总价。</w:t>
            </w:r>
          </w:p>
          <w:p w14:paraId="684223C9">
            <w:pP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②将有效报价范围内的最低评标价作为磋商基准价。</w:t>
            </w:r>
          </w:p>
          <w:p w14:paraId="75B34B3C">
            <w:pP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（3）价格分计算公式</w:t>
            </w:r>
          </w:p>
          <w:p w14:paraId="1352B8FE">
            <w:pPr>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报价得分=（磋商基准价/某供应商评标报价）×10分</w:t>
            </w:r>
          </w:p>
        </w:tc>
        <w:tc>
          <w:tcPr>
            <w:tcW w:w="463" w:type="pct"/>
            <w:noWrap w:val="0"/>
            <w:vAlign w:val="center"/>
          </w:tcPr>
          <w:p w14:paraId="6B4C5B65">
            <w:pPr>
              <w:widowControl/>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14:paraId="3EFE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46" w:type="pct"/>
            <w:noWrap w:val="0"/>
            <w:vAlign w:val="center"/>
          </w:tcPr>
          <w:p w14:paraId="02DD3CC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902" w:type="pct"/>
            <w:noWrap w:val="0"/>
            <w:vAlign w:val="center"/>
          </w:tcPr>
          <w:p w14:paraId="484DDDF4">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技术分</w:t>
            </w:r>
          </w:p>
          <w:p w14:paraId="4D35475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满分70分</w:t>
            </w:r>
            <w:r>
              <w:rPr>
                <w:rFonts w:hint="eastAsia" w:ascii="宋体" w:hAnsi="宋体" w:eastAsia="宋体" w:cs="宋体"/>
                <w:bCs/>
                <w:color w:val="auto"/>
                <w:sz w:val="24"/>
                <w:szCs w:val="24"/>
                <w:highlight w:val="none"/>
                <w:lang w:eastAsia="zh-CN"/>
              </w:rPr>
              <w:t>）</w:t>
            </w:r>
          </w:p>
        </w:tc>
        <w:tc>
          <w:tcPr>
            <w:tcW w:w="3286" w:type="pct"/>
            <w:noWrap w:val="0"/>
            <w:vAlign w:val="center"/>
          </w:tcPr>
          <w:p w14:paraId="758B002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463" w:type="pct"/>
            <w:noWrap w:val="0"/>
            <w:vAlign w:val="center"/>
          </w:tcPr>
          <w:p w14:paraId="22EEC3AB">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70分</w:t>
            </w:r>
          </w:p>
        </w:tc>
      </w:tr>
      <w:tr w14:paraId="6E87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noWrap w:val="0"/>
            <w:vAlign w:val="center"/>
          </w:tcPr>
          <w:p w14:paraId="224B71ED">
            <w:pPr>
              <w:adjustRightInd w:val="0"/>
              <w:spacing w:line="360" w:lineRule="auto"/>
              <w:ind w:left="-105" w:leftChars="-50" w:right="-105" w:rightChars="-50"/>
              <w:jc w:val="center"/>
              <w:textAlignment w:val="baseline"/>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1</w:t>
            </w:r>
          </w:p>
        </w:tc>
        <w:tc>
          <w:tcPr>
            <w:tcW w:w="902" w:type="pct"/>
            <w:noWrap w:val="0"/>
            <w:vAlign w:val="center"/>
          </w:tcPr>
          <w:p w14:paraId="090B1A14">
            <w:pPr>
              <w:adjustRightInd w:val="0"/>
              <w:spacing w:line="360" w:lineRule="auto"/>
              <w:jc w:val="center"/>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对项目内容的分析理解</w:t>
            </w:r>
          </w:p>
          <w:p w14:paraId="56423C80">
            <w:pPr>
              <w:adjustRightInd w:val="0"/>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c>
          <w:tcPr>
            <w:tcW w:w="3286" w:type="pct"/>
            <w:noWrap w:val="0"/>
            <w:vAlign w:val="top"/>
          </w:tcPr>
          <w:p w14:paraId="7AF61CE4">
            <w:pPr>
              <w:adjustRightInd w:val="0"/>
              <w:spacing w:line="360" w:lineRule="auto"/>
              <w:ind w:firstLine="480" w:firstLineChars="200"/>
              <w:jc w:val="left"/>
              <w:textAlignment w:val="baseline"/>
              <w:rPr>
                <w:rFonts w:hint="default" w:ascii="宋体" w:hAnsi="宋体" w:eastAsia="宋体" w:cs="宋体"/>
                <w:bCs/>
                <w:color w:val="auto"/>
                <w:kern w:val="0"/>
                <w:sz w:val="24"/>
                <w:szCs w:val="24"/>
                <w:highlight w:val="none"/>
                <w:lang w:val="zh-CN" w:eastAsia="zh-CN"/>
              </w:rPr>
            </w:pPr>
            <w:r>
              <w:rPr>
                <w:rFonts w:hint="eastAsia" w:ascii="宋体" w:hAnsi="宋体" w:eastAsia="宋体" w:cs="宋体"/>
                <w:bCs/>
                <w:color w:val="auto"/>
                <w:kern w:val="0"/>
                <w:sz w:val="24"/>
                <w:szCs w:val="24"/>
                <w:highlight w:val="none"/>
                <w:lang w:val="zh-CN" w:eastAsia="zh-CN"/>
              </w:rPr>
              <w:t>一档（</w:t>
            </w:r>
            <w:r>
              <w:rPr>
                <w:rFonts w:hint="eastAsia" w:ascii="宋体" w:hAnsi="宋体" w:eastAsia="宋体" w:cs="宋体"/>
                <w:bCs/>
                <w:color w:val="auto"/>
                <w:kern w:val="0"/>
                <w:sz w:val="24"/>
                <w:szCs w:val="24"/>
                <w:highlight w:val="none"/>
                <w:lang w:val="en-US" w:eastAsia="zh-CN"/>
              </w:rPr>
              <w:t>4</w:t>
            </w:r>
            <w:r>
              <w:rPr>
                <w:rFonts w:hint="default" w:ascii="宋体" w:hAnsi="宋体" w:eastAsia="宋体" w:cs="宋体"/>
                <w:bCs/>
                <w:color w:val="auto"/>
                <w:kern w:val="0"/>
                <w:sz w:val="24"/>
                <w:szCs w:val="24"/>
                <w:highlight w:val="none"/>
                <w:lang w:val="zh-CN" w:eastAsia="zh-CN"/>
              </w:rPr>
              <w:t>分）：</w:t>
            </w:r>
            <w:r>
              <w:rPr>
                <w:rFonts w:hint="eastAsia" w:ascii="宋体" w:hAnsi="宋体" w:eastAsia="宋体" w:cs="宋体"/>
                <w:bCs/>
                <w:color w:val="auto"/>
                <w:kern w:val="0"/>
                <w:sz w:val="24"/>
                <w:szCs w:val="24"/>
                <w:highlight w:val="none"/>
                <w:lang w:val="zh-CN" w:eastAsia="zh-CN"/>
              </w:rPr>
              <w:t>供应商</w:t>
            </w:r>
            <w:r>
              <w:rPr>
                <w:rFonts w:hint="default" w:ascii="宋体" w:hAnsi="宋体" w:eastAsia="宋体" w:cs="宋体"/>
                <w:bCs/>
                <w:color w:val="auto"/>
                <w:kern w:val="0"/>
                <w:sz w:val="24"/>
                <w:szCs w:val="24"/>
                <w:highlight w:val="none"/>
                <w:lang w:val="zh-CN" w:eastAsia="zh-CN"/>
              </w:rPr>
              <w:t>没有</w:t>
            </w:r>
            <w:r>
              <w:rPr>
                <w:rFonts w:hint="eastAsia" w:ascii="宋体" w:hAnsi="宋体" w:eastAsia="宋体" w:cs="宋体"/>
                <w:bCs/>
                <w:color w:val="auto"/>
                <w:kern w:val="0"/>
                <w:sz w:val="24"/>
                <w:szCs w:val="24"/>
                <w:highlight w:val="none"/>
                <w:lang w:val="zh-CN" w:eastAsia="zh-CN"/>
              </w:rPr>
              <w:t>提供项目情况分析内容，或提供的项目分析情况内容不符合相关技术标准及</w:t>
            </w:r>
            <w:r>
              <w:rPr>
                <w:rFonts w:hint="default" w:ascii="宋体" w:hAnsi="宋体" w:eastAsia="宋体" w:cs="宋体"/>
                <w:bCs/>
                <w:color w:val="auto"/>
                <w:kern w:val="0"/>
                <w:sz w:val="24"/>
                <w:szCs w:val="24"/>
                <w:highlight w:val="none"/>
                <w:lang w:val="zh-CN" w:eastAsia="zh-CN"/>
              </w:rPr>
              <w:t>规范</w:t>
            </w:r>
            <w:r>
              <w:rPr>
                <w:rFonts w:hint="eastAsia" w:ascii="宋体" w:hAnsi="宋体" w:eastAsia="宋体" w:cs="宋体"/>
                <w:bCs/>
                <w:color w:val="auto"/>
                <w:kern w:val="0"/>
                <w:sz w:val="24"/>
                <w:szCs w:val="24"/>
                <w:highlight w:val="none"/>
                <w:lang w:val="zh-CN" w:eastAsia="zh-CN"/>
              </w:rPr>
              <w:t>的要求</w:t>
            </w:r>
            <w:r>
              <w:rPr>
                <w:rFonts w:hint="default" w:ascii="宋体" w:hAnsi="宋体" w:eastAsia="宋体" w:cs="宋体"/>
                <w:bCs/>
                <w:color w:val="auto"/>
                <w:kern w:val="0"/>
                <w:sz w:val="24"/>
                <w:szCs w:val="24"/>
                <w:highlight w:val="none"/>
                <w:lang w:val="zh-CN" w:eastAsia="zh-CN"/>
              </w:rPr>
              <w:t>；</w:t>
            </w:r>
          </w:p>
          <w:p w14:paraId="4AB48164">
            <w:pPr>
              <w:adjustRightInd w:val="0"/>
              <w:spacing w:line="360" w:lineRule="auto"/>
              <w:ind w:firstLine="480" w:firstLineChars="200"/>
              <w:jc w:val="left"/>
              <w:textAlignment w:val="baseline"/>
              <w:rPr>
                <w:rFonts w:hint="default" w:ascii="宋体" w:hAnsi="宋体" w:eastAsia="宋体" w:cs="宋体"/>
                <w:bCs/>
                <w:color w:val="auto"/>
                <w:kern w:val="0"/>
                <w:sz w:val="24"/>
                <w:szCs w:val="24"/>
                <w:highlight w:val="none"/>
                <w:lang w:val="zh-CN" w:eastAsia="zh-CN"/>
              </w:rPr>
            </w:pPr>
            <w:r>
              <w:rPr>
                <w:rFonts w:hint="eastAsia" w:ascii="宋体" w:hAnsi="宋体" w:eastAsia="宋体" w:cs="宋体"/>
                <w:bCs/>
                <w:color w:val="auto"/>
                <w:kern w:val="0"/>
                <w:sz w:val="24"/>
                <w:szCs w:val="24"/>
                <w:highlight w:val="none"/>
                <w:lang w:val="zh-CN" w:eastAsia="zh-CN"/>
              </w:rPr>
              <w:t>二档（</w:t>
            </w:r>
            <w:r>
              <w:rPr>
                <w:rFonts w:hint="eastAsia" w:ascii="宋体" w:hAnsi="宋体" w:eastAsia="宋体" w:cs="宋体"/>
                <w:bCs/>
                <w:color w:val="auto"/>
                <w:kern w:val="0"/>
                <w:sz w:val="24"/>
                <w:szCs w:val="24"/>
                <w:highlight w:val="none"/>
                <w:lang w:val="en-US" w:eastAsia="zh-CN"/>
              </w:rPr>
              <w:t>8</w:t>
            </w:r>
            <w:r>
              <w:rPr>
                <w:rFonts w:hint="default" w:ascii="宋体" w:hAnsi="宋体" w:eastAsia="宋体" w:cs="宋体"/>
                <w:bCs/>
                <w:color w:val="auto"/>
                <w:kern w:val="0"/>
                <w:sz w:val="24"/>
                <w:szCs w:val="24"/>
                <w:highlight w:val="none"/>
                <w:lang w:val="zh-CN" w:eastAsia="zh-CN"/>
              </w:rPr>
              <w:t>分）：</w:t>
            </w:r>
            <w:r>
              <w:rPr>
                <w:rFonts w:hint="eastAsia" w:ascii="宋体" w:hAnsi="宋体" w:eastAsia="宋体" w:cs="宋体"/>
                <w:bCs/>
                <w:color w:val="auto"/>
                <w:kern w:val="0"/>
                <w:sz w:val="24"/>
                <w:szCs w:val="24"/>
                <w:highlight w:val="none"/>
                <w:lang w:val="zh-CN" w:eastAsia="zh-CN"/>
              </w:rPr>
              <w:t>供应商有简单的项目情况分析内容</w:t>
            </w:r>
            <w:r>
              <w:rPr>
                <w:rFonts w:hint="default" w:ascii="宋体" w:hAnsi="宋体" w:eastAsia="宋体" w:cs="宋体"/>
                <w:bCs/>
                <w:color w:val="auto"/>
                <w:kern w:val="0"/>
                <w:sz w:val="24"/>
                <w:szCs w:val="24"/>
                <w:highlight w:val="none"/>
                <w:lang w:val="zh-CN" w:eastAsia="zh-CN"/>
              </w:rPr>
              <w:t>，</w:t>
            </w:r>
            <w:r>
              <w:rPr>
                <w:rFonts w:hint="eastAsia" w:ascii="宋体" w:hAnsi="宋体" w:eastAsia="宋体" w:cs="宋体"/>
                <w:bCs/>
                <w:color w:val="auto"/>
                <w:kern w:val="0"/>
                <w:sz w:val="24"/>
                <w:szCs w:val="24"/>
                <w:highlight w:val="none"/>
                <w:lang w:val="zh-CN" w:eastAsia="zh-CN"/>
              </w:rPr>
              <w:t>能简单</w:t>
            </w:r>
            <w:r>
              <w:rPr>
                <w:rFonts w:hint="default" w:ascii="宋体" w:hAnsi="宋体" w:eastAsia="宋体" w:cs="宋体"/>
                <w:bCs/>
                <w:color w:val="auto"/>
                <w:kern w:val="0"/>
                <w:sz w:val="24"/>
                <w:szCs w:val="24"/>
                <w:highlight w:val="none"/>
                <w:lang w:val="zh-CN" w:eastAsia="zh-CN"/>
              </w:rPr>
              <w:t>描述项目的</w:t>
            </w:r>
            <w:r>
              <w:rPr>
                <w:rFonts w:hint="eastAsia" w:ascii="宋体" w:hAnsi="宋体" w:eastAsia="宋体" w:cs="宋体"/>
                <w:bCs/>
                <w:color w:val="auto"/>
                <w:kern w:val="0"/>
                <w:sz w:val="24"/>
                <w:szCs w:val="24"/>
                <w:highlight w:val="none"/>
                <w:lang w:val="zh-CN" w:eastAsia="zh-CN"/>
              </w:rPr>
              <w:t>建设</w:t>
            </w:r>
            <w:r>
              <w:rPr>
                <w:rFonts w:hint="default" w:ascii="宋体" w:hAnsi="宋体" w:eastAsia="宋体" w:cs="宋体"/>
                <w:bCs/>
                <w:color w:val="auto"/>
                <w:kern w:val="0"/>
                <w:sz w:val="24"/>
                <w:szCs w:val="24"/>
                <w:highlight w:val="none"/>
                <w:lang w:val="zh-CN" w:eastAsia="zh-CN"/>
              </w:rPr>
              <w:t>内容</w:t>
            </w:r>
            <w:r>
              <w:rPr>
                <w:rFonts w:hint="eastAsia" w:ascii="宋体" w:hAnsi="宋体" w:eastAsia="宋体" w:cs="宋体"/>
                <w:bCs/>
                <w:color w:val="auto"/>
                <w:kern w:val="0"/>
                <w:sz w:val="24"/>
                <w:szCs w:val="24"/>
                <w:highlight w:val="none"/>
                <w:lang w:val="zh-CN" w:eastAsia="zh-CN"/>
              </w:rPr>
              <w:t>、</w:t>
            </w:r>
            <w:r>
              <w:rPr>
                <w:rFonts w:hint="default" w:ascii="宋体" w:hAnsi="宋体" w:eastAsia="宋体" w:cs="宋体"/>
                <w:bCs/>
                <w:color w:val="auto"/>
                <w:kern w:val="0"/>
                <w:sz w:val="24"/>
                <w:szCs w:val="24"/>
                <w:highlight w:val="none"/>
                <w:lang w:val="zh-CN" w:eastAsia="zh-CN"/>
              </w:rPr>
              <w:t>建设目标；</w:t>
            </w:r>
          </w:p>
          <w:p w14:paraId="78B62C13">
            <w:pPr>
              <w:adjustRightInd w:val="0"/>
              <w:spacing w:line="360" w:lineRule="auto"/>
              <w:ind w:firstLine="480" w:firstLineChars="200"/>
              <w:jc w:val="left"/>
              <w:textAlignment w:val="baseline"/>
              <w:rPr>
                <w:rFonts w:hint="default" w:ascii="宋体" w:hAnsi="宋体" w:eastAsia="宋体" w:cs="宋体"/>
                <w:bCs/>
                <w:color w:val="auto"/>
                <w:kern w:val="0"/>
                <w:sz w:val="24"/>
                <w:szCs w:val="24"/>
                <w:highlight w:val="none"/>
                <w:lang w:val="zh-CN" w:eastAsia="zh-CN"/>
              </w:rPr>
            </w:pPr>
            <w:r>
              <w:rPr>
                <w:rFonts w:hint="eastAsia" w:ascii="宋体" w:hAnsi="宋体" w:eastAsia="宋体" w:cs="宋体"/>
                <w:bCs/>
                <w:color w:val="auto"/>
                <w:kern w:val="0"/>
                <w:sz w:val="24"/>
                <w:szCs w:val="24"/>
                <w:highlight w:val="none"/>
                <w:lang w:val="en-US" w:eastAsia="zh-CN"/>
              </w:rPr>
              <w:t>三</w:t>
            </w:r>
            <w:r>
              <w:rPr>
                <w:rFonts w:hint="eastAsia" w:ascii="宋体" w:hAnsi="宋体" w:eastAsia="宋体" w:cs="宋体"/>
                <w:bCs/>
                <w:color w:val="auto"/>
                <w:kern w:val="0"/>
                <w:sz w:val="24"/>
                <w:szCs w:val="24"/>
                <w:highlight w:val="none"/>
                <w:lang w:val="zh-CN" w:eastAsia="zh-CN"/>
              </w:rPr>
              <w:t>档（</w:t>
            </w:r>
            <w:r>
              <w:rPr>
                <w:rFonts w:hint="eastAsia" w:ascii="宋体" w:hAnsi="宋体" w:eastAsia="宋体" w:cs="宋体"/>
                <w:bCs/>
                <w:color w:val="auto"/>
                <w:kern w:val="0"/>
                <w:sz w:val="24"/>
                <w:szCs w:val="24"/>
                <w:highlight w:val="none"/>
                <w:lang w:val="en-US" w:eastAsia="zh-CN"/>
              </w:rPr>
              <w:t>12</w:t>
            </w:r>
            <w:r>
              <w:rPr>
                <w:rFonts w:hint="default" w:ascii="宋体" w:hAnsi="宋体" w:eastAsia="宋体" w:cs="宋体"/>
                <w:bCs/>
                <w:color w:val="auto"/>
                <w:kern w:val="0"/>
                <w:sz w:val="24"/>
                <w:szCs w:val="24"/>
                <w:highlight w:val="none"/>
                <w:lang w:val="zh-CN" w:eastAsia="zh-CN"/>
              </w:rPr>
              <w:t>分）：</w:t>
            </w:r>
            <w:r>
              <w:rPr>
                <w:rFonts w:hint="eastAsia" w:ascii="宋体" w:hAnsi="宋体" w:eastAsia="宋体" w:cs="宋体"/>
                <w:bCs/>
                <w:color w:val="auto"/>
                <w:kern w:val="0"/>
                <w:sz w:val="24"/>
                <w:szCs w:val="24"/>
                <w:highlight w:val="none"/>
                <w:lang w:val="zh-CN" w:eastAsia="zh-CN"/>
              </w:rPr>
              <w:t>供应商有详细的项目情况分析内容</w:t>
            </w:r>
            <w:r>
              <w:rPr>
                <w:rFonts w:hint="default" w:ascii="宋体" w:hAnsi="宋体" w:eastAsia="宋体" w:cs="宋体"/>
                <w:bCs/>
                <w:color w:val="auto"/>
                <w:kern w:val="0"/>
                <w:sz w:val="24"/>
                <w:szCs w:val="24"/>
                <w:highlight w:val="none"/>
                <w:lang w:val="zh-CN" w:eastAsia="zh-CN"/>
              </w:rPr>
              <w:t>，</w:t>
            </w:r>
            <w:r>
              <w:rPr>
                <w:rFonts w:hint="eastAsia" w:ascii="宋体" w:hAnsi="宋体" w:eastAsia="宋体" w:cs="宋体"/>
                <w:bCs/>
                <w:color w:val="auto"/>
                <w:kern w:val="0"/>
                <w:sz w:val="24"/>
                <w:szCs w:val="24"/>
                <w:highlight w:val="none"/>
                <w:lang w:val="zh-CN" w:eastAsia="zh-CN"/>
              </w:rPr>
              <w:t>能详细</w:t>
            </w:r>
            <w:r>
              <w:rPr>
                <w:rFonts w:hint="default" w:ascii="宋体" w:hAnsi="宋体" w:eastAsia="宋体" w:cs="宋体"/>
                <w:bCs/>
                <w:color w:val="auto"/>
                <w:kern w:val="0"/>
                <w:sz w:val="24"/>
                <w:szCs w:val="24"/>
                <w:highlight w:val="none"/>
                <w:lang w:val="zh-CN" w:eastAsia="zh-CN"/>
              </w:rPr>
              <w:t>的描述项目</w:t>
            </w:r>
            <w:r>
              <w:rPr>
                <w:rFonts w:hint="eastAsia" w:ascii="宋体" w:hAnsi="宋体" w:eastAsia="宋体" w:cs="宋体"/>
                <w:bCs/>
                <w:color w:val="auto"/>
                <w:kern w:val="0"/>
                <w:sz w:val="24"/>
                <w:szCs w:val="24"/>
                <w:highlight w:val="none"/>
                <w:lang w:val="zh-CN" w:eastAsia="zh-CN"/>
              </w:rPr>
              <w:t>建设</w:t>
            </w:r>
            <w:r>
              <w:rPr>
                <w:rFonts w:hint="default" w:ascii="宋体" w:hAnsi="宋体" w:eastAsia="宋体" w:cs="宋体"/>
                <w:bCs/>
                <w:color w:val="auto"/>
                <w:kern w:val="0"/>
                <w:sz w:val="24"/>
                <w:szCs w:val="24"/>
                <w:highlight w:val="none"/>
                <w:lang w:val="zh-CN" w:eastAsia="zh-CN"/>
              </w:rPr>
              <w:t>内容</w:t>
            </w:r>
            <w:r>
              <w:rPr>
                <w:rFonts w:hint="eastAsia" w:ascii="宋体" w:hAnsi="宋体" w:eastAsia="宋体" w:cs="宋体"/>
                <w:bCs/>
                <w:color w:val="auto"/>
                <w:kern w:val="0"/>
                <w:sz w:val="24"/>
                <w:szCs w:val="24"/>
                <w:highlight w:val="none"/>
                <w:lang w:val="zh-CN" w:eastAsia="zh-CN"/>
              </w:rPr>
              <w:t>、</w:t>
            </w:r>
            <w:r>
              <w:rPr>
                <w:rFonts w:hint="default" w:ascii="宋体" w:hAnsi="宋体" w:eastAsia="宋体" w:cs="宋体"/>
                <w:bCs/>
                <w:color w:val="auto"/>
                <w:kern w:val="0"/>
                <w:sz w:val="24"/>
                <w:szCs w:val="24"/>
                <w:highlight w:val="none"/>
                <w:lang w:val="zh-CN" w:eastAsia="zh-CN"/>
              </w:rPr>
              <w:t>建设目标</w:t>
            </w:r>
            <w:r>
              <w:rPr>
                <w:rFonts w:hint="eastAsia" w:ascii="宋体" w:hAnsi="宋体" w:eastAsia="宋体" w:cs="宋体"/>
                <w:bCs/>
                <w:color w:val="auto"/>
                <w:kern w:val="0"/>
                <w:sz w:val="24"/>
                <w:szCs w:val="24"/>
                <w:highlight w:val="none"/>
                <w:lang w:val="zh-CN" w:eastAsia="zh-CN"/>
              </w:rPr>
              <w:t>，建设</w:t>
            </w:r>
            <w:r>
              <w:rPr>
                <w:rFonts w:hint="default" w:ascii="宋体" w:hAnsi="宋体" w:eastAsia="宋体" w:cs="宋体"/>
                <w:bCs/>
                <w:color w:val="auto"/>
                <w:kern w:val="0"/>
                <w:sz w:val="24"/>
                <w:szCs w:val="24"/>
                <w:highlight w:val="none"/>
                <w:lang w:val="zh-CN" w:eastAsia="zh-CN"/>
              </w:rPr>
              <w:t>内容可行，</w:t>
            </w:r>
            <w:r>
              <w:rPr>
                <w:rFonts w:hint="eastAsia" w:ascii="宋体" w:hAnsi="宋体" w:eastAsia="宋体" w:cs="宋体"/>
                <w:bCs/>
                <w:color w:val="auto"/>
                <w:kern w:val="0"/>
                <w:sz w:val="24"/>
                <w:szCs w:val="24"/>
                <w:highlight w:val="none"/>
                <w:lang w:val="zh-CN" w:eastAsia="zh-CN"/>
              </w:rPr>
              <w:t>项目建设目标明确，符合相关技术标准及</w:t>
            </w:r>
            <w:r>
              <w:rPr>
                <w:rFonts w:hint="default" w:ascii="宋体" w:hAnsi="宋体" w:eastAsia="宋体" w:cs="宋体"/>
                <w:bCs/>
                <w:color w:val="auto"/>
                <w:kern w:val="0"/>
                <w:sz w:val="24"/>
                <w:szCs w:val="24"/>
                <w:highlight w:val="none"/>
                <w:lang w:val="zh-CN" w:eastAsia="zh-CN"/>
              </w:rPr>
              <w:t>规范</w:t>
            </w:r>
            <w:r>
              <w:rPr>
                <w:rFonts w:hint="eastAsia" w:ascii="宋体" w:hAnsi="宋体" w:eastAsia="宋体" w:cs="宋体"/>
                <w:bCs/>
                <w:color w:val="auto"/>
                <w:kern w:val="0"/>
                <w:sz w:val="24"/>
                <w:szCs w:val="24"/>
                <w:highlight w:val="none"/>
                <w:lang w:val="zh-CN" w:eastAsia="zh-CN"/>
              </w:rPr>
              <w:t>的要求</w:t>
            </w:r>
            <w:r>
              <w:rPr>
                <w:rFonts w:hint="default" w:ascii="宋体" w:hAnsi="宋体" w:eastAsia="宋体" w:cs="宋体"/>
                <w:bCs/>
                <w:color w:val="auto"/>
                <w:kern w:val="0"/>
                <w:sz w:val="24"/>
                <w:szCs w:val="24"/>
                <w:highlight w:val="none"/>
                <w:lang w:val="zh-CN" w:eastAsia="zh-CN"/>
              </w:rPr>
              <w:t>。</w:t>
            </w:r>
          </w:p>
          <w:p w14:paraId="4CC160A6">
            <w:pPr>
              <w:adjustRightInd w:val="0"/>
              <w:spacing w:line="360" w:lineRule="auto"/>
              <w:ind w:firstLine="480" w:firstLineChars="200"/>
              <w:jc w:val="left"/>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四</w:t>
            </w:r>
            <w:r>
              <w:rPr>
                <w:rFonts w:hint="eastAsia" w:ascii="宋体" w:hAnsi="宋体" w:eastAsia="宋体" w:cs="宋体"/>
                <w:bCs/>
                <w:color w:val="auto"/>
                <w:kern w:val="0"/>
                <w:sz w:val="24"/>
                <w:szCs w:val="24"/>
                <w:highlight w:val="none"/>
                <w:lang w:val="zh-CN" w:eastAsia="zh-CN"/>
              </w:rPr>
              <w:t>档（</w:t>
            </w:r>
            <w:r>
              <w:rPr>
                <w:rFonts w:hint="eastAsia" w:ascii="宋体" w:hAnsi="宋体" w:eastAsia="宋体" w:cs="宋体"/>
                <w:bCs/>
                <w:color w:val="auto"/>
                <w:kern w:val="0"/>
                <w:sz w:val="24"/>
                <w:szCs w:val="24"/>
                <w:highlight w:val="none"/>
                <w:lang w:val="en-US" w:eastAsia="zh-CN"/>
              </w:rPr>
              <w:t>16</w:t>
            </w:r>
            <w:r>
              <w:rPr>
                <w:rFonts w:hint="default" w:ascii="宋体" w:hAnsi="宋体" w:eastAsia="宋体" w:cs="宋体"/>
                <w:bCs/>
                <w:color w:val="auto"/>
                <w:kern w:val="0"/>
                <w:sz w:val="24"/>
                <w:szCs w:val="24"/>
                <w:highlight w:val="none"/>
                <w:lang w:val="zh-CN" w:eastAsia="zh-CN"/>
              </w:rPr>
              <w:t>分）：</w:t>
            </w:r>
            <w:r>
              <w:rPr>
                <w:rFonts w:hint="eastAsia" w:ascii="宋体" w:hAnsi="宋体" w:eastAsia="宋体" w:cs="宋体"/>
                <w:bCs/>
                <w:color w:val="auto"/>
                <w:kern w:val="0"/>
                <w:sz w:val="24"/>
                <w:szCs w:val="24"/>
                <w:highlight w:val="none"/>
                <w:lang w:val="zh-CN" w:eastAsia="zh-CN"/>
              </w:rPr>
              <w:t>供应商有详细、</w:t>
            </w:r>
            <w:r>
              <w:rPr>
                <w:rFonts w:hint="eastAsia" w:ascii="宋体" w:hAnsi="宋体" w:eastAsia="宋体" w:cs="宋体"/>
                <w:bCs/>
                <w:color w:val="auto"/>
                <w:kern w:val="0"/>
                <w:sz w:val="24"/>
                <w:szCs w:val="24"/>
                <w:highlight w:val="none"/>
                <w:lang w:val="en-US" w:eastAsia="zh-CN"/>
              </w:rPr>
              <w:t>完善</w:t>
            </w:r>
            <w:r>
              <w:rPr>
                <w:rFonts w:hint="eastAsia" w:ascii="宋体" w:hAnsi="宋体" w:eastAsia="宋体" w:cs="宋体"/>
                <w:bCs/>
                <w:color w:val="auto"/>
                <w:kern w:val="0"/>
                <w:sz w:val="24"/>
                <w:szCs w:val="24"/>
                <w:highlight w:val="none"/>
                <w:lang w:val="zh-CN" w:eastAsia="zh-CN"/>
              </w:rPr>
              <w:t>的项目情况分析内容</w:t>
            </w:r>
            <w:r>
              <w:rPr>
                <w:rFonts w:hint="default" w:ascii="宋体" w:hAnsi="宋体" w:eastAsia="宋体" w:cs="宋体"/>
                <w:bCs/>
                <w:color w:val="auto"/>
                <w:kern w:val="0"/>
                <w:sz w:val="24"/>
                <w:szCs w:val="24"/>
                <w:highlight w:val="none"/>
                <w:lang w:val="zh-CN" w:eastAsia="zh-CN"/>
              </w:rPr>
              <w:t>，</w:t>
            </w:r>
            <w:r>
              <w:rPr>
                <w:rFonts w:hint="eastAsia" w:ascii="宋体" w:hAnsi="宋体" w:eastAsia="宋体" w:cs="宋体"/>
                <w:bCs/>
                <w:color w:val="auto"/>
                <w:kern w:val="0"/>
                <w:sz w:val="24"/>
                <w:szCs w:val="24"/>
                <w:highlight w:val="none"/>
                <w:lang w:val="zh-CN" w:eastAsia="zh-CN"/>
              </w:rPr>
              <w:t>能详细、</w:t>
            </w:r>
            <w:r>
              <w:rPr>
                <w:rFonts w:hint="eastAsia" w:ascii="宋体" w:hAnsi="宋体" w:eastAsia="宋体" w:cs="宋体"/>
                <w:bCs/>
                <w:color w:val="auto"/>
                <w:kern w:val="0"/>
                <w:sz w:val="24"/>
                <w:szCs w:val="24"/>
                <w:highlight w:val="none"/>
                <w:lang w:val="en-US" w:eastAsia="zh-CN"/>
              </w:rPr>
              <w:t>合理</w:t>
            </w:r>
            <w:r>
              <w:rPr>
                <w:rFonts w:hint="default" w:ascii="宋体" w:hAnsi="宋体" w:eastAsia="宋体" w:cs="宋体"/>
                <w:bCs/>
                <w:color w:val="auto"/>
                <w:kern w:val="0"/>
                <w:sz w:val="24"/>
                <w:szCs w:val="24"/>
                <w:highlight w:val="none"/>
                <w:lang w:val="zh-CN" w:eastAsia="zh-CN"/>
              </w:rPr>
              <w:t>的描述项目</w:t>
            </w:r>
            <w:r>
              <w:rPr>
                <w:rFonts w:hint="eastAsia" w:ascii="宋体" w:hAnsi="宋体" w:eastAsia="宋体" w:cs="宋体"/>
                <w:bCs/>
                <w:color w:val="auto"/>
                <w:kern w:val="0"/>
                <w:sz w:val="24"/>
                <w:szCs w:val="24"/>
                <w:highlight w:val="none"/>
                <w:lang w:val="zh-CN" w:eastAsia="zh-CN"/>
              </w:rPr>
              <w:t>建设</w:t>
            </w:r>
            <w:r>
              <w:rPr>
                <w:rFonts w:hint="default" w:ascii="宋体" w:hAnsi="宋体" w:eastAsia="宋体" w:cs="宋体"/>
                <w:bCs/>
                <w:color w:val="auto"/>
                <w:kern w:val="0"/>
                <w:sz w:val="24"/>
                <w:szCs w:val="24"/>
                <w:highlight w:val="none"/>
                <w:lang w:val="zh-CN" w:eastAsia="zh-CN"/>
              </w:rPr>
              <w:t>内容</w:t>
            </w:r>
            <w:r>
              <w:rPr>
                <w:rFonts w:hint="eastAsia" w:ascii="宋体" w:hAnsi="宋体" w:eastAsia="宋体" w:cs="宋体"/>
                <w:bCs/>
                <w:color w:val="auto"/>
                <w:kern w:val="0"/>
                <w:sz w:val="24"/>
                <w:szCs w:val="24"/>
                <w:highlight w:val="none"/>
                <w:lang w:val="zh-CN" w:eastAsia="zh-CN"/>
              </w:rPr>
              <w:t>、</w:t>
            </w:r>
            <w:r>
              <w:rPr>
                <w:rFonts w:hint="default" w:ascii="宋体" w:hAnsi="宋体" w:eastAsia="宋体" w:cs="宋体"/>
                <w:bCs/>
                <w:color w:val="auto"/>
                <w:kern w:val="0"/>
                <w:sz w:val="24"/>
                <w:szCs w:val="24"/>
                <w:highlight w:val="none"/>
                <w:lang w:val="zh-CN" w:eastAsia="zh-CN"/>
              </w:rPr>
              <w:t>建设目标</w:t>
            </w:r>
            <w:r>
              <w:rPr>
                <w:rFonts w:hint="eastAsia" w:ascii="宋体" w:hAnsi="宋体" w:eastAsia="宋体" w:cs="宋体"/>
                <w:bCs/>
                <w:color w:val="auto"/>
                <w:kern w:val="0"/>
                <w:sz w:val="24"/>
                <w:szCs w:val="24"/>
                <w:highlight w:val="none"/>
                <w:lang w:val="zh-CN" w:eastAsia="zh-CN"/>
              </w:rPr>
              <w:t>，建设</w:t>
            </w:r>
            <w:r>
              <w:rPr>
                <w:rFonts w:hint="default" w:ascii="宋体" w:hAnsi="宋体" w:eastAsia="宋体" w:cs="宋体"/>
                <w:bCs/>
                <w:color w:val="auto"/>
                <w:kern w:val="0"/>
                <w:sz w:val="24"/>
                <w:szCs w:val="24"/>
                <w:highlight w:val="none"/>
                <w:lang w:val="zh-CN" w:eastAsia="zh-CN"/>
              </w:rPr>
              <w:t>内容完善可行，</w:t>
            </w:r>
            <w:r>
              <w:rPr>
                <w:rFonts w:hint="eastAsia" w:ascii="宋体" w:hAnsi="宋体" w:eastAsia="宋体" w:cs="宋体"/>
                <w:bCs/>
                <w:color w:val="auto"/>
                <w:kern w:val="0"/>
                <w:sz w:val="24"/>
                <w:szCs w:val="24"/>
                <w:highlight w:val="none"/>
                <w:lang w:val="zh-CN" w:eastAsia="zh-CN"/>
              </w:rPr>
              <w:t>项目建设目标明确，</w:t>
            </w:r>
            <w:r>
              <w:rPr>
                <w:rFonts w:hint="eastAsia" w:ascii="宋体" w:hAnsi="宋体" w:eastAsia="宋体" w:cs="宋体"/>
                <w:bCs/>
                <w:color w:val="auto"/>
                <w:kern w:val="0"/>
                <w:sz w:val="24"/>
                <w:szCs w:val="24"/>
                <w:highlight w:val="none"/>
                <w:lang w:val="en-US" w:eastAsia="zh-CN"/>
              </w:rPr>
              <w:t>有重难点分析并有合理应对措施，有突发性事件预防及可见有效的应对措施；</w:t>
            </w:r>
            <w:r>
              <w:rPr>
                <w:rFonts w:hint="eastAsia" w:ascii="宋体" w:hAnsi="宋体" w:eastAsia="宋体" w:cs="宋体"/>
                <w:bCs/>
                <w:color w:val="auto"/>
                <w:kern w:val="0"/>
                <w:sz w:val="24"/>
                <w:szCs w:val="24"/>
                <w:highlight w:val="none"/>
                <w:lang w:val="zh-CN" w:eastAsia="zh-CN"/>
              </w:rPr>
              <w:t>符合相关技术标准及</w:t>
            </w:r>
            <w:r>
              <w:rPr>
                <w:rFonts w:hint="default" w:ascii="宋体" w:hAnsi="宋体" w:eastAsia="宋体" w:cs="宋体"/>
                <w:bCs/>
                <w:color w:val="auto"/>
                <w:kern w:val="0"/>
                <w:sz w:val="24"/>
                <w:szCs w:val="24"/>
                <w:highlight w:val="none"/>
                <w:lang w:val="zh-CN" w:eastAsia="zh-CN"/>
              </w:rPr>
              <w:t>规范</w:t>
            </w:r>
            <w:r>
              <w:rPr>
                <w:rFonts w:hint="eastAsia" w:ascii="宋体" w:hAnsi="宋体" w:eastAsia="宋体" w:cs="宋体"/>
                <w:bCs/>
                <w:color w:val="auto"/>
                <w:kern w:val="0"/>
                <w:sz w:val="24"/>
                <w:szCs w:val="24"/>
                <w:highlight w:val="none"/>
                <w:lang w:val="zh-CN" w:eastAsia="zh-CN"/>
              </w:rPr>
              <w:t>的要求</w:t>
            </w:r>
            <w:r>
              <w:rPr>
                <w:rFonts w:hint="default" w:ascii="宋体" w:hAnsi="宋体" w:eastAsia="宋体" w:cs="宋体"/>
                <w:bCs/>
                <w:color w:val="auto"/>
                <w:kern w:val="0"/>
                <w:sz w:val="24"/>
                <w:szCs w:val="24"/>
                <w:highlight w:val="none"/>
                <w:lang w:val="zh-CN" w:eastAsia="zh-CN"/>
              </w:rPr>
              <w:t>。</w:t>
            </w:r>
          </w:p>
        </w:tc>
        <w:tc>
          <w:tcPr>
            <w:tcW w:w="463" w:type="pct"/>
            <w:noWrap w:val="0"/>
            <w:vAlign w:val="center"/>
          </w:tcPr>
          <w:p w14:paraId="32798033">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lang w:val="en-US" w:eastAsia="zh-CN"/>
              </w:rPr>
              <w:t>分</w:t>
            </w:r>
          </w:p>
        </w:tc>
      </w:tr>
      <w:tr w14:paraId="5CEB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noWrap w:val="0"/>
            <w:vAlign w:val="center"/>
          </w:tcPr>
          <w:p w14:paraId="4FB63CB3">
            <w:pPr>
              <w:adjustRightInd w:val="0"/>
              <w:spacing w:line="360" w:lineRule="auto"/>
              <w:ind w:left="-105" w:leftChars="-50" w:right="-105" w:rightChars="-50"/>
              <w:jc w:val="center"/>
              <w:textAlignment w:val="baseline"/>
              <w:rPr>
                <w:rFonts w:hint="eastAsia" w:ascii="宋体" w:hAnsi="宋体" w:eastAsia="宋体" w:cs="宋体"/>
                <w:bCs/>
                <w:color w:val="auto"/>
                <w:kern w:val="0"/>
                <w:sz w:val="24"/>
                <w:szCs w:val="24"/>
                <w:highlight w:val="none"/>
              </w:rPr>
            </w:pPr>
          </w:p>
        </w:tc>
        <w:tc>
          <w:tcPr>
            <w:tcW w:w="902" w:type="pct"/>
            <w:noWrap w:val="0"/>
            <w:vAlign w:val="center"/>
          </w:tcPr>
          <w:p w14:paraId="71B0E56E">
            <w:pPr>
              <w:adjustRightInd w:val="0"/>
              <w:spacing w:line="360" w:lineRule="auto"/>
              <w:jc w:val="center"/>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实施方案</w:t>
            </w:r>
          </w:p>
        </w:tc>
        <w:tc>
          <w:tcPr>
            <w:tcW w:w="3286" w:type="pct"/>
            <w:noWrap w:val="0"/>
            <w:vAlign w:val="center"/>
          </w:tcPr>
          <w:p w14:paraId="0DB5C7B1">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分）：项目实施方案基本满足项目采购需求。</w:t>
            </w:r>
          </w:p>
          <w:p w14:paraId="4BE18B58">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二档（12分）：项目实施方案符合采购需求且包含有①项目组织计划②进度计划③人员安排④技术路线等，方案切实可行。</w:t>
            </w:r>
          </w:p>
          <w:p w14:paraId="3F48CC74">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分）：项目实施方案符合采购需求且包含有①项目组织计划②进度计划③人员安排④技术路线⑤进度保障措施等，方案描述比较详细、考虑比较全面。</w:t>
            </w:r>
          </w:p>
          <w:p w14:paraId="35BAF934">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四档（</w:t>
            </w: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rPr>
              <w:t>分）：项目实施方案符合采购需求且包含有①项目组织计划②进度计划③人员安排④技术路线⑤进度保障措施⑥项目保密措施等，方案中描述了进度保障措施的方法和实现方式并且考虑周全完整，有明确的工程进度和管理措施，完全满足本项目工作需要。</w:t>
            </w:r>
          </w:p>
        </w:tc>
        <w:tc>
          <w:tcPr>
            <w:tcW w:w="463" w:type="pct"/>
            <w:noWrap w:val="0"/>
            <w:vAlign w:val="center"/>
          </w:tcPr>
          <w:p w14:paraId="53097851">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bCs/>
                <w:color w:val="auto"/>
                <w:sz w:val="24"/>
                <w:szCs w:val="24"/>
                <w:highlight w:val="none"/>
                <w:lang w:val="en-US" w:eastAsia="zh-CN"/>
              </w:rPr>
              <w:t>24</w:t>
            </w:r>
            <w:r>
              <w:rPr>
                <w:rFonts w:hint="eastAsia" w:ascii="宋体" w:hAnsi="宋体" w:eastAsia="宋体" w:cs="宋体"/>
                <w:bCs/>
                <w:color w:val="auto"/>
                <w:sz w:val="24"/>
                <w:szCs w:val="24"/>
                <w:highlight w:val="none"/>
              </w:rPr>
              <w:t>分</w:t>
            </w:r>
          </w:p>
        </w:tc>
      </w:tr>
      <w:tr w14:paraId="4AA4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346" w:type="pct"/>
            <w:noWrap w:val="0"/>
            <w:vAlign w:val="center"/>
          </w:tcPr>
          <w:p w14:paraId="10D52EB8">
            <w:pPr>
              <w:spacing w:line="360" w:lineRule="auto"/>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2.2</w:t>
            </w:r>
          </w:p>
        </w:tc>
        <w:tc>
          <w:tcPr>
            <w:tcW w:w="902" w:type="pct"/>
            <w:noWrap w:val="0"/>
            <w:vAlign w:val="center"/>
          </w:tcPr>
          <w:p w14:paraId="20D65440">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质量保</w:t>
            </w:r>
          </w:p>
          <w:p w14:paraId="0C763F48">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障措施</w:t>
            </w:r>
          </w:p>
        </w:tc>
        <w:tc>
          <w:tcPr>
            <w:tcW w:w="3286" w:type="pct"/>
            <w:noWrap w:val="0"/>
            <w:vAlign w:val="center"/>
          </w:tcPr>
          <w:p w14:paraId="118C5831">
            <w:pPr>
              <w:keepNext w:val="0"/>
              <w:keepLines w:val="0"/>
              <w:pageBreakBefore w:val="0"/>
              <w:widowControl w:val="0"/>
              <w:tabs>
                <w:tab w:val="left" w:pos="668"/>
                <w:tab w:val="left" w:pos="680"/>
                <w:tab w:val="left" w:pos="1190"/>
                <w:tab w:val="left" w:pos="126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一档（4分）：质量保证措施方案基本满足项目采购需求。</w:t>
            </w:r>
          </w:p>
          <w:p w14:paraId="5C4EF467">
            <w:pPr>
              <w:keepNext w:val="0"/>
              <w:keepLines w:val="0"/>
              <w:pageBreakBefore w:val="0"/>
              <w:widowControl w:val="0"/>
              <w:tabs>
                <w:tab w:val="left" w:pos="668"/>
                <w:tab w:val="left" w:pos="680"/>
                <w:tab w:val="left" w:pos="1190"/>
                <w:tab w:val="left" w:pos="126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二档（</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分）：质量保证措施方案满足项目采购需求且有质量保障措施，可行性与详细程度一般。</w:t>
            </w:r>
          </w:p>
          <w:p w14:paraId="2C5D71EE">
            <w:pPr>
              <w:keepNext w:val="0"/>
              <w:keepLines w:val="0"/>
              <w:pageBreakBefore w:val="0"/>
              <w:widowControl w:val="0"/>
              <w:tabs>
                <w:tab w:val="left" w:pos="668"/>
                <w:tab w:val="left" w:pos="680"/>
                <w:tab w:val="left" w:pos="1190"/>
                <w:tab w:val="left" w:pos="126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三档（</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分）：质量保证措施方案符合采购需求且包含有①质量标准②质量保障措施，方案相对完整、 科学、具有可行性和可操作性。</w:t>
            </w:r>
          </w:p>
          <w:p w14:paraId="1CB4D5B4">
            <w:pPr>
              <w:keepNext w:val="0"/>
              <w:keepLines w:val="0"/>
              <w:pageBreakBefore w:val="0"/>
              <w:widowControl w:val="0"/>
              <w:tabs>
                <w:tab w:val="left" w:pos="668"/>
                <w:tab w:val="left" w:pos="680"/>
                <w:tab w:val="left" w:pos="1190"/>
                <w:tab w:val="left" w:pos="126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四档（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分）：质量保证措施方案符合采购需求且包含有①质量标准②质量保障措施③质量保障程序 ④质量检查措施，方案完整、详细、全面、科学、有针对性、可行性和操作性强，能有效的对项目的所有 环节进行质量控制。</w:t>
            </w:r>
          </w:p>
        </w:tc>
        <w:tc>
          <w:tcPr>
            <w:tcW w:w="463" w:type="pct"/>
            <w:noWrap w:val="0"/>
            <w:vAlign w:val="center"/>
          </w:tcPr>
          <w:p w14:paraId="5E5D0024">
            <w:pPr>
              <w:spacing w:line="360" w:lineRule="auto"/>
              <w:jc w:val="center"/>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r>
      <w:tr w14:paraId="3D2F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346" w:type="pct"/>
            <w:noWrap w:val="0"/>
            <w:vAlign w:val="center"/>
          </w:tcPr>
          <w:p w14:paraId="4A304357">
            <w:pPr>
              <w:spacing w:line="360" w:lineRule="auto"/>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2.3</w:t>
            </w:r>
          </w:p>
        </w:tc>
        <w:tc>
          <w:tcPr>
            <w:tcW w:w="902" w:type="pct"/>
            <w:noWrap w:val="0"/>
            <w:vAlign w:val="center"/>
          </w:tcPr>
          <w:p w14:paraId="70DE158D">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售后服</w:t>
            </w:r>
          </w:p>
          <w:p w14:paraId="2FF92CD7">
            <w:pPr>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务方案</w:t>
            </w:r>
          </w:p>
        </w:tc>
        <w:tc>
          <w:tcPr>
            <w:tcW w:w="3286" w:type="pct"/>
            <w:noWrap w:val="0"/>
            <w:vAlign w:val="center"/>
          </w:tcPr>
          <w:p w14:paraId="29DB0ACB">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shd w:val="clear"/>
                <w:lang w:val="en-US" w:eastAsia="zh-CN"/>
              </w:rPr>
            </w:pPr>
            <w:r>
              <w:rPr>
                <w:rFonts w:hint="eastAsia" w:ascii="宋体" w:hAnsi="宋体" w:eastAsia="宋体" w:cs="宋体"/>
                <w:bCs/>
                <w:color w:val="auto"/>
                <w:sz w:val="24"/>
                <w:szCs w:val="24"/>
                <w:highlight w:val="none"/>
                <w:shd w:val="clear"/>
                <w:lang w:val="en-US" w:eastAsia="zh-CN"/>
              </w:rPr>
              <w:t>一档（4分）：后续服务能力、响应时间等方案满足要求；</w:t>
            </w:r>
          </w:p>
          <w:p w14:paraId="23102724">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shd w:val="clear"/>
                <w:lang w:val="en-US" w:eastAsia="zh-CN"/>
              </w:rPr>
            </w:pPr>
            <w:r>
              <w:rPr>
                <w:rFonts w:hint="eastAsia" w:ascii="宋体" w:hAnsi="宋体" w:eastAsia="宋体" w:cs="宋体"/>
                <w:bCs/>
                <w:color w:val="auto"/>
                <w:sz w:val="24"/>
                <w:szCs w:val="24"/>
                <w:highlight w:val="none"/>
                <w:shd w:val="clear"/>
                <w:lang w:val="en-US" w:eastAsia="zh-CN"/>
              </w:rPr>
              <w:t>二档（8分）：后续服务能力、响应时间等方案科学合理程度和完善度满足要求且包含人员保障；</w:t>
            </w:r>
          </w:p>
          <w:p w14:paraId="7A5A2D21">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sz w:val="24"/>
                <w:szCs w:val="24"/>
                <w:highlight w:val="none"/>
                <w:shd w:val="clear"/>
                <w:lang w:val="en-US" w:eastAsia="zh-CN"/>
              </w:rPr>
            </w:pPr>
            <w:r>
              <w:rPr>
                <w:rFonts w:hint="eastAsia" w:ascii="宋体" w:hAnsi="宋体" w:eastAsia="宋体" w:cs="宋体"/>
                <w:bCs/>
                <w:color w:val="auto"/>
                <w:sz w:val="24"/>
                <w:szCs w:val="24"/>
                <w:highlight w:val="none"/>
                <w:shd w:val="clear"/>
                <w:lang w:val="en-US" w:eastAsia="zh-CN"/>
              </w:rPr>
              <w:t>三档（12分）：后续服务能力、响应时间等方案科学合理程度和完善度满足要求且包含人员保障、设备保障。</w:t>
            </w:r>
          </w:p>
          <w:p w14:paraId="0CE3CFE3">
            <w:pPr>
              <w:tabs>
                <w:tab w:val="left" w:pos="668"/>
                <w:tab w:val="left" w:pos="680"/>
                <w:tab w:val="left" w:pos="1190"/>
                <w:tab w:val="left" w:pos="1264"/>
              </w:tabs>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shd w:val="clear"/>
                <w:lang w:val="en-US" w:eastAsia="zh-CN"/>
              </w:rPr>
              <w:t>四档（</w:t>
            </w:r>
            <w:r>
              <w:rPr>
                <w:rFonts w:hint="eastAsia" w:ascii="宋体" w:hAnsi="宋体" w:cs="宋体"/>
                <w:bCs/>
                <w:color w:val="auto"/>
                <w:sz w:val="24"/>
                <w:szCs w:val="24"/>
                <w:highlight w:val="none"/>
                <w:shd w:val="clear"/>
                <w:lang w:val="en-US" w:eastAsia="zh-CN"/>
              </w:rPr>
              <w:t>15</w:t>
            </w:r>
            <w:r>
              <w:rPr>
                <w:rFonts w:hint="eastAsia" w:ascii="宋体" w:hAnsi="宋体" w:eastAsia="宋体" w:cs="宋体"/>
                <w:bCs/>
                <w:color w:val="auto"/>
                <w:sz w:val="24"/>
                <w:szCs w:val="24"/>
                <w:highlight w:val="none"/>
                <w:shd w:val="clear"/>
                <w:lang w:val="en-US" w:eastAsia="zh-CN"/>
              </w:rPr>
              <w:t>分）：后续服务能力、响应时间等方案科学合理程度和完善度满足要求且包含人员保障、设备保障、能力优势保障。</w:t>
            </w:r>
          </w:p>
        </w:tc>
        <w:tc>
          <w:tcPr>
            <w:tcW w:w="463" w:type="pct"/>
            <w:noWrap w:val="0"/>
            <w:vAlign w:val="center"/>
          </w:tcPr>
          <w:p w14:paraId="00C582E0">
            <w:pPr>
              <w:spacing w:line="360" w:lineRule="auto"/>
              <w:jc w:val="center"/>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r>
      <w:tr w14:paraId="3D05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noWrap w:val="0"/>
            <w:vAlign w:val="center"/>
          </w:tcPr>
          <w:p w14:paraId="63775DC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02" w:type="pct"/>
            <w:noWrap w:val="0"/>
            <w:vAlign w:val="center"/>
          </w:tcPr>
          <w:p w14:paraId="5731B8BB">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商务分</w:t>
            </w:r>
          </w:p>
          <w:p w14:paraId="42262F1C">
            <w:pPr>
              <w:widowControl/>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满分</w:t>
            </w:r>
            <w:r>
              <w:rPr>
                <w:rFonts w:hint="eastAsia" w:ascii="宋体" w:hAnsi="宋体" w:eastAsia="宋体" w:cs="宋体"/>
                <w:bCs/>
                <w:color w:val="auto"/>
                <w:sz w:val="24"/>
                <w:szCs w:val="24"/>
                <w:highlight w:val="none"/>
                <w:lang w:val="en-US" w:eastAsia="zh-CN"/>
              </w:rPr>
              <w:t>20分</w:t>
            </w:r>
            <w:r>
              <w:rPr>
                <w:rFonts w:hint="eastAsia" w:ascii="宋体" w:hAnsi="宋体" w:eastAsia="宋体" w:cs="宋体"/>
                <w:bCs/>
                <w:color w:val="auto"/>
                <w:sz w:val="24"/>
                <w:szCs w:val="24"/>
                <w:highlight w:val="none"/>
                <w:lang w:eastAsia="zh-CN"/>
              </w:rPr>
              <w:t>）</w:t>
            </w:r>
          </w:p>
        </w:tc>
        <w:tc>
          <w:tcPr>
            <w:tcW w:w="3750" w:type="pct"/>
            <w:gridSpan w:val="2"/>
            <w:noWrap w:val="0"/>
            <w:vAlign w:val="center"/>
          </w:tcPr>
          <w:p w14:paraId="190294B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r>
      <w:tr w14:paraId="251E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noWrap w:val="0"/>
            <w:vAlign w:val="center"/>
          </w:tcPr>
          <w:p w14:paraId="55060BA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902" w:type="pct"/>
            <w:noWrap w:val="0"/>
            <w:vAlign w:val="center"/>
          </w:tcPr>
          <w:p w14:paraId="333077F5">
            <w:pPr>
              <w:widowControl/>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拟投入本项目人员</w:t>
            </w:r>
          </w:p>
        </w:tc>
        <w:tc>
          <w:tcPr>
            <w:tcW w:w="3286" w:type="pct"/>
            <w:noWrap w:val="0"/>
            <w:vAlign w:val="center"/>
          </w:tcPr>
          <w:p w14:paraId="5656DB9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①拟投入</w:t>
            </w:r>
            <w:r>
              <w:rPr>
                <w:rFonts w:hint="eastAsia" w:ascii="宋体" w:hAnsi="宋体" w:cs="宋体"/>
                <w:color w:val="auto"/>
                <w:kern w:val="0"/>
                <w:sz w:val="24"/>
                <w:szCs w:val="24"/>
                <w:highlight w:val="none"/>
                <w:lang w:eastAsia="zh-CN"/>
              </w:rPr>
              <w:t>项目负责人</w:t>
            </w:r>
            <w:r>
              <w:rPr>
                <w:rFonts w:hint="eastAsia" w:ascii="宋体" w:hAnsi="宋体" w:eastAsia="宋体" w:cs="宋体"/>
                <w:color w:val="auto"/>
                <w:kern w:val="0"/>
                <w:sz w:val="24"/>
                <w:szCs w:val="24"/>
                <w:highlight w:val="none"/>
              </w:rPr>
              <w:t>具有</w:t>
            </w:r>
            <w:r>
              <w:rPr>
                <w:rFonts w:hint="eastAsia" w:ascii="宋体" w:hAnsi="宋体" w:cs="宋体"/>
                <w:color w:val="auto"/>
                <w:kern w:val="0"/>
                <w:sz w:val="24"/>
                <w:szCs w:val="24"/>
                <w:highlight w:val="none"/>
                <w:lang w:eastAsia="zh-CN"/>
              </w:rPr>
              <w:t>中级及以上职称的</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分，满分</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3FE35A5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②拟投入</w:t>
            </w:r>
            <w:r>
              <w:rPr>
                <w:rFonts w:hint="eastAsia" w:ascii="宋体" w:hAnsi="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人员中具有</w:t>
            </w:r>
            <w:r>
              <w:rPr>
                <w:rFonts w:hint="eastAsia" w:ascii="宋体" w:hAnsi="宋体" w:cs="宋体"/>
                <w:color w:val="auto"/>
                <w:kern w:val="0"/>
                <w:sz w:val="24"/>
                <w:szCs w:val="24"/>
                <w:highlight w:val="none"/>
                <w:lang w:eastAsia="zh-CN"/>
              </w:rPr>
              <w:t>初级及以上职称的</w:t>
            </w:r>
            <w:r>
              <w:rPr>
                <w:rFonts w:hint="eastAsia" w:ascii="宋体" w:hAnsi="宋体" w:eastAsia="宋体" w:cs="宋体"/>
                <w:color w:val="auto"/>
                <w:kern w:val="0"/>
                <w:sz w:val="24"/>
                <w:szCs w:val="24"/>
                <w:highlight w:val="none"/>
              </w:rPr>
              <w:t>，每人得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分，满分</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p>
          <w:p w14:paraId="6D9E9B3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注：拟投入人员必须提供投标人为拟投入人员缴纳</w:t>
            </w:r>
            <w:r>
              <w:rPr>
                <w:rFonts w:hint="eastAsia" w:ascii="宋体" w:hAnsi="宋体" w:cs="宋体"/>
                <w:color w:val="auto"/>
                <w:sz w:val="24"/>
                <w:highlight w:val="none"/>
                <w:u w:val="none"/>
                <w:lang w:eastAsia="zh-CN"/>
              </w:rPr>
              <w:t>（2024年6月至2024年11月</w:t>
            </w:r>
            <w:r>
              <w:rPr>
                <w:rFonts w:hint="eastAsia" w:ascii="宋体" w:hAnsi="宋体" w:cs="宋体"/>
                <w:color w:val="auto"/>
                <w:sz w:val="24"/>
                <w:highlight w:val="none"/>
                <w:u w:val="none"/>
              </w:rPr>
              <w:t>内</w:t>
            </w:r>
            <w:r>
              <w:rPr>
                <w:rFonts w:hint="eastAsia" w:ascii="宋体" w:hAnsi="宋体" w:cs="宋体"/>
                <w:color w:val="auto"/>
                <w:sz w:val="24"/>
                <w:highlight w:val="none"/>
                <w:u w:val="none"/>
                <w:lang w:eastAsia="zh-CN"/>
              </w:rPr>
              <w:t>任意</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个月）</w:t>
            </w:r>
            <w:r>
              <w:rPr>
                <w:rFonts w:hint="eastAsia" w:ascii="宋体" w:hAnsi="宋体" w:cs="宋体"/>
                <w:color w:val="auto"/>
                <w:sz w:val="24"/>
                <w:highlight w:val="none"/>
                <w:u w:val="none"/>
                <w:lang w:eastAsia="zh-CN"/>
              </w:rPr>
              <w:t>的</w:t>
            </w:r>
            <w:r>
              <w:rPr>
                <w:rFonts w:hint="eastAsia" w:ascii="宋体" w:hAnsi="宋体" w:eastAsia="宋体" w:cs="宋体"/>
                <w:color w:val="auto"/>
                <w:kern w:val="0"/>
                <w:sz w:val="24"/>
                <w:szCs w:val="24"/>
                <w:highlight w:val="none"/>
              </w:rPr>
              <w:t>社保缴纳证明复印件，提供相应的职称证书复印件，退休聘用人员，提供退休证明复印件代替社保证明。则不按照上述要求提供资料者，不作为评分依据。（以上拟投入技术人员须提供证书复印件,否则不记分。）</w:t>
            </w:r>
          </w:p>
        </w:tc>
        <w:tc>
          <w:tcPr>
            <w:tcW w:w="463" w:type="pct"/>
            <w:noWrap w:val="0"/>
            <w:vAlign w:val="center"/>
          </w:tcPr>
          <w:p w14:paraId="77237846">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14:paraId="034C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6" w:type="pct"/>
            <w:noWrap w:val="0"/>
            <w:vAlign w:val="center"/>
          </w:tcPr>
          <w:p w14:paraId="20C434B2">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w:t>
            </w:r>
          </w:p>
        </w:tc>
        <w:tc>
          <w:tcPr>
            <w:tcW w:w="902" w:type="pct"/>
            <w:noWrap w:val="0"/>
            <w:vAlign w:val="center"/>
          </w:tcPr>
          <w:p w14:paraId="3A228E7D">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业绩</w:t>
            </w:r>
          </w:p>
        </w:tc>
        <w:tc>
          <w:tcPr>
            <w:tcW w:w="3286" w:type="pct"/>
            <w:noWrap w:val="0"/>
            <w:vAlign w:val="center"/>
          </w:tcPr>
          <w:p w14:paraId="5746C01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2021年以来</w:t>
            </w:r>
            <w:r>
              <w:rPr>
                <w:rFonts w:hint="eastAsia" w:ascii="宋体" w:hAnsi="宋体" w:cs="宋体"/>
                <w:bCs/>
                <w:color w:val="auto"/>
                <w:sz w:val="24"/>
                <w:szCs w:val="24"/>
                <w:highlight w:val="none"/>
                <w:lang w:eastAsia="zh-CN"/>
              </w:rPr>
              <w:t>服务类项目</w:t>
            </w:r>
            <w:r>
              <w:rPr>
                <w:rFonts w:hint="eastAsia" w:ascii="宋体" w:hAnsi="宋体" w:eastAsia="宋体" w:cs="宋体"/>
                <w:bCs/>
                <w:color w:val="auto"/>
                <w:sz w:val="24"/>
                <w:szCs w:val="24"/>
                <w:highlight w:val="none"/>
              </w:rPr>
              <w:t>的业绩，每提供一个项目业绩得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3FDF3DB6">
            <w:pPr>
              <w:spacing w:line="360" w:lineRule="auto"/>
              <w:jc w:val="left"/>
              <w:rPr>
                <w:rFonts w:hint="eastAsia" w:ascii="宋体" w:hAnsi="宋体" w:eastAsia="宋体" w:cs="宋体"/>
                <w:caps w:val="0"/>
                <w:smallCaps w:val="0"/>
                <w:color w:val="auto"/>
                <w:spacing w:val="0"/>
                <w:kern w:val="0"/>
                <w:sz w:val="24"/>
                <w:szCs w:val="24"/>
                <w:highlight w:val="none"/>
                <w:lang w:val="en-US" w:eastAsia="zh-CN" w:bidi="ar-SA"/>
              </w:rPr>
            </w:pPr>
            <w:r>
              <w:rPr>
                <w:rFonts w:hint="eastAsia" w:ascii="宋体" w:hAnsi="宋体" w:eastAsia="宋体" w:cs="宋体"/>
                <w:bCs/>
                <w:color w:val="auto"/>
                <w:sz w:val="24"/>
                <w:szCs w:val="24"/>
                <w:highlight w:val="none"/>
              </w:rPr>
              <w:t>注：业绩证明材料</w:t>
            </w:r>
            <w:r>
              <w:rPr>
                <w:rFonts w:hint="eastAsia" w:ascii="宋体" w:hAnsi="宋体" w:eastAsia="宋体" w:cs="宋体"/>
                <w:bCs/>
                <w:color w:val="auto"/>
                <w:sz w:val="24"/>
                <w:szCs w:val="24"/>
                <w:highlight w:val="none"/>
                <w:lang w:val="en-US" w:eastAsia="zh-CN"/>
              </w:rPr>
              <w:t>以</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val="en-US" w:eastAsia="zh-CN"/>
              </w:rPr>
              <w:t>书</w:t>
            </w:r>
            <w:r>
              <w:rPr>
                <w:rFonts w:hint="eastAsia" w:ascii="宋体" w:hAnsi="宋体" w:eastAsia="宋体" w:cs="宋体"/>
                <w:bCs/>
                <w:color w:val="auto"/>
                <w:sz w:val="24"/>
                <w:szCs w:val="24"/>
                <w:highlight w:val="none"/>
              </w:rPr>
              <w:t>或中标（成交）通知书</w:t>
            </w:r>
            <w:r>
              <w:rPr>
                <w:rFonts w:hint="eastAsia" w:ascii="宋体" w:hAnsi="宋体" w:eastAsia="宋体" w:cs="宋体"/>
                <w:bCs/>
                <w:color w:val="auto"/>
                <w:sz w:val="24"/>
                <w:szCs w:val="24"/>
                <w:highlight w:val="none"/>
                <w:lang w:val="en-US" w:eastAsia="zh-CN"/>
              </w:rPr>
              <w:t>复印件</w:t>
            </w:r>
            <w:r>
              <w:rPr>
                <w:rFonts w:hint="eastAsia" w:ascii="宋体" w:hAnsi="宋体" w:eastAsia="宋体" w:cs="宋体"/>
                <w:bCs/>
                <w:color w:val="auto"/>
                <w:sz w:val="24"/>
                <w:szCs w:val="24"/>
                <w:highlight w:val="none"/>
              </w:rPr>
              <w:t>为准，并加盖供应商公章，未提供业绩证明材料的项目不得分。</w:t>
            </w:r>
          </w:p>
        </w:tc>
        <w:tc>
          <w:tcPr>
            <w:tcW w:w="463" w:type="pct"/>
            <w:noWrap w:val="0"/>
            <w:vAlign w:val="center"/>
          </w:tcPr>
          <w:p w14:paraId="1F3B185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14:paraId="2A68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0" w:type="pct"/>
            <w:gridSpan w:val="4"/>
            <w:noWrap w:val="0"/>
            <w:vAlign w:val="center"/>
          </w:tcPr>
          <w:p w14:paraId="022FB1AF">
            <w:pPr>
              <w:widowControl/>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4"/>
                <w:szCs w:val="24"/>
                <w:highlight w:val="none"/>
                <w:lang w:val="en-US" w:eastAsia="zh-CN"/>
              </w:rPr>
              <w:t>总得分＝1＋2</w:t>
            </w:r>
          </w:p>
        </w:tc>
      </w:tr>
    </w:tbl>
    <w:p w14:paraId="686C265D">
      <w:pPr>
        <w:pStyle w:val="42"/>
        <w:ind w:firstLine="420"/>
        <w:rPr>
          <w:rFonts w:hint="eastAsia"/>
          <w:color w:val="auto"/>
          <w:highlight w:val="none"/>
        </w:rPr>
      </w:pPr>
    </w:p>
    <w:p w14:paraId="165BB38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6.评审依据：磋商小组将以磋商响应文件为评审依据，对供应商的报价、技术、商务等方面内容按百分制打分。（计分方法按四舍五入取至百分位）</w:t>
      </w:r>
    </w:p>
    <w:p w14:paraId="13DD1728">
      <w:pPr>
        <w:pStyle w:val="2"/>
        <w:rPr>
          <w:color w:val="auto"/>
          <w:highlight w:val="none"/>
        </w:rPr>
      </w:pPr>
    </w:p>
    <w:p w14:paraId="2F8DCA4A">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0AC32888">
      <w:pPr>
        <w:spacing w:line="400" w:lineRule="exact"/>
        <w:ind w:firstLine="420" w:firstLineChars="200"/>
        <w:rPr>
          <w:rFonts w:ascii="宋体" w:hAnsi="宋体" w:cs="宋体"/>
          <w:color w:val="auto"/>
          <w:highlight w:val="none"/>
        </w:rPr>
      </w:pPr>
    </w:p>
    <w:p w14:paraId="4B22BFBD">
      <w:pPr>
        <w:spacing w:line="400" w:lineRule="exact"/>
        <w:ind w:firstLine="420" w:firstLineChars="200"/>
        <w:rPr>
          <w:rFonts w:ascii="宋体" w:hAnsi="宋体" w:cs="宋体"/>
          <w:color w:val="auto"/>
          <w:highlight w:val="none"/>
        </w:rPr>
      </w:pPr>
    </w:p>
    <w:p w14:paraId="4768060E">
      <w:pPr>
        <w:pStyle w:val="4"/>
        <w:jc w:val="center"/>
        <w:rPr>
          <w:rFonts w:ascii="宋体" w:hAnsi="宋体" w:cs="宋体"/>
          <w:color w:val="auto"/>
          <w:highlight w:val="none"/>
        </w:rPr>
      </w:pPr>
      <w:r>
        <w:rPr>
          <w:rFonts w:hint="eastAsia" w:ascii="宋体" w:hAnsi="宋体" w:cs="宋体"/>
          <w:color w:val="auto"/>
          <w:highlight w:val="none"/>
        </w:rPr>
        <w:br w:type="page"/>
      </w:r>
      <w:bookmarkStart w:id="73" w:name="_Toc25516"/>
      <w:bookmarkStart w:id="74" w:name="_Toc31802"/>
      <w:r>
        <w:rPr>
          <w:rFonts w:hint="eastAsia" w:ascii="宋体" w:hAnsi="宋体" w:cs="宋体"/>
          <w:color w:val="auto"/>
          <w:highlight w:val="none"/>
        </w:rPr>
        <w:t>第五章 响应文件格式</w:t>
      </w:r>
      <w:bookmarkEnd w:id="73"/>
      <w:bookmarkEnd w:id="74"/>
    </w:p>
    <w:p w14:paraId="06EC7E75">
      <w:pPr>
        <w:snapToGrid w:val="0"/>
        <w:spacing w:before="156" w:beforeLines="50" w:after="50"/>
        <w:jc w:val="center"/>
        <w:rPr>
          <w:rFonts w:ascii="宋体" w:hAnsi="宋体" w:cs="宋体"/>
          <w:bCs/>
          <w:color w:val="auto"/>
          <w:sz w:val="32"/>
          <w:szCs w:val="32"/>
          <w:highlight w:val="none"/>
        </w:rPr>
      </w:pPr>
    </w:p>
    <w:p w14:paraId="3126F733">
      <w:pPr>
        <w:snapToGrid w:val="0"/>
        <w:spacing w:before="156" w:beforeLines="50" w:after="50" w:line="360" w:lineRule="auto"/>
        <w:jc w:val="center"/>
        <w:outlineLvl w:val="1"/>
        <w:rPr>
          <w:rFonts w:ascii="宋体" w:hAnsi="宋体" w:cs="宋体"/>
          <w:b/>
          <w:bCs/>
          <w:color w:val="auto"/>
          <w:sz w:val="32"/>
          <w:szCs w:val="32"/>
          <w:highlight w:val="none"/>
        </w:rPr>
      </w:pPr>
      <w:bookmarkStart w:id="75" w:name="_Toc1012"/>
      <w:bookmarkStart w:id="76" w:name="_Toc35611516"/>
      <w:bookmarkStart w:id="77" w:name="_Toc44229899"/>
      <w:bookmarkStart w:id="78" w:name="_Toc35611438"/>
      <w:bookmarkStart w:id="79" w:name="_Toc31728084"/>
      <w:bookmarkStart w:id="80" w:name="_Toc31723070"/>
      <w:r>
        <w:rPr>
          <w:rFonts w:hint="eastAsia" w:ascii="宋体" w:hAnsi="宋体" w:cs="宋体"/>
          <w:b/>
          <w:bCs/>
          <w:color w:val="auto"/>
          <w:sz w:val="32"/>
          <w:szCs w:val="32"/>
          <w:highlight w:val="none"/>
        </w:rPr>
        <w:t>一、资格证明文件格式</w:t>
      </w:r>
      <w:bookmarkEnd w:id="75"/>
      <w:bookmarkEnd w:id="76"/>
      <w:bookmarkEnd w:id="77"/>
      <w:bookmarkEnd w:id="78"/>
      <w:bookmarkEnd w:id="79"/>
      <w:bookmarkEnd w:id="80"/>
    </w:p>
    <w:p w14:paraId="1BF27722">
      <w:pPr>
        <w:snapToGrid w:val="0"/>
        <w:spacing w:before="156" w:beforeLines="50" w:after="50" w:line="360" w:lineRule="auto"/>
        <w:jc w:val="center"/>
        <w:rPr>
          <w:rFonts w:ascii="宋体" w:hAnsi="宋体" w:cs="宋体"/>
          <w:b/>
          <w:color w:val="auto"/>
          <w:sz w:val="24"/>
          <w:highlight w:val="none"/>
        </w:rPr>
      </w:pPr>
      <w:r>
        <w:rPr>
          <w:rFonts w:hint="eastAsia" w:ascii="宋体" w:hAnsi="宋体" w:cs="宋体"/>
          <w:b/>
          <w:color w:val="auto"/>
          <w:sz w:val="32"/>
          <w:szCs w:val="32"/>
          <w:highlight w:val="none"/>
        </w:rPr>
        <w:t>资格证明文件封面格式：</w:t>
      </w:r>
    </w:p>
    <w:p w14:paraId="0C209C9F">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58EF327E">
      <w:pPr>
        <w:snapToGrid w:val="0"/>
        <w:spacing w:before="156" w:beforeLines="50" w:after="50"/>
        <w:rPr>
          <w:rFonts w:ascii="宋体" w:hAnsi="宋体" w:cs="宋体"/>
          <w:color w:val="auto"/>
          <w:sz w:val="24"/>
          <w:szCs w:val="20"/>
          <w:highlight w:val="none"/>
        </w:rPr>
      </w:pPr>
    </w:p>
    <w:p w14:paraId="79463515">
      <w:pPr>
        <w:snapToGrid w:val="0"/>
        <w:spacing w:before="156" w:beforeLines="50" w:after="50"/>
        <w:rPr>
          <w:rFonts w:ascii="宋体" w:hAnsi="宋体" w:cs="宋体"/>
          <w:color w:val="auto"/>
          <w:sz w:val="24"/>
          <w:szCs w:val="20"/>
          <w:highlight w:val="none"/>
        </w:rPr>
      </w:pPr>
    </w:p>
    <w:p w14:paraId="78BDAEC7">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16C406EA">
      <w:pPr>
        <w:snapToGrid w:val="0"/>
        <w:spacing w:before="156" w:beforeLines="50" w:after="50"/>
        <w:rPr>
          <w:rFonts w:ascii="宋体" w:hAnsi="宋体" w:cs="宋体"/>
          <w:bCs/>
          <w:color w:val="auto"/>
          <w:sz w:val="24"/>
          <w:szCs w:val="20"/>
          <w:highlight w:val="none"/>
        </w:rPr>
      </w:pPr>
    </w:p>
    <w:p w14:paraId="66BEC4BC">
      <w:pPr>
        <w:snapToGrid w:val="0"/>
        <w:spacing w:before="156" w:beforeLines="50" w:after="50"/>
        <w:rPr>
          <w:rFonts w:ascii="宋体" w:hAnsi="宋体" w:cs="宋体"/>
          <w:bCs/>
          <w:color w:val="auto"/>
          <w:sz w:val="24"/>
          <w:szCs w:val="20"/>
          <w:highlight w:val="none"/>
        </w:rPr>
      </w:pPr>
    </w:p>
    <w:p w14:paraId="3D9C5DBC">
      <w:pPr>
        <w:snapToGrid w:val="0"/>
        <w:spacing w:before="156" w:beforeLines="50" w:after="50"/>
        <w:rPr>
          <w:rFonts w:ascii="宋体" w:hAnsi="宋体" w:cs="宋体"/>
          <w:bCs/>
          <w:color w:val="auto"/>
          <w:sz w:val="24"/>
          <w:szCs w:val="20"/>
          <w:highlight w:val="none"/>
        </w:rPr>
      </w:pPr>
    </w:p>
    <w:p w14:paraId="1581846E">
      <w:pPr>
        <w:snapToGrid w:val="0"/>
        <w:spacing w:before="156" w:beforeLines="50" w:after="50"/>
        <w:rPr>
          <w:rFonts w:ascii="宋体" w:hAnsi="宋体" w:cs="宋体"/>
          <w:bCs/>
          <w:color w:val="auto"/>
          <w:sz w:val="24"/>
          <w:szCs w:val="20"/>
          <w:highlight w:val="none"/>
        </w:rPr>
      </w:pPr>
    </w:p>
    <w:p w14:paraId="58113FBA">
      <w:pPr>
        <w:snapToGrid w:val="0"/>
        <w:spacing w:before="156" w:beforeLines="50" w:after="50"/>
        <w:rPr>
          <w:rFonts w:ascii="宋体" w:hAnsi="宋体" w:cs="宋体"/>
          <w:bCs/>
          <w:color w:val="auto"/>
          <w:sz w:val="24"/>
          <w:szCs w:val="20"/>
          <w:highlight w:val="none"/>
        </w:rPr>
      </w:pPr>
    </w:p>
    <w:p w14:paraId="6C2B32C7">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99FE8D0">
      <w:pPr>
        <w:snapToGrid w:val="0"/>
        <w:spacing w:before="156" w:beforeLines="50" w:after="50"/>
        <w:ind w:firstLine="720" w:firstLineChars="225"/>
        <w:rPr>
          <w:rFonts w:ascii="宋体" w:hAnsi="宋体" w:cs="宋体"/>
          <w:bCs/>
          <w:color w:val="auto"/>
          <w:sz w:val="32"/>
          <w:szCs w:val="32"/>
          <w:highlight w:val="none"/>
        </w:rPr>
      </w:pPr>
    </w:p>
    <w:p w14:paraId="3427415A">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1D6601A9">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8DE2525">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647F553">
      <w:pPr>
        <w:snapToGrid w:val="0"/>
        <w:spacing w:before="156" w:beforeLines="50" w:after="50"/>
        <w:ind w:firstLine="720" w:firstLineChars="225"/>
        <w:rPr>
          <w:rFonts w:ascii="宋体" w:hAnsi="宋体" w:cs="宋体"/>
          <w:bCs/>
          <w:color w:val="auto"/>
          <w:sz w:val="32"/>
          <w:szCs w:val="32"/>
          <w:highlight w:val="none"/>
        </w:rPr>
      </w:pPr>
    </w:p>
    <w:p w14:paraId="24678614">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20FAC41">
      <w:pPr>
        <w:pStyle w:val="8"/>
        <w:snapToGrid w:val="0"/>
        <w:spacing w:before="50" w:after="50"/>
        <w:ind w:firstLine="720" w:firstLineChars="225"/>
        <w:rPr>
          <w:rFonts w:ascii="宋体" w:hAnsi="宋体" w:cs="宋体"/>
          <w:bCs/>
          <w:color w:val="auto"/>
          <w:sz w:val="32"/>
          <w:szCs w:val="32"/>
          <w:highlight w:val="none"/>
        </w:rPr>
      </w:pPr>
    </w:p>
    <w:p w14:paraId="0663C33F">
      <w:pPr>
        <w:pStyle w:val="8"/>
        <w:snapToGrid w:val="0"/>
        <w:spacing w:before="50" w:after="50"/>
        <w:ind w:firstLine="1280" w:firstLineChars="400"/>
        <w:rPr>
          <w:rFonts w:ascii="宋体" w:hAnsi="宋体" w:cs="宋体"/>
          <w:bCs/>
          <w:color w:val="auto"/>
          <w:sz w:val="32"/>
          <w:szCs w:val="32"/>
          <w:highlight w:val="none"/>
        </w:rPr>
      </w:pPr>
    </w:p>
    <w:p w14:paraId="4D3DB911">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DE85C1B">
      <w:pPr>
        <w:snapToGrid w:val="0"/>
        <w:spacing w:before="156" w:beforeLines="50" w:after="50" w:line="360" w:lineRule="auto"/>
        <w:ind w:left="142"/>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资格证明文件目录</w:t>
      </w:r>
    </w:p>
    <w:p w14:paraId="66DFEEB5">
      <w:pPr>
        <w:snapToGrid w:val="0"/>
        <w:spacing w:line="400" w:lineRule="exact"/>
        <w:ind w:firstLine="640" w:firstLineChars="200"/>
        <w:jc w:val="left"/>
        <w:rPr>
          <w:rFonts w:ascii="宋体" w:hAnsi="宋体" w:cs="宋体"/>
          <w:b/>
          <w:color w:val="auto"/>
          <w:sz w:val="24"/>
          <w:highlight w:val="none"/>
        </w:rPr>
      </w:pPr>
      <w:r>
        <w:rPr>
          <w:rFonts w:hint="eastAsia" w:ascii="宋体" w:hAnsi="宋体" w:cs="宋体"/>
          <w:color w:val="auto"/>
          <w:sz w:val="32"/>
          <w:szCs w:val="32"/>
          <w:highlight w:val="none"/>
        </w:rPr>
        <w:t>根据磋商文件规定及供应商提供的材料自行编写目录（部分格式后附）。</w:t>
      </w:r>
    </w:p>
    <w:p w14:paraId="3AC10A74">
      <w:pPr>
        <w:spacing w:before="312" w:beforeLines="100" w:after="156" w:afterLines="50" w:line="520" w:lineRule="exact"/>
        <w:ind w:left="540"/>
        <w:jc w:val="center"/>
        <w:rPr>
          <w:rFonts w:ascii="宋体" w:hAnsi="宋体" w:cs="宋体"/>
          <w:b/>
          <w:color w:val="auto"/>
          <w:sz w:val="24"/>
          <w:highlight w:val="none"/>
        </w:rPr>
      </w:pPr>
    </w:p>
    <w:p w14:paraId="370BA21F">
      <w:pPr>
        <w:spacing w:before="312" w:beforeLines="100" w:after="156" w:afterLines="50" w:line="520" w:lineRule="exact"/>
        <w:ind w:left="540"/>
        <w:jc w:val="center"/>
        <w:rPr>
          <w:rFonts w:ascii="宋体" w:hAnsi="宋体" w:cs="宋体"/>
          <w:bCs/>
          <w:color w:val="auto"/>
          <w:sz w:val="44"/>
          <w:szCs w:val="44"/>
          <w:highlight w:val="none"/>
        </w:rPr>
      </w:pPr>
    </w:p>
    <w:p w14:paraId="5B2E1305">
      <w:pPr>
        <w:spacing w:before="312" w:beforeLines="100" w:after="156" w:afterLines="50" w:line="520" w:lineRule="exact"/>
        <w:ind w:left="540"/>
        <w:jc w:val="center"/>
        <w:rPr>
          <w:rFonts w:ascii="宋体" w:hAnsi="宋体" w:cs="宋体"/>
          <w:bCs/>
          <w:color w:val="auto"/>
          <w:sz w:val="44"/>
          <w:szCs w:val="44"/>
          <w:highlight w:val="none"/>
        </w:rPr>
      </w:pPr>
    </w:p>
    <w:p w14:paraId="4C5FC434">
      <w:pPr>
        <w:spacing w:before="312" w:beforeLines="100" w:after="156" w:afterLines="50" w:line="520" w:lineRule="exact"/>
        <w:ind w:left="540"/>
        <w:jc w:val="center"/>
        <w:rPr>
          <w:rFonts w:ascii="宋体" w:hAnsi="宋体" w:cs="宋体"/>
          <w:bCs/>
          <w:color w:val="auto"/>
          <w:sz w:val="44"/>
          <w:szCs w:val="44"/>
          <w:highlight w:val="none"/>
        </w:rPr>
      </w:pPr>
    </w:p>
    <w:p w14:paraId="70C7EBB1">
      <w:pPr>
        <w:spacing w:before="312" w:beforeLines="100" w:after="156" w:afterLines="50" w:line="520" w:lineRule="exact"/>
        <w:ind w:left="540"/>
        <w:jc w:val="center"/>
        <w:rPr>
          <w:rFonts w:ascii="宋体" w:hAnsi="宋体" w:cs="宋体"/>
          <w:bCs/>
          <w:color w:val="auto"/>
          <w:sz w:val="44"/>
          <w:szCs w:val="44"/>
          <w:highlight w:val="none"/>
        </w:rPr>
      </w:pPr>
    </w:p>
    <w:p w14:paraId="6C2F21B6">
      <w:pPr>
        <w:spacing w:before="312" w:beforeLines="100" w:after="156" w:afterLines="50" w:line="520" w:lineRule="exact"/>
        <w:ind w:left="540"/>
        <w:jc w:val="center"/>
        <w:rPr>
          <w:rFonts w:ascii="宋体" w:hAnsi="宋体" w:cs="宋体"/>
          <w:bCs/>
          <w:color w:val="auto"/>
          <w:sz w:val="44"/>
          <w:szCs w:val="44"/>
          <w:highlight w:val="none"/>
        </w:rPr>
      </w:pPr>
    </w:p>
    <w:p w14:paraId="7C1561CC">
      <w:pPr>
        <w:spacing w:before="312" w:beforeLines="100" w:after="156" w:afterLines="50" w:line="520" w:lineRule="exact"/>
        <w:ind w:left="540"/>
        <w:jc w:val="center"/>
        <w:rPr>
          <w:rFonts w:ascii="宋体" w:hAnsi="宋体" w:cs="宋体"/>
          <w:bCs/>
          <w:color w:val="auto"/>
          <w:sz w:val="44"/>
          <w:szCs w:val="44"/>
          <w:highlight w:val="none"/>
        </w:rPr>
      </w:pPr>
    </w:p>
    <w:p w14:paraId="48591A9D">
      <w:pPr>
        <w:spacing w:before="312" w:beforeLines="100" w:after="156" w:afterLines="50" w:line="520" w:lineRule="exact"/>
        <w:ind w:left="540"/>
        <w:jc w:val="center"/>
        <w:rPr>
          <w:rFonts w:ascii="宋体" w:hAnsi="宋体" w:cs="宋体"/>
          <w:bCs/>
          <w:color w:val="auto"/>
          <w:sz w:val="44"/>
          <w:szCs w:val="44"/>
          <w:highlight w:val="none"/>
        </w:rPr>
      </w:pPr>
    </w:p>
    <w:p w14:paraId="6B570F42">
      <w:pPr>
        <w:spacing w:before="312" w:beforeLines="100" w:after="156" w:afterLines="50" w:line="520" w:lineRule="exact"/>
        <w:ind w:left="540"/>
        <w:jc w:val="center"/>
        <w:rPr>
          <w:rFonts w:ascii="宋体" w:hAnsi="宋体" w:cs="宋体"/>
          <w:bCs/>
          <w:color w:val="auto"/>
          <w:sz w:val="44"/>
          <w:szCs w:val="44"/>
          <w:highlight w:val="none"/>
        </w:rPr>
      </w:pPr>
    </w:p>
    <w:p w14:paraId="02EE7693">
      <w:pPr>
        <w:spacing w:before="312" w:beforeLines="100" w:after="156" w:afterLines="50" w:line="520" w:lineRule="exact"/>
        <w:ind w:left="540"/>
        <w:jc w:val="center"/>
        <w:rPr>
          <w:rFonts w:ascii="宋体" w:hAnsi="宋体" w:cs="宋体"/>
          <w:bCs/>
          <w:color w:val="auto"/>
          <w:sz w:val="44"/>
          <w:szCs w:val="44"/>
          <w:highlight w:val="none"/>
        </w:rPr>
      </w:pPr>
    </w:p>
    <w:p w14:paraId="38ACC98F">
      <w:pPr>
        <w:spacing w:before="312" w:beforeLines="100" w:after="156" w:afterLines="50" w:line="520" w:lineRule="exact"/>
        <w:ind w:left="540"/>
        <w:jc w:val="center"/>
        <w:rPr>
          <w:rFonts w:ascii="宋体" w:hAnsi="宋体" w:cs="宋体"/>
          <w:bCs/>
          <w:color w:val="auto"/>
          <w:sz w:val="44"/>
          <w:szCs w:val="44"/>
          <w:highlight w:val="none"/>
        </w:rPr>
      </w:pPr>
    </w:p>
    <w:p w14:paraId="3F55AABC">
      <w:pPr>
        <w:spacing w:before="312" w:beforeLines="100" w:after="156" w:afterLines="50" w:line="520" w:lineRule="exact"/>
        <w:ind w:left="540"/>
        <w:jc w:val="center"/>
        <w:rPr>
          <w:rFonts w:ascii="宋体" w:hAnsi="宋体" w:cs="宋体"/>
          <w:bCs/>
          <w:color w:val="auto"/>
          <w:sz w:val="44"/>
          <w:szCs w:val="44"/>
          <w:highlight w:val="none"/>
        </w:rPr>
      </w:pPr>
    </w:p>
    <w:p w14:paraId="44DC9B76">
      <w:pPr>
        <w:spacing w:line="360" w:lineRule="auto"/>
        <w:ind w:firstLine="420" w:firstLineChars="200"/>
        <w:jc w:val="left"/>
        <w:rPr>
          <w:rFonts w:ascii="宋体" w:hAnsi="宋体" w:cs="宋体"/>
          <w:color w:val="auto"/>
          <w:szCs w:val="21"/>
          <w:highlight w:val="none"/>
        </w:rPr>
      </w:pPr>
    </w:p>
    <w:p w14:paraId="55A56AAB">
      <w:pPr>
        <w:spacing w:line="300" w:lineRule="auto"/>
        <w:rPr>
          <w:rFonts w:ascii="宋体" w:hAnsi="宋体" w:cs="宋体"/>
          <w:color w:val="auto"/>
          <w:szCs w:val="21"/>
          <w:highlight w:val="none"/>
        </w:rPr>
      </w:pPr>
      <w:r>
        <w:rPr>
          <w:rFonts w:hint="eastAsia" w:ascii="宋体" w:hAnsi="宋体" w:cs="宋体"/>
          <w:color w:val="auto"/>
          <w:szCs w:val="21"/>
          <w:highlight w:val="none"/>
        </w:rPr>
        <w:br w:type="page"/>
      </w:r>
    </w:p>
    <w:p w14:paraId="4511A925">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14:paraId="569E085B">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315954C9">
      <w:pPr>
        <w:snapToGrid w:val="0"/>
        <w:spacing w:before="156" w:beforeLines="50" w:after="50" w:line="360" w:lineRule="auto"/>
        <w:jc w:val="center"/>
        <w:rPr>
          <w:rFonts w:ascii="宋体" w:hAnsi="宋体" w:cs="宋体"/>
          <w:b/>
          <w:color w:val="auto"/>
          <w:sz w:val="24"/>
          <w:highlight w:val="none"/>
        </w:rPr>
      </w:pPr>
    </w:p>
    <w:p w14:paraId="5DE7118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3ACFBA9F">
      <w:pPr>
        <w:snapToGrid w:val="0"/>
        <w:spacing w:before="50" w:after="156" w:afterLines="50" w:line="360" w:lineRule="auto"/>
        <w:jc w:val="center"/>
        <w:rPr>
          <w:rFonts w:ascii="宋体" w:hAnsi="宋体" w:cs="宋体"/>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495677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74BB2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E7A84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07875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9D3C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B16DF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78D3F3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D38F7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F3EE7E">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A3AFFD">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62EBA3">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424761">
            <w:pPr>
              <w:widowControl/>
              <w:spacing w:line="360" w:lineRule="auto"/>
              <w:jc w:val="center"/>
              <w:rPr>
                <w:rFonts w:ascii="宋体" w:hAnsi="宋体" w:cs="宋体"/>
                <w:color w:val="auto"/>
                <w:kern w:val="0"/>
                <w:sz w:val="24"/>
                <w:highlight w:val="none"/>
              </w:rPr>
            </w:pPr>
          </w:p>
        </w:tc>
      </w:tr>
      <w:tr w14:paraId="45579CA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B1AF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F43086">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D853F">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C93851">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F5BEA3">
            <w:pPr>
              <w:widowControl/>
              <w:spacing w:line="360" w:lineRule="auto"/>
              <w:jc w:val="center"/>
              <w:rPr>
                <w:rFonts w:ascii="宋体" w:hAnsi="宋体" w:cs="宋体"/>
                <w:color w:val="auto"/>
                <w:kern w:val="0"/>
                <w:sz w:val="24"/>
                <w:highlight w:val="none"/>
              </w:rPr>
            </w:pPr>
          </w:p>
        </w:tc>
      </w:tr>
      <w:tr w14:paraId="35997C5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30016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F158E9">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29FA64">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A2AF71">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8862F2">
            <w:pPr>
              <w:widowControl/>
              <w:spacing w:line="360" w:lineRule="auto"/>
              <w:jc w:val="center"/>
              <w:rPr>
                <w:rFonts w:ascii="宋体" w:hAnsi="宋体" w:cs="宋体"/>
                <w:color w:val="auto"/>
                <w:kern w:val="0"/>
                <w:sz w:val="24"/>
                <w:highlight w:val="none"/>
              </w:rPr>
            </w:pPr>
          </w:p>
        </w:tc>
      </w:tr>
      <w:tr w14:paraId="153506D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97A09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6559A4">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DC450">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B593D6">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3121C">
            <w:pPr>
              <w:widowControl/>
              <w:spacing w:line="360" w:lineRule="auto"/>
              <w:jc w:val="center"/>
              <w:rPr>
                <w:rFonts w:ascii="宋体" w:hAnsi="宋体" w:cs="宋体"/>
                <w:color w:val="auto"/>
                <w:kern w:val="0"/>
                <w:sz w:val="24"/>
                <w:highlight w:val="none"/>
              </w:rPr>
            </w:pPr>
          </w:p>
        </w:tc>
      </w:tr>
    </w:tbl>
    <w:p w14:paraId="4A569C3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54A0FA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28650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B5D480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2A25273">
      <w:pPr>
        <w:snapToGrid w:val="0"/>
        <w:spacing w:line="360" w:lineRule="auto"/>
        <w:jc w:val="left"/>
        <w:rPr>
          <w:rFonts w:ascii="宋体" w:hAnsi="宋体" w:cs="宋体"/>
          <w:color w:val="auto"/>
          <w:sz w:val="24"/>
          <w:highlight w:val="none"/>
        </w:rPr>
      </w:pPr>
    </w:p>
    <w:p w14:paraId="30891158">
      <w:pPr>
        <w:snapToGrid w:val="0"/>
        <w:spacing w:line="360" w:lineRule="auto"/>
        <w:jc w:val="left"/>
        <w:rPr>
          <w:rFonts w:ascii="宋体" w:hAnsi="宋体" w:cs="宋体"/>
          <w:color w:val="auto"/>
          <w:sz w:val="24"/>
          <w:highlight w:val="none"/>
        </w:rPr>
      </w:pPr>
    </w:p>
    <w:p w14:paraId="324BADC3">
      <w:pPr>
        <w:snapToGrid w:val="0"/>
        <w:spacing w:line="360" w:lineRule="auto"/>
        <w:jc w:val="left"/>
        <w:rPr>
          <w:rFonts w:ascii="宋体" w:hAnsi="宋体" w:cs="宋体"/>
          <w:color w:val="auto"/>
          <w:sz w:val="24"/>
          <w:highlight w:val="none"/>
        </w:rPr>
      </w:pPr>
    </w:p>
    <w:p w14:paraId="156B982E">
      <w:pPr>
        <w:snapToGrid w:val="0"/>
        <w:spacing w:before="156" w:beforeLines="50" w:line="360" w:lineRule="auto"/>
        <w:ind w:right="480" w:firstLine="1920" w:firstLineChars="800"/>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598B3B2">
      <w:pPr>
        <w:snapToGrid w:val="0"/>
        <w:spacing w:before="156" w:beforeLines="50" w:after="50" w:line="360" w:lineRule="auto"/>
        <w:ind w:right="480" w:firstLine="3000" w:firstLineChars="1250"/>
        <w:rPr>
          <w:rFonts w:ascii="宋体" w:hAnsi="宋体" w:cs="宋体"/>
          <w:color w:val="auto"/>
          <w:sz w:val="24"/>
          <w:highlight w:val="none"/>
          <w:u w:val="singl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p>
    <w:p w14:paraId="1B825CE0">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7EA4C866">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F3C1278">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4663F86D">
      <w:pPr>
        <w:snapToGrid w:val="0"/>
        <w:spacing w:line="360" w:lineRule="auto"/>
        <w:jc w:val="center"/>
        <w:rPr>
          <w:rFonts w:ascii="宋体" w:hAnsi="宋体" w:cs="宋体"/>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B33643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343F4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18B11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2E1E6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06644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CF66E9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0FCA0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D4BB60">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B6CD4">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ABCD1D">
            <w:pPr>
              <w:widowControl/>
              <w:spacing w:line="360" w:lineRule="auto"/>
              <w:jc w:val="center"/>
              <w:rPr>
                <w:rFonts w:ascii="宋体" w:hAnsi="宋体" w:cs="宋体"/>
                <w:color w:val="auto"/>
                <w:kern w:val="0"/>
                <w:sz w:val="24"/>
                <w:highlight w:val="none"/>
              </w:rPr>
            </w:pPr>
          </w:p>
        </w:tc>
      </w:tr>
      <w:tr w14:paraId="7141166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68B31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620A2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8868A7">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5491E2">
            <w:pPr>
              <w:widowControl/>
              <w:spacing w:line="360" w:lineRule="auto"/>
              <w:jc w:val="center"/>
              <w:rPr>
                <w:rFonts w:ascii="宋体" w:hAnsi="宋体" w:cs="宋体"/>
                <w:color w:val="auto"/>
                <w:kern w:val="0"/>
                <w:sz w:val="24"/>
                <w:highlight w:val="none"/>
              </w:rPr>
            </w:pPr>
          </w:p>
        </w:tc>
      </w:tr>
      <w:tr w14:paraId="25CFCDD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D18C4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BE42D9">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D6D2DF">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A46579">
            <w:pPr>
              <w:widowControl/>
              <w:spacing w:line="360" w:lineRule="auto"/>
              <w:jc w:val="center"/>
              <w:rPr>
                <w:rFonts w:ascii="宋体" w:hAnsi="宋体" w:cs="宋体"/>
                <w:color w:val="auto"/>
                <w:kern w:val="0"/>
                <w:sz w:val="24"/>
                <w:highlight w:val="none"/>
              </w:rPr>
            </w:pPr>
          </w:p>
        </w:tc>
      </w:tr>
      <w:tr w14:paraId="276C2AB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465F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FFBA67">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CA2554">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5A4D2">
            <w:pPr>
              <w:widowControl/>
              <w:spacing w:line="360" w:lineRule="auto"/>
              <w:jc w:val="center"/>
              <w:rPr>
                <w:rFonts w:ascii="宋体" w:hAnsi="宋体" w:cs="宋体"/>
                <w:color w:val="auto"/>
                <w:kern w:val="0"/>
                <w:sz w:val="24"/>
                <w:highlight w:val="none"/>
              </w:rPr>
            </w:pPr>
          </w:p>
        </w:tc>
      </w:tr>
    </w:tbl>
    <w:p w14:paraId="2AAB275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FF455A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547A929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2.本表所指的管理关系仅限于直接管理关系，不包括间接的管理关系。</w:t>
      </w:r>
    </w:p>
    <w:p w14:paraId="36E3BFE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4AA2EC85">
      <w:pPr>
        <w:snapToGrid w:val="0"/>
        <w:spacing w:line="360" w:lineRule="auto"/>
        <w:jc w:val="left"/>
        <w:rPr>
          <w:rFonts w:ascii="宋体" w:hAnsi="宋体" w:cs="宋体"/>
          <w:color w:val="auto"/>
          <w:sz w:val="24"/>
          <w:highlight w:val="none"/>
        </w:rPr>
      </w:pPr>
    </w:p>
    <w:p w14:paraId="7971B585">
      <w:pPr>
        <w:snapToGrid w:val="0"/>
        <w:spacing w:line="360" w:lineRule="auto"/>
        <w:jc w:val="left"/>
        <w:rPr>
          <w:rFonts w:ascii="宋体" w:hAnsi="宋体" w:cs="宋体"/>
          <w:color w:val="auto"/>
          <w:sz w:val="24"/>
          <w:highlight w:val="none"/>
        </w:rPr>
      </w:pPr>
    </w:p>
    <w:p w14:paraId="54CF1C46">
      <w:pPr>
        <w:snapToGrid w:val="0"/>
        <w:spacing w:line="360" w:lineRule="auto"/>
        <w:jc w:val="left"/>
        <w:rPr>
          <w:rFonts w:ascii="宋体" w:hAnsi="宋体" w:cs="宋体"/>
          <w:color w:val="auto"/>
          <w:sz w:val="24"/>
          <w:highlight w:val="none"/>
        </w:rPr>
      </w:pPr>
    </w:p>
    <w:p w14:paraId="45BEC00F">
      <w:pPr>
        <w:snapToGrid w:val="0"/>
        <w:spacing w:line="360" w:lineRule="auto"/>
        <w:jc w:val="left"/>
        <w:rPr>
          <w:rFonts w:ascii="宋体" w:hAnsi="宋体" w:cs="宋体"/>
          <w:color w:val="auto"/>
          <w:sz w:val="24"/>
          <w:highlight w:val="none"/>
        </w:rPr>
      </w:pPr>
    </w:p>
    <w:p w14:paraId="46A65709">
      <w:pPr>
        <w:snapToGrid w:val="0"/>
        <w:spacing w:line="360" w:lineRule="auto"/>
        <w:jc w:val="left"/>
        <w:rPr>
          <w:rFonts w:ascii="宋体" w:hAnsi="宋体" w:cs="宋体"/>
          <w:color w:val="auto"/>
          <w:sz w:val="24"/>
          <w:highlight w:val="none"/>
        </w:rPr>
      </w:pPr>
    </w:p>
    <w:p w14:paraId="1B2C4CF1">
      <w:pPr>
        <w:snapToGrid w:val="0"/>
        <w:spacing w:line="360" w:lineRule="auto"/>
        <w:jc w:val="left"/>
        <w:rPr>
          <w:rFonts w:ascii="宋体" w:hAnsi="宋体" w:cs="宋体"/>
          <w:color w:val="auto"/>
          <w:sz w:val="24"/>
          <w:highlight w:val="none"/>
        </w:rPr>
      </w:pPr>
    </w:p>
    <w:p w14:paraId="110EBFF4">
      <w:pPr>
        <w:snapToGrid w:val="0"/>
        <w:spacing w:before="156" w:beforeLines="50" w:line="360" w:lineRule="auto"/>
        <w:ind w:right="480" w:firstLine="2160" w:firstLineChars="900"/>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1495D98">
      <w:pPr>
        <w:snapToGrid w:val="0"/>
        <w:spacing w:before="156" w:beforeLines="50" w:after="50" w:line="360" w:lineRule="auto"/>
        <w:ind w:right="480" w:firstLine="3360" w:firstLineChars="1400"/>
        <w:rPr>
          <w:rFonts w:ascii="宋体" w:hAnsi="宋体" w:cs="宋体"/>
          <w:color w:val="auto"/>
          <w:sz w:val="24"/>
          <w:highlight w:val="non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p>
    <w:p w14:paraId="59538987">
      <w:pPr>
        <w:snapToGrid w:val="0"/>
        <w:spacing w:before="156" w:beforeLines="50" w:after="50" w:line="360" w:lineRule="auto"/>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4DB94CAF">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2A0119A8">
      <w:pPr>
        <w:spacing w:line="320" w:lineRule="exact"/>
        <w:jc w:val="center"/>
        <w:rPr>
          <w:rFonts w:ascii="宋体" w:hAnsi="宋体" w:cs="宋体"/>
          <w:color w:val="auto"/>
          <w:sz w:val="24"/>
          <w:szCs w:val="20"/>
          <w:highlight w:val="none"/>
        </w:rPr>
      </w:pPr>
    </w:p>
    <w:p w14:paraId="6A4F3E5F">
      <w:pPr>
        <w:spacing w:before="156" w:beforeLines="50" w:after="5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p>
    <w:p w14:paraId="2E03962F">
      <w:pPr>
        <w:spacing w:before="156" w:beforeLines="50" w:after="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72815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eastAsia="zh-CN"/>
        </w:rPr>
        <w:t>及分标</w:t>
      </w:r>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7076DF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ADB92C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D224F5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C06A92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6C2F104">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E9AC5F8">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F8B1B4D">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24CA2F5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B7A5079">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A0AE89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341ED6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7720EC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73FD0E4">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087238D">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55D0F79">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E9CDB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w:t>
      </w:r>
    </w:p>
    <w:p w14:paraId="7D495E5E">
      <w:pPr>
        <w:pStyle w:val="19"/>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8FF8AB0">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98D5917">
      <w:pPr>
        <w:pStyle w:val="18"/>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743123B9">
      <w:pPr>
        <w:pStyle w:val="18"/>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DD49A2B">
      <w:pPr>
        <w:pStyle w:val="18"/>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BB9AFF4">
      <w:pPr>
        <w:spacing w:line="360" w:lineRule="auto"/>
        <w:contextualSpacing/>
        <w:rPr>
          <w:rFonts w:hint="eastAsia" w:ascii="宋体" w:hAnsi="宋体" w:cs="仿宋_GB2312"/>
          <w:color w:val="auto"/>
          <w:sz w:val="24"/>
          <w:szCs w:val="24"/>
          <w:highlight w:val="none"/>
        </w:rPr>
      </w:pPr>
    </w:p>
    <w:p w14:paraId="3761C5F3">
      <w:pPr>
        <w:spacing w:line="360" w:lineRule="auto"/>
        <w:contextualSpacing/>
        <w:rPr>
          <w:rFonts w:hint="default" w:eastAsia="宋体"/>
          <w:color w:val="auto"/>
          <w:sz w:val="24"/>
          <w:highlight w:val="none"/>
          <w:u w:val="single"/>
          <w:lang w:val="en-US" w:eastAsia="zh-CN"/>
        </w:rPr>
      </w:pPr>
      <w:r>
        <w:rPr>
          <w:rFonts w:hint="eastAsia" w:ascii="宋体" w:hAnsi="宋体" w:cs="宋体"/>
          <w:color w:val="auto"/>
          <w:sz w:val="24"/>
          <w:highlight w:val="none"/>
        </w:rPr>
        <w:t>供应商（盖公章或电子签章）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w:t>
      </w:r>
    </w:p>
    <w:p w14:paraId="07FF6CA5">
      <w:pPr>
        <w:spacing w:line="360" w:lineRule="auto"/>
        <w:contextualSpacing/>
        <w:rPr>
          <w:rFonts w:hint="eastAsia" w:ascii="宋体" w:hAnsi="宋体" w:cs="宋体"/>
          <w:color w:val="auto"/>
          <w:sz w:val="24"/>
          <w:highlight w:val="none"/>
          <w:u w:val="single"/>
        </w:rPr>
      </w:pPr>
      <w:r>
        <w:rPr>
          <w:rFonts w:hint="eastAsia" w:ascii="宋体" w:hAnsi="宋体" w:cs="仿宋_GB2312"/>
          <w:color w:val="auto"/>
          <w:sz w:val="24"/>
          <w:szCs w:val="24"/>
          <w:highlight w:val="none"/>
        </w:rPr>
        <w:t>法定代表人（单位负责人）（</w:t>
      </w:r>
      <w:r>
        <w:rPr>
          <w:rFonts w:hint="eastAsia" w:ascii="宋体" w:hAnsi="宋体" w:cs="宋体"/>
          <w:color w:val="auto"/>
          <w:sz w:val="24"/>
          <w:highlight w:val="none"/>
          <w:lang w:val="en-US" w:eastAsia="zh-CN"/>
        </w:rPr>
        <w:t>签字或签章</w:t>
      </w:r>
      <w:r>
        <w:rPr>
          <w:rFonts w:hint="eastAsia" w:ascii="宋体" w:hAnsi="宋体" w:cs="仿宋_GB2312"/>
          <w:color w:val="auto"/>
          <w:sz w:val="24"/>
          <w:szCs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p>
    <w:p w14:paraId="52C6E7A6">
      <w:pPr>
        <w:spacing w:line="360" w:lineRule="auto"/>
        <w:ind w:right="482" w:firstLine="240" w:firstLineChars="100"/>
        <w:contextualSpacing/>
        <w:jc w:val="both"/>
        <w:rPr>
          <w:rFonts w:hint="eastAsia"/>
          <w:color w:val="auto"/>
          <w:sz w:val="24"/>
          <w:highlight w:val="none"/>
        </w:rPr>
      </w:pPr>
      <w:r>
        <w:rPr>
          <w:rFonts w:hint="eastAsia" w:ascii="宋体" w:hAnsi="宋体" w:cs="宋体"/>
          <w:color w:val="auto"/>
          <w:sz w:val="24"/>
          <w:highlight w:val="none"/>
          <w:lang w:val="en-US" w:eastAsia="zh-CN"/>
        </w:rPr>
        <w:t>2024</w:t>
      </w:r>
      <w:r>
        <w:rPr>
          <w:rFonts w:hint="eastAsia"/>
          <w:color w:val="auto"/>
          <w:sz w:val="24"/>
          <w:highlight w:val="none"/>
        </w:rPr>
        <w:t xml:space="preserve">年    月    日 </w:t>
      </w:r>
    </w:p>
    <w:p w14:paraId="471158F6">
      <w:pPr>
        <w:pStyle w:val="8"/>
        <w:spacing w:line="360" w:lineRule="auto"/>
        <w:ind w:left="0" w:leftChars="0" w:firstLine="0" w:firstLineChars="0"/>
        <w:rPr>
          <w:rFonts w:hint="eastAsia"/>
          <w:color w:val="auto"/>
          <w:sz w:val="24"/>
          <w:highlight w:val="none"/>
          <w:u w:val="none"/>
          <w:lang w:val="en-US" w:eastAsia="zh-CN"/>
        </w:rPr>
      </w:pPr>
    </w:p>
    <w:p w14:paraId="30BA1576">
      <w:pPr>
        <w:snapToGrid w:val="0"/>
        <w:spacing w:before="156" w:beforeLines="50" w:after="50" w:line="360" w:lineRule="auto"/>
        <w:ind w:right="480" w:firstLine="280" w:firstLineChars="100"/>
        <w:jc w:val="center"/>
        <w:rPr>
          <w:rFonts w:ascii="宋体" w:hAnsi="宋体" w:cs="宋体"/>
          <w:color w:val="auto"/>
          <w:sz w:val="28"/>
          <w:szCs w:val="28"/>
          <w:highlight w:val="none"/>
        </w:rPr>
      </w:pPr>
    </w:p>
    <w:p w14:paraId="784AE043">
      <w:pPr>
        <w:pStyle w:val="8"/>
        <w:overflowPunct w:val="0"/>
        <w:ind w:firstLine="0"/>
        <w:rPr>
          <w:rFonts w:ascii="宋体" w:hAnsi="宋体" w:cs="宋体"/>
          <w:color w:val="auto"/>
          <w:sz w:val="30"/>
          <w:highlight w:val="none"/>
        </w:rPr>
      </w:pPr>
    </w:p>
    <w:p w14:paraId="6A91C4AF">
      <w:pPr>
        <w:snapToGrid w:val="0"/>
        <w:spacing w:before="156" w:beforeLines="50" w:after="50" w:line="360" w:lineRule="auto"/>
        <w:ind w:right="480"/>
        <w:jc w:val="center"/>
        <w:rPr>
          <w:rFonts w:hint="eastAsia" w:ascii="宋体" w:hAnsi="宋体" w:cs="宋体"/>
          <w:b/>
          <w:color w:val="auto"/>
          <w:sz w:val="32"/>
          <w:szCs w:val="32"/>
          <w:highlight w:val="none"/>
        </w:rPr>
      </w:pPr>
    </w:p>
    <w:p w14:paraId="29CFE7B5">
      <w:pPr>
        <w:snapToGrid w:val="0"/>
        <w:spacing w:before="156" w:beforeLines="50" w:after="50" w:line="360" w:lineRule="auto"/>
        <w:ind w:right="480"/>
        <w:jc w:val="center"/>
        <w:rPr>
          <w:rFonts w:hint="eastAsia" w:ascii="宋体" w:hAnsi="宋体" w:cs="宋体"/>
          <w:b/>
          <w:color w:val="auto"/>
          <w:sz w:val="32"/>
          <w:szCs w:val="32"/>
          <w:highlight w:val="none"/>
        </w:rPr>
      </w:pPr>
    </w:p>
    <w:p w14:paraId="383D8E9B">
      <w:pPr>
        <w:snapToGrid w:val="0"/>
        <w:spacing w:before="156" w:beforeLines="50" w:after="50" w:line="360" w:lineRule="auto"/>
        <w:ind w:right="480"/>
        <w:jc w:val="center"/>
        <w:rPr>
          <w:rFonts w:hint="eastAsia" w:ascii="宋体" w:hAnsi="宋体" w:cs="宋体"/>
          <w:b/>
          <w:color w:val="auto"/>
          <w:sz w:val="32"/>
          <w:szCs w:val="32"/>
          <w:highlight w:val="none"/>
        </w:rPr>
      </w:pPr>
    </w:p>
    <w:p w14:paraId="54D0678B">
      <w:pPr>
        <w:snapToGrid w:val="0"/>
        <w:spacing w:before="156" w:beforeLines="50" w:after="50" w:line="360" w:lineRule="auto"/>
        <w:ind w:right="480"/>
        <w:jc w:val="center"/>
        <w:rPr>
          <w:rFonts w:hint="eastAsia" w:ascii="宋体" w:hAnsi="宋体" w:cs="宋体"/>
          <w:b/>
          <w:color w:val="auto"/>
          <w:sz w:val="32"/>
          <w:szCs w:val="32"/>
          <w:highlight w:val="none"/>
        </w:rPr>
      </w:pPr>
    </w:p>
    <w:p w14:paraId="125415F3">
      <w:pPr>
        <w:snapToGrid w:val="0"/>
        <w:spacing w:before="156" w:beforeLines="50" w:after="50" w:line="360" w:lineRule="auto"/>
        <w:ind w:right="480"/>
        <w:jc w:val="center"/>
        <w:rPr>
          <w:rFonts w:hint="eastAsia" w:ascii="宋体" w:hAnsi="宋体" w:cs="宋体"/>
          <w:b/>
          <w:color w:val="auto"/>
          <w:sz w:val="32"/>
          <w:szCs w:val="32"/>
          <w:highlight w:val="none"/>
        </w:rPr>
      </w:pPr>
    </w:p>
    <w:p w14:paraId="6B88CCF0">
      <w:pPr>
        <w:snapToGrid w:val="0"/>
        <w:spacing w:before="156" w:beforeLines="50" w:after="50" w:line="360" w:lineRule="auto"/>
        <w:ind w:right="480"/>
        <w:jc w:val="center"/>
        <w:rPr>
          <w:rFonts w:hint="eastAsia" w:ascii="宋体" w:hAnsi="宋体" w:cs="宋体"/>
          <w:b/>
          <w:color w:val="auto"/>
          <w:sz w:val="32"/>
          <w:szCs w:val="32"/>
          <w:highlight w:val="none"/>
        </w:rPr>
      </w:pPr>
    </w:p>
    <w:p w14:paraId="2EACBFB9">
      <w:pPr>
        <w:snapToGrid w:val="0"/>
        <w:spacing w:before="156" w:beforeLines="50" w:after="50" w:line="360" w:lineRule="auto"/>
        <w:ind w:right="480"/>
        <w:jc w:val="center"/>
        <w:rPr>
          <w:rFonts w:hint="eastAsia" w:ascii="宋体" w:hAnsi="宋体" w:cs="宋体"/>
          <w:b/>
          <w:color w:val="auto"/>
          <w:sz w:val="32"/>
          <w:szCs w:val="32"/>
          <w:highlight w:val="none"/>
        </w:rPr>
      </w:pPr>
    </w:p>
    <w:p w14:paraId="6CDCC1F1">
      <w:pPr>
        <w:snapToGrid w:val="0"/>
        <w:spacing w:before="156" w:beforeLines="50" w:after="50" w:line="360" w:lineRule="auto"/>
        <w:ind w:right="480"/>
        <w:jc w:val="center"/>
        <w:rPr>
          <w:rFonts w:hint="eastAsia" w:ascii="宋体" w:hAnsi="宋体" w:cs="宋体"/>
          <w:b/>
          <w:color w:val="auto"/>
          <w:sz w:val="32"/>
          <w:szCs w:val="32"/>
          <w:highlight w:val="none"/>
        </w:rPr>
      </w:pPr>
    </w:p>
    <w:p w14:paraId="4ECFCF80">
      <w:pPr>
        <w:snapToGrid w:val="0"/>
        <w:spacing w:before="156" w:beforeLines="50" w:after="50" w:line="360" w:lineRule="auto"/>
        <w:ind w:right="480"/>
        <w:jc w:val="center"/>
        <w:rPr>
          <w:rFonts w:hint="eastAsia" w:ascii="宋体" w:hAnsi="宋体" w:cs="宋体"/>
          <w:b/>
          <w:color w:val="auto"/>
          <w:sz w:val="32"/>
          <w:szCs w:val="32"/>
          <w:highlight w:val="none"/>
        </w:rPr>
      </w:pPr>
    </w:p>
    <w:p w14:paraId="6BAB378F">
      <w:pPr>
        <w:snapToGrid w:val="0"/>
        <w:spacing w:before="156" w:beforeLines="50" w:after="50" w:line="360" w:lineRule="auto"/>
        <w:ind w:right="480"/>
        <w:jc w:val="both"/>
        <w:rPr>
          <w:rFonts w:hint="eastAsia" w:ascii="宋体" w:hAnsi="宋体" w:cs="宋体"/>
          <w:b/>
          <w:color w:val="auto"/>
          <w:sz w:val="32"/>
          <w:szCs w:val="32"/>
          <w:highlight w:val="none"/>
        </w:rPr>
      </w:pPr>
    </w:p>
    <w:p w14:paraId="76433E87">
      <w:pPr>
        <w:spacing w:line="520" w:lineRule="exact"/>
        <w:ind w:firstLine="643" w:firstLineChars="200"/>
        <w:jc w:val="center"/>
        <w:rPr>
          <w:rFonts w:ascii="宋体" w:hAnsi="宋体" w:cs="宋体"/>
          <w:b/>
          <w:bCs/>
          <w:color w:val="auto"/>
          <w:sz w:val="36"/>
          <w:szCs w:val="36"/>
          <w:highlight w:val="none"/>
        </w:rPr>
      </w:pPr>
      <w:r>
        <w:rPr>
          <w:rFonts w:hint="eastAsia" w:ascii="宋体" w:hAnsi="宋体" w:cs="宋体"/>
          <w:b/>
          <w:bCs/>
          <w:color w:val="auto"/>
          <w:sz w:val="32"/>
          <w:szCs w:val="32"/>
          <w:highlight w:val="none"/>
        </w:rPr>
        <w:t>中小企业声明函（服务）</w:t>
      </w:r>
    </w:p>
    <w:p w14:paraId="7A29C104">
      <w:pPr>
        <w:pStyle w:val="16"/>
        <w:spacing w:line="500" w:lineRule="exact"/>
        <w:ind w:right="142"/>
        <w:rPr>
          <w:rFonts w:ascii="宋体" w:hAnsi="宋体"/>
          <w:color w:val="auto"/>
          <w:sz w:val="24"/>
          <w:highlight w:val="none"/>
        </w:rPr>
      </w:pPr>
    </w:p>
    <w:p w14:paraId="53A21BFE">
      <w:pPr>
        <w:pStyle w:val="16"/>
        <w:spacing w:line="500" w:lineRule="exact"/>
        <w:ind w:right="142"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32"/>
          <w:highlight w:val="none"/>
          <w:u w:val="single"/>
          <w:lang w:eastAsia="zh-CN"/>
        </w:rPr>
        <w:t>（采购单位）</w:t>
      </w:r>
      <w:r>
        <w:rPr>
          <w:rFonts w:hint="eastAsia" w:ascii="宋体" w:hAnsi="宋体" w:eastAsia="宋体" w:cs="宋体"/>
          <w:color w:val="auto"/>
          <w:sz w:val="24"/>
          <w:szCs w:val="32"/>
          <w:highlight w:val="none"/>
        </w:rPr>
        <w:t>的</w:t>
      </w:r>
      <w:r>
        <w:rPr>
          <w:rFonts w:hint="eastAsia" w:ascii="宋体" w:hAnsi="宋体" w:eastAsia="宋体" w:cs="宋体"/>
          <w:color w:val="auto"/>
          <w:sz w:val="24"/>
          <w:szCs w:val="32"/>
          <w:highlight w:val="none"/>
          <w:u w:val="single"/>
          <w:lang w:eastAsia="zh-CN"/>
        </w:rPr>
        <w:t>（项目名称）</w:t>
      </w:r>
      <w:r>
        <w:rPr>
          <w:rFonts w:hint="eastAsia" w:ascii="宋体" w:hAnsi="宋体" w:eastAsia="宋体" w:cs="宋体"/>
          <w:color w:val="auto"/>
          <w:sz w:val="24"/>
          <w:szCs w:val="32"/>
          <w:highlight w:val="none"/>
        </w:rPr>
        <w:t>采购活动，服务全部由符合政策要求的中小企业承接。相关企业（含联合体中的中小企业、签订分包意向协议的中小企业）的具体情况如下：</w:t>
      </w:r>
    </w:p>
    <w:p w14:paraId="320B7E47">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8F50046">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4A3EC54">
      <w:pPr>
        <w:pStyle w:val="16"/>
        <w:spacing w:before="34" w:line="500" w:lineRule="exact"/>
        <w:ind w:left="765" w:right="142" w:hanging="5"/>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w:t>
      </w:r>
    </w:p>
    <w:p w14:paraId="7E8330BB">
      <w:pPr>
        <w:pStyle w:val="16"/>
        <w:spacing w:before="34" w:line="500" w:lineRule="exact"/>
        <w:ind w:right="142"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以上企业，不属于大企业的分支机构，不存在控股股东为大企业的情形，也不存在与大企业的负责人为同一人的情形。</w:t>
      </w:r>
    </w:p>
    <w:p w14:paraId="6EAD3B19">
      <w:pPr>
        <w:pStyle w:val="16"/>
        <w:spacing w:before="34" w:line="500" w:lineRule="exact"/>
        <w:ind w:right="142" w:firstLine="480" w:firstLineChars="200"/>
        <w:rPr>
          <w:rFonts w:ascii="宋体" w:hAnsi="宋体"/>
          <w:color w:val="auto"/>
          <w:sz w:val="24"/>
          <w:highlight w:val="none"/>
        </w:rPr>
      </w:pPr>
      <w:r>
        <w:rPr>
          <w:rFonts w:hint="eastAsia" w:ascii="宋体" w:hAnsi="宋体" w:eastAsia="宋体" w:cs="宋体"/>
          <w:color w:val="auto"/>
          <w:sz w:val="24"/>
          <w:szCs w:val="32"/>
          <w:highlight w:val="none"/>
        </w:rPr>
        <w:t>本企业对上述声明内容的真实性负责。如有虚假，将依法承担相应责任。</w:t>
      </w:r>
    </w:p>
    <w:p w14:paraId="41574A0F">
      <w:pPr>
        <w:pStyle w:val="16"/>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418EFA48">
      <w:pPr>
        <w:spacing w:line="520" w:lineRule="exact"/>
        <w:ind w:firstLine="6960" w:firstLineChars="2900"/>
        <w:jc w:val="left"/>
        <w:rPr>
          <w:rFonts w:hint="eastAsia" w:ascii="宋体" w:hAnsi="宋体" w:cs="宋体"/>
          <w:color w:val="auto"/>
          <w:szCs w:val="21"/>
          <w:highlight w:val="none"/>
        </w:rPr>
      </w:pPr>
      <w:r>
        <w:rPr>
          <w:rFonts w:ascii="宋体" w:hAnsi="宋体"/>
          <w:color w:val="auto"/>
          <w:sz w:val="24"/>
          <w:highlight w:val="none"/>
        </w:rPr>
        <w:t>日 期：</w:t>
      </w:r>
    </w:p>
    <w:p w14:paraId="7CD09ECD">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Cs w:val="21"/>
          <w:highlight w:val="none"/>
        </w:rPr>
      </w:pPr>
      <w:r>
        <w:rPr>
          <w:rFonts w:hint="eastAsia" w:ascii="宋体" w:hAnsi="宋体" w:cs="宋体"/>
          <w:color w:val="auto"/>
          <w:szCs w:val="21"/>
          <w:highlight w:val="none"/>
        </w:rPr>
        <w:t>备注：</w:t>
      </w:r>
    </w:p>
    <w:p w14:paraId="2516A769">
      <w:pPr>
        <w:pStyle w:val="14"/>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1.从业人员、营业收入、资产总额填报上一年度数据，无上一年度数据的新成立企业可不填报相关数据。</w:t>
      </w:r>
    </w:p>
    <w:p w14:paraId="6A6464EB">
      <w:pPr>
        <w:pStyle w:val="14"/>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2.供应商须依据《采购需求》中明确的标的所属行业进行填报。</w:t>
      </w:r>
    </w:p>
    <w:p w14:paraId="1F3249E7">
      <w:pPr>
        <w:pStyle w:val="27"/>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3.填报依据：《政府采购促进中小企业发展管理办法》（财库〔2020</w:t>
      </w:r>
      <w:r>
        <w:rPr>
          <w:rFonts w:hint="eastAsia" w:ascii="宋体" w:hAnsi="宋体" w:cs="宋体"/>
          <w:color w:val="auto"/>
          <w:highlight w:val="none"/>
        </w:rPr>
        <w:t>〕</w:t>
      </w:r>
      <w:r>
        <w:rPr>
          <w:rFonts w:hint="eastAsia" w:ascii="宋体" w:hAnsi="宋体" w:cs="宋体"/>
          <w:color w:val="auto"/>
          <w:szCs w:val="21"/>
          <w:highlight w:val="none"/>
        </w:rPr>
        <w:t>46号）；《关于印发中小企业划型标准规定的通知》（工信部联企业〔2011〕300号）</w:t>
      </w:r>
    </w:p>
    <w:p w14:paraId="7818375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4.如填写虚假信息的，承担相关法律责任。</w:t>
      </w:r>
    </w:p>
    <w:p w14:paraId="22DADEFF">
      <w:pPr>
        <w:pStyle w:val="16"/>
        <w:keepNext w:val="0"/>
        <w:keepLines w:val="0"/>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5.享受《政府采购促进中小企业发展管理办法》（财库〔2020〕46号）规定的中小企业扶持政策的，采购人、采购代理机构应当随成交结果公开成交供应商的《中小企业声明函》。</w:t>
      </w:r>
    </w:p>
    <w:p w14:paraId="05D8D71F">
      <w:pPr>
        <w:pStyle w:val="2"/>
        <w:rPr>
          <w:color w:val="auto"/>
          <w:highlight w:val="none"/>
        </w:rPr>
      </w:pPr>
    </w:p>
    <w:p w14:paraId="608C519E">
      <w:pPr>
        <w:spacing w:line="520" w:lineRule="exact"/>
        <w:jc w:val="center"/>
        <w:rPr>
          <w:rFonts w:ascii="宋体" w:hAnsi="宋体" w:cs="宋体"/>
          <w:color w:val="auto"/>
          <w:sz w:val="44"/>
          <w:szCs w:val="44"/>
          <w:highlight w:val="none"/>
        </w:rPr>
      </w:pPr>
    </w:p>
    <w:p w14:paraId="4D9C9D2B">
      <w:pPr>
        <w:pStyle w:val="2"/>
        <w:rPr>
          <w:color w:val="auto"/>
          <w:highlight w:val="none"/>
        </w:rPr>
      </w:pPr>
    </w:p>
    <w:p w14:paraId="35B5D4DA">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残疾人福利性单位声明函</w:t>
      </w:r>
    </w:p>
    <w:p w14:paraId="1379D296">
      <w:pPr>
        <w:spacing w:line="520" w:lineRule="exact"/>
        <w:rPr>
          <w:rFonts w:ascii="宋体" w:hAnsi="宋体" w:cs="宋体"/>
          <w:color w:val="auto"/>
          <w:sz w:val="32"/>
          <w:szCs w:val="32"/>
          <w:highlight w:val="none"/>
        </w:rPr>
      </w:pPr>
    </w:p>
    <w:p w14:paraId="724E99D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42853C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52EBD0BA">
      <w:pPr>
        <w:spacing w:line="360" w:lineRule="auto"/>
        <w:contextualSpacing/>
        <w:rPr>
          <w:rFonts w:ascii="宋体" w:hAnsi="宋体" w:cs="宋体"/>
          <w:color w:val="auto"/>
          <w:szCs w:val="21"/>
          <w:highlight w:val="none"/>
        </w:rPr>
      </w:pPr>
    </w:p>
    <w:p w14:paraId="024BD1BA">
      <w:pPr>
        <w:spacing w:line="360" w:lineRule="auto"/>
        <w:contextualSpacing/>
        <w:rPr>
          <w:rFonts w:ascii="宋体" w:hAnsi="宋体" w:cs="宋体"/>
          <w:color w:val="auto"/>
          <w:szCs w:val="21"/>
          <w:highlight w:val="none"/>
        </w:rPr>
      </w:pPr>
    </w:p>
    <w:p w14:paraId="5C41A2CE">
      <w:pPr>
        <w:spacing w:line="360" w:lineRule="auto"/>
        <w:ind w:firstLine="5040" w:firstLineChars="2400"/>
        <w:contextualSpacing/>
        <w:rPr>
          <w:rFonts w:ascii="宋体" w:hAnsi="宋体" w:cs="宋体"/>
          <w:color w:val="auto"/>
          <w:szCs w:val="21"/>
          <w:highlight w:val="none"/>
        </w:rPr>
      </w:pPr>
      <w:r>
        <w:rPr>
          <w:rFonts w:hint="eastAsia" w:ascii="宋体" w:hAnsi="宋体" w:cs="宋体"/>
          <w:color w:val="auto"/>
          <w:szCs w:val="21"/>
          <w:highlight w:val="none"/>
        </w:rPr>
        <w:t>单位名称（盖章）：</w:t>
      </w:r>
    </w:p>
    <w:p w14:paraId="46E48EA2">
      <w:pPr>
        <w:spacing w:line="360" w:lineRule="auto"/>
        <w:ind w:firstLine="5460" w:firstLineChars="2600"/>
        <w:contextualSpacing/>
        <w:rPr>
          <w:rFonts w:ascii="宋体" w:hAnsi="宋体" w:cs="宋体"/>
          <w:color w:val="auto"/>
          <w:szCs w:val="21"/>
          <w:highlight w:val="none"/>
        </w:rPr>
      </w:pPr>
      <w:r>
        <w:rPr>
          <w:rFonts w:hint="eastAsia" w:ascii="宋体" w:hAnsi="宋体" w:cs="宋体"/>
          <w:color w:val="auto"/>
          <w:szCs w:val="21"/>
          <w:highlight w:val="none"/>
        </w:rPr>
        <w:t>日  期：</w:t>
      </w:r>
    </w:p>
    <w:p w14:paraId="01A8CF3D">
      <w:pPr>
        <w:spacing w:line="360" w:lineRule="auto"/>
        <w:contextualSpacing/>
        <w:rPr>
          <w:rFonts w:ascii="宋体" w:hAnsi="宋体" w:cs="宋体"/>
          <w:color w:val="auto"/>
          <w:sz w:val="24"/>
          <w:highlight w:val="none"/>
        </w:rPr>
      </w:pPr>
    </w:p>
    <w:p w14:paraId="1A376BA3">
      <w:pPr>
        <w:spacing w:line="360" w:lineRule="auto"/>
        <w:contextualSpacing/>
        <w:rPr>
          <w:rFonts w:ascii="宋体" w:hAnsi="宋体" w:cs="宋体"/>
          <w:color w:val="auto"/>
          <w:sz w:val="24"/>
          <w:highlight w:val="none"/>
        </w:rPr>
      </w:pPr>
    </w:p>
    <w:p w14:paraId="2150FA65">
      <w:pPr>
        <w:spacing w:line="360" w:lineRule="auto"/>
        <w:contextualSpacing/>
        <w:rPr>
          <w:rFonts w:ascii="宋体" w:hAnsi="宋体" w:cs="宋体"/>
          <w:color w:val="auto"/>
          <w:sz w:val="24"/>
          <w:highlight w:val="none"/>
        </w:rPr>
      </w:pPr>
    </w:p>
    <w:p w14:paraId="0D33AC55">
      <w:pPr>
        <w:pStyle w:val="76"/>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30DACC99">
      <w:pPr>
        <w:pStyle w:val="76"/>
        <w:rPr>
          <w:rFonts w:ascii="宋体" w:hAnsi="宋体" w:cs="宋体"/>
          <w:color w:val="auto"/>
          <w:sz w:val="24"/>
          <w:highlight w:val="none"/>
        </w:rPr>
      </w:pPr>
    </w:p>
    <w:p w14:paraId="5E48CFE7">
      <w:pPr>
        <w:pStyle w:val="76"/>
        <w:rPr>
          <w:rFonts w:ascii="宋体" w:hAnsi="宋体" w:cs="宋体"/>
          <w:color w:val="auto"/>
          <w:sz w:val="24"/>
          <w:highlight w:val="none"/>
        </w:rPr>
      </w:pPr>
    </w:p>
    <w:p w14:paraId="2CBD867B">
      <w:pPr>
        <w:pStyle w:val="76"/>
        <w:rPr>
          <w:rFonts w:ascii="宋体" w:hAnsi="宋体" w:cs="宋体"/>
          <w:color w:val="auto"/>
          <w:sz w:val="24"/>
          <w:highlight w:val="none"/>
        </w:rPr>
      </w:pPr>
    </w:p>
    <w:p w14:paraId="2976113A">
      <w:pPr>
        <w:pStyle w:val="76"/>
        <w:rPr>
          <w:rFonts w:ascii="宋体" w:hAnsi="宋体" w:cs="宋体"/>
          <w:color w:val="auto"/>
          <w:sz w:val="24"/>
          <w:highlight w:val="none"/>
        </w:rPr>
      </w:pPr>
    </w:p>
    <w:p w14:paraId="6367475F">
      <w:pPr>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监狱企业等法律法规规定的其他证明材料文件</w:t>
      </w:r>
    </w:p>
    <w:p w14:paraId="2B99F9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15754A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监狱企业参加采购活动时，应当提供由省级以上监狱管理局、戒毒管理局（含新疆生产建设兵团）出具的属于监狱企业的证明文件。（供应商如能够在线查询的材料，请提供查询网址链接，可以不用同时提供纸质材料，原件备查）</w:t>
      </w:r>
    </w:p>
    <w:p w14:paraId="11685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2.未按上述要求提供、填写的，评审时不予以考虑。</w:t>
      </w:r>
    </w:p>
    <w:p w14:paraId="305715A3">
      <w:pPr>
        <w:snapToGrid w:val="0"/>
        <w:spacing w:before="156" w:beforeLines="50" w:after="50" w:line="360" w:lineRule="auto"/>
        <w:jc w:val="center"/>
        <w:outlineLvl w:val="1"/>
        <w:rPr>
          <w:rFonts w:hint="eastAsia" w:ascii="宋体" w:hAnsi="宋体" w:eastAsia="宋体" w:cs="宋体"/>
          <w:b/>
          <w:bCs/>
          <w:color w:val="auto"/>
          <w:sz w:val="32"/>
          <w:szCs w:val="32"/>
          <w:highlight w:val="none"/>
        </w:rPr>
      </w:pPr>
      <w:r>
        <w:rPr>
          <w:rFonts w:hint="eastAsia" w:ascii="宋体" w:hAnsi="宋体" w:cs="宋体"/>
          <w:b/>
          <w:color w:val="auto"/>
          <w:sz w:val="32"/>
          <w:szCs w:val="32"/>
          <w:highlight w:val="none"/>
        </w:rPr>
        <w:br w:type="page"/>
      </w:r>
      <w:r>
        <w:rPr>
          <w:rFonts w:hint="eastAsia" w:ascii="宋体" w:hAnsi="宋体" w:eastAsia="宋体" w:cs="宋体"/>
          <w:b/>
          <w:bCs/>
          <w:color w:val="auto"/>
          <w:sz w:val="32"/>
          <w:szCs w:val="32"/>
          <w:highlight w:val="none"/>
        </w:rPr>
        <w:t>二、报价文件格式</w:t>
      </w:r>
    </w:p>
    <w:p w14:paraId="7DA4D61C">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报价文件封面格式</w:t>
      </w:r>
    </w:p>
    <w:p w14:paraId="360ED6A8">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06FC12DC">
      <w:pPr>
        <w:snapToGrid w:val="0"/>
        <w:spacing w:before="156" w:beforeLines="50" w:after="50"/>
        <w:rPr>
          <w:rFonts w:ascii="宋体" w:hAnsi="宋体" w:cs="宋体"/>
          <w:color w:val="auto"/>
          <w:sz w:val="24"/>
          <w:szCs w:val="20"/>
          <w:highlight w:val="none"/>
        </w:rPr>
      </w:pPr>
    </w:p>
    <w:p w14:paraId="363BE5DB">
      <w:pPr>
        <w:snapToGrid w:val="0"/>
        <w:spacing w:before="156" w:beforeLines="50" w:after="50"/>
        <w:rPr>
          <w:rFonts w:ascii="宋体" w:hAnsi="宋体" w:cs="宋体"/>
          <w:color w:val="auto"/>
          <w:sz w:val="24"/>
          <w:szCs w:val="20"/>
          <w:highlight w:val="none"/>
        </w:rPr>
      </w:pPr>
    </w:p>
    <w:p w14:paraId="5E1D6879">
      <w:pPr>
        <w:snapToGrid w:val="0"/>
        <w:spacing w:before="156" w:beforeLines="50" w:after="50"/>
        <w:rPr>
          <w:rFonts w:ascii="宋体" w:hAnsi="宋体" w:cs="宋体"/>
          <w:color w:val="auto"/>
          <w:sz w:val="24"/>
          <w:szCs w:val="20"/>
          <w:highlight w:val="none"/>
        </w:rPr>
      </w:pPr>
    </w:p>
    <w:p w14:paraId="0F61F68A">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7AE57ABA">
      <w:pPr>
        <w:snapToGrid w:val="0"/>
        <w:spacing w:before="156" w:beforeLines="50" w:after="50"/>
        <w:rPr>
          <w:rFonts w:ascii="宋体" w:hAnsi="宋体" w:cs="宋体"/>
          <w:bCs/>
          <w:color w:val="auto"/>
          <w:sz w:val="24"/>
          <w:szCs w:val="20"/>
          <w:highlight w:val="none"/>
        </w:rPr>
      </w:pPr>
    </w:p>
    <w:p w14:paraId="20510E22">
      <w:pPr>
        <w:snapToGrid w:val="0"/>
        <w:spacing w:before="156" w:beforeLines="50" w:after="50"/>
        <w:rPr>
          <w:rFonts w:ascii="宋体" w:hAnsi="宋体" w:cs="宋体"/>
          <w:bCs/>
          <w:color w:val="auto"/>
          <w:sz w:val="24"/>
          <w:szCs w:val="20"/>
          <w:highlight w:val="none"/>
        </w:rPr>
      </w:pPr>
    </w:p>
    <w:p w14:paraId="684BE106">
      <w:pPr>
        <w:snapToGrid w:val="0"/>
        <w:spacing w:before="156" w:beforeLines="50" w:after="50"/>
        <w:rPr>
          <w:rFonts w:ascii="宋体" w:hAnsi="宋体" w:cs="宋体"/>
          <w:bCs/>
          <w:color w:val="auto"/>
          <w:sz w:val="24"/>
          <w:szCs w:val="20"/>
          <w:highlight w:val="none"/>
        </w:rPr>
      </w:pPr>
    </w:p>
    <w:p w14:paraId="2DCD3579">
      <w:pPr>
        <w:snapToGrid w:val="0"/>
        <w:spacing w:before="156" w:beforeLines="50" w:after="50"/>
        <w:rPr>
          <w:rFonts w:ascii="宋体" w:hAnsi="宋体" w:cs="宋体"/>
          <w:bCs/>
          <w:color w:val="auto"/>
          <w:sz w:val="24"/>
          <w:szCs w:val="20"/>
          <w:highlight w:val="none"/>
        </w:rPr>
      </w:pPr>
    </w:p>
    <w:p w14:paraId="2D9DAF81">
      <w:pPr>
        <w:snapToGrid w:val="0"/>
        <w:spacing w:before="156" w:beforeLines="50" w:after="50"/>
        <w:rPr>
          <w:rFonts w:ascii="宋体" w:hAnsi="宋体" w:cs="宋体"/>
          <w:bCs/>
          <w:color w:val="auto"/>
          <w:sz w:val="24"/>
          <w:szCs w:val="20"/>
          <w:highlight w:val="none"/>
        </w:rPr>
      </w:pPr>
    </w:p>
    <w:p w14:paraId="20CDB9F6">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67E17FA">
      <w:pPr>
        <w:snapToGrid w:val="0"/>
        <w:spacing w:before="156" w:beforeLines="50" w:after="50"/>
        <w:ind w:firstLine="720" w:firstLineChars="225"/>
        <w:rPr>
          <w:rFonts w:ascii="宋体" w:hAnsi="宋体" w:cs="宋体"/>
          <w:bCs/>
          <w:color w:val="auto"/>
          <w:sz w:val="32"/>
          <w:szCs w:val="32"/>
          <w:highlight w:val="none"/>
        </w:rPr>
      </w:pPr>
    </w:p>
    <w:p w14:paraId="749982F7">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18CF9A93">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838E854">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6BB59BB">
      <w:pPr>
        <w:snapToGrid w:val="0"/>
        <w:spacing w:before="156" w:beforeLines="50" w:after="50"/>
        <w:ind w:firstLine="720" w:firstLineChars="225"/>
        <w:rPr>
          <w:rFonts w:ascii="宋体" w:hAnsi="宋体" w:cs="宋体"/>
          <w:bCs/>
          <w:color w:val="auto"/>
          <w:sz w:val="32"/>
          <w:szCs w:val="32"/>
          <w:highlight w:val="none"/>
        </w:rPr>
      </w:pPr>
    </w:p>
    <w:p w14:paraId="760DE5CA">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C6041AA">
      <w:pPr>
        <w:pStyle w:val="8"/>
        <w:snapToGrid w:val="0"/>
        <w:spacing w:before="50" w:after="50"/>
        <w:ind w:firstLine="720" w:firstLineChars="225"/>
        <w:rPr>
          <w:rFonts w:ascii="宋体" w:hAnsi="宋体" w:cs="宋体"/>
          <w:bCs/>
          <w:color w:val="auto"/>
          <w:sz w:val="32"/>
          <w:szCs w:val="32"/>
          <w:highlight w:val="none"/>
        </w:rPr>
      </w:pPr>
    </w:p>
    <w:p w14:paraId="7BBD79C5">
      <w:pPr>
        <w:pStyle w:val="8"/>
        <w:snapToGrid w:val="0"/>
        <w:spacing w:before="50" w:after="50"/>
        <w:ind w:firstLine="720" w:firstLineChars="225"/>
        <w:rPr>
          <w:rFonts w:ascii="宋体" w:hAnsi="宋体" w:cs="宋体"/>
          <w:bCs/>
          <w:color w:val="auto"/>
          <w:sz w:val="32"/>
          <w:szCs w:val="32"/>
          <w:highlight w:val="none"/>
        </w:rPr>
      </w:pPr>
    </w:p>
    <w:p w14:paraId="1B43F3FB">
      <w:pPr>
        <w:pStyle w:val="8"/>
        <w:snapToGrid w:val="0"/>
        <w:spacing w:before="50" w:after="50"/>
        <w:ind w:firstLine="1280" w:firstLineChars="400"/>
        <w:rPr>
          <w:rFonts w:ascii="宋体" w:hAnsi="宋体" w:cs="宋体"/>
          <w:bCs/>
          <w:color w:val="auto"/>
          <w:sz w:val="32"/>
          <w:szCs w:val="32"/>
          <w:highlight w:val="none"/>
        </w:rPr>
      </w:pPr>
    </w:p>
    <w:p w14:paraId="4A5257E9">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137D8EC">
      <w:pPr>
        <w:snapToGrid w:val="0"/>
        <w:spacing w:before="156" w:beforeLines="50" w:after="50" w:line="360" w:lineRule="auto"/>
        <w:ind w:left="142"/>
        <w:jc w:val="center"/>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47E3D286">
      <w:pPr>
        <w:snapToGrid w:val="0"/>
        <w:spacing w:line="400" w:lineRule="exact"/>
        <w:ind w:firstLine="640" w:firstLineChars="200"/>
        <w:jc w:val="left"/>
        <w:rPr>
          <w:rFonts w:ascii="宋体" w:hAnsi="宋体" w:cs="宋体"/>
          <w:b/>
          <w:color w:val="auto"/>
          <w:sz w:val="24"/>
          <w:highlight w:val="none"/>
        </w:rPr>
      </w:pPr>
      <w:r>
        <w:rPr>
          <w:rFonts w:hint="eastAsia" w:ascii="宋体" w:hAnsi="宋体" w:cs="宋体"/>
          <w:color w:val="auto"/>
          <w:sz w:val="32"/>
          <w:szCs w:val="32"/>
          <w:highlight w:val="none"/>
        </w:rPr>
        <w:t>根据磋商文件规定及供应商提供的材料自行编写目录（部分格式后附）。</w:t>
      </w:r>
    </w:p>
    <w:p w14:paraId="5DF1D118">
      <w:pPr>
        <w:spacing w:line="360" w:lineRule="auto"/>
        <w:ind w:firstLine="880" w:firstLineChars="200"/>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p>
    <w:p w14:paraId="62A94362">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18D64C3F">
      <w:pPr>
        <w:spacing w:line="440" w:lineRule="exact"/>
        <w:jc w:val="center"/>
        <w:rPr>
          <w:rFonts w:ascii="宋体" w:hAnsi="宋体" w:cs="宋体"/>
          <w:bCs/>
          <w:color w:val="auto"/>
          <w:sz w:val="32"/>
          <w:szCs w:val="32"/>
          <w:highlight w:val="none"/>
        </w:rPr>
      </w:pPr>
    </w:p>
    <w:p w14:paraId="2389E75F">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84328D5">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p>
    <w:p w14:paraId="4AA98A41">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02DEAC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85EE15F">
      <w:pPr>
        <w:snapToGrid w:val="0"/>
        <w:spacing w:before="50" w:after="50"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701CB318">
      <w:pPr>
        <w:snapToGrid w:val="0"/>
        <w:spacing w:before="50" w:after="50"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E6E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CE526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16CE0D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33170D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2ABEFD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648C3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1E86B1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5D8654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7473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16609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209B0E3F">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24510A5B">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106E409A">
            <w:pPr>
              <w:spacing w:line="360" w:lineRule="auto"/>
              <w:rPr>
                <w:rFonts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1E097842">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59E9342C">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FC68510">
            <w:pPr>
              <w:spacing w:line="360" w:lineRule="auto"/>
              <w:rPr>
                <w:rFonts w:ascii="宋体" w:hAnsi="宋体" w:cs="宋体"/>
                <w:color w:val="auto"/>
                <w:sz w:val="24"/>
                <w:highlight w:val="none"/>
              </w:rPr>
            </w:pPr>
          </w:p>
        </w:tc>
      </w:tr>
      <w:tr w14:paraId="2BB9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2DA6A046">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70C1DA4B">
      <w:pPr>
        <w:snapToGrid w:val="0"/>
        <w:spacing w:before="50" w:after="50" w:line="360" w:lineRule="auto"/>
        <w:jc w:val="left"/>
        <w:rPr>
          <w:rFonts w:ascii="宋体" w:hAnsi="宋体" w:cs="宋体"/>
          <w:color w:val="auto"/>
          <w:sz w:val="24"/>
          <w:highlight w:val="none"/>
        </w:rPr>
      </w:pPr>
    </w:p>
    <w:p w14:paraId="2F400A04">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522D32AE">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2BA76AEC">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784708F6">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7B14DC71">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.如有多分标，分别列明各分标的报价表，</w:t>
      </w:r>
      <w:r>
        <w:rPr>
          <w:rFonts w:hint="eastAsia" w:ascii="宋体" w:hAnsi="宋体" w:cs="宋体"/>
          <w:b/>
          <w:color w:val="auto"/>
          <w:sz w:val="24"/>
          <w:highlight w:val="none"/>
        </w:rPr>
        <w:t>否则其响应文件按无效响应处理。</w:t>
      </w:r>
    </w:p>
    <w:p w14:paraId="687AC9D6">
      <w:pPr>
        <w:snapToGrid w:val="0"/>
        <w:spacing w:before="50" w:after="50" w:line="360" w:lineRule="auto"/>
        <w:ind w:right="-817" w:rightChars="-389"/>
        <w:rPr>
          <w:rFonts w:ascii="宋体" w:hAnsi="宋体" w:cs="宋体"/>
          <w:color w:val="auto"/>
          <w:sz w:val="24"/>
          <w:highlight w:val="none"/>
        </w:rPr>
      </w:pPr>
    </w:p>
    <w:p w14:paraId="2C093449">
      <w:pPr>
        <w:snapToGrid w:val="0"/>
        <w:spacing w:before="50" w:after="50" w:line="360" w:lineRule="auto"/>
        <w:ind w:right="-817" w:rightChars="-389" w:firstLine="960" w:firstLineChars="400"/>
        <w:rPr>
          <w:rFonts w:hint="eastAsia" w:ascii="宋体" w:hAnsi="宋体" w:cs="宋体"/>
          <w:color w:val="auto"/>
          <w:sz w:val="24"/>
          <w:highlight w:val="none"/>
        </w:rPr>
      </w:pPr>
    </w:p>
    <w:p w14:paraId="44B4A716">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rPr>
        <w:t xml:space="preserve">）：                    </w:t>
      </w:r>
    </w:p>
    <w:p w14:paraId="511737EB">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6761D181">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08B926FC">
      <w:pPr>
        <w:pStyle w:val="16"/>
        <w:rPr>
          <w:rFonts w:ascii="宋体" w:hAnsi="宋体" w:cs="宋体"/>
          <w:color w:val="auto"/>
          <w:sz w:val="24"/>
          <w:highlight w:val="none"/>
        </w:rPr>
      </w:pPr>
    </w:p>
    <w:p w14:paraId="4B9F9DD4">
      <w:pPr>
        <w:rPr>
          <w:rFonts w:ascii="宋体" w:hAnsi="宋体" w:cs="宋体"/>
          <w:color w:val="auto"/>
          <w:sz w:val="24"/>
          <w:highlight w:val="none"/>
        </w:rPr>
      </w:pPr>
    </w:p>
    <w:p w14:paraId="2C273F78">
      <w:pPr>
        <w:pStyle w:val="8"/>
        <w:rPr>
          <w:rFonts w:ascii="宋体" w:hAnsi="宋体" w:cs="宋体"/>
          <w:color w:val="auto"/>
          <w:sz w:val="24"/>
          <w:highlight w:val="none"/>
        </w:rPr>
      </w:pPr>
    </w:p>
    <w:p w14:paraId="73BE69F7">
      <w:pPr>
        <w:rPr>
          <w:color w:val="auto"/>
          <w:highlight w:val="none"/>
        </w:rPr>
      </w:pPr>
    </w:p>
    <w:p w14:paraId="363D6956">
      <w:pPr>
        <w:pStyle w:val="16"/>
        <w:rPr>
          <w:rFonts w:ascii="宋体" w:hAnsi="宋体" w:cs="宋体"/>
          <w:color w:val="auto"/>
          <w:sz w:val="24"/>
          <w:highlight w:val="none"/>
        </w:rPr>
      </w:pPr>
    </w:p>
    <w:p w14:paraId="3AAF6D1B">
      <w:pPr>
        <w:snapToGrid w:val="0"/>
        <w:spacing w:before="156" w:beforeLines="50" w:after="50"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三、商务技术文件格式</w:t>
      </w:r>
    </w:p>
    <w:p w14:paraId="7E1AC125">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商务技术文件封面格式</w:t>
      </w:r>
    </w:p>
    <w:p w14:paraId="3E5021D2">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D5E3BBF">
      <w:pPr>
        <w:snapToGrid w:val="0"/>
        <w:spacing w:before="156" w:beforeLines="50" w:after="50"/>
        <w:rPr>
          <w:rFonts w:ascii="宋体" w:hAnsi="宋体" w:cs="宋体"/>
          <w:color w:val="auto"/>
          <w:sz w:val="24"/>
          <w:szCs w:val="20"/>
          <w:highlight w:val="none"/>
        </w:rPr>
      </w:pPr>
    </w:p>
    <w:p w14:paraId="452CBA15">
      <w:pPr>
        <w:snapToGrid w:val="0"/>
        <w:spacing w:before="156" w:beforeLines="50" w:after="50"/>
        <w:rPr>
          <w:rFonts w:ascii="宋体" w:hAnsi="宋体" w:cs="宋体"/>
          <w:color w:val="auto"/>
          <w:sz w:val="24"/>
          <w:szCs w:val="20"/>
          <w:highlight w:val="none"/>
        </w:rPr>
      </w:pPr>
    </w:p>
    <w:p w14:paraId="11365670">
      <w:pPr>
        <w:snapToGrid w:val="0"/>
        <w:spacing w:before="156" w:beforeLines="50" w:after="50"/>
        <w:rPr>
          <w:rFonts w:ascii="宋体" w:hAnsi="宋体" w:cs="宋体"/>
          <w:color w:val="auto"/>
          <w:sz w:val="24"/>
          <w:szCs w:val="20"/>
          <w:highlight w:val="none"/>
        </w:rPr>
      </w:pPr>
    </w:p>
    <w:p w14:paraId="7336CF55">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7F39AF92">
      <w:pPr>
        <w:snapToGrid w:val="0"/>
        <w:spacing w:before="156" w:beforeLines="50" w:after="50"/>
        <w:rPr>
          <w:rFonts w:ascii="宋体" w:hAnsi="宋体" w:cs="宋体"/>
          <w:bCs/>
          <w:color w:val="auto"/>
          <w:sz w:val="24"/>
          <w:szCs w:val="20"/>
          <w:highlight w:val="none"/>
        </w:rPr>
      </w:pPr>
    </w:p>
    <w:p w14:paraId="0FBC5547">
      <w:pPr>
        <w:snapToGrid w:val="0"/>
        <w:spacing w:before="156" w:beforeLines="50" w:after="50"/>
        <w:rPr>
          <w:rFonts w:ascii="宋体" w:hAnsi="宋体" w:cs="宋体"/>
          <w:bCs/>
          <w:color w:val="auto"/>
          <w:sz w:val="24"/>
          <w:szCs w:val="20"/>
          <w:highlight w:val="none"/>
        </w:rPr>
      </w:pPr>
    </w:p>
    <w:p w14:paraId="77A74F55">
      <w:pPr>
        <w:snapToGrid w:val="0"/>
        <w:spacing w:before="156" w:beforeLines="50" w:after="50"/>
        <w:rPr>
          <w:rFonts w:ascii="宋体" w:hAnsi="宋体" w:cs="宋体"/>
          <w:bCs/>
          <w:color w:val="auto"/>
          <w:sz w:val="24"/>
          <w:szCs w:val="20"/>
          <w:highlight w:val="none"/>
        </w:rPr>
      </w:pPr>
    </w:p>
    <w:p w14:paraId="6988BE24">
      <w:pPr>
        <w:snapToGrid w:val="0"/>
        <w:spacing w:before="156" w:beforeLines="50" w:after="50"/>
        <w:rPr>
          <w:rFonts w:ascii="宋体" w:hAnsi="宋体" w:cs="宋体"/>
          <w:bCs/>
          <w:color w:val="auto"/>
          <w:sz w:val="24"/>
          <w:szCs w:val="20"/>
          <w:highlight w:val="none"/>
        </w:rPr>
      </w:pPr>
    </w:p>
    <w:p w14:paraId="4845D5E5">
      <w:pPr>
        <w:snapToGrid w:val="0"/>
        <w:spacing w:before="156" w:beforeLines="50" w:after="50"/>
        <w:rPr>
          <w:rFonts w:ascii="宋体" w:hAnsi="宋体" w:cs="宋体"/>
          <w:bCs/>
          <w:color w:val="auto"/>
          <w:sz w:val="24"/>
          <w:szCs w:val="20"/>
          <w:highlight w:val="none"/>
        </w:rPr>
      </w:pPr>
    </w:p>
    <w:p w14:paraId="06B777EC">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B233DCF">
      <w:pPr>
        <w:snapToGrid w:val="0"/>
        <w:spacing w:before="156" w:beforeLines="50" w:after="50"/>
        <w:ind w:firstLine="720" w:firstLineChars="225"/>
        <w:rPr>
          <w:rFonts w:ascii="宋体" w:hAnsi="宋体" w:cs="宋体"/>
          <w:bCs/>
          <w:color w:val="auto"/>
          <w:sz w:val="32"/>
          <w:szCs w:val="32"/>
          <w:highlight w:val="none"/>
        </w:rPr>
      </w:pPr>
    </w:p>
    <w:p w14:paraId="454AEA1E">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697CC7C">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D14DE06">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2624697">
      <w:pPr>
        <w:snapToGrid w:val="0"/>
        <w:spacing w:before="156" w:beforeLines="50" w:after="50"/>
        <w:ind w:firstLine="720" w:firstLineChars="225"/>
        <w:rPr>
          <w:rFonts w:ascii="宋体" w:hAnsi="宋体" w:cs="宋体"/>
          <w:bCs/>
          <w:color w:val="auto"/>
          <w:sz w:val="32"/>
          <w:szCs w:val="32"/>
          <w:highlight w:val="none"/>
        </w:rPr>
      </w:pPr>
    </w:p>
    <w:p w14:paraId="0D6F9E4F">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B98916B">
      <w:pPr>
        <w:pStyle w:val="8"/>
        <w:snapToGrid w:val="0"/>
        <w:spacing w:before="50" w:after="50"/>
        <w:ind w:firstLine="720" w:firstLineChars="225"/>
        <w:rPr>
          <w:rFonts w:ascii="宋体" w:hAnsi="宋体" w:cs="宋体"/>
          <w:bCs/>
          <w:color w:val="auto"/>
          <w:sz w:val="32"/>
          <w:szCs w:val="32"/>
          <w:highlight w:val="none"/>
        </w:rPr>
      </w:pPr>
    </w:p>
    <w:p w14:paraId="74389FB9">
      <w:pPr>
        <w:pStyle w:val="8"/>
        <w:snapToGrid w:val="0"/>
        <w:spacing w:before="50" w:after="50"/>
        <w:ind w:firstLine="720" w:firstLineChars="225"/>
        <w:rPr>
          <w:rFonts w:ascii="宋体" w:hAnsi="宋体" w:cs="宋体"/>
          <w:bCs/>
          <w:color w:val="auto"/>
          <w:sz w:val="32"/>
          <w:szCs w:val="32"/>
          <w:highlight w:val="none"/>
        </w:rPr>
      </w:pPr>
    </w:p>
    <w:p w14:paraId="7CF5782C">
      <w:pPr>
        <w:pStyle w:val="8"/>
        <w:snapToGrid w:val="0"/>
        <w:spacing w:before="50" w:after="50"/>
        <w:ind w:firstLine="1280" w:firstLineChars="400"/>
        <w:rPr>
          <w:rFonts w:ascii="宋体" w:hAnsi="宋体" w:cs="宋体"/>
          <w:bCs/>
          <w:color w:val="auto"/>
          <w:sz w:val="32"/>
          <w:szCs w:val="32"/>
          <w:highlight w:val="none"/>
        </w:rPr>
      </w:pPr>
    </w:p>
    <w:p w14:paraId="4C712FB2">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D217C27">
      <w:pPr>
        <w:spacing w:before="312" w:beforeLines="100" w:after="156" w:afterLines="50" w:line="520" w:lineRule="exact"/>
        <w:ind w:left="540"/>
        <w:rPr>
          <w:rFonts w:ascii="宋体" w:hAnsi="宋体" w:cs="宋体"/>
          <w:b/>
          <w:color w:val="auto"/>
          <w:sz w:val="32"/>
          <w:szCs w:val="32"/>
          <w:highlight w:val="none"/>
        </w:rPr>
      </w:pPr>
    </w:p>
    <w:p w14:paraId="3A3A78FA">
      <w:pPr>
        <w:spacing w:before="312" w:beforeLines="100" w:after="156" w:afterLines="50" w:line="520" w:lineRule="exact"/>
        <w:ind w:left="540"/>
        <w:rPr>
          <w:rFonts w:ascii="宋体" w:hAnsi="宋体" w:cs="宋体"/>
          <w:b/>
          <w:color w:val="auto"/>
          <w:sz w:val="32"/>
          <w:szCs w:val="32"/>
          <w:highlight w:val="none"/>
        </w:rPr>
      </w:pPr>
    </w:p>
    <w:p w14:paraId="53949F28">
      <w:pPr>
        <w:spacing w:before="312" w:beforeLines="100" w:after="156" w:afterLines="50" w:line="360" w:lineRule="auto"/>
        <w:ind w:left="54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商务</w:t>
      </w:r>
      <w:r>
        <w:rPr>
          <w:rFonts w:hint="eastAsia" w:ascii="宋体" w:hAnsi="宋体" w:cs="宋体"/>
          <w:b/>
          <w:bCs/>
          <w:color w:val="auto"/>
          <w:sz w:val="32"/>
          <w:szCs w:val="32"/>
          <w:highlight w:val="none"/>
        </w:rPr>
        <w:t>技术文件目录</w:t>
      </w:r>
    </w:p>
    <w:p w14:paraId="611DC24B">
      <w:pPr>
        <w:pStyle w:val="32"/>
        <w:spacing w:line="360" w:lineRule="auto"/>
        <w:ind w:firstLine="640"/>
        <w:rPr>
          <w:rFonts w:ascii="宋体" w:hAnsi="宋体" w:eastAsia="宋体" w:cs="宋体"/>
          <w:color w:val="auto"/>
          <w:sz w:val="24"/>
          <w:szCs w:val="16"/>
          <w:highlight w:val="none"/>
        </w:rPr>
      </w:pPr>
      <w:r>
        <w:rPr>
          <w:rFonts w:hint="eastAsia" w:ascii="宋体" w:hAnsi="宋体" w:eastAsia="宋体" w:cs="宋体"/>
          <w:color w:val="auto"/>
          <w:szCs w:val="32"/>
          <w:highlight w:val="none"/>
        </w:rPr>
        <w:t>根据磋商文件规定及供应商提供的材料自行编写目录（部分格式后附）。</w:t>
      </w:r>
    </w:p>
    <w:p w14:paraId="7A0FF8CA">
      <w:pPr>
        <w:spacing w:line="360" w:lineRule="auto"/>
        <w:ind w:firstLine="880" w:firstLineChars="200"/>
        <w:jc w:val="center"/>
        <w:rPr>
          <w:rFonts w:ascii="宋体" w:hAnsi="宋体" w:cs="宋体"/>
          <w:bCs/>
          <w:color w:val="auto"/>
          <w:sz w:val="44"/>
          <w:szCs w:val="44"/>
          <w:highlight w:val="none"/>
        </w:rPr>
      </w:pPr>
    </w:p>
    <w:p w14:paraId="1FE1664F">
      <w:pPr>
        <w:spacing w:line="360" w:lineRule="auto"/>
        <w:ind w:firstLine="880" w:firstLineChars="200"/>
        <w:jc w:val="center"/>
        <w:rPr>
          <w:rFonts w:ascii="宋体" w:hAnsi="宋体" w:cs="宋体"/>
          <w:bCs/>
          <w:color w:val="auto"/>
          <w:sz w:val="44"/>
          <w:szCs w:val="44"/>
          <w:highlight w:val="none"/>
        </w:rPr>
      </w:pPr>
    </w:p>
    <w:p w14:paraId="6C654876">
      <w:pPr>
        <w:spacing w:line="360" w:lineRule="auto"/>
        <w:ind w:firstLine="880" w:firstLineChars="200"/>
        <w:jc w:val="center"/>
        <w:rPr>
          <w:rFonts w:ascii="宋体" w:hAnsi="宋体" w:cs="宋体"/>
          <w:bCs/>
          <w:color w:val="auto"/>
          <w:sz w:val="44"/>
          <w:szCs w:val="44"/>
          <w:highlight w:val="none"/>
        </w:rPr>
      </w:pPr>
    </w:p>
    <w:p w14:paraId="0996D040">
      <w:pPr>
        <w:spacing w:line="360" w:lineRule="auto"/>
        <w:ind w:firstLine="880" w:firstLineChars="200"/>
        <w:jc w:val="center"/>
        <w:rPr>
          <w:rFonts w:ascii="宋体" w:hAnsi="宋体" w:cs="宋体"/>
          <w:bCs/>
          <w:color w:val="auto"/>
          <w:sz w:val="44"/>
          <w:szCs w:val="44"/>
          <w:highlight w:val="none"/>
        </w:rPr>
      </w:pPr>
    </w:p>
    <w:p w14:paraId="44F45B0B">
      <w:pPr>
        <w:spacing w:line="360" w:lineRule="auto"/>
        <w:ind w:firstLine="880" w:firstLineChars="200"/>
        <w:jc w:val="center"/>
        <w:rPr>
          <w:rFonts w:ascii="宋体" w:hAnsi="宋体" w:cs="宋体"/>
          <w:bCs/>
          <w:color w:val="auto"/>
          <w:sz w:val="44"/>
          <w:szCs w:val="44"/>
          <w:highlight w:val="none"/>
        </w:rPr>
      </w:pPr>
    </w:p>
    <w:p w14:paraId="24F91AB3">
      <w:pPr>
        <w:spacing w:line="360" w:lineRule="auto"/>
        <w:ind w:firstLine="880" w:firstLineChars="200"/>
        <w:jc w:val="center"/>
        <w:rPr>
          <w:rFonts w:ascii="宋体" w:hAnsi="宋体" w:cs="宋体"/>
          <w:bCs/>
          <w:color w:val="auto"/>
          <w:sz w:val="44"/>
          <w:szCs w:val="44"/>
          <w:highlight w:val="none"/>
        </w:rPr>
      </w:pPr>
    </w:p>
    <w:p w14:paraId="11D80871">
      <w:pPr>
        <w:spacing w:line="360" w:lineRule="auto"/>
        <w:ind w:firstLine="880" w:firstLineChars="200"/>
        <w:jc w:val="center"/>
        <w:rPr>
          <w:rFonts w:ascii="宋体" w:hAnsi="宋体" w:cs="宋体"/>
          <w:bCs/>
          <w:color w:val="auto"/>
          <w:sz w:val="44"/>
          <w:szCs w:val="44"/>
          <w:highlight w:val="none"/>
        </w:rPr>
      </w:pPr>
    </w:p>
    <w:p w14:paraId="4CF732F4">
      <w:pPr>
        <w:spacing w:line="360" w:lineRule="auto"/>
        <w:ind w:firstLine="880" w:firstLineChars="200"/>
        <w:jc w:val="center"/>
        <w:rPr>
          <w:rFonts w:ascii="宋体" w:hAnsi="宋体" w:cs="宋体"/>
          <w:bCs/>
          <w:color w:val="auto"/>
          <w:sz w:val="44"/>
          <w:szCs w:val="44"/>
          <w:highlight w:val="none"/>
        </w:rPr>
      </w:pPr>
    </w:p>
    <w:p w14:paraId="0F0FC875">
      <w:pPr>
        <w:spacing w:line="360" w:lineRule="auto"/>
        <w:ind w:firstLine="880" w:firstLineChars="200"/>
        <w:jc w:val="center"/>
        <w:rPr>
          <w:rFonts w:ascii="宋体" w:hAnsi="宋体" w:cs="宋体"/>
          <w:bCs/>
          <w:color w:val="auto"/>
          <w:sz w:val="44"/>
          <w:szCs w:val="44"/>
          <w:highlight w:val="none"/>
        </w:rPr>
      </w:pPr>
    </w:p>
    <w:p w14:paraId="4E4A484D">
      <w:pPr>
        <w:spacing w:line="360" w:lineRule="auto"/>
        <w:ind w:firstLine="880" w:firstLineChars="200"/>
        <w:jc w:val="center"/>
        <w:rPr>
          <w:rFonts w:ascii="宋体" w:hAnsi="宋体" w:cs="宋体"/>
          <w:bCs/>
          <w:color w:val="auto"/>
          <w:sz w:val="44"/>
          <w:szCs w:val="44"/>
          <w:highlight w:val="none"/>
        </w:rPr>
      </w:pPr>
    </w:p>
    <w:p w14:paraId="63AEB6A7">
      <w:pPr>
        <w:spacing w:line="360" w:lineRule="auto"/>
        <w:ind w:firstLine="880" w:firstLineChars="200"/>
        <w:jc w:val="center"/>
        <w:rPr>
          <w:rFonts w:ascii="宋体" w:hAnsi="宋体" w:cs="宋体"/>
          <w:bCs/>
          <w:color w:val="auto"/>
          <w:sz w:val="44"/>
          <w:szCs w:val="44"/>
          <w:highlight w:val="none"/>
        </w:rPr>
      </w:pPr>
    </w:p>
    <w:p w14:paraId="46CAA39E">
      <w:pPr>
        <w:spacing w:line="360" w:lineRule="auto"/>
        <w:ind w:firstLine="880" w:firstLineChars="200"/>
        <w:jc w:val="center"/>
        <w:rPr>
          <w:rFonts w:ascii="宋体" w:hAnsi="宋体" w:cs="宋体"/>
          <w:bCs/>
          <w:color w:val="auto"/>
          <w:sz w:val="44"/>
          <w:szCs w:val="44"/>
          <w:highlight w:val="none"/>
        </w:rPr>
      </w:pPr>
    </w:p>
    <w:p w14:paraId="49570FC8">
      <w:pPr>
        <w:spacing w:line="360" w:lineRule="auto"/>
        <w:ind w:firstLine="880" w:firstLineChars="200"/>
        <w:jc w:val="center"/>
        <w:rPr>
          <w:rFonts w:ascii="宋体" w:hAnsi="宋体" w:cs="宋体"/>
          <w:bCs/>
          <w:color w:val="auto"/>
          <w:sz w:val="44"/>
          <w:szCs w:val="44"/>
          <w:highlight w:val="none"/>
        </w:rPr>
      </w:pPr>
    </w:p>
    <w:p w14:paraId="3AB490EE">
      <w:pPr>
        <w:spacing w:line="360" w:lineRule="auto"/>
        <w:ind w:firstLine="880" w:firstLineChars="200"/>
        <w:jc w:val="center"/>
        <w:rPr>
          <w:rFonts w:ascii="宋体" w:hAnsi="宋体" w:cs="宋体"/>
          <w:bCs/>
          <w:color w:val="auto"/>
          <w:sz w:val="44"/>
          <w:szCs w:val="44"/>
          <w:highlight w:val="none"/>
        </w:rPr>
      </w:pPr>
    </w:p>
    <w:p w14:paraId="6A57F052">
      <w:pPr>
        <w:spacing w:line="520" w:lineRule="exact"/>
        <w:jc w:val="both"/>
        <w:rPr>
          <w:rFonts w:ascii="宋体" w:hAnsi="宋体" w:cs="宋体"/>
          <w:color w:val="auto"/>
          <w:sz w:val="44"/>
          <w:szCs w:val="44"/>
          <w:highlight w:val="none"/>
        </w:rPr>
      </w:pPr>
    </w:p>
    <w:p w14:paraId="5A0948DE">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42412083">
      <w:pPr>
        <w:spacing w:line="400" w:lineRule="exact"/>
        <w:ind w:firstLine="640" w:firstLineChars="200"/>
        <w:rPr>
          <w:rFonts w:ascii="宋体" w:hAnsi="宋体" w:cs="宋体"/>
          <w:color w:val="auto"/>
          <w:sz w:val="32"/>
          <w:szCs w:val="32"/>
          <w:highlight w:val="none"/>
        </w:rPr>
      </w:pPr>
    </w:p>
    <w:p w14:paraId="3F2C25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59C36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450DC0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1825B6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3E9514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4.不同供应商的响应文件异常一致或者竞标报价呈规律性差异；</w:t>
      </w:r>
    </w:p>
    <w:p w14:paraId="679909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22CDE8D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4A379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0DBF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5B8A05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3.供应商之间协商报价、技术方案等响应文件的实质性内容；</w:t>
      </w:r>
    </w:p>
    <w:p w14:paraId="115DB6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19CCE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3DC8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57B2E5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7.供应商与采购人或者采购代理机构之间、供应商相互之间，为谋求特定供应商成交或者排斥其他供应商的其他串通行为。</w:t>
      </w:r>
    </w:p>
    <w:p w14:paraId="380C55CC">
      <w:pPr>
        <w:spacing w:line="360" w:lineRule="auto"/>
        <w:ind w:firstLine="480" w:firstLineChars="200"/>
        <w:rPr>
          <w:rFonts w:ascii="宋体" w:hAnsi="宋体" w:cs="宋体"/>
          <w:color w:val="auto"/>
          <w:sz w:val="24"/>
          <w:highlight w:val="none"/>
        </w:rPr>
      </w:pPr>
    </w:p>
    <w:p w14:paraId="709532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5A6C2E25">
      <w:pPr>
        <w:spacing w:line="360" w:lineRule="auto"/>
        <w:rPr>
          <w:rFonts w:ascii="宋体" w:hAnsi="宋体" w:cs="宋体"/>
          <w:color w:val="auto"/>
          <w:sz w:val="24"/>
          <w:highlight w:val="none"/>
        </w:rPr>
      </w:pPr>
    </w:p>
    <w:p w14:paraId="5D45FDD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供应商（盖公章或电子签章）：</w:t>
      </w:r>
    </w:p>
    <w:p w14:paraId="196A8B4D">
      <w:pPr>
        <w:spacing w:before="312" w:beforeLines="100" w:after="156" w:afterLines="50" w:line="520" w:lineRule="exact"/>
        <w:ind w:left="540"/>
        <w:jc w:val="center"/>
        <w:rPr>
          <w:rFonts w:ascii="宋体" w:hAnsi="宋体" w:cs="宋体"/>
          <w:bCs/>
          <w:color w:val="auto"/>
          <w:sz w:val="44"/>
          <w:szCs w:val="44"/>
          <w:highlight w:val="none"/>
        </w:rPr>
      </w:pPr>
      <w:r>
        <w:rPr>
          <w:rFonts w:hint="eastAsia" w:ascii="宋体" w:hAnsi="宋体" w:cs="宋体"/>
          <w:color w:val="auto"/>
          <w:sz w:val="24"/>
          <w:highlight w:val="none"/>
        </w:rPr>
        <w:t xml:space="preserve">                               年   月   日</w:t>
      </w:r>
    </w:p>
    <w:p w14:paraId="0C3BDA09">
      <w:pPr>
        <w:spacing w:before="312" w:beforeLines="100" w:after="156" w:afterLines="50" w:line="520" w:lineRule="exact"/>
        <w:ind w:left="540"/>
        <w:jc w:val="center"/>
        <w:rPr>
          <w:rFonts w:ascii="宋体" w:hAnsi="宋体" w:cs="宋体"/>
          <w:bCs/>
          <w:color w:val="auto"/>
          <w:sz w:val="44"/>
          <w:szCs w:val="44"/>
          <w:highlight w:val="none"/>
        </w:rPr>
      </w:pPr>
    </w:p>
    <w:p w14:paraId="1101F785">
      <w:pPr>
        <w:spacing w:before="312" w:beforeLines="100" w:after="156" w:afterLines="50" w:line="520" w:lineRule="exact"/>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法定代表人身份证明书</w:t>
      </w:r>
    </w:p>
    <w:p w14:paraId="2F156E62">
      <w:pPr>
        <w:spacing w:line="520" w:lineRule="exact"/>
        <w:ind w:left="540"/>
        <w:rPr>
          <w:rFonts w:ascii="宋体" w:hAnsi="宋体" w:cs="宋体"/>
          <w:color w:val="auto"/>
          <w:sz w:val="32"/>
          <w:szCs w:val="32"/>
          <w:highlight w:val="none"/>
        </w:rPr>
      </w:pPr>
    </w:p>
    <w:p w14:paraId="1B73114C">
      <w:pPr>
        <w:spacing w:line="360" w:lineRule="auto"/>
        <w:ind w:left="54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5C6C7B7F">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53C935F">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FD90FC5">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05E693A">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665559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1A785D31">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470B6B80">
      <w:pPr>
        <w:spacing w:line="360" w:lineRule="auto"/>
        <w:ind w:left="540"/>
        <w:rPr>
          <w:rFonts w:ascii="宋体" w:hAnsi="宋体" w:cs="宋体"/>
          <w:color w:val="auto"/>
          <w:sz w:val="24"/>
          <w:highlight w:val="none"/>
        </w:rPr>
      </w:pPr>
    </w:p>
    <w:p w14:paraId="06E717A7">
      <w:pPr>
        <w:spacing w:line="360" w:lineRule="auto"/>
        <w:ind w:left="540"/>
        <w:rPr>
          <w:rFonts w:ascii="宋体" w:hAnsi="宋体" w:cs="宋体"/>
          <w:color w:val="auto"/>
          <w:sz w:val="24"/>
          <w:highlight w:val="none"/>
        </w:rPr>
      </w:pPr>
    </w:p>
    <w:p w14:paraId="34735248">
      <w:pPr>
        <w:spacing w:line="360" w:lineRule="auto"/>
        <w:ind w:left="540"/>
        <w:rPr>
          <w:rFonts w:ascii="宋体" w:hAnsi="宋体" w:cs="宋体"/>
          <w:color w:val="auto"/>
          <w:sz w:val="24"/>
          <w:highlight w:val="none"/>
        </w:rPr>
      </w:pPr>
    </w:p>
    <w:p w14:paraId="206FCD3F">
      <w:pPr>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3E4A51F">
      <w:pPr>
        <w:spacing w:line="360" w:lineRule="auto"/>
        <w:ind w:left="540"/>
        <w:rPr>
          <w:rFonts w:ascii="宋体" w:hAnsi="宋体" w:cs="宋体"/>
          <w:color w:val="auto"/>
          <w:sz w:val="24"/>
          <w:highlight w:val="none"/>
        </w:rPr>
      </w:pPr>
    </w:p>
    <w:p w14:paraId="70D0AFD3">
      <w:pPr>
        <w:spacing w:line="360" w:lineRule="auto"/>
        <w:ind w:left="540"/>
        <w:jc w:val="center"/>
        <w:rPr>
          <w:rFonts w:ascii="宋体" w:hAnsi="宋体" w:cs="宋体"/>
          <w:color w:val="auto"/>
          <w:sz w:val="24"/>
          <w:highlight w:val="none"/>
        </w:rPr>
      </w:pPr>
      <w:r>
        <w:rPr>
          <w:rFonts w:hint="eastAsia" w:ascii="宋体" w:hAnsi="宋体" w:cs="宋体"/>
          <w:color w:val="auto"/>
          <w:sz w:val="24"/>
          <w:highlight w:val="none"/>
        </w:rPr>
        <w:t xml:space="preserve">  供应商（盖公章或电子签章）：</w:t>
      </w:r>
      <w:r>
        <w:rPr>
          <w:rFonts w:hint="eastAsia" w:ascii="宋体" w:hAnsi="宋体" w:cs="宋体"/>
          <w:color w:val="auto"/>
          <w:sz w:val="24"/>
          <w:highlight w:val="none"/>
          <w:u w:val="single"/>
        </w:rPr>
        <w:t xml:space="preserve">               </w:t>
      </w:r>
    </w:p>
    <w:p w14:paraId="32DDB34A">
      <w:pPr>
        <w:snapToGrid w:val="0"/>
        <w:spacing w:before="156" w:beforeLines="50" w:after="50" w:line="360" w:lineRule="auto"/>
        <w:ind w:firstLine="4080" w:firstLineChars="17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2B61D9C">
      <w:pPr>
        <w:snapToGrid w:val="0"/>
        <w:spacing w:before="156" w:beforeLines="50" w:after="50" w:line="360" w:lineRule="auto"/>
        <w:jc w:val="center"/>
        <w:rPr>
          <w:rFonts w:ascii="宋体" w:hAnsi="宋体" w:cs="宋体"/>
          <w:b/>
          <w:color w:val="auto"/>
          <w:sz w:val="24"/>
          <w:highlight w:val="none"/>
        </w:rPr>
      </w:pPr>
    </w:p>
    <w:p w14:paraId="6D296908">
      <w:pPr>
        <w:snapToGrid w:val="0"/>
        <w:spacing w:before="156" w:beforeLines="50" w:after="50" w:line="360" w:lineRule="auto"/>
        <w:jc w:val="left"/>
        <w:rPr>
          <w:rFonts w:ascii="宋体" w:hAnsi="宋体" w:cs="宋体"/>
          <w:color w:val="auto"/>
          <w:sz w:val="24"/>
          <w:highlight w:val="none"/>
        </w:rPr>
      </w:pPr>
    </w:p>
    <w:p w14:paraId="5DB49670">
      <w:pPr>
        <w:snapToGrid w:val="0"/>
        <w:spacing w:before="156" w:beforeLines="50" w:after="50"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0E9BB219">
      <w:pPr>
        <w:snapToGrid w:val="0"/>
        <w:spacing w:before="156" w:beforeLines="50" w:after="50" w:line="360" w:lineRule="auto"/>
        <w:ind w:firstLine="480" w:firstLineChars="200"/>
        <w:jc w:val="left"/>
        <w:rPr>
          <w:rFonts w:ascii="宋体" w:hAnsi="宋体" w:cs="宋体"/>
          <w:b/>
          <w:color w:val="auto"/>
          <w:sz w:val="32"/>
          <w:szCs w:val="32"/>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C71C8D7">
      <w:pPr>
        <w:adjustRightInd w:val="0"/>
        <w:snapToGrid w:val="0"/>
        <w:spacing w:line="300" w:lineRule="auto"/>
        <w:jc w:val="left"/>
        <w:rPr>
          <w:rFonts w:ascii="宋体" w:hAnsi="宋体" w:cs="宋体"/>
          <w:b/>
          <w:color w:val="auto"/>
          <w:szCs w:val="21"/>
          <w:highlight w:val="none"/>
        </w:rPr>
      </w:pPr>
    </w:p>
    <w:p w14:paraId="0191CA4D">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03827EE3">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法定代表人授权委托书（非联合体竞标格式）</w:t>
      </w:r>
    </w:p>
    <w:p w14:paraId="5F0D262B">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341BC10C">
      <w:pPr>
        <w:spacing w:line="520" w:lineRule="exact"/>
        <w:rPr>
          <w:rFonts w:ascii="宋体" w:hAnsi="宋体" w:cs="宋体"/>
          <w:color w:val="auto"/>
          <w:sz w:val="32"/>
          <w:szCs w:val="32"/>
          <w:highlight w:val="none"/>
        </w:rPr>
      </w:pPr>
    </w:p>
    <w:p w14:paraId="18B8C255">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5C81D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sym w:font="Wingdings 2" w:char="00A3"/>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1F29BC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B43A9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63A1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8C53A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594EF258">
      <w:pPr>
        <w:spacing w:line="360" w:lineRule="auto"/>
        <w:rPr>
          <w:rFonts w:ascii="宋体" w:hAnsi="宋体" w:cs="宋体"/>
          <w:color w:val="auto"/>
          <w:sz w:val="24"/>
          <w:highlight w:val="none"/>
        </w:rPr>
      </w:pPr>
    </w:p>
    <w:p w14:paraId="459C63C2">
      <w:pPr>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         法定代表人（</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rPr>
        <w:t xml:space="preserve">）：                    </w:t>
      </w:r>
    </w:p>
    <w:p w14:paraId="6DD050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30F0FC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27862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供应商（盖公章或电子签章）：                      </w:t>
      </w:r>
    </w:p>
    <w:p w14:paraId="06F601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3D300F8">
      <w:pPr>
        <w:spacing w:line="360" w:lineRule="auto"/>
        <w:rPr>
          <w:rFonts w:ascii="宋体" w:hAnsi="宋体" w:cs="宋体"/>
          <w:color w:val="auto"/>
          <w:sz w:val="24"/>
          <w:highlight w:val="none"/>
        </w:rPr>
      </w:pPr>
    </w:p>
    <w:p w14:paraId="24D599F2">
      <w:pPr>
        <w:spacing w:line="360" w:lineRule="auto"/>
        <w:rPr>
          <w:rFonts w:ascii="宋体" w:hAnsi="宋体" w:cs="宋体"/>
          <w:color w:val="auto"/>
          <w:sz w:val="24"/>
          <w:highlight w:val="none"/>
        </w:rPr>
      </w:pPr>
      <w:r>
        <w:rPr>
          <w:rFonts w:hint="eastAsia" w:ascii="宋体" w:hAnsi="宋体" w:cs="宋体"/>
          <w:color w:val="auto"/>
          <w:sz w:val="24"/>
          <w:highlight w:val="none"/>
        </w:rPr>
        <w:t>注：1.法定代表人和委托代理人必须在授权委托书上亲笔签名，不得使用印章、签名章或者其他电子制版签名代替；</w:t>
      </w:r>
    </w:p>
    <w:p w14:paraId="159B8DDA">
      <w:pPr>
        <w:spacing w:line="360" w:lineRule="auto"/>
        <w:ind w:firstLine="480" w:firstLineChars="200"/>
        <w:jc w:val="center"/>
        <w:rPr>
          <w:rFonts w:ascii="宋体" w:hAnsi="宋体" w:cs="宋体"/>
          <w:bCs/>
          <w:color w:val="auto"/>
          <w:sz w:val="44"/>
          <w:szCs w:val="4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5C5064B">
      <w:pPr>
        <w:spacing w:line="360" w:lineRule="auto"/>
        <w:ind w:firstLine="880" w:firstLineChars="200"/>
        <w:jc w:val="center"/>
        <w:rPr>
          <w:rFonts w:ascii="宋体" w:hAnsi="宋体" w:cs="宋体"/>
          <w:bCs/>
          <w:color w:val="auto"/>
          <w:sz w:val="44"/>
          <w:szCs w:val="44"/>
          <w:highlight w:val="none"/>
        </w:rPr>
      </w:pPr>
    </w:p>
    <w:p w14:paraId="46856331">
      <w:pPr>
        <w:spacing w:line="360" w:lineRule="auto"/>
        <w:ind w:firstLine="880" w:firstLineChars="200"/>
        <w:jc w:val="center"/>
        <w:rPr>
          <w:rFonts w:ascii="宋体" w:hAnsi="宋体" w:cs="宋体"/>
          <w:bCs/>
          <w:color w:val="auto"/>
          <w:sz w:val="44"/>
          <w:szCs w:val="44"/>
          <w:highlight w:val="none"/>
        </w:rPr>
      </w:pPr>
    </w:p>
    <w:p w14:paraId="67CEBDC5">
      <w:pPr>
        <w:spacing w:line="500" w:lineRule="exact"/>
        <w:jc w:val="center"/>
        <w:rPr>
          <w:rFonts w:hint="eastAsia" w:ascii="方正小标宋简体" w:hAnsi="方正小标宋简体" w:eastAsia="方正小标宋简体" w:cs="方正小标宋简体"/>
          <w:color w:val="auto"/>
          <w:sz w:val="44"/>
          <w:szCs w:val="44"/>
          <w:highlight w:val="none"/>
        </w:rPr>
      </w:pPr>
    </w:p>
    <w:p w14:paraId="6623B945">
      <w:pPr>
        <w:spacing w:line="500" w:lineRule="exact"/>
        <w:jc w:val="center"/>
        <w:rPr>
          <w:rFonts w:hint="eastAsia" w:ascii="方正小标宋简体" w:hAnsi="方正小标宋简体" w:eastAsia="方正小标宋简体" w:cs="方正小标宋简体"/>
          <w:color w:val="auto"/>
          <w:sz w:val="44"/>
          <w:szCs w:val="44"/>
          <w:highlight w:val="none"/>
        </w:rPr>
      </w:pPr>
    </w:p>
    <w:p w14:paraId="09C01C15">
      <w:pPr>
        <w:spacing w:line="360" w:lineRule="auto"/>
        <w:ind w:firstLine="880" w:firstLineChars="20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商务条款偏离表格式</w:t>
      </w:r>
    </w:p>
    <w:p w14:paraId="4C8A196A">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(注：按采购需求具体条款修改)</w:t>
      </w:r>
    </w:p>
    <w:p w14:paraId="7797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1B367D02">
      <w:pPr>
        <w:pStyle w:val="16"/>
        <w:rPr>
          <w:rFonts w:hint="eastAsia" w:ascii="宋体" w:hAnsi="宋体" w:cs="宋体"/>
          <w:color w:val="auto"/>
          <w:sz w:val="24"/>
          <w:highlight w:val="none"/>
          <w:u w:val="single"/>
        </w:rPr>
      </w:pPr>
      <w:r>
        <w:rPr>
          <w:rFonts w:hint="eastAsia" w:ascii="宋体" w:hAnsi="宋体" w:cs="宋体"/>
          <w:color w:val="auto"/>
          <w:sz w:val="24"/>
          <w:highlight w:val="none"/>
        </w:rPr>
        <w:t>采购标项名称：</w:t>
      </w:r>
      <w:r>
        <w:rPr>
          <w:rFonts w:hint="eastAsia" w:ascii="宋体" w:hAnsi="宋体" w:cs="宋体"/>
          <w:color w:val="auto"/>
          <w:sz w:val="24"/>
          <w:highlight w:val="none"/>
          <w:u w:val="single"/>
        </w:rPr>
        <w:t xml:space="preserve">                 </w:t>
      </w:r>
    </w:p>
    <w:p w14:paraId="42311939">
      <w:pPr>
        <w:pStyle w:val="16"/>
        <w:rPr>
          <w:rFonts w:ascii="宋体" w:hAnsi="宋体" w:cs="宋体"/>
          <w:color w:val="auto"/>
          <w:highlight w:val="none"/>
        </w:rPr>
      </w:pPr>
    </w:p>
    <w:tbl>
      <w:tblPr>
        <w:tblStyle w:val="33"/>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FAC0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9DE1C0E">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94E8968">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6219C839">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5F9CF32E">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7FA1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FE96466">
            <w:pPr>
              <w:spacing w:line="240" w:lineRule="auto"/>
              <w:jc w:val="center"/>
              <w:rPr>
                <w:rFonts w:ascii="宋体" w:hAnsi="宋体" w:cs="宋体"/>
                <w:color w:val="auto"/>
                <w:sz w:val="24"/>
                <w:highlight w:val="none"/>
              </w:rPr>
            </w:pPr>
            <w:r>
              <w:rPr>
                <w:rFonts w:hint="eastAsia" w:ascii="宋体" w:hAnsi="宋体" w:cs="宋体"/>
                <w:color w:val="auto"/>
                <w:spacing w:val="-2"/>
                <w:sz w:val="24"/>
                <w:szCs w:val="24"/>
                <w:highlight w:val="none"/>
              </w:rPr>
              <w:t>报</w:t>
            </w:r>
            <w:r>
              <w:rPr>
                <w:rFonts w:hint="eastAsia" w:ascii="宋体" w:hAnsi="宋体" w:cs="宋体"/>
                <w:color w:val="auto"/>
                <w:spacing w:val="-1"/>
                <w:sz w:val="24"/>
                <w:szCs w:val="24"/>
                <w:highlight w:val="none"/>
              </w:rPr>
              <w:t>价要求</w:t>
            </w:r>
          </w:p>
        </w:tc>
        <w:tc>
          <w:tcPr>
            <w:tcW w:w="2668" w:type="dxa"/>
            <w:tcBorders>
              <w:top w:val="single" w:color="auto" w:sz="4" w:space="0"/>
              <w:left w:val="single" w:color="auto" w:sz="4" w:space="0"/>
              <w:bottom w:val="single" w:color="auto" w:sz="4" w:space="0"/>
              <w:right w:val="single" w:color="auto" w:sz="4" w:space="0"/>
            </w:tcBorders>
            <w:vAlign w:val="center"/>
          </w:tcPr>
          <w:p w14:paraId="57F098F5">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ED8883F">
            <w:pPr>
              <w:snapToGrid w:val="0"/>
              <w:spacing w:before="156" w:beforeLines="50" w:line="360" w:lineRule="auto"/>
              <w:ind w:left="43"/>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DA503CF">
            <w:pPr>
              <w:snapToGrid w:val="0"/>
              <w:spacing w:before="156" w:beforeLines="50" w:line="360" w:lineRule="auto"/>
              <w:ind w:left="43"/>
              <w:jc w:val="center"/>
              <w:rPr>
                <w:rFonts w:ascii="宋体" w:hAnsi="宋体" w:cs="宋体"/>
                <w:color w:val="auto"/>
                <w:sz w:val="24"/>
                <w:highlight w:val="none"/>
              </w:rPr>
            </w:pPr>
          </w:p>
        </w:tc>
      </w:tr>
      <w:tr w14:paraId="6E0E6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7BC8E5E7">
            <w:pPr>
              <w:spacing w:line="240" w:lineRule="auto"/>
              <w:jc w:val="center"/>
              <w:rPr>
                <w:rFonts w:ascii="宋体" w:hAnsi="宋体" w:cs="宋体"/>
                <w:color w:val="auto"/>
                <w:sz w:val="24"/>
                <w:highlight w:val="none"/>
              </w:rPr>
            </w:pPr>
            <w:r>
              <w:rPr>
                <w:rFonts w:hint="eastAsia" w:ascii="宋体" w:hAnsi="宋体" w:cs="宋体"/>
                <w:color w:val="auto"/>
                <w:spacing w:val="-2"/>
                <w:sz w:val="24"/>
                <w:szCs w:val="24"/>
                <w:highlight w:val="none"/>
              </w:rPr>
              <w:t>合</w:t>
            </w:r>
            <w:r>
              <w:rPr>
                <w:rFonts w:hint="eastAsia" w:ascii="宋体" w:hAnsi="宋体" w:cs="宋体"/>
                <w:color w:val="auto"/>
                <w:spacing w:val="-1"/>
                <w:sz w:val="24"/>
                <w:szCs w:val="24"/>
                <w:highlight w:val="none"/>
              </w:rPr>
              <w:t>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5832C455">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1DE08A1">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2495404">
            <w:pPr>
              <w:snapToGrid w:val="0"/>
              <w:spacing w:before="156" w:beforeLines="50" w:line="360" w:lineRule="auto"/>
              <w:jc w:val="center"/>
              <w:rPr>
                <w:rFonts w:ascii="宋体" w:hAnsi="宋体" w:cs="宋体"/>
                <w:color w:val="auto"/>
                <w:sz w:val="24"/>
                <w:highlight w:val="none"/>
              </w:rPr>
            </w:pPr>
          </w:p>
        </w:tc>
      </w:tr>
      <w:tr w14:paraId="06CC4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006D19B">
            <w:pPr>
              <w:spacing w:line="240" w:lineRule="auto"/>
              <w:jc w:val="center"/>
              <w:rPr>
                <w:rFonts w:ascii="宋体" w:hAnsi="宋体" w:cs="宋体"/>
                <w:color w:val="auto"/>
                <w:sz w:val="24"/>
                <w:highlight w:val="none"/>
              </w:rPr>
            </w:pPr>
            <w:r>
              <w:rPr>
                <w:rFonts w:hint="eastAsia" w:ascii="宋体" w:hAnsi="宋体" w:cs="宋体"/>
                <w:color w:val="auto"/>
                <w:spacing w:val="-2"/>
                <w:sz w:val="24"/>
                <w:szCs w:val="24"/>
                <w:highlight w:val="none"/>
              </w:rPr>
              <w:t>服</w:t>
            </w:r>
            <w:r>
              <w:rPr>
                <w:rFonts w:hint="eastAsia" w:ascii="宋体" w:hAnsi="宋体" w:cs="宋体"/>
                <w:color w:val="auto"/>
                <w:spacing w:val="-1"/>
                <w:sz w:val="24"/>
                <w:szCs w:val="24"/>
                <w:highlight w:val="none"/>
              </w:rPr>
              <w:t>务地点</w:t>
            </w:r>
          </w:p>
        </w:tc>
        <w:tc>
          <w:tcPr>
            <w:tcW w:w="2668" w:type="dxa"/>
            <w:tcBorders>
              <w:top w:val="single" w:color="auto" w:sz="4" w:space="0"/>
              <w:left w:val="single" w:color="auto" w:sz="4" w:space="0"/>
              <w:bottom w:val="single" w:color="auto" w:sz="4" w:space="0"/>
              <w:right w:val="single" w:color="auto" w:sz="4" w:space="0"/>
            </w:tcBorders>
            <w:vAlign w:val="center"/>
          </w:tcPr>
          <w:p w14:paraId="2B37E054">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CB4A38E">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B9E8FBD">
            <w:pPr>
              <w:snapToGrid w:val="0"/>
              <w:spacing w:before="156" w:beforeLines="50" w:line="360" w:lineRule="auto"/>
              <w:jc w:val="center"/>
              <w:rPr>
                <w:rFonts w:ascii="宋体" w:hAnsi="宋体" w:cs="宋体"/>
                <w:color w:val="auto"/>
                <w:sz w:val="24"/>
                <w:highlight w:val="none"/>
              </w:rPr>
            </w:pPr>
          </w:p>
        </w:tc>
      </w:tr>
      <w:tr w14:paraId="77335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2C57017">
            <w:pPr>
              <w:spacing w:line="240" w:lineRule="auto"/>
              <w:jc w:val="center"/>
              <w:rPr>
                <w:rFonts w:ascii="宋体" w:hAnsi="宋体" w:cs="宋体"/>
                <w:color w:val="auto"/>
                <w:sz w:val="24"/>
                <w:highlight w:val="none"/>
              </w:rPr>
            </w:pPr>
            <w:r>
              <w:rPr>
                <w:rFonts w:hint="eastAsia" w:ascii="宋体" w:hAnsi="宋体" w:cs="宋体"/>
                <w:color w:val="auto"/>
                <w:spacing w:val="-2"/>
                <w:sz w:val="24"/>
                <w:szCs w:val="24"/>
                <w:highlight w:val="none"/>
              </w:rPr>
              <w:t>服</w:t>
            </w:r>
            <w:r>
              <w:rPr>
                <w:rFonts w:hint="eastAsia" w:ascii="宋体" w:hAnsi="宋体" w:cs="宋体"/>
                <w:color w:val="auto"/>
                <w:spacing w:val="-1"/>
                <w:sz w:val="24"/>
                <w:szCs w:val="24"/>
                <w:highlight w:val="none"/>
              </w:rPr>
              <w:t>务期限</w:t>
            </w:r>
          </w:p>
        </w:tc>
        <w:tc>
          <w:tcPr>
            <w:tcW w:w="2668" w:type="dxa"/>
            <w:tcBorders>
              <w:top w:val="single" w:color="auto" w:sz="4" w:space="0"/>
              <w:left w:val="single" w:color="auto" w:sz="4" w:space="0"/>
              <w:bottom w:val="single" w:color="auto" w:sz="4" w:space="0"/>
              <w:right w:val="single" w:color="auto" w:sz="4" w:space="0"/>
            </w:tcBorders>
            <w:vAlign w:val="center"/>
          </w:tcPr>
          <w:p w14:paraId="6AD922C4">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9A6A501">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A7F41CE">
            <w:pPr>
              <w:snapToGrid w:val="0"/>
              <w:spacing w:before="156" w:beforeLines="50" w:line="360" w:lineRule="auto"/>
              <w:jc w:val="center"/>
              <w:rPr>
                <w:rFonts w:ascii="宋体" w:hAnsi="宋体" w:cs="宋体"/>
                <w:color w:val="auto"/>
                <w:sz w:val="24"/>
                <w:highlight w:val="none"/>
              </w:rPr>
            </w:pPr>
          </w:p>
        </w:tc>
      </w:tr>
      <w:tr w14:paraId="0C43B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9447E01">
            <w:pPr>
              <w:spacing w:line="240" w:lineRule="auto"/>
              <w:jc w:val="center"/>
              <w:rPr>
                <w:rFonts w:ascii="宋体" w:hAnsi="宋体" w:cs="宋体"/>
                <w:color w:val="auto"/>
                <w:sz w:val="24"/>
                <w:highlight w:val="none"/>
              </w:rPr>
            </w:pPr>
            <w:r>
              <w:rPr>
                <w:rFonts w:hint="eastAsia" w:ascii="宋体" w:hAnsi="宋体" w:cs="宋体"/>
                <w:color w:val="auto"/>
                <w:sz w:val="24"/>
                <w:szCs w:val="24"/>
                <w:highlight w:val="none"/>
              </w:rPr>
              <w:t>服务标准及要求</w:t>
            </w:r>
          </w:p>
        </w:tc>
        <w:tc>
          <w:tcPr>
            <w:tcW w:w="2668" w:type="dxa"/>
            <w:tcBorders>
              <w:top w:val="single" w:color="auto" w:sz="4" w:space="0"/>
              <w:left w:val="single" w:color="auto" w:sz="4" w:space="0"/>
              <w:bottom w:val="single" w:color="auto" w:sz="4" w:space="0"/>
              <w:right w:val="single" w:color="auto" w:sz="4" w:space="0"/>
            </w:tcBorders>
            <w:vAlign w:val="center"/>
          </w:tcPr>
          <w:p w14:paraId="6DAE274F">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5DD1778">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56EA97A">
            <w:pPr>
              <w:snapToGrid w:val="0"/>
              <w:spacing w:before="156" w:beforeLines="50" w:line="360" w:lineRule="auto"/>
              <w:jc w:val="center"/>
              <w:rPr>
                <w:rFonts w:ascii="宋体" w:hAnsi="宋体" w:cs="宋体"/>
                <w:color w:val="auto"/>
                <w:sz w:val="24"/>
                <w:highlight w:val="none"/>
              </w:rPr>
            </w:pPr>
          </w:p>
        </w:tc>
      </w:tr>
      <w:tr w14:paraId="341CB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BFF9713">
            <w:pPr>
              <w:spacing w:line="240" w:lineRule="auto"/>
              <w:jc w:val="center"/>
              <w:rPr>
                <w:rFonts w:ascii="宋体" w:hAnsi="宋体" w:cs="宋体"/>
                <w:color w:val="auto"/>
                <w:sz w:val="24"/>
                <w:highlight w:val="none"/>
              </w:rPr>
            </w:pPr>
            <w:r>
              <w:rPr>
                <w:rFonts w:hint="eastAsia" w:ascii="宋体" w:hAnsi="宋体" w:cs="宋体"/>
                <w:color w:val="auto"/>
                <w:sz w:val="24"/>
                <w:szCs w:val="24"/>
                <w:highlight w:val="none"/>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2C0A843C">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302CF26">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BAA2F23">
            <w:pPr>
              <w:snapToGrid w:val="0"/>
              <w:spacing w:before="156" w:beforeLines="50" w:line="360" w:lineRule="auto"/>
              <w:jc w:val="center"/>
              <w:rPr>
                <w:rFonts w:ascii="宋体" w:hAnsi="宋体" w:cs="宋体"/>
                <w:color w:val="auto"/>
                <w:sz w:val="24"/>
                <w:highlight w:val="none"/>
              </w:rPr>
            </w:pPr>
          </w:p>
        </w:tc>
      </w:tr>
      <w:tr w14:paraId="1FF02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35BA184">
            <w:pPr>
              <w:spacing w:line="240" w:lineRule="auto"/>
              <w:jc w:val="center"/>
              <w:rPr>
                <w:rFonts w:ascii="宋体" w:hAnsi="宋体" w:cs="宋体"/>
                <w:color w:val="auto"/>
                <w:sz w:val="24"/>
                <w:highlight w:val="none"/>
              </w:rPr>
            </w:pPr>
            <w:r>
              <w:rPr>
                <w:rFonts w:hint="eastAsia" w:ascii="宋体" w:hAnsi="宋体" w:cs="宋体"/>
                <w:color w:val="auto"/>
                <w:spacing w:val="-2"/>
                <w:sz w:val="24"/>
                <w:szCs w:val="24"/>
                <w:highlight w:val="none"/>
              </w:rPr>
              <w:t>付</w:t>
            </w:r>
            <w:r>
              <w:rPr>
                <w:rFonts w:hint="eastAsia" w:ascii="宋体" w:hAnsi="宋体" w:cs="宋体"/>
                <w:color w:val="auto"/>
                <w:spacing w:val="-1"/>
                <w:sz w:val="24"/>
                <w:szCs w:val="24"/>
                <w:highlight w:val="none"/>
              </w:rPr>
              <w:t>款方式</w:t>
            </w:r>
          </w:p>
        </w:tc>
        <w:tc>
          <w:tcPr>
            <w:tcW w:w="2668" w:type="dxa"/>
            <w:tcBorders>
              <w:top w:val="single" w:color="auto" w:sz="4" w:space="0"/>
              <w:left w:val="single" w:color="auto" w:sz="4" w:space="0"/>
              <w:bottom w:val="single" w:color="auto" w:sz="4" w:space="0"/>
              <w:right w:val="single" w:color="auto" w:sz="4" w:space="0"/>
            </w:tcBorders>
            <w:vAlign w:val="center"/>
          </w:tcPr>
          <w:p w14:paraId="7685404B">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88D205A">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5A144E6">
            <w:pPr>
              <w:snapToGrid w:val="0"/>
              <w:spacing w:before="156" w:beforeLines="50" w:line="360" w:lineRule="auto"/>
              <w:jc w:val="center"/>
              <w:rPr>
                <w:rFonts w:ascii="宋体" w:hAnsi="宋体" w:cs="宋体"/>
                <w:color w:val="auto"/>
                <w:sz w:val="24"/>
                <w:highlight w:val="none"/>
              </w:rPr>
            </w:pPr>
          </w:p>
        </w:tc>
      </w:tr>
    </w:tbl>
    <w:p w14:paraId="58998FCA">
      <w:pPr>
        <w:pStyle w:val="15"/>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3577D6F7">
      <w:pPr>
        <w:pStyle w:val="15"/>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1.说明：应对照磋商文件“第三章 项目需求和说明”中的商务条款逐条实质性响应，并作出偏离说明。</w:t>
      </w:r>
    </w:p>
    <w:p w14:paraId="62002BE1">
      <w:pPr>
        <w:snapToGrid w:val="0"/>
        <w:spacing w:before="50"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02480924">
      <w:pPr>
        <w:snapToGrid w:val="0"/>
        <w:spacing w:before="50" w:after="50" w:line="360" w:lineRule="auto"/>
        <w:ind w:right="-817" w:rightChars="-389"/>
        <w:rPr>
          <w:rFonts w:ascii="宋体" w:hAnsi="宋体" w:cs="宋体"/>
          <w:color w:val="auto"/>
          <w:sz w:val="24"/>
          <w:highlight w:val="none"/>
        </w:rPr>
      </w:pPr>
    </w:p>
    <w:p w14:paraId="0F83D00B">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rPr>
        <w:t xml:space="preserve">）：                    </w:t>
      </w:r>
    </w:p>
    <w:p w14:paraId="7CDC260A">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3AD0614F">
      <w:pPr>
        <w:snapToGrid w:val="0"/>
        <w:spacing w:before="50" w:after="50" w:line="360" w:lineRule="auto"/>
        <w:ind w:right="-817" w:rightChars="-389" w:firstLine="4080" w:firstLineChars="1700"/>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56EA44A1">
      <w:pPr>
        <w:adjustRightInd w:val="0"/>
        <w:snapToGrid w:val="0"/>
        <w:spacing w:line="300" w:lineRule="auto"/>
        <w:jc w:val="center"/>
        <w:rPr>
          <w:rFonts w:ascii="宋体" w:hAnsi="宋体" w:cs="宋体"/>
          <w:color w:val="auto"/>
          <w:kern w:val="0"/>
          <w:szCs w:val="21"/>
          <w:highlight w:val="none"/>
        </w:rPr>
      </w:pPr>
    </w:p>
    <w:p w14:paraId="61600726">
      <w:pPr>
        <w:adjustRightInd w:val="0"/>
        <w:snapToGrid w:val="0"/>
        <w:spacing w:line="300" w:lineRule="auto"/>
        <w:jc w:val="center"/>
        <w:rPr>
          <w:rFonts w:hint="eastAsia" w:ascii="宋体" w:hAnsi="宋体" w:cs="宋体"/>
          <w:bCs/>
          <w:color w:val="auto"/>
          <w:sz w:val="44"/>
          <w:szCs w:val="44"/>
          <w:highlight w:val="none"/>
        </w:rPr>
      </w:pPr>
    </w:p>
    <w:p w14:paraId="6232C421">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14:paraId="34347F10">
      <w:pPr>
        <w:spacing w:line="520" w:lineRule="exact"/>
        <w:rPr>
          <w:rFonts w:ascii="宋体" w:hAnsi="宋体" w:cs="宋体"/>
          <w:color w:val="auto"/>
          <w:sz w:val="32"/>
          <w:szCs w:val="32"/>
          <w:highlight w:val="none"/>
        </w:rPr>
      </w:pPr>
    </w:p>
    <w:p w14:paraId="36857E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0641AE2D">
      <w:pPr>
        <w:pStyle w:val="16"/>
        <w:rPr>
          <w:rFonts w:hint="eastAsia" w:ascii="宋体" w:hAnsi="宋体" w:cs="宋体"/>
          <w:color w:val="auto"/>
          <w:sz w:val="24"/>
          <w:highlight w:val="none"/>
          <w:u w:val="single"/>
        </w:rPr>
      </w:pPr>
      <w:r>
        <w:rPr>
          <w:rFonts w:hint="eastAsia" w:ascii="宋体" w:hAnsi="宋体" w:cs="宋体"/>
          <w:color w:val="auto"/>
          <w:sz w:val="24"/>
          <w:highlight w:val="none"/>
        </w:rPr>
        <w:t>采购标项名称：</w:t>
      </w:r>
      <w:r>
        <w:rPr>
          <w:rFonts w:hint="eastAsia" w:ascii="宋体" w:hAnsi="宋体" w:cs="宋体"/>
          <w:color w:val="auto"/>
          <w:sz w:val="24"/>
          <w:highlight w:val="none"/>
          <w:u w:val="single"/>
        </w:rPr>
        <w:t xml:space="preserve">                 </w:t>
      </w:r>
    </w:p>
    <w:p w14:paraId="269C20BF">
      <w:pPr>
        <w:rPr>
          <w:rFonts w:hint="eastAsia"/>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0"/>
        <w:gridCol w:w="980"/>
        <w:gridCol w:w="3253"/>
        <w:gridCol w:w="2928"/>
        <w:gridCol w:w="1597"/>
      </w:tblGrid>
      <w:tr w14:paraId="732227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624176CF">
            <w:pPr>
              <w:pStyle w:val="17"/>
              <w:spacing w:line="360" w:lineRule="auto"/>
              <w:ind w:firstLine="0" w:firstLineChars="0"/>
              <w:jc w:val="center"/>
              <w:rPr>
                <w:rFonts w:ascii="宋体" w:hAnsi="宋体" w:eastAsia="宋体" w:cs="宋体"/>
                <w:color w:val="auto"/>
                <w:kern w:val="2"/>
                <w:sz w:val="24"/>
                <w:szCs w:val="24"/>
                <w:highlight w:val="none"/>
              </w:rPr>
            </w:pPr>
            <w:bookmarkStart w:id="81" w:name="_Toc254970729"/>
            <w:bookmarkStart w:id="82" w:name="_Toc254970588"/>
            <w:bookmarkStart w:id="83" w:name="_Toc173066401"/>
            <w:bookmarkStart w:id="84" w:name="_Toc173211900"/>
            <w:bookmarkStart w:id="85" w:name="_Toc373333689"/>
            <w:bookmarkStart w:id="86" w:name="_Toc301781611"/>
            <w:bookmarkStart w:id="87" w:name="_Toc295404981"/>
            <w:bookmarkStart w:id="88" w:name="_Toc383699906"/>
            <w:bookmarkStart w:id="89" w:name="_Toc297193185"/>
            <w:r>
              <w:rPr>
                <w:rFonts w:hint="eastAsia" w:ascii="宋体" w:hAnsi="宋体" w:eastAsia="宋体" w:cs="宋体"/>
                <w:color w:val="auto"/>
                <w:kern w:val="2"/>
                <w:sz w:val="24"/>
                <w:szCs w:val="24"/>
                <w:highlight w:val="none"/>
              </w:rPr>
              <w:t>序号</w:t>
            </w:r>
            <w:bookmarkEnd w:id="81"/>
            <w:bookmarkEnd w:id="82"/>
            <w:bookmarkEnd w:id="83"/>
            <w:bookmarkEnd w:id="84"/>
            <w:bookmarkEnd w:id="85"/>
            <w:bookmarkEnd w:id="86"/>
            <w:bookmarkEnd w:id="87"/>
            <w:bookmarkEnd w:id="88"/>
            <w:bookmarkEnd w:id="89"/>
          </w:p>
        </w:tc>
        <w:tc>
          <w:tcPr>
            <w:tcW w:w="980" w:type="dxa"/>
            <w:tcBorders>
              <w:right w:val="single" w:color="auto" w:sz="4" w:space="0"/>
            </w:tcBorders>
            <w:vAlign w:val="center"/>
          </w:tcPr>
          <w:p w14:paraId="60E30D5F">
            <w:pPr>
              <w:pStyle w:val="17"/>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3253" w:type="dxa"/>
            <w:tcBorders>
              <w:left w:val="single" w:color="auto" w:sz="4" w:space="0"/>
            </w:tcBorders>
            <w:vAlign w:val="center"/>
          </w:tcPr>
          <w:p w14:paraId="299DEA82">
            <w:pPr>
              <w:pStyle w:val="17"/>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磋商文件技术需求</w:t>
            </w:r>
          </w:p>
        </w:tc>
        <w:tc>
          <w:tcPr>
            <w:tcW w:w="2928" w:type="dxa"/>
            <w:vAlign w:val="center"/>
          </w:tcPr>
          <w:p w14:paraId="0D6A3932">
            <w:pPr>
              <w:pStyle w:val="17"/>
              <w:spacing w:line="360" w:lineRule="auto"/>
              <w:ind w:firstLine="0" w:firstLineChars="0"/>
              <w:jc w:val="center"/>
              <w:rPr>
                <w:rFonts w:ascii="宋体" w:hAnsi="宋体" w:eastAsia="宋体" w:cs="宋体"/>
                <w:color w:val="auto"/>
                <w:kern w:val="2"/>
                <w:sz w:val="24"/>
                <w:szCs w:val="24"/>
                <w:highlight w:val="none"/>
              </w:rPr>
            </w:pPr>
            <w:bookmarkStart w:id="90" w:name="_Toc297193187"/>
            <w:bookmarkStart w:id="91" w:name="_Toc301781613"/>
            <w:bookmarkStart w:id="92" w:name="_Toc373333691"/>
            <w:bookmarkStart w:id="93" w:name="_Toc173066403"/>
            <w:bookmarkStart w:id="94" w:name="_Toc383699908"/>
            <w:bookmarkStart w:id="95" w:name="_Toc173211902"/>
            <w:bookmarkStart w:id="96" w:name="_Toc295404983"/>
            <w:bookmarkStart w:id="97" w:name="_Toc254970590"/>
            <w:bookmarkStart w:id="98" w:name="_Toc254970731"/>
            <w:r>
              <w:rPr>
                <w:rFonts w:hint="eastAsia" w:ascii="宋体" w:hAnsi="宋体" w:eastAsia="宋体" w:cs="宋体"/>
                <w:color w:val="auto"/>
                <w:kern w:val="2"/>
                <w:sz w:val="24"/>
                <w:szCs w:val="24"/>
                <w:highlight w:val="none"/>
              </w:rPr>
              <w:t>竞标响应</w:t>
            </w:r>
            <w:bookmarkEnd w:id="90"/>
            <w:bookmarkEnd w:id="91"/>
            <w:bookmarkEnd w:id="92"/>
            <w:bookmarkEnd w:id="93"/>
            <w:bookmarkEnd w:id="94"/>
            <w:bookmarkEnd w:id="95"/>
            <w:bookmarkEnd w:id="96"/>
            <w:bookmarkEnd w:id="97"/>
            <w:bookmarkEnd w:id="98"/>
          </w:p>
        </w:tc>
        <w:tc>
          <w:tcPr>
            <w:tcW w:w="1597" w:type="dxa"/>
            <w:vAlign w:val="center"/>
          </w:tcPr>
          <w:p w14:paraId="2ADC3D43">
            <w:pPr>
              <w:pStyle w:val="17"/>
              <w:spacing w:line="360" w:lineRule="auto"/>
              <w:ind w:firstLine="0" w:firstLineChars="0"/>
              <w:jc w:val="center"/>
              <w:rPr>
                <w:rFonts w:ascii="宋体" w:hAnsi="宋体" w:eastAsia="宋体" w:cs="宋体"/>
                <w:color w:val="auto"/>
                <w:kern w:val="2"/>
                <w:sz w:val="24"/>
                <w:szCs w:val="24"/>
                <w:highlight w:val="none"/>
              </w:rPr>
            </w:pPr>
            <w:bookmarkStart w:id="99" w:name="_Toc295404984"/>
            <w:bookmarkStart w:id="100" w:name="_Toc254970591"/>
            <w:bookmarkStart w:id="101" w:name="_Toc301781614"/>
            <w:bookmarkStart w:id="102" w:name="_Toc254970732"/>
            <w:bookmarkStart w:id="103" w:name="_Toc173066404"/>
            <w:bookmarkStart w:id="104" w:name="_Toc173211903"/>
            <w:bookmarkStart w:id="105" w:name="_Toc373333692"/>
            <w:bookmarkStart w:id="106" w:name="_Toc383699909"/>
            <w:bookmarkStart w:id="107" w:name="_Toc297193188"/>
            <w:r>
              <w:rPr>
                <w:rFonts w:hint="eastAsia" w:ascii="宋体" w:hAnsi="宋体" w:eastAsia="宋体" w:cs="宋体"/>
                <w:color w:val="auto"/>
                <w:kern w:val="2"/>
                <w:sz w:val="24"/>
                <w:szCs w:val="24"/>
                <w:highlight w:val="none"/>
              </w:rPr>
              <w:t>偏离</w:t>
            </w:r>
            <w:bookmarkEnd w:id="99"/>
            <w:bookmarkEnd w:id="100"/>
            <w:bookmarkEnd w:id="101"/>
            <w:bookmarkEnd w:id="102"/>
            <w:bookmarkEnd w:id="103"/>
            <w:bookmarkEnd w:id="104"/>
            <w:bookmarkEnd w:id="105"/>
            <w:bookmarkEnd w:id="106"/>
            <w:bookmarkEnd w:id="107"/>
            <w:bookmarkStart w:id="108" w:name="_Toc254970733"/>
            <w:bookmarkStart w:id="109" w:name="_Toc173211904"/>
            <w:bookmarkStart w:id="110" w:name="_Toc301781615"/>
            <w:bookmarkStart w:id="111" w:name="_Toc383699910"/>
            <w:bookmarkStart w:id="112" w:name="_Toc254970592"/>
            <w:bookmarkStart w:id="113" w:name="_Toc373333693"/>
            <w:bookmarkStart w:id="114" w:name="_Toc295404985"/>
            <w:bookmarkStart w:id="115" w:name="_Toc297193189"/>
            <w:bookmarkStart w:id="116" w:name="_Toc173066405"/>
            <w:r>
              <w:rPr>
                <w:rFonts w:hint="eastAsia" w:ascii="宋体" w:hAnsi="宋体" w:eastAsia="宋体" w:cs="宋体"/>
                <w:color w:val="auto"/>
                <w:kern w:val="2"/>
                <w:sz w:val="24"/>
                <w:szCs w:val="24"/>
                <w:highlight w:val="none"/>
              </w:rPr>
              <w:t>说明</w:t>
            </w:r>
            <w:bookmarkEnd w:id="108"/>
            <w:bookmarkEnd w:id="109"/>
            <w:bookmarkEnd w:id="110"/>
            <w:bookmarkEnd w:id="111"/>
            <w:bookmarkEnd w:id="112"/>
            <w:bookmarkEnd w:id="113"/>
            <w:bookmarkEnd w:id="114"/>
            <w:bookmarkEnd w:id="115"/>
            <w:bookmarkEnd w:id="116"/>
          </w:p>
        </w:tc>
      </w:tr>
      <w:tr w14:paraId="00FAB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2D999C8B">
            <w:pPr>
              <w:pStyle w:val="17"/>
              <w:spacing w:line="360" w:lineRule="auto"/>
              <w:ind w:firstLine="0" w:firstLineChars="0"/>
              <w:jc w:val="center"/>
              <w:rPr>
                <w:rFonts w:ascii="宋体" w:hAnsi="宋体" w:eastAsia="宋体" w:cs="宋体"/>
                <w:color w:val="auto"/>
                <w:kern w:val="2"/>
                <w:sz w:val="24"/>
                <w:szCs w:val="24"/>
                <w:highlight w:val="none"/>
              </w:rPr>
            </w:pPr>
            <w:bookmarkStart w:id="117" w:name="_Toc301781616"/>
            <w:bookmarkStart w:id="118" w:name="_Toc254970734"/>
            <w:bookmarkStart w:id="119" w:name="_Toc297193190"/>
            <w:bookmarkStart w:id="120" w:name="_Toc383699911"/>
            <w:bookmarkStart w:id="121" w:name="_Toc373333694"/>
            <w:bookmarkStart w:id="122" w:name="_Toc173211905"/>
            <w:bookmarkStart w:id="123" w:name="_Toc295404986"/>
            <w:bookmarkStart w:id="124" w:name="_Toc254970593"/>
            <w:bookmarkStart w:id="125" w:name="_Toc173066406"/>
            <w:r>
              <w:rPr>
                <w:rFonts w:hint="eastAsia" w:ascii="宋体" w:hAnsi="宋体" w:eastAsia="宋体" w:cs="宋体"/>
                <w:color w:val="auto"/>
                <w:kern w:val="2"/>
                <w:sz w:val="24"/>
                <w:szCs w:val="24"/>
                <w:highlight w:val="none"/>
              </w:rPr>
              <w:t>1</w:t>
            </w:r>
            <w:bookmarkEnd w:id="117"/>
            <w:bookmarkEnd w:id="118"/>
            <w:bookmarkEnd w:id="119"/>
            <w:bookmarkEnd w:id="120"/>
            <w:bookmarkEnd w:id="121"/>
            <w:bookmarkEnd w:id="122"/>
            <w:bookmarkEnd w:id="123"/>
            <w:bookmarkEnd w:id="124"/>
            <w:bookmarkEnd w:id="125"/>
          </w:p>
        </w:tc>
        <w:tc>
          <w:tcPr>
            <w:tcW w:w="980" w:type="dxa"/>
            <w:tcBorders>
              <w:right w:val="single" w:color="auto" w:sz="4" w:space="0"/>
            </w:tcBorders>
            <w:vAlign w:val="center"/>
          </w:tcPr>
          <w:p w14:paraId="46388F5E">
            <w:pPr>
              <w:pStyle w:val="17"/>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52118F7F">
            <w:pPr>
              <w:pStyle w:val="17"/>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25B984F1">
            <w:pPr>
              <w:pStyle w:val="17"/>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1F13FD80">
            <w:pPr>
              <w:pStyle w:val="17"/>
              <w:spacing w:line="360" w:lineRule="auto"/>
              <w:ind w:firstLine="0" w:firstLineChars="0"/>
              <w:jc w:val="center"/>
              <w:rPr>
                <w:rFonts w:ascii="宋体" w:hAnsi="宋体" w:eastAsia="宋体" w:cs="宋体"/>
                <w:color w:val="auto"/>
                <w:kern w:val="2"/>
                <w:sz w:val="24"/>
                <w:szCs w:val="24"/>
                <w:highlight w:val="none"/>
              </w:rPr>
            </w:pPr>
          </w:p>
        </w:tc>
      </w:tr>
      <w:tr w14:paraId="4BAE1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7321C64C">
            <w:pPr>
              <w:pStyle w:val="17"/>
              <w:spacing w:line="360" w:lineRule="auto"/>
              <w:ind w:firstLine="0" w:firstLineChars="0"/>
              <w:jc w:val="center"/>
              <w:rPr>
                <w:rFonts w:ascii="宋体" w:hAnsi="宋体" w:eastAsia="宋体" w:cs="宋体"/>
                <w:color w:val="auto"/>
                <w:kern w:val="2"/>
                <w:sz w:val="24"/>
                <w:szCs w:val="24"/>
                <w:highlight w:val="none"/>
              </w:rPr>
            </w:pPr>
            <w:bookmarkStart w:id="126" w:name="_Toc301781617"/>
            <w:bookmarkStart w:id="127" w:name="_Toc373333695"/>
            <w:bookmarkStart w:id="128" w:name="_Toc173211906"/>
            <w:bookmarkStart w:id="129" w:name="_Toc383699912"/>
            <w:bookmarkStart w:id="130" w:name="_Toc173066407"/>
            <w:bookmarkStart w:id="131" w:name="_Toc295404987"/>
            <w:bookmarkStart w:id="132" w:name="_Toc254970594"/>
            <w:bookmarkStart w:id="133" w:name="_Toc254970735"/>
            <w:bookmarkStart w:id="134" w:name="_Toc297193191"/>
            <w:r>
              <w:rPr>
                <w:rFonts w:hint="eastAsia" w:ascii="宋体" w:hAnsi="宋体" w:eastAsia="宋体" w:cs="宋体"/>
                <w:color w:val="auto"/>
                <w:kern w:val="2"/>
                <w:sz w:val="24"/>
                <w:szCs w:val="24"/>
                <w:highlight w:val="none"/>
              </w:rPr>
              <w:t>2</w:t>
            </w:r>
            <w:bookmarkEnd w:id="126"/>
            <w:bookmarkEnd w:id="127"/>
            <w:bookmarkEnd w:id="128"/>
            <w:bookmarkEnd w:id="129"/>
            <w:bookmarkEnd w:id="130"/>
            <w:bookmarkEnd w:id="131"/>
            <w:bookmarkEnd w:id="132"/>
            <w:bookmarkEnd w:id="133"/>
            <w:bookmarkEnd w:id="134"/>
          </w:p>
        </w:tc>
        <w:tc>
          <w:tcPr>
            <w:tcW w:w="980" w:type="dxa"/>
            <w:tcBorders>
              <w:right w:val="single" w:color="auto" w:sz="4" w:space="0"/>
            </w:tcBorders>
            <w:vAlign w:val="center"/>
          </w:tcPr>
          <w:p w14:paraId="5DA52699">
            <w:pPr>
              <w:pStyle w:val="17"/>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4F6A9B14">
            <w:pPr>
              <w:pStyle w:val="17"/>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71A00168">
            <w:pPr>
              <w:pStyle w:val="17"/>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230EFD08">
            <w:pPr>
              <w:pStyle w:val="17"/>
              <w:spacing w:line="360" w:lineRule="auto"/>
              <w:ind w:firstLine="0" w:firstLineChars="0"/>
              <w:jc w:val="center"/>
              <w:rPr>
                <w:rFonts w:ascii="宋体" w:hAnsi="宋体" w:eastAsia="宋体" w:cs="宋体"/>
                <w:color w:val="auto"/>
                <w:kern w:val="2"/>
                <w:sz w:val="24"/>
                <w:szCs w:val="24"/>
                <w:highlight w:val="none"/>
              </w:rPr>
            </w:pPr>
          </w:p>
        </w:tc>
      </w:tr>
      <w:tr w14:paraId="5DE9C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743FFD59">
            <w:pPr>
              <w:pStyle w:val="17"/>
              <w:spacing w:line="360" w:lineRule="auto"/>
              <w:ind w:firstLine="0" w:firstLineChars="0"/>
              <w:jc w:val="center"/>
              <w:rPr>
                <w:rFonts w:ascii="宋体" w:hAnsi="宋体" w:eastAsia="宋体" w:cs="宋体"/>
                <w:color w:val="auto"/>
                <w:kern w:val="2"/>
                <w:sz w:val="24"/>
                <w:szCs w:val="24"/>
                <w:highlight w:val="none"/>
              </w:rPr>
            </w:pPr>
            <w:bookmarkStart w:id="135" w:name="_Toc301781618"/>
            <w:bookmarkStart w:id="136" w:name="_Toc383699913"/>
            <w:bookmarkStart w:id="137" w:name="_Toc254970736"/>
            <w:bookmarkStart w:id="138" w:name="_Toc173066408"/>
            <w:bookmarkStart w:id="139" w:name="_Toc295404988"/>
            <w:bookmarkStart w:id="140" w:name="_Toc173211907"/>
            <w:bookmarkStart w:id="141" w:name="_Toc254970595"/>
            <w:bookmarkStart w:id="142" w:name="_Toc373333696"/>
            <w:bookmarkStart w:id="143" w:name="_Toc297193192"/>
            <w:r>
              <w:rPr>
                <w:rFonts w:hint="eastAsia" w:ascii="宋体" w:hAnsi="宋体" w:eastAsia="宋体" w:cs="宋体"/>
                <w:color w:val="auto"/>
                <w:kern w:val="2"/>
                <w:sz w:val="24"/>
                <w:szCs w:val="24"/>
                <w:highlight w:val="none"/>
              </w:rPr>
              <w:t>3</w:t>
            </w:r>
            <w:bookmarkEnd w:id="135"/>
            <w:bookmarkEnd w:id="136"/>
            <w:bookmarkEnd w:id="137"/>
            <w:bookmarkEnd w:id="138"/>
            <w:bookmarkEnd w:id="139"/>
            <w:bookmarkEnd w:id="140"/>
            <w:bookmarkEnd w:id="141"/>
            <w:bookmarkEnd w:id="142"/>
            <w:bookmarkEnd w:id="143"/>
          </w:p>
        </w:tc>
        <w:tc>
          <w:tcPr>
            <w:tcW w:w="980" w:type="dxa"/>
            <w:tcBorders>
              <w:right w:val="single" w:color="auto" w:sz="4" w:space="0"/>
            </w:tcBorders>
            <w:vAlign w:val="center"/>
          </w:tcPr>
          <w:p w14:paraId="4FE61FC3">
            <w:pPr>
              <w:pStyle w:val="17"/>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0C670459">
            <w:pPr>
              <w:pStyle w:val="17"/>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1C61B312">
            <w:pPr>
              <w:pStyle w:val="17"/>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009202C6">
            <w:pPr>
              <w:pStyle w:val="17"/>
              <w:spacing w:line="360" w:lineRule="auto"/>
              <w:ind w:firstLine="0" w:firstLineChars="0"/>
              <w:jc w:val="center"/>
              <w:rPr>
                <w:rFonts w:ascii="宋体" w:hAnsi="宋体" w:eastAsia="宋体" w:cs="宋体"/>
                <w:color w:val="auto"/>
                <w:kern w:val="2"/>
                <w:sz w:val="24"/>
                <w:szCs w:val="24"/>
                <w:highlight w:val="none"/>
              </w:rPr>
            </w:pPr>
          </w:p>
        </w:tc>
      </w:tr>
      <w:tr w14:paraId="24BEC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1029A30D">
            <w:pPr>
              <w:pStyle w:val="17"/>
              <w:spacing w:line="360" w:lineRule="auto"/>
              <w:ind w:firstLine="0" w:firstLineChars="0"/>
              <w:jc w:val="center"/>
              <w:rPr>
                <w:rFonts w:ascii="宋体" w:hAnsi="宋体" w:eastAsia="宋体" w:cs="宋体"/>
                <w:color w:val="auto"/>
                <w:kern w:val="2"/>
                <w:sz w:val="24"/>
                <w:szCs w:val="24"/>
                <w:highlight w:val="none"/>
              </w:rPr>
            </w:pPr>
            <w:bookmarkStart w:id="144" w:name="_Toc301781619"/>
            <w:bookmarkStart w:id="145" w:name="_Toc383699914"/>
            <w:bookmarkStart w:id="146" w:name="_Toc297193193"/>
            <w:bookmarkStart w:id="147" w:name="_Toc173211908"/>
            <w:bookmarkStart w:id="148" w:name="_Toc373333697"/>
            <w:bookmarkStart w:id="149" w:name="_Toc254970596"/>
            <w:bookmarkStart w:id="150" w:name="_Toc173066409"/>
            <w:bookmarkStart w:id="151" w:name="_Toc295404989"/>
            <w:bookmarkStart w:id="152" w:name="_Toc254970737"/>
            <w:r>
              <w:rPr>
                <w:rFonts w:hint="eastAsia" w:ascii="宋体" w:hAnsi="宋体" w:eastAsia="宋体" w:cs="宋体"/>
                <w:color w:val="auto"/>
                <w:kern w:val="2"/>
                <w:sz w:val="24"/>
                <w:szCs w:val="24"/>
                <w:highlight w:val="none"/>
              </w:rPr>
              <w:t>4</w:t>
            </w:r>
            <w:bookmarkEnd w:id="144"/>
            <w:bookmarkEnd w:id="145"/>
            <w:bookmarkEnd w:id="146"/>
            <w:bookmarkEnd w:id="147"/>
            <w:bookmarkEnd w:id="148"/>
            <w:bookmarkEnd w:id="149"/>
            <w:bookmarkEnd w:id="150"/>
            <w:bookmarkEnd w:id="151"/>
            <w:bookmarkEnd w:id="152"/>
          </w:p>
        </w:tc>
        <w:tc>
          <w:tcPr>
            <w:tcW w:w="980" w:type="dxa"/>
            <w:tcBorders>
              <w:right w:val="single" w:color="auto" w:sz="4" w:space="0"/>
            </w:tcBorders>
            <w:vAlign w:val="center"/>
          </w:tcPr>
          <w:p w14:paraId="440FBF9B">
            <w:pPr>
              <w:pStyle w:val="17"/>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1836C647">
            <w:pPr>
              <w:pStyle w:val="17"/>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2275B863">
            <w:pPr>
              <w:pStyle w:val="17"/>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62768D11">
            <w:pPr>
              <w:pStyle w:val="17"/>
              <w:spacing w:line="360" w:lineRule="auto"/>
              <w:ind w:firstLine="0" w:firstLineChars="0"/>
              <w:jc w:val="center"/>
              <w:rPr>
                <w:rFonts w:ascii="宋体" w:hAnsi="宋体" w:eastAsia="宋体" w:cs="宋体"/>
                <w:color w:val="auto"/>
                <w:kern w:val="2"/>
                <w:sz w:val="24"/>
                <w:szCs w:val="24"/>
                <w:highlight w:val="none"/>
              </w:rPr>
            </w:pPr>
          </w:p>
        </w:tc>
      </w:tr>
      <w:tr w14:paraId="34265F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2FC2E772">
            <w:pPr>
              <w:pStyle w:val="17"/>
              <w:spacing w:line="360" w:lineRule="auto"/>
              <w:ind w:firstLine="0" w:firstLineChars="0"/>
              <w:jc w:val="center"/>
              <w:rPr>
                <w:rFonts w:ascii="宋体" w:hAnsi="宋体" w:eastAsia="宋体" w:cs="宋体"/>
                <w:color w:val="auto"/>
                <w:kern w:val="2"/>
                <w:sz w:val="24"/>
                <w:szCs w:val="24"/>
                <w:highlight w:val="none"/>
              </w:rPr>
            </w:pPr>
            <w:bookmarkStart w:id="153" w:name="_Toc254970738"/>
            <w:bookmarkStart w:id="154" w:name="_Toc297193194"/>
            <w:bookmarkStart w:id="155" w:name="_Toc173066410"/>
            <w:bookmarkStart w:id="156" w:name="_Toc383699915"/>
            <w:bookmarkStart w:id="157" w:name="_Toc295404990"/>
            <w:bookmarkStart w:id="158" w:name="_Toc373333698"/>
            <w:bookmarkStart w:id="159" w:name="_Toc301781620"/>
            <w:bookmarkStart w:id="160" w:name="_Toc254970597"/>
            <w:bookmarkStart w:id="161" w:name="_Toc173211909"/>
            <w:r>
              <w:rPr>
                <w:rFonts w:hint="eastAsia" w:ascii="宋体" w:hAnsi="宋体" w:eastAsia="宋体" w:cs="宋体"/>
                <w:color w:val="auto"/>
                <w:kern w:val="2"/>
                <w:sz w:val="24"/>
                <w:szCs w:val="24"/>
                <w:highlight w:val="none"/>
              </w:rPr>
              <w:t>5</w:t>
            </w:r>
            <w:bookmarkEnd w:id="153"/>
            <w:bookmarkEnd w:id="154"/>
            <w:bookmarkEnd w:id="155"/>
            <w:bookmarkEnd w:id="156"/>
            <w:bookmarkEnd w:id="157"/>
            <w:bookmarkEnd w:id="158"/>
            <w:bookmarkEnd w:id="159"/>
            <w:bookmarkEnd w:id="160"/>
            <w:bookmarkEnd w:id="161"/>
          </w:p>
        </w:tc>
        <w:tc>
          <w:tcPr>
            <w:tcW w:w="980" w:type="dxa"/>
            <w:tcBorders>
              <w:right w:val="single" w:color="auto" w:sz="4" w:space="0"/>
            </w:tcBorders>
            <w:vAlign w:val="center"/>
          </w:tcPr>
          <w:p w14:paraId="749F85CD">
            <w:pPr>
              <w:pStyle w:val="17"/>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3AE28B59">
            <w:pPr>
              <w:pStyle w:val="17"/>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439EAD7D">
            <w:pPr>
              <w:pStyle w:val="17"/>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0FFB6370">
            <w:pPr>
              <w:pStyle w:val="17"/>
              <w:spacing w:line="360" w:lineRule="auto"/>
              <w:ind w:firstLine="0" w:firstLineChars="0"/>
              <w:jc w:val="center"/>
              <w:rPr>
                <w:rFonts w:ascii="宋体" w:hAnsi="宋体" w:eastAsia="宋体" w:cs="宋体"/>
                <w:color w:val="auto"/>
                <w:kern w:val="2"/>
                <w:sz w:val="24"/>
                <w:szCs w:val="24"/>
                <w:highlight w:val="none"/>
              </w:rPr>
            </w:pPr>
          </w:p>
        </w:tc>
      </w:tr>
      <w:tr w14:paraId="127F9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80" w:type="dxa"/>
            <w:vAlign w:val="center"/>
          </w:tcPr>
          <w:p w14:paraId="78E2B7CD">
            <w:pPr>
              <w:pStyle w:val="17"/>
              <w:spacing w:line="360" w:lineRule="auto"/>
              <w:ind w:firstLine="0" w:firstLineChars="0"/>
              <w:jc w:val="center"/>
              <w:rPr>
                <w:rFonts w:ascii="宋体" w:hAnsi="宋体" w:eastAsia="宋体" w:cs="宋体"/>
                <w:color w:val="auto"/>
                <w:kern w:val="2"/>
                <w:sz w:val="24"/>
                <w:szCs w:val="24"/>
                <w:highlight w:val="none"/>
              </w:rPr>
            </w:pPr>
            <w:bookmarkStart w:id="162" w:name="_Toc173066415"/>
            <w:bookmarkStart w:id="163" w:name="_Toc173211914"/>
            <w:bookmarkStart w:id="164" w:name="_Toc297193195"/>
            <w:bookmarkStart w:id="165" w:name="_Toc383699916"/>
            <w:bookmarkStart w:id="166" w:name="_Toc254970602"/>
            <w:bookmarkStart w:id="167" w:name="_Toc295404991"/>
            <w:bookmarkStart w:id="168" w:name="_Toc301781621"/>
            <w:bookmarkStart w:id="169" w:name="_Toc254970743"/>
            <w:bookmarkStart w:id="170" w:name="_Toc373333699"/>
            <w:r>
              <w:rPr>
                <w:rFonts w:hint="eastAsia" w:ascii="宋体" w:hAnsi="宋体" w:eastAsia="宋体" w:cs="宋体"/>
                <w:color w:val="auto"/>
                <w:kern w:val="2"/>
                <w:sz w:val="24"/>
                <w:szCs w:val="24"/>
                <w:highlight w:val="none"/>
              </w:rPr>
              <w:t>…</w:t>
            </w:r>
            <w:bookmarkEnd w:id="162"/>
            <w:bookmarkEnd w:id="163"/>
            <w:bookmarkEnd w:id="164"/>
            <w:bookmarkEnd w:id="165"/>
            <w:bookmarkEnd w:id="166"/>
            <w:bookmarkEnd w:id="167"/>
            <w:bookmarkEnd w:id="168"/>
            <w:bookmarkEnd w:id="169"/>
            <w:bookmarkEnd w:id="170"/>
          </w:p>
        </w:tc>
        <w:tc>
          <w:tcPr>
            <w:tcW w:w="980" w:type="dxa"/>
            <w:tcBorders>
              <w:right w:val="single" w:color="auto" w:sz="4" w:space="0"/>
            </w:tcBorders>
            <w:vAlign w:val="center"/>
          </w:tcPr>
          <w:p w14:paraId="635CDDD0">
            <w:pPr>
              <w:pStyle w:val="17"/>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49F69661">
            <w:pPr>
              <w:pStyle w:val="17"/>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12E08246">
            <w:pPr>
              <w:pStyle w:val="17"/>
              <w:spacing w:line="360" w:lineRule="auto"/>
              <w:ind w:firstLine="0" w:firstLineChars="0"/>
              <w:jc w:val="center"/>
              <w:rPr>
                <w:rFonts w:ascii="宋体" w:hAnsi="宋体" w:eastAsia="宋体" w:cs="宋体"/>
                <w:color w:val="auto"/>
                <w:kern w:val="2"/>
                <w:sz w:val="24"/>
                <w:szCs w:val="24"/>
                <w:highlight w:val="none"/>
              </w:rPr>
            </w:pPr>
          </w:p>
        </w:tc>
        <w:tc>
          <w:tcPr>
            <w:tcW w:w="1597" w:type="dxa"/>
            <w:tcBorders>
              <w:right w:val="single" w:color="auto" w:sz="4" w:space="0"/>
            </w:tcBorders>
            <w:vAlign w:val="center"/>
          </w:tcPr>
          <w:p w14:paraId="3979F9E5">
            <w:pPr>
              <w:pStyle w:val="17"/>
              <w:spacing w:line="360" w:lineRule="auto"/>
              <w:ind w:firstLine="0" w:firstLineChars="0"/>
              <w:jc w:val="center"/>
              <w:rPr>
                <w:rFonts w:ascii="宋体" w:hAnsi="宋体" w:eastAsia="宋体" w:cs="宋体"/>
                <w:color w:val="auto"/>
                <w:kern w:val="2"/>
                <w:sz w:val="24"/>
                <w:szCs w:val="24"/>
                <w:highlight w:val="none"/>
              </w:rPr>
            </w:pPr>
          </w:p>
        </w:tc>
      </w:tr>
    </w:tbl>
    <w:p w14:paraId="4C1458BB">
      <w:pPr>
        <w:adjustRightInd w:val="0"/>
        <w:snapToGrid w:val="0"/>
        <w:spacing w:line="360" w:lineRule="auto"/>
        <w:rPr>
          <w:rFonts w:ascii="宋体" w:hAnsi="宋体" w:cs="宋体"/>
          <w:color w:val="auto"/>
          <w:sz w:val="24"/>
          <w:highlight w:val="none"/>
        </w:rPr>
      </w:pPr>
    </w:p>
    <w:p w14:paraId="3E27AA1C">
      <w:pPr>
        <w:pStyle w:val="17"/>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05D5D93">
      <w:pPr>
        <w:pStyle w:val="17"/>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项目需求和说明”中的技术需求逐条实质性响应，并作出偏离说明。</w:t>
      </w:r>
    </w:p>
    <w:p w14:paraId="04560AD9">
      <w:pPr>
        <w:pStyle w:val="17"/>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26C60375">
      <w:pPr>
        <w:pStyle w:val="19"/>
        <w:spacing w:line="360" w:lineRule="auto"/>
        <w:rPr>
          <w:rFonts w:hAnsi="宋体" w:cs="宋体"/>
          <w:color w:val="auto"/>
          <w:sz w:val="24"/>
          <w:szCs w:val="24"/>
          <w:highlight w:val="none"/>
        </w:rPr>
      </w:pPr>
    </w:p>
    <w:p w14:paraId="5513C236">
      <w:pPr>
        <w:snapToGrid w:val="0"/>
        <w:spacing w:before="50" w:after="50" w:line="360" w:lineRule="auto"/>
        <w:ind w:right="-817" w:rightChars="-389"/>
        <w:rPr>
          <w:rFonts w:ascii="宋体" w:hAnsi="宋体" w:cs="宋体"/>
          <w:color w:val="auto"/>
          <w:sz w:val="24"/>
          <w:highlight w:val="none"/>
        </w:rPr>
      </w:pPr>
    </w:p>
    <w:p w14:paraId="3EF58A64">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rPr>
        <w:t xml:space="preserve">）：                    </w:t>
      </w:r>
    </w:p>
    <w:p w14:paraId="2BD870C6">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52FBDB6B">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1DC05817">
      <w:pPr>
        <w:snapToGrid w:val="0"/>
        <w:spacing w:before="156" w:beforeLines="50" w:after="50"/>
        <w:ind w:left="142"/>
        <w:jc w:val="center"/>
        <w:rPr>
          <w:rFonts w:ascii="宋体" w:hAnsi="宋体" w:cs="宋体"/>
          <w:color w:val="auto"/>
          <w:sz w:val="24"/>
          <w:highlight w:val="none"/>
        </w:rPr>
      </w:pPr>
      <w:r>
        <w:rPr>
          <w:rFonts w:hint="eastAsia" w:ascii="宋体" w:hAnsi="宋体" w:cs="宋体"/>
          <w:color w:val="auto"/>
          <w:sz w:val="24"/>
          <w:highlight w:val="none"/>
        </w:rPr>
        <w:br w:type="page"/>
      </w:r>
    </w:p>
    <w:p w14:paraId="145C4CE4">
      <w:pPr>
        <w:snapToGrid w:val="0"/>
        <w:spacing w:before="156" w:beforeLines="50" w:after="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eastAsia="zh-CN"/>
        </w:rPr>
        <w:t>项目技术方案</w:t>
      </w:r>
      <w:r>
        <w:rPr>
          <w:rFonts w:hint="eastAsia" w:ascii="宋体" w:hAnsi="宋体" w:cs="宋体"/>
          <w:b/>
          <w:bCs/>
          <w:color w:val="auto"/>
          <w:sz w:val="36"/>
          <w:szCs w:val="36"/>
          <w:highlight w:val="none"/>
        </w:rPr>
        <w:t>（格式自拟）</w:t>
      </w:r>
    </w:p>
    <w:p w14:paraId="47E48BA1">
      <w:pPr>
        <w:snapToGrid w:val="0"/>
        <w:spacing w:line="360" w:lineRule="auto"/>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(由磋商人根据《项目服务需求》和评定成交的标准自行填写，格式自拟)</w:t>
      </w:r>
    </w:p>
    <w:p w14:paraId="632E3E08">
      <w:pPr>
        <w:snapToGrid w:val="0"/>
        <w:spacing w:line="360" w:lineRule="auto"/>
        <w:ind w:firstLine="4935" w:firstLineChars="2350"/>
        <w:rPr>
          <w:rFonts w:ascii="宋体" w:hAnsi="宋体" w:cs="宋体"/>
          <w:color w:val="auto"/>
          <w:szCs w:val="21"/>
          <w:highlight w:val="none"/>
        </w:rPr>
      </w:pPr>
    </w:p>
    <w:p w14:paraId="77F4EC50">
      <w:pPr>
        <w:snapToGrid w:val="0"/>
        <w:spacing w:before="156" w:beforeLines="50" w:after="50"/>
        <w:ind w:left="142"/>
        <w:jc w:val="center"/>
        <w:rPr>
          <w:rFonts w:ascii="宋体" w:hAnsi="宋体" w:cs="宋体"/>
          <w:b/>
          <w:color w:val="auto"/>
          <w:sz w:val="32"/>
          <w:szCs w:val="32"/>
          <w:highlight w:val="none"/>
        </w:rPr>
      </w:pPr>
    </w:p>
    <w:p w14:paraId="5621E284">
      <w:pPr>
        <w:snapToGrid w:val="0"/>
        <w:spacing w:before="156" w:beforeLines="50" w:line="360" w:lineRule="auto"/>
        <w:ind w:right="480" w:firstLine="3967" w:firstLineChars="1653"/>
        <w:rPr>
          <w:rFonts w:ascii="宋体" w:hAnsi="宋体" w:cs="宋体"/>
          <w:color w:val="auto"/>
          <w:sz w:val="24"/>
          <w:highlight w:val="none"/>
        </w:rPr>
      </w:pPr>
    </w:p>
    <w:p w14:paraId="337322C1">
      <w:pPr>
        <w:snapToGrid w:val="0"/>
        <w:spacing w:before="50" w:after="50" w:line="360" w:lineRule="auto"/>
        <w:ind w:right="-817" w:rightChars="-389" w:firstLine="2160" w:firstLineChars="900"/>
        <w:rPr>
          <w:rFonts w:ascii="宋体" w:hAnsi="宋体" w:cs="宋体"/>
          <w:color w:val="auto"/>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rPr>
        <w:t xml:space="preserve">）：                    </w:t>
      </w:r>
    </w:p>
    <w:p w14:paraId="71B62578">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5D3BDE87">
      <w:pPr>
        <w:snapToGrid w:val="0"/>
        <w:spacing w:before="156" w:beforeLines="50" w:after="50"/>
        <w:jc w:val="center"/>
        <w:rPr>
          <w:rFonts w:ascii="宋体" w:hAnsi="宋体" w:cs="宋体"/>
          <w:b/>
          <w:bCs/>
          <w:color w:val="auto"/>
          <w:sz w:val="36"/>
          <w:szCs w:val="36"/>
          <w:highlight w:val="none"/>
        </w:rPr>
      </w:pPr>
      <w:r>
        <w:rPr>
          <w:rFonts w:hint="eastAsia" w:ascii="宋体" w:hAnsi="宋体" w:cs="宋体"/>
          <w:color w:val="auto"/>
          <w:sz w:val="24"/>
          <w:highlight w:val="none"/>
        </w:rPr>
        <w:t>日期：   年   月   日</w:t>
      </w:r>
    </w:p>
    <w:p w14:paraId="13CADC15">
      <w:pPr>
        <w:snapToGrid w:val="0"/>
        <w:spacing w:before="156" w:beforeLines="50" w:after="50"/>
        <w:jc w:val="center"/>
        <w:rPr>
          <w:rFonts w:ascii="宋体" w:hAnsi="宋体" w:cs="宋体"/>
          <w:b/>
          <w:bCs/>
          <w:color w:val="auto"/>
          <w:sz w:val="36"/>
          <w:szCs w:val="36"/>
          <w:highlight w:val="none"/>
        </w:rPr>
      </w:pPr>
    </w:p>
    <w:p w14:paraId="2A3C0D86">
      <w:pPr>
        <w:snapToGrid w:val="0"/>
        <w:spacing w:before="156" w:beforeLines="50" w:after="50"/>
        <w:jc w:val="center"/>
        <w:rPr>
          <w:rFonts w:hint="eastAsia" w:ascii="宋体" w:hAnsi="宋体" w:cs="宋体"/>
          <w:b/>
          <w:bCs/>
          <w:color w:val="auto"/>
          <w:sz w:val="36"/>
          <w:szCs w:val="36"/>
          <w:highlight w:val="none"/>
          <w:lang w:val="en-US" w:eastAsia="zh-CN"/>
        </w:rPr>
      </w:pPr>
    </w:p>
    <w:p w14:paraId="2DFE4B3D">
      <w:pPr>
        <w:snapToGrid w:val="0"/>
        <w:spacing w:before="156" w:beforeLines="50" w:after="50"/>
        <w:jc w:val="center"/>
        <w:rPr>
          <w:rFonts w:hint="eastAsia" w:ascii="宋体" w:hAnsi="宋体" w:cs="宋体"/>
          <w:b/>
          <w:bCs/>
          <w:color w:val="auto"/>
          <w:sz w:val="36"/>
          <w:szCs w:val="36"/>
          <w:highlight w:val="none"/>
          <w:lang w:val="en-US" w:eastAsia="zh-CN"/>
        </w:rPr>
      </w:pPr>
    </w:p>
    <w:p w14:paraId="74AC9CBF">
      <w:pPr>
        <w:snapToGrid w:val="0"/>
        <w:spacing w:before="156" w:beforeLines="50" w:after="50"/>
        <w:jc w:val="center"/>
        <w:rPr>
          <w:rFonts w:hint="eastAsia" w:ascii="宋体" w:hAnsi="宋体" w:cs="宋体"/>
          <w:b/>
          <w:bCs/>
          <w:color w:val="auto"/>
          <w:sz w:val="36"/>
          <w:szCs w:val="36"/>
          <w:highlight w:val="none"/>
          <w:lang w:val="en-US" w:eastAsia="zh-CN"/>
        </w:rPr>
      </w:pPr>
    </w:p>
    <w:p w14:paraId="2AB8008E">
      <w:pPr>
        <w:snapToGrid w:val="0"/>
        <w:spacing w:before="156" w:beforeLines="50" w:after="50"/>
        <w:jc w:val="center"/>
        <w:rPr>
          <w:rFonts w:hint="eastAsia" w:ascii="宋体" w:hAnsi="宋体" w:cs="宋体"/>
          <w:b/>
          <w:bCs/>
          <w:color w:val="auto"/>
          <w:sz w:val="36"/>
          <w:szCs w:val="36"/>
          <w:highlight w:val="none"/>
          <w:lang w:val="en-US" w:eastAsia="zh-CN"/>
        </w:rPr>
      </w:pPr>
    </w:p>
    <w:p w14:paraId="47A3490E">
      <w:pPr>
        <w:snapToGrid w:val="0"/>
        <w:spacing w:before="156" w:beforeLines="50" w:after="50"/>
        <w:jc w:val="center"/>
        <w:rPr>
          <w:rFonts w:hint="eastAsia" w:ascii="宋体" w:hAnsi="宋体" w:cs="宋体"/>
          <w:b/>
          <w:bCs/>
          <w:color w:val="auto"/>
          <w:sz w:val="36"/>
          <w:szCs w:val="36"/>
          <w:highlight w:val="none"/>
          <w:lang w:val="en-US" w:eastAsia="zh-CN"/>
        </w:rPr>
      </w:pPr>
    </w:p>
    <w:p w14:paraId="0C5F3934">
      <w:pPr>
        <w:snapToGrid w:val="0"/>
        <w:spacing w:before="156" w:beforeLines="50" w:after="50"/>
        <w:jc w:val="center"/>
        <w:rPr>
          <w:rFonts w:hint="eastAsia" w:ascii="宋体" w:hAnsi="宋体" w:cs="宋体"/>
          <w:b/>
          <w:bCs/>
          <w:color w:val="auto"/>
          <w:sz w:val="36"/>
          <w:szCs w:val="36"/>
          <w:highlight w:val="none"/>
          <w:lang w:val="en-US" w:eastAsia="zh-CN"/>
        </w:rPr>
      </w:pPr>
    </w:p>
    <w:p w14:paraId="7AE9D053">
      <w:pPr>
        <w:snapToGrid w:val="0"/>
        <w:spacing w:before="156" w:beforeLines="50" w:after="50"/>
        <w:jc w:val="center"/>
        <w:rPr>
          <w:rFonts w:hint="eastAsia" w:ascii="宋体" w:hAnsi="宋体" w:cs="宋体"/>
          <w:b/>
          <w:bCs/>
          <w:color w:val="auto"/>
          <w:sz w:val="36"/>
          <w:szCs w:val="36"/>
          <w:highlight w:val="none"/>
          <w:lang w:val="en-US" w:eastAsia="zh-CN"/>
        </w:rPr>
      </w:pPr>
    </w:p>
    <w:p w14:paraId="01DBC789">
      <w:pPr>
        <w:snapToGrid w:val="0"/>
        <w:spacing w:before="156" w:beforeLines="50" w:after="50"/>
        <w:jc w:val="center"/>
        <w:rPr>
          <w:rFonts w:hint="eastAsia" w:ascii="宋体" w:hAnsi="宋体" w:cs="宋体"/>
          <w:b/>
          <w:bCs/>
          <w:color w:val="auto"/>
          <w:sz w:val="36"/>
          <w:szCs w:val="36"/>
          <w:highlight w:val="none"/>
          <w:lang w:val="en-US" w:eastAsia="zh-CN"/>
        </w:rPr>
      </w:pPr>
    </w:p>
    <w:p w14:paraId="2E5DCBD2">
      <w:pPr>
        <w:snapToGrid w:val="0"/>
        <w:spacing w:before="156" w:beforeLines="50" w:after="50"/>
        <w:jc w:val="center"/>
        <w:rPr>
          <w:rFonts w:hint="eastAsia" w:ascii="宋体" w:hAnsi="宋体" w:cs="宋体"/>
          <w:b/>
          <w:bCs/>
          <w:color w:val="auto"/>
          <w:sz w:val="36"/>
          <w:szCs w:val="36"/>
          <w:highlight w:val="none"/>
          <w:lang w:val="en-US" w:eastAsia="zh-CN"/>
        </w:rPr>
      </w:pPr>
    </w:p>
    <w:p w14:paraId="35B162FF">
      <w:pPr>
        <w:snapToGrid w:val="0"/>
        <w:spacing w:before="156" w:beforeLines="50" w:after="50"/>
        <w:jc w:val="center"/>
        <w:rPr>
          <w:rFonts w:hint="eastAsia" w:ascii="宋体" w:hAnsi="宋体" w:cs="宋体"/>
          <w:b/>
          <w:bCs/>
          <w:color w:val="auto"/>
          <w:sz w:val="36"/>
          <w:szCs w:val="36"/>
          <w:highlight w:val="none"/>
          <w:lang w:val="en-US" w:eastAsia="zh-CN"/>
        </w:rPr>
      </w:pPr>
    </w:p>
    <w:p w14:paraId="0CE84221">
      <w:pPr>
        <w:snapToGrid w:val="0"/>
        <w:spacing w:before="156" w:beforeLines="50" w:after="50"/>
        <w:jc w:val="center"/>
        <w:rPr>
          <w:rFonts w:hint="eastAsia" w:ascii="宋体" w:hAnsi="宋体" w:cs="宋体"/>
          <w:b/>
          <w:bCs/>
          <w:color w:val="auto"/>
          <w:sz w:val="36"/>
          <w:szCs w:val="36"/>
          <w:highlight w:val="none"/>
          <w:lang w:val="en-US" w:eastAsia="zh-CN"/>
        </w:rPr>
      </w:pPr>
    </w:p>
    <w:p w14:paraId="437C939E">
      <w:pPr>
        <w:snapToGrid w:val="0"/>
        <w:spacing w:before="156" w:beforeLines="50" w:after="50"/>
        <w:jc w:val="center"/>
        <w:rPr>
          <w:rFonts w:hint="eastAsia" w:ascii="宋体" w:hAnsi="宋体" w:cs="宋体"/>
          <w:b/>
          <w:bCs/>
          <w:color w:val="auto"/>
          <w:sz w:val="36"/>
          <w:szCs w:val="36"/>
          <w:highlight w:val="none"/>
          <w:lang w:val="en-US" w:eastAsia="zh-CN"/>
        </w:rPr>
      </w:pPr>
    </w:p>
    <w:p w14:paraId="250A4B4F">
      <w:pPr>
        <w:snapToGrid w:val="0"/>
        <w:spacing w:before="156" w:beforeLines="50" w:after="50"/>
        <w:jc w:val="center"/>
        <w:rPr>
          <w:rFonts w:hint="eastAsia" w:ascii="宋体" w:hAnsi="宋体" w:cs="宋体"/>
          <w:b/>
          <w:bCs/>
          <w:color w:val="auto"/>
          <w:sz w:val="36"/>
          <w:szCs w:val="36"/>
          <w:highlight w:val="none"/>
          <w:lang w:val="en-US" w:eastAsia="zh-CN"/>
        </w:rPr>
      </w:pPr>
    </w:p>
    <w:p w14:paraId="2B4260F9">
      <w:pPr>
        <w:snapToGrid w:val="0"/>
        <w:spacing w:before="156" w:beforeLines="50" w:after="50"/>
        <w:jc w:val="center"/>
        <w:rPr>
          <w:rFonts w:hint="eastAsia" w:ascii="宋体" w:hAnsi="宋体" w:cs="宋体"/>
          <w:b/>
          <w:bCs/>
          <w:color w:val="auto"/>
          <w:sz w:val="36"/>
          <w:szCs w:val="36"/>
          <w:highlight w:val="none"/>
          <w:lang w:val="en-US" w:eastAsia="zh-CN"/>
        </w:rPr>
      </w:pPr>
    </w:p>
    <w:p w14:paraId="7A72AD52">
      <w:pPr>
        <w:snapToGrid w:val="0"/>
        <w:spacing w:before="156" w:beforeLines="50" w:after="50"/>
        <w:jc w:val="center"/>
        <w:rPr>
          <w:rFonts w:ascii="宋体" w:hAnsi="宋体" w:cs="宋体"/>
          <w:b/>
          <w:bCs/>
          <w:color w:val="auto"/>
          <w:sz w:val="36"/>
          <w:szCs w:val="36"/>
          <w:highlight w:val="none"/>
        </w:rPr>
      </w:pPr>
    </w:p>
    <w:p w14:paraId="7FF67904">
      <w:pPr>
        <w:snapToGrid w:val="0"/>
        <w:spacing w:before="156" w:beforeLines="50" w:after="50"/>
        <w:jc w:val="center"/>
        <w:rPr>
          <w:rFonts w:ascii="宋体" w:hAnsi="宋体" w:cs="宋体"/>
          <w:b/>
          <w:bCs/>
          <w:color w:val="auto"/>
          <w:sz w:val="36"/>
          <w:szCs w:val="36"/>
          <w:highlight w:val="none"/>
        </w:rPr>
      </w:pPr>
    </w:p>
    <w:p w14:paraId="422BD872">
      <w:pPr>
        <w:snapToGrid w:val="0"/>
        <w:spacing w:before="156" w:beforeLines="50" w:after="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lang w:eastAsia="zh-CN"/>
        </w:rPr>
        <w:t>项目实施人员一览表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1476"/>
        <w:gridCol w:w="1130"/>
        <w:gridCol w:w="1699"/>
        <w:gridCol w:w="1959"/>
        <w:gridCol w:w="1908"/>
      </w:tblGrid>
      <w:tr w14:paraId="6C4B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5B605AC8">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476" w:type="dxa"/>
            <w:vAlign w:val="center"/>
          </w:tcPr>
          <w:p w14:paraId="3CFED9FC">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姓名</w:t>
            </w:r>
          </w:p>
        </w:tc>
        <w:tc>
          <w:tcPr>
            <w:tcW w:w="1130" w:type="dxa"/>
            <w:vAlign w:val="center"/>
          </w:tcPr>
          <w:p w14:paraId="672B3B3E">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职称</w:t>
            </w:r>
          </w:p>
        </w:tc>
        <w:tc>
          <w:tcPr>
            <w:tcW w:w="1699" w:type="dxa"/>
            <w:vAlign w:val="center"/>
          </w:tcPr>
          <w:p w14:paraId="6F76BFD2">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专业资格</w:t>
            </w:r>
          </w:p>
        </w:tc>
        <w:tc>
          <w:tcPr>
            <w:tcW w:w="1959" w:type="dxa"/>
            <w:vAlign w:val="center"/>
          </w:tcPr>
          <w:p w14:paraId="21BAEE6F">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担任职务/岗位</w:t>
            </w:r>
          </w:p>
        </w:tc>
        <w:tc>
          <w:tcPr>
            <w:tcW w:w="1908" w:type="dxa"/>
            <w:vAlign w:val="center"/>
          </w:tcPr>
          <w:p w14:paraId="058A3A46">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5BF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271E6460">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476" w:type="dxa"/>
            <w:vAlign w:val="center"/>
          </w:tcPr>
          <w:p w14:paraId="267A54C7">
            <w:pPr>
              <w:spacing w:line="0" w:lineRule="atLeast"/>
              <w:jc w:val="center"/>
              <w:rPr>
                <w:rFonts w:ascii="宋体" w:hAnsi="宋体" w:cs="宋体"/>
                <w:bCs/>
                <w:color w:val="auto"/>
                <w:szCs w:val="21"/>
                <w:highlight w:val="none"/>
              </w:rPr>
            </w:pPr>
          </w:p>
        </w:tc>
        <w:tc>
          <w:tcPr>
            <w:tcW w:w="1130" w:type="dxa"/>
            <w:vAlign w:val="center"/>
          </w:tcPr>
          <w:p w14:paraId="19B79C87">
            <w:pPr>
              <w:spacing w:line="0" w:lineRule="atLeast"/>
              <w:jc w:val="center"/>
              <w:rPr>
                <w:rFonts w:ascii="宋体" w:hAnsi="宋体" w:cs="宋体"/>
                <w:bCs/>
                <w:color w:val="auto"/>
                <w:szCs w:val="21"/>
                <w:highlight w:val="none"/>
              </w:rPr>
            </w:pPr>
          </w:p>
        </w:tc>
        <w:tc>
          <w:tcPr>
            <w:tcW w:w="1699" w:type="dxa"/>
            <w:vAlign w:val="center"/>
          </w:tcPr>
          <w:p w14:paraId="1024C803">
            <w:pPr>
              <w:spacing w:line="0" w:lineRule="atLeast"/>
              <w:jc w:val="center"/>
              <w:rPr>
                <w:rFonts w:ascii="宋体" w:hAnsi="宋体" w:cs="宋体"/>
                <w:bCs/>
                <w:color w:val="auto"/>
                <w:szCs w:val="21"/>
                <w:highlight w:val="none"/>
              </w:rPr>
            </w:pPr>
          </w:p>
        </w:tc>
        <w:tc>
          <w:tcPr>
            <w:tcW w:w="1959" w:type="dxa"/>
            <w:vAlign w:val="center"/>
          </w:tcPr>
          <w:p w14:paraId="7A779AE9">
            <w:pPr>
              <w:spacing w:line="0" w:lineRule="atLeast"/>
              <w:jc w:val="center"/>
              <w:rPr>
                <w:rFonts w:ascii="宋体" w:hAnsi="宋体" w:cs="宋体"/>
                <w:bCs/>
                <w:color w:val="auto"/>
                <w:szCs w:val="21"/>
                <w:highlight w:val="none"/>
              </w:rPr>
            </w:pPr>
          </w:p>
        </w:tc>
        <w:tc>
          <w:tcPr>
            <w:tcW w:w="1908" w:type="dxa"/>
            <w:vAlign w:val="center"/>
          </w:tcPr>
          <w:p w14:paraId="449087D5">
            <w:pPr>
              <w:spacing w:line="0" w:lineRule="atLeast"/>
              <w:jc w:val="center"/>
              <w:rPr>
                <w:rFonts w:ascii="宋体" w:hAnsi="宋体" w:cs="宋体"/>
                <w:bCs/>
                <w:color w:val="auto"/>
                <w:szCs w:val="21"/>
                <w:highlight w:val="none"/>
              </w:rPr>
            </w:pPr>
          </w:p>
        </w:tc>
      </w:tr>
      <w:tr w14:paraId="4889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4742689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476" w:type="dxa"/>
            <w:vAlign w:val="center"/>
          </w:tcPr>
          <w:p w14:paraId="392087B1">
            <w:pPr>
              <w:spacing w:line="0" w:lineRule="atLeast"/>
              <w:jc w:val="center"/>
              <w:rPr>
                <w:rFonts w:ascii="宋体" w:hAnsi="宋体" w:cs="宋体"/>
                <w:bCs/>
                <w:color w:val="auto"/>
                <w:szCs w:val="21"/>
                <w:highlight w:val="none"/>
              </w:rPr>
            </w:pPr>
          </w:p>
        </w:tc>
        <w:tc>
          <w:tcPr>
            <w:tcW w:w="1130" w:type="dxa"/>
            <w:vAlign w:val="center"/>
          </w:tcPr>
          <w:p w14:paraId="0A2C1638">
            <w:pPr>
              <w:spacing w:line="0" w:lineRule="atLeast"/>
              <w:jc w:val="center"/>
              <w:rPr>
                <w:rFonts w:ascii="宋体" w:hAnsi="宋体" w:cs="宋体"/>
                <w:bCs/>
                <w:color w:val="auto"/>
                <w:szCs w:val="21"/>
                <w:highlight w:val="none"/>
              </w:rPr>
            </w:pPr>
          </w:p>
        </w:tc>
        <w:tc>
          <w:tcPr>
            <w:tcW w:w="1699" w:type="dxa"/>
            <w:vAlign w:val="center"/>
          </w:tcPr>
          <w:p w14:paraId="78801523">
            <w:pPr>
              <w:spacing w:line="0" w:lineRule="atLeast"/>
              <w:jc w:val="center"/>
              <w:rPr>
                <w:rFonts w:ascii="宋体" w:hAnsi="宋体" w:cs="宋体"/>
                <w:bCs/>
                <w:color w:val="auto"/>
                <w:szCs w:val="21"/>
                <w:highlight w:val="none"/>
              </w:rPr>
            </w:pPr>
          </w:p>
        </w:tc>
        <w:tc>
          <w:tcPr>
            <w:tcW w:w="1959" w:type="dxa"/>
            <w:vAlign w:val="center"/>
          </w:tcPr>
          <w:p w14:paraId="750D654C">
            <w:pPr>
              <w:spacing w:line="0" w:lineRule="atLeast"/>
              <w:jc w:val="center"/>
              <w:rPr>
                <w:rFonts w:ascii="宋体" w:hAnsi="宋体" w:cs="宋体"/>
                <w:bCs/>
                <w:color w:val="auto"/>
                <w:szCs w:val="21"/>
                <w:highlight w:val="none"/>
              </w:rPr>
            </w:pPr>
          </w:p>
        </w:tc>
        <w:tc>
          <w:tcPr>
            <w:tcW w:w="1908" w:type="dxa"/>
            <w:vAlign w:val="center"/>
          </w:tcPr>
          <w:p w14:paraId="369E9748">
            <w:pPr>
              <w:spacing w:line="0" w:lineRule="atLeast"/>
              <w:jc w:val="center"/>
              <w:rPr>
                <w:rFonts w:ascii="宋体" w:hAnsi="宋体" w:cs="宋体"/>
                <w:bCs/>
                <w:color w:val="auto"/>
                <w:szCs w:val="21"/>
                <w:highlight w:val="none"/>
              </w:rPr>
            </w:pPr>
          </w:p>
        </w:tc>
      </w:tr>
      <w:tr w14:paraId="76B9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C89A0D0">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476" w:type="dxa"/>
            <w:vAlign w:val="center"/>
          </w:tcPr>
          <w:p w14:paraId="17096A13">
            <w:pPr>
              <w:spacing w:line="0" w:lineRule="atLeast"/>
              <w:jc w:val="center"/>
              <w:rPr>
                <w:rFonts w:ascii="宋体" w:hAnsi="宋体" w:cs="宋体"/>
                <w:bCs/>
                <w:color w:val="auto"/>
                <w:szCs w:val="21"/>
                <w:highlight w:val="none"/>
              </w:rPr>
            </w:pPr>
          </w:p>
        </w:tc>
        <w:tc>
          <w:tcPr>
            <w:tcW w:w="1130" w:type="dxa"/>
            <w:vAlign w:val="center"/>
          </w:tcPr>
          <w:p w14:paraId="3DD3F8AC">
            <w:pPr>
              <w:spacing w:line="0" w:lineRule="atLeast"/>
              <w:jc w:val="center"/>
              <w:rPr>
                <w:rFonts w:ascii="宋体" w:hAnsi="宋体" w:cs="宋体"/>
                <w:bCs/>
                <w:color w:val="auto"/>
                <w:szCs w:val="21"/>
                <w:highlight w:val="none"/>
              </w:rPr>
            </w:pPr>
          </w:p>
        </w:tc>
        <w:tc>
          <w:tcPr>
            <w:tcW w:w="1699" w:type="dxa"/>
            <w:vAlign w:val="center"/>
          </w:tcPr>
          <w:p w14:paraId="6BCDAC36">
            <w:pPr>
              <w:spacing w:line="0" w:lineRule="atLeast"/>
              <w:jc w:val="center"/>
              <w:rPr>
                <w:rFonts w:ascii="宋体" w:hAnsi="宋体" w:cs="宋体"/>
                <w:bCs/>
                <w:color w:val="auto"/>
                <w:szCs w:val="21"/>
                <w:highlight w:val="none"/>
              </w:rPr>
            </w:pPr>
          </w:p>
        </w:tc>
        <w:tc>
          <w:tcPr>
            <w:tcW w:w="1959" w:type="dxa"/>
            <w:vAlign w:val="center"/>
          </w:tcPr>
          <w:p w14:paraId="7E98178E">
            <w:pPr>
              <w:spacing w:line="0" w:lineRule="atLeast"/>
              <w:jc w:val="center"/>
              <w:rPr>
                <w:rFonts w:ascii="宋体" w:hAnsi="宋体" w:cs="宋体"/>
                <w:bCs/>
                <w:color w:val="auto"/>
                <w:szCs w:val="21"/>
                <w:highlight w:val="none"/>
              </w:rPr>
            </w:pPr>
          </w:p>
        </w:tc>
        <w:tc>
          <w:tcPr>
            <w:tcW w:w="1908" w:type="dxa"/>
            <w:vAlign w:val="center"/>
          </w:tcPr>
          <w:p w14:paraId="5CCEE1A5">
            <w:pPr>
              <w:spacing w:line="0" w:lineRule="atLeast"/>
              <w:jc w:val="center"/>
              <w:rPr>
                <w:rFonts w:ascii="宋体" w:hAnsi="宋体" w:cs="宋体"/>
                <w:bCs/>
                <w:color w:val="auto"/>
                <w:szCs w:val="21"/>
                <w:highlight w:val="none"/>
              </w:rPr>
            </w:pPr>
          </w:p>
        </w:tc>
      </w:tr>
      <w:tr w14:paraId="11A8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39941082">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476" w:type="dxa"/>
            <w:vAlign w:val="center"/>
          </w:tcPr>
          <w:p w14:paraId="76628CBD">
            <w:pPr>
              <w:spacing w:line="0" w:lineRule="atLeast"/>
              <w:jc w:val="center"/>
              <w:rPr>
                <w:rFonts w:ascii="宋体" w:hAnsi="宋体" w:cs="宋体"/>
                <w:bCs/>
                <w:color w:val="auto"/>
                <w:szCs w:val="21"/>
                <w:highlight w:val="none"/>
              </w:rPr>
            </w:pPr>
          </w:p>
        </w:tc>
        <w:tc>
          <w:tcPr>
            <w:tcW w:w="1130" w:type="dxa"/>
            <w:vAlign w:val="center"/>
          </w:tcPr>
          <w:p w14:paraId="464FB1F5">
            <w:pPr>
              <w:spacing w:line="0" w:lineRule="atLeast"/>
              <w:jc w:val="center"/>
              <w:rPr>
                <w:rFonts w:ascii="宋体" w:hAnsi="宋体" w:cs="宋体"/>
                <w:bCs/>
                <w:color w:val="auto"/>
                <w:szCs w:val="21"/>
                <w:highlight w:val="none"/>
              </w:rPr>
            </w:pPr>
          </w:p>
        </w:tc>
        <w:tc>
          <w:tcPr>
            <w:tcW w:w="1699" w:type="dxa"/>
            <w:vAlign w:val="center"/>
          </w:tcPr>
          <w:p w14:paraId="2DECC375">
            <w:pPr>
              <w:spacing w:line="0" w:lineRule="atLeast"/>
              <w:jc w:val="center"/>
              <w:rPr>
                <w:rFonts w:ascii="宋体" w:hAnsi="宋体" w:cs="宋体"/>
                <w:bCs/>
                <w:color w:val="auto"/>
                <w:szCs w:val="21"/>
                <w:highlight w:val="none"/>
              </w:rPr>
            </w:pPr>
          </w:p>
        </w:tc>
        <w:tc>
          <w:tcPr>
            <w:tcW w:w="1959" w:type="dxa"/>
            <w:vAlign w:val="center"/>
          </w:tcPr>
          <w:p w14:paraId="2907FDB1">
            <w:pPr>
              <w:spacing w:line="0" w:lineRule="atLeast"/>
              <w:jc w:val="center"/>
              <w:rPr>
                <w:rFonts w:ascii="宋体" w:hAnsi="宋体" w:cs="宋体"/>
                <w:bCs/>
                <w:color w:val="auto"/>
                <w:szCs w:val="21"/>
                <w:highlight w:val="none"/>
              </w:rPr>
            </w:pPr>
          </w:p>
        </w:tc>
        <w:tc>
          <w:tcPr>
            <w:tcW w:w="1908" w:type="dxa"/>
            <w:vAlign w:val="center"/>
          </w:tcPr>
          <w:p w14:paraId="5E39A01C">
            <w:pPr>
              <w:spacing w:line="0" w:lineRule="atLeast"/>
              <w:jc w:val="center"/>
              <w:rPr>
                <w:rFonts w:ascii="宋体" w:hAnsi="宋体" w:cs="宋体"/>
                <w:bCs/>
                <w:color w:val="auto"/>
                <w:szCs w:val="21"/>
                <w:highlight w:val="none"/>
              </w:rPr>
            </w:pPr>
          </w:p>
        </w:tc>
      </w:tr>
      <w:tr w14:paraId="2ABD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503C7681">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476" w:type="dxa"/>
            <w:vAlign w:val="center"/>
          </w:tcPr>
          <w:p w14:paraId="265DEEC1">
            <w:pPr>
              <w:spacing w:line="0" w:lineRule="atLeast"/>
              <w:jc w:val="center"/>
              <w:rPr>
                <w:rFonts w:ascii="宋体" w:hAnsi="宋体" w:cs="宋体"/>
                <w:bCs/>
                <w:color w:val="auto"/>
                <w:szCs w:val="21"/>
                <w:highlight w:val="none"/>
              </w:rPr>
            </w:pPr>
          </w:p>
        </w:tc>
        <w:tc>
          <w:tcPr>
            <w:tcW w:w="1130" w:type="dxa"/>
            <w:vAlign w:val="center"/>
          </w:tcPr>
          <w:p w14:paraId="788136EA">
            <w:pPr>
              <w:spacing w:line="0" w:lineRule="atLeast"/>
              <w:jc w:val="center"/>
              <w:rPr>
                <w:rFonts w:ascii="宋体" w:hAnsi="宋体" w:cs="宋体"/>
                <w:bCs/>
                <w:color w:val="auto"/>
                <w:szCs w:val="21"/>
                <w:highlight w:val="none"/>
              </w:rPr>
            </w:pPr>
          </w:p>
        </w:tc>
        <w:tc>
          <w:tcPr>
            <w:tcW w:w="1699" w:type="dxa"/>
            <w:vAlign w:val="center"/>
          </w:tcPr>
          <w:p w14:paraId="2DF44B1F">
            <w:pPr>
              <w:spacing w:line="0" w:lineRule="atLeast"/>
              <w:jc w:val="center"/>
              <w:rPr>
                <w:rFonts w:ascii="宋体" w:hAnsi="宋体" w:cs="宋体"/>
                <w:bCs/>
                <w:color w:val="auto"/>
                <w:szCs w:val="21"/>
                <w:highlight w:val="none"/>
              </w:rPr>
            </w:pPr>
          </w:p>
        </w:tc>
        <w:tc>
          <w:tcPr>
            <w:tcW w:w="1959" w:type="dxa"/>
            <w:vAlign w:val="center"/>
          </w:tcPr>
          <w:p w14:paraId="64C658E1">
            <w:pPr>
              <w:spacing w:line="0" w:lineRule="atLeast"/>
              <w:jc w:val="center"/>
              <w:rPr>
                <w:rFonts w:ascii="宋体" w:hAnsi="宋体" w:cs="宋体"/>
                <w:bCs/>
                <w:color w:val="auto"/>
                <w:szCs w:val="21"/>
                <w:highlight w:val="none"/>
              </w:rPr>
            </w:pPr>
          </w:p>
        </w:tc>
        <w:tc>
          <w:tcPr>
            <w:tcW w:w="1908" w:type="dxa"/>
            <w:vAlign w:val="center"/>
          </w:tcPr>
          <w:p w14:paraId="04B14F9A">
            <w:pPr>
              <w:spacing w:line="0" w:lineRule="atLeast"/>
              <w:jc w:val="center"/>
              <w:rPr>
                <w:rFonts w:ascii="宋体" w:hAnsi="宋体" w:cs="宋体"/>
                <w:bCs/>
                <w:color w:val="auto"/>
                <w:szCs w:val="21"/>
                <w:highlight w:val="none"/>
              </w:rPr>
            </w:pPr>
          </w:p>
        </w:tc>
      </w:tr>
      <w:tr w14:paraId="4F36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6DF862B2">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476" w:type="dxa"/>
            <w:vAlign w:val="center"/>
          </w:tcPr>
          <w:p w14:paraId="237407FB">
            <w:pPr>
              <w:spacing w:line="0" w:lineRule="atLeast"/>
              <w:jc w:val="center"/>
              <w:rPr>
                <w:rFonts w:ascii="宋体" w:hAnsi="宋体" w:cs="宋体"/>
                <w:bCs/>
                <w:color w:val="auto"/>
                <w:szCs w:val="21"/>
                <w:highlight w:val="none"/>
              </w:rPr>
            </w:pPr>
          </w:p>
        </w:tc>
        <w:tc>
          <w:tcPr>
            <w:tcW w:w="1130" w:type="dxa"/>
            <w:vAlign w:val="center"/>
          </w:tcPr>
          <w:p w14:paraId="66CEDD81">
            <w:pPr>
              <w:spacing w:line="0" w:lineRule="atLeast"/>
              <w:jc w:val="center"/>
              <w:rPr>
                <w:rFonts w:ascii="宋体" w:hAnsi="宋体" w:cs="宋体"/>
                <w:bCs/>
                <w:color w:val="auto"/>
                <w:szCs w:val="21"/>
                <w:highlight w:val="none"/>
              </w:rPr>
            </w:pPr>
          </w:p>
        </w:tc>
        <w:tc>
          <w:tcPr>
            <w:tcW w:w="1699" w:type="dxa"/>
            <w:vAlign w:val="center"/>
          </w:tcPr>
          <w:p w14:paraId="79B1B132">
            <w:pPr>
              <w:spacing w:line="0" w:lineRule="atLeast"/>
              <w:jc w:val="center"/>
              <w:rPr>
                <w:rFonts w:ascii="宋体" w:hAnsi="宋体" w:cs="宋体"/>
                <w:bCs/>
                <w:color w:val="auto"/>
                <w:szCs w:val="21"/>
                <w:highlight w:val="none"/>
              </w:rPr>
            </w:pPr>
          </w:p>
        </w:tc>
        <w:tc>
          <w:tcPr>
            <w:tcW w:w="1959" w:type="dxa"/>
            <w:vAlign w:val="center"/>
          </w:tcPr>
          <w:p w14:paraId="02852A62">
            <w:pPr>
              <w:spacing w:line="0" w:lineRule="atLeast"/>
              <w:jc w:val="center"/>
              <w:rPr>
                <w:rFonts w:ascii="宋体" w:hAnsi="宋体" w:cs="宋体"/>
                <w:bCs/>
                <w:color w:val="auto"/>
                <w:szCs w:val="21"/>
                <w:highlight w:val="none"/>
              </w:rPr>
            </w:pPr>
          </w:p>
        </w:tc>
        <w:tc>
          <w:tcPr>
            <w:tcW w:w="1908" w:type="dxa"/>
            <w:vAlign w:val="center"/>
          </w:tcPr>
          <w:p w14:paraId="6ED10F04">
            <w:pPr>
              <w:spacing w:line="0" w:lineRule="atLeast"/>
              <w:jc w:val="center"/>
              <w:rPr>
                <w:rFonts w:ascii="宋体" w:hAnsi="宋体" w:cs="宋体"/>
                <w:bCs/>
                <w:color w:val="auto"/>
                <w:szCs w:val="21"/>
                <w:highlight w:val="none"/>
              </w:rPr>
            </w:pPr>
          </w:p>
        </w:tc>
      </w:tr>
      <w:tr w14:paraId="6AD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6F79DE22">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476" w:type="dxa"/>
            <w:vAlign w:val="center"/>
          </w:tcPr>
          <w:p w14:paraId="1A48B665">
            <w:pPr>
              <w:spacing w:line="0" w:lineRule="atLeast"/>
              <w:jc w:val="center"/>
              <w:rPr>
                <w:rFonts w:ascii="宋体" w:hAnsi="宋体" w:cs="宋体"/>
                <w:bCs/>
                <w:color w:val="auto"/>
                <w:szCs w:val="21"/>
                <w:highlight w:val="none"/>
              </w:rPr>
            </w:pPr>
          </w:p>
        </w:tc>
        <w:tc>
          <w:tcPr>
            <w:tcW w:w="1130" w:type="dxa"/>
            <w:vAlign w:val="center"/>
          </w:tcPr>
          <w:p w14:paraId="7C157C0E">
            <w:pPr>
              <w:spacing w:line="0" w:lineRule="atLeast"/>
              <w:jc w:val="center"/>
              <w:rPr>
                <w:rFonts w:ascii="宋体" w:hAnsi="宋体" w:cs="宋体"/>
                <w:bCs/>
                <w:color w:val="auto"/>
                <w:szCs w:val="21"/>
                <w:highlight w:val="none"/>
              </w:rPr>
            </w:pPr>
          </w:p>
        </w:tc>
        <w:tc>
          <w:tcPr>
            <w:tcW w:w="1699" w:type="dxa"/>
            <w:vAlign w:val="center"/>
          </w:tcPr>
          <w:p w14:paraId="09E13FBA">
            <w:pPr>
              <w:spacing w:line="0" w:lineRule="atLeast"/>
              <w:jc w:val="center"/>
              <w:rPr>
                <w:rFonts w:ascii="宋体" w:hAnsi="宋体" w:cs="宋体"/>
                <w:bCs/>
                <w:color w:val="auto"/>
                <w:szCs w:val="21"/>
                <w:highlight w:val="none"/>
              </w:rPr>
            </w:pPr>
          </w:p>
        </w:tc>
        <w:tc>
          <w:tcPr>
            <w:tcW w:w="1959" w:type="dxa"/>
            <w:vAlign w:val="center"/>
          </w:tcPr>
          <w:p w14:paraId="0D5E2F5D">
            <w:pPr>
              <w:spacing w:line="0" w:lineRule="atLeast"/>
              <w:jc w:val="center"/>
              <w:rPr>
                <w:rFonts w:ascii="宋体" w:hAnsi="宋体" w:cs="宋体"/>
                <w:bCs/>
                <w:color w:val="auto"/>
                <w:szCs w:val="21"/>
                <w:highlight w:val="none"/>
              </w:rPr>
            </w:pPr>
          </w:p>
        </w:tc>
        <w:tc>
          <w:tcPr>
            <w:tcW w:w="1908" w:type="dxa"/>
            <w:vAlign w:val="center"/>
          </w:tcPr>
          <w:p w14:paraId="0512C5EC">
            <w:pPr>
              <w:spacing w:line="0" w:lineRule="atLeast"/>
              <w:jc w:val="center"/>
              <w:rPr>
                <w:rFonts w:ascii="宋体" w:hAnsi="宋体" w:cs="宋体"/>
                <w:bCs/>
                <w:color w:val="auto"/>
                <w:szCs w:val="21"/>
                <w:highlight w:val="none"/>
              </w:rPr>
            </w:pPr>
          </w:p>
        </w:tc>
      </w:tr>
      <w:tr w14:paraId="36EA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7CCBED11">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476" w:type="dxa"/>
            <w:vAlign w:val="center"/>
          </w:tcPr>
          <w:p w14:paraId="083733FA">
            <w:pPr>
              <w:spacing w:line="0" w:lineRule="atLeast"/>
              <w:jc w:val="center"/>
              <w:rPr>
                <w:rFonts w:ascii="宋体" w:hAnsi="宋体" w:cs="宋体"/>
                <w:bCs/>
                <w:color w:val="auto"/>
                <w:szCs w:val="21"/>
                <w:highlight w:val="none"/>
              </w:rPr>
            </w:pPr>
          </w:p>
        </w:tc>
        <w:tc>
          <w:tcPr>
            <w:tcW w:w="1130" w:type="dxa"/>
            <w:vAlign w:val="center"/>
          </w:tcPr>
          <w:p w14:paraId="6E98993B">
            <w:pPr>
              <w:spacing w:line="0" w:lineRule="atLeast"/>
              <w:jc w:val="center"/>
              <w:rPr>
                <w:rFonts w:ascii="宋体" w:hAnsi="宋体" w:cs="宋体"/>
                <w:bCs/>
                <w:color w:val="auto"/>
                <w:szCs w:val="21"/>
                <w:highlight w:val="none"/>
              </w:rPr>
            </w:pPr>
          </w:p>
        </w:tc>
        <w:tc>
          <w:tcPr>
            <w:tcW w:w="1699" w:type="dxa"/>
            <w:vAlign w:val="center"/>
          </w:tcPr>
          <w:p w14:paraId="5BCB442E">
            <w:pPr>
              <w:spacing w:line="0" w:lineRule="atLeast"/>
              <w:jc w:val="center"/>
              <w:rPr>
                <w:rFonts w:ascii="宋体" w:hAnsi="宋体" w:cs="宋体"/>
                <w:bCs/>
                <w:color w:val="auto"/>
                <w:szCs w:val="21"/>
                <w:highlight w:val="none"/>
              </w:rPr>
            </w:pPr>
          </w:p>
        </w:tc>
        <w:tc>
          <w:tcPr>
            <w:tcW w:w="1959" w:type="dxa"/>
            <w:vAlign w:val="center"/>
          </w:tcPr>
          <w:p w14:paraId="3D01D32E">
            <w:pPr>
              <w:spacing w:line="0" w:lineRule="atLeast"/>
              <w:jc w:val="center"/>
              <w:rPr>
                <w:rFonts w:ascii="宋体" w:hAnsi="宋体" w:cs="宋体"/>
                <w:bCs/>
                <w:color w:val="auto"/>
                <w:szCs w:val="21"/>
                <w:highlight w:val="none"/>
              </w:rPr>
            </w:pPr>
          </w:p>
        </w:tc>
        <w:tc>
          <w:tcPr>
            <w:tcW w:w="1908" w:type="dxa"/>
            <w:vAlign w:val="center"/>
          </w:tcPr>
          <w:p w14:paraId="748F509E">
            <w:pPr>
              <w:spacing w:line="0" w:lineRule="atLeast"/>
              <w:jc w:val="center"/>
              <w:rPr>
                <w:rFonts w:ascii="宋体" w:hAnsi="宋体" w:cs="宋体"/>
                <w:bCs/>
                <w:color w:val="auto"/>
                <w:szCs w:val="21"/>
                <w:highlight w:val="none"/>
              </w:rPr>
            </w:pPr>
          </w:p>
        </w:tc>
      </w:tr>
      <w:tr w14:paraId="49AA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31E2E1B4">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476" w:type="dxa"/>
            <w:vAlign w:val="center"/>
          </w:tcPr>
          <w:p w14:paraId="38329741">
            <w:pPr>
              <w:spacing w:line="0" w:lineRule="atLeast"/>
              <w:jc w:val="center"/>
              <w:rPr>
                <w:rFonts w:ascii="宋体" w:hAnsi="宋体" w:cs="宋体"/>
                <w:bCs/>
                <w:color w:val="auto"/>
                <w:szCs w:val="21"/>
                <w:highlight w:val="none"/>
              </w:rPr>
            </w:pPr>
          </w:p>
        </w:tc>
        <w:tc>
          <w:tcPr>
            <w:tcW w:w="1130" w:type="dxa"/>
            <w:vAlign w:val="center"/>
          </w:tcPr>
          <w:p w14:paraId="6CCBF866">
            <w:pPr>
              <w:spacing w:line="0" w:lineRule="atLeast"/>
              <w:jc w:val="center"/>
              <w:rPr>
                <w:rFonts w:ascii="宋体" w:hAnsi="宋体" w:cs="宋体"/>
                <w:bCs/>
                <w:color w:val="auto"/>
                <w:szCs w:val="21"/>
                <w:highlight w:val="none"/>
              </w:rPr>
            </w:pPr>
          </w:p>
        </w:tc>
        <w:tc>
          <w:tcPr>
            <w:tcW w:w="1699" w:type="dxa"/>
            <w:vAlign w:val="center"/>
          </w:tcPr>
          <w:p w14:paraId="61A354A5">
            <w:pPr>
              <w:spacing w:line="0" w:lineRule="atLeast"/>
              <w:jc w:val="center"/>
              <w:rPr>
                <w:rFonts w:ascii="宋体" w:hAnsi="宋体" w:cs="宋体"/>
                <w:bCs/>
                <w:color w:val="auto"/>
                <w:szCs w:val="21"/>
                <w:highlight w:val="none"/>
              </w:rPr>
            </w:pPr>
          </w:p>
        </w:tc>
        <w:tc>
          <w:tcPr>
            <w:tcW w:w="1959" w:type="dxa"/>
            <w:vAlign w:val="center"/>
          </w:tcPr>
          <w:p w14:paraId="65524ABF">
            <w:pPr>
              <w:spacing w:line="0" w:lineRule="atLeast"/>
              <w:jc w:val="center"/>
              <w:rPr>
                <w:rFonts w:ascii="宋体" w:hAnsi="宋体" w:cs="宋体"/>
                <w:bCs/>
                <w:color w:val="auto"/>
                <w:szCs w:val="21"/>
                <w:highlight w:val="none"/>
              </w:rPr>
            </w:pPr>
          </w:p>
        </w:tc>
        <w:tc>
          <w:tcPr>
            <w:tcW w:w="1908" w:type="dxa"/>
            <w:vAlign w:val="center"/>
          </w:tcPr>
          <w:p w14:paraId="6766CC45">
            <w:pPr>
              <w:spacing w:line="0" w:lineRule="atLeast"/>
              <w:jc w:val="center"/>
              <w:rPr>
                <w:rFonts w:ascii="宋体" w:hAnsi="宋体" w:cs="宋体"/>
                <w:bCs/>
                <w:color w:val="auto"/>
                <w:szCs w:val="21"/>
                <w:highlight w:val="none"/>
              </w:rPr>
            </w:pPr>
          </w:p>
        </w:tc>
      </w:tr>
      <w:tr w14:paraId="1553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6CDBC768">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476" w:type="dxa"/>
            <w:vAlign w:val="center"/>
          </w:tcPr>
          <w:p w14:paraId="195A4C3A">
            <w:pPr>
              <w:spacing w:line="0" w:lineRule="atLeast"/>
              <w:jc w:val="center"/>
              <w:rPr>
                <w:rFonts w:ascii="宋体" w:hAnsi="宋体" w:cs="宋体"/>
                <w:bCs/>
                <w:color w:val="auto"/>
                <w:szCs w:val="21"/>
                <w:highlight w:val="none"/>
              </w:rPr>
            </w:pPr>
          </w:p>
        </w:tc>
        <w:tc>
          <w:tcPr>
            <w:tcW w:w="1130" w:type="dxa"/>
            <w:vAlign w:val="center"/>
          </w:tcPr>
          <w:p w14:paraId="588C118F">
            <w:pPr>
              <w:spacing w:line="0" w:lineRule="atLeast"/>
              <w:jc w:val="center"/>
              <w:rPr>
                <w:rFonts w:ascii="宋体" w:hAnsi="宋体" w:cs="宋体"/>
                <w:bCs/>
                <w:color w:val="auto"/>
                <w:szCs w:val="21"/>
                <w:highlight w:val="none"/>
              </w:rPr>
            </w:pPr>
          </w:p>
        </w:tc>
        <w:tc>
          <w:tcPr>
            <w:tcW w:w="1699" w:type="dxa"/>
            <w:vAlign w:val="center"/>
          </w:tcPr>
          <w:p w14:paraId="437BFFFB">
            <w:pPr>
              <w:spacing w:line="0" w:lineRule="atLeast"/>
              <w:jc w:val="center"/>
              <w:rPr>
                <w:rFonts w:ascii="宋体" w:hAnsi="宋体" w:cs="宋体"/>
                <w:bCs/>
                <w:color w:val="auto"/>
                <w:szCs w:val="21"/>
                <w:highlight w:val="none"/>
              </w:rPr>
            </w:pPr>
          </w:p>
        </w:tc>
        <w:tc>
          <w:tcPr>
            <w:tcW w:w="1959" w:type="dxa"/>
            <w:vAlign w:val="center"/>
          </w:tcPr>
          <w:p w14:paraId="7942220F">
            <w:pPr>
              <w:spacing w:line="0" w:lineRule="atLeast"/>
              <w:jc w:val="center"/>
              <w:rPr>
                <w:rFonts w:ascii="宋体" w:hAnsi="宋体" w:cs="宋体"/>
                <w:bCs/>
                <w:color w:val="auto"/>
                <w:szCs w:val="21"/>
                <w:highlight w:val="none"/>
              </w:rPr>
            </w:pPr>
          </w:p>
        </w:tc>
        <w:tc>
          <w:tcPr>
            <w:tcW w:w="1908" w:type="dxa"/>
            <w:vAlign w:val="center"/>
          </w:tcPr>
          <w:p w14:paraId="14BD7684">
            <w:pPr>
              <w:spacing w:line="0" w:lineRule="atLeast"/>
              <w:jc w:val="center"/>
              <w:rPr>
                <w:rFonts w:ascii="宋体" w:hAnsi="宋体" w:cs="宋体"/>
                <w:bCs/>
                <w:color w:val="auto"/>
                <w:szCs w:val="21"/>
                <w:highlight w:val="none"/>
              </w:rPr>
            </w:pPr>
          </w:p>
        </w:tc>
      </w:tr>
      <w:tr w14:paraId="4449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21405B64">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476" w:type="dxa"/>
            <w:vAlign w:val="center"/>
          </w:tcPr>
          <w:p w14:paraId="036D8313">
            <w:pPr>
              <w:spacing w:line="0" w:lineRule="atLeast"/>
              <w:jc w:val="center"/>
              <w:rPr>
                <w:rFonts w:ascii="宋体" w:hAnsi="宋体" w:cs="宋体"/>
                <w:bCs/>
                <w:color w:val="auto"/>
                <w:szCs w:val="21"/>
                <w:highlight w:val="none"/>
              </w:rPr>
            </w:pPr>
          </w:p>
        </w:tc>
        <w:tc>
          <w:tcPr>
            <w:tcW w:w="1130" w:type="dxa"/>
            <w:vAlign w:val="center"/>
          </w:tcPr>
          <w:p w14:paraId="6AB5B317">
            <w:pPr>
              <w:spacing w:line="0" w:lineRule="atLeast"/>
              <w:jc w:val="center"/>
              <w:rPr>
                <w:rFonts w:ascii="宋体" w:hAnsi="宋体" w:cs="宋体"/>
                <w:bCs/>
                <w:color w:val="auto"/>
                <w:szCs w:val="21"/>
                <w:highlight w:val="none"/>
              </w:rPr>
            </w:pPr>
          </w:p>
        </w:tc>
        <w:tc>
          <w:tcPr>
            <w:tcW w:w="1699" w:type="dxa"/>
            <w:vAlign w:val="center"/>
          </w:tcPr>
          <w:p w14:paraId="67A0F790">
            <w:pPr>
              <w:spacing w:line="0" w:lineRule="atLeast"/>
              <w:jc w:val="center"/>
              <w:rPr>
                <w:rFonts w:ascii="宋体" w:hAnsi="宋体" w:cs="宋体"/>
                <w:bCs/>
                <w:color w:val="auto"/>
                <w:szCs w:val="21"/>
                <w:highlight w:val="none"/>
              </w:rPr>
            </w:pPr>
          </w:p>
        </w:tc>
        <w:tc>
          <w:tcPr>
            <w:tcW w:w="1959" w:type="dxa"/>
            <w:vAlign w:val="center"/>
          </w:tcPr>
          <w:p w14:paraId="69EAA3EA">
            <w:pPr>
              <w:spacing w:line="0" w:lineRule="atLeast"/>
              <w:jc w:val="center"/>
              <w:rPr>
                <w:rFonts w:ascii="宋体" w:hAnsi="宋体" w:cs="宋体"/>
                <w:bCs/>
                <w:color w:val="auto"/>
                <w:szCs w:val="21"/>
                <w:highlight w:val="none"/>
              </w:rPr>
            </w:pPr>
          </w:p>
        </w:tc>
        <w:tc>
          <w:tcPr>
            <w:tcW w:w="1908" w:type="dxa"/>
            <w:vAlign w:val="center"/>
          </w:tcPr>
          <w:p w14:paraId="19EE5119">
            <w:pPr>
              <w:spacing w:line="0" w:lineRule="atLeast"/>
              <w:jc w:val="center"/>
              <w:rPr>
                <w:rFonts w:ascii="宋体" w:hAnsi="宋体" w:cs="宋体"/>
                <w:bCs/>
                <w:color w:val="auto"/>
                <w:szCs w:val="21"/>
                <w:highlight w:val="none"/>
              </w:rPr>
            </w:pPr>
          </w:p>
        </w:tc>
      </w:tr>
      <w:tr w14:paraId="2796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tcPr>
          <w:p w14:paraId="3B2EAFAD">
            <w:pPr>
              <w:spacing w:line="0" w:lineRule="atLeast"/>
              <w:jc w:val="center"/>
              <w:rPr>
                <w:rFonts w:ascii="宋体" w:hAnsi="宋体" w:cs="宋体"/>
                <w:bCs/>
                <w:color w:val="auto"/>
                <w:szCs w:val="21"/>
                <w:highlight w:val="none"/>
              </w:rPr>
            </w:pPr>
          </w:p>
          <w:p w14:paraId="32CB17A2">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476" w:type="dxa"/>
            <w:vAlign w:val="center"/>
          </w:tcPr>
          <w:p w14:paraId="3B2A9A59">
            <w:pPr>
              <w:spacing w:line="0" w:lineRule="atLeast"/>
              <w:jc w:val="center"/>
              <w:rPr>
                <w:rFonts w:ascii="宋体" w:hAnsi="宋体" w:cs="宋体"/>
                <w:bCs/>
                <w:color w:val="auto"/>
                <w:szCs w:val="21"/>
                <w:highlight w:val="none"/>
              </w:rPr>
            </w:pPr>
          </w:p>
        </w:tc>
        <w:tc>
          <w:tcPr>
            <w:tcW w:w="1130" w:type="dxa"/>
            <w:vAlign w:val="center"/>
          </w:tcPr>
          <w:p w14:paraId="1DFC1C3F">
            <w:pPr>
              <w:spacing w:line="0" w:lineRule="atLeast"/>
              <w:jc w:val="center"/>
              <w:rPr>
                <w:rFonts w:ascii="宋体" w:hAnsi="宋体" w:cs="宋体"/>
                <w:bCs/>
                <w:color w:val="auto"/>
                <w:szCs w:val="21"/>
                <w:highlight w:val="none"/>
              </w:rPr>
            </w:pPr>
          </w:p>
        </w:tc>
        <w:tc>
          <w:tcPr>
            <w:tcW w:w="1699" w:type="dxa"/>
            <w:vAlign w:val="center"/>
          </w:tcPr>
          <w:p w14:paraId="0951B8D1">
            <w:pPr>
              <w:spacing w:line="0" w:lineRule="atLeast"/>
              <w:jc w:val="center"/>
              <w:rPr>
                <w:rFonts w:ascii="宋体" w:hAnsi="宋体" w:cs="宋体"/>
                <w:bCs/>
                <w:color w:val="auto"/>
                <w:szCs w:val="21"/>
                <w:highlight w:val="none"/>
              </w:rPr>
            </w:pPr>
          </w:p>
        </w:tc>
        <w:tc>
          <w:tcPr>
            <w:tcW w:w="1959" w:type="dxa"/>
            <w:vAlign w:val="center"/>
          </w:tcPr>
          <w:p w14:paraId="65F5A07C">
            <w:pPr>
              <w:spacing w:line="0" w:lineRule="atLeast"/>
              <w:jc w:val="center"/>
              <w:rPr>
                <w:rFonts w:ascii="宋体" w:hAnsi="宋体" w:cs="宋体"/>
                <w:bCs/>
                <w:color w:val="auto"/>
                <w:szCs w:val="21"/>
                <w:highlight w:val="none"/>
              </w:rPr>
            </w:pPr>
          </w:p>
        </w:tc>
        <w:tc>
          <w:tcPr>
            <w:tcW w:w="1908" w:type="dxa"/>
            <w:vAlign w:val="center"/>
          </w:tcPr>
          <w:p w14:paraId="7F2FB839">
            <w:pPr>
              <w:spacing w:line="0" w:lineRule="atLeast"/>
              <w:jc w:val="center"/>
              <w:rPr>
                <w:rFonts w:ascii="宋体" w:hAnsi="宋体" w:cs="宋体"/>
                <w:bCs/>
                <w:color w:val="auto"/>
                <w:szCs w:val="21"/>
                <w:highlight w:val="none"/>
              </w:rPr>
            </w:pPr>
          </w:p>
        </w:tc>
      </w:tr>
      <w:tr w14:paraId="77CE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3B1AE1FB">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476" w:type="dxa"/>
            <w:vAlign w:val="center"/>
          </w:tcPr>
          <w:p w14:paraId="58DE4CC8">
            <w:pPr>
              <w:spacing w:line="0" w:lineRule="atLeast"/>
              <w:jc w:val="center"/>
              <w:rPr>
                <w:rFonts w:ascii="宋体" w:hAnsi="宋体" w:cs="宋体"/>
                <w:bCs/>
                <w:color w:val="auto"/>
                <w:szCs w:val="21"/>
                <w:highlight w:val="none"/>
              </w:rPr>
            </w:pPr>
          </w:p>
        </w:tc>
        <w:tc>
          <w:tcPr>
            <w:tcW w:w="1130" w:type="dxa"/>
            <w:vAlign w:val="center"/>
          </w:tcPr>
          <w:p w14:paraId="62A25423">
            <w:pPr>
              <w:spacing w:line="0" w:lineRule="atLeast"/>
              <w:jc w:val="center"/>
              <w:rPr>
                <w:rFonts w:ascii="宋体" w:hAnsi="宋体" w:cs="宋体"/>
                <w:bCs/>
                <w:color w:val="auto"/>
                <w:szCs w:val="21"/>
                <w:highlight w:val="none"/>
              </w:rPr>
            </w:pPr>
          </w:p>
        </w:tc>
        <w:tc>
          <w:tcPr>
            <w:tcW w:w="1699" w:type="dxa"/>
            <w:vAlign w:val="center"/>
          </w:tcPr>
          <w:p w14:paraId="5DFF7528">
            <w:pPr>
              <w:spacing w:line="0" w:lineRule="atLeast"/>
              <w:jc w:val="center"/>
              <w:rPr>
                <w:rFonts w:ascii="宋体" w:hAnsi="宋体" w:cs="宋体"/>
                <w:bCs/>
                <w:color w:val="auto"/>
                <w:szCs w:val="21"/>
                <w:highlight w:val="none"/>
              </w:rPr>
            </w:pPr>
          </w:p>
        </w:tc>
        <w:tc>
          <w:tcPr>
            <w:tcW w:w="1959" w:type="dxa"/>
            <w:vAlign w:val="center"/>
          </w:tcPr>
          <w:p w14:paraId="43957785">
            <w:pPr>
              <w:spacing w:line="0" w:lineRule="atLeast"/>
              <w:jc w:val="center"/>
              <w:rPr>
                <w:rFonts w:ascii="宋体" w:hAnsi="宋体" w:cs="宋体"/>
                <w:bCs/>
                <w:color w:val="auto"/>
                <w:szCs w:val="21"/>
                <w:highlight w:val="none"/>
              </w:rPr>
            </w:pPr>
          </w:p>
        </w:tc>
        <w:tc>
          <w:tcPr>
            <w:tcW w:w="1908" w:type="dxa"/>
            <w:vAlign w:val="center"/>
          </w:tcPr>
          <w:p w14:paraId="26B1BD4D">
            <w:pPr>
              <w:spacing w:line="0" w:lineRule="atLeast"/>
              <w:jc w:val="center"/>
              <w:rPr>
                <w:rFonts w:ascii="宋体" w:hAnsi="宋体" w:cs="宋体"/>
                <w:bCs/>
                <w:color w:val="auto"/>
                <w:szCs w:val="21"/>
                <w:highlight w:val="none"/>
              </w:rPr>
            </w:pPr>
          </w:p>
        </w:tc>
      </w:tr>
      <w:tr w14:paraId="2EBF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26355CD8">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476" w:type="dxa"/>
            <w:vAlign w:val="center"/>
          </w:tcPr>
          <w:p w14:paraId="455F8855">
            <w:pPr>
              <w:spacing w:line="0" w:lineRule="atLeast"/>
              <w:jc w:val="center"/>
              <w:rPr>
                <w:rFonts w:ascii="宋体" w:hAnsi="宋体" w:cs="宋体"/>
                <w:bCs/>
                <w:color w:val="auto"/>
                <w:szCs w:val="21"/>
                <w:highlight w:val="none"/>
              </w:rPr>
            </w:pPr>
          </w:p>
        </w:tc>
        <w:tc>
          <w:tcPr>
            <w:tcW w:w="1130" w:type="dxa"/>
            <w:vAlign w:val="center"/>
          </w:tcPr>
          <w:p w14:paraId="2E1D8DEB">
            <w:pPr>
              <w:spacing w:line="0" w:lineRule="atLeast"/>
              <w:jc w:val="center"/>
              <w:rPr>
                <w:rFonts w:ascii="宋体" w:hAnsi="宋体" w:cs="宋体"/>
                <w:bCs/>
                <w:color w:val="auto"/>
                <w:szCs w:val="21"/>
                <w:highlight w:val="none"/>
              </w:rPr>
            </w:pPr>
          </w:p>
        </w:tc>
        <w:tc>
          <w:tcPr>
            <w:tcW w:w="1699" w:type="dxa"/>
            <w:vAlign w:val="center"/>
          </w:tcPr>
          <w:p w14:paraId="64FAEA04">
            <w:pPr>
              <w:spacing w:line="0" w:lineRule="atLeast"/>
              <w:jc w:val="center"/>
              <w:rPr>
                <w:rFonts w:ascii="宋体" w:hAnsi="宋体" w:cs="宋体"/>
                <w:bCs/>
                <w:color w:val="auto"/>
                <w:szCs w:val="21"/>
                <w:highlight w:val="none"/>
              </w:rPr>
            </w:pPr>
          </w:p>
        </w:tc>
        <w:tc>
          <w:tcPr>
            <w:tcW w:w="1959" w:type="dxa"/>
            <w:vAlign w:val="center"/>
          </w:tcPr>
          <w:p w14:paraId="001E2EA3">
            <w:pPr>
              <w:spacing w:line="0" w:lineRule="atLeast"/>
              <w:jc w:val="center"/>
              <w:rPr>
                <w:rFonts w:ascii="宋体" w:hAnsi="宋体" w:cs="宋体"/>
                <w:bCs/>
                <w:color w:val="auto"/>
                <w:szCs w:val="21"/>
                <w:highlight w:val="none"/>
              </w:rPr>
            </w:pPr>
          </w:p>
        </w:tc>
        <w:tc>
          <w:tcPr>
            <w:tcW w:w="1908" w:type="dxa"/>
            <w:vAlign w:val="center"/>
          </w:tcPr>
          <w:p w14:paraId="39920049">
            <w:pPr>
              <w:spacing w:line="0" w:lineRule="atLeast"/>
              <w:jc w:val="center"/>
              <w:rPr>
                <w:rFonts w:ascii="宋体" w:hAnsi="宋体" w:cs="宋体"/>
                <w:bCs/>
                <w:color w:val="auto"/>
                <w:szCs w:val="21"/>
                <w:highlight w:val="none"/>
              </w:rPr>
            </w:pPr>
          </w:p>
        </w:tc>
      </w:tr>
    </w:tbl>
    <w:p w14:paraId="1A595153">
      <w:pPr>
        <w:spacing w:line="400" w:lineRule="exact"/>
        <w:rPr>
          <w:rFonts w:ascii="宋体" w:hAnsi="宋体" w:cs="宋体"/>
          <w:color w:val="auto"/>
          <w:szCs w:val="21"/>
          <w:highlight w:val="none"/>
        </w:rPr>
      </w:pPr>
    </w:p>
    <w:p w14:paraId="334274C2">
      <w:pPr>
        <w:spacing w:line="400" w:lineRule="exact"/>
        <w:jc w:val="left"/>
        <w:rPr>
          <w:rFonts w:ascii="宋体" w:hAnsi="宋体" w:cs="宋体"/>
          <w:color w:val="auto"/>
          <w:sz w:val="24"/>
          <w:highlight w:val="none"/>
        </w:rPr>
      </w:pPr>
      <w:r>
        <w:rPr>
          <w:rFonts w:hint="eastAsia" w:ascii="宋体" w:hAnsi="宋体" w:cs="宋体"/>
          <w:color w:val="auto"/>
          <w:sz w:val="24"/>
          <w:highlight w:val="none"/>
        </w:rPr>
        <w:t>注：1.在填写时，如本表格不适合磋商单位的实际情况，</w:t>
      </w:r>
      <w:r>
        <w:rPr>
          <w:rFonts w:hint="eastAsia" w:ascii="宋体" w:hAnsi="宋体" w:cs="宋体"/>
          <w:b/>
          <w:bCs/>
          <w:color w:val="auto"/>
          <w:sz w:val="24"/>
          <w:highlight w:val="none"/>
        </w:rPr>
        <w:t>可根据本表格式自行制表填写。</w:t>
      </w:r>
    </w:p>
    <w:p w14:paraId="1695A4C8">
      <w:pPr>
        <w:snapToGrid w:val="0"/>
        <w:spacing w:before="156" w:beforeLines="50" w:after="50"/>
        <w:jc w:val="left"/>
        <w:rPr>
          <w:rFonts w:ascii="宋体" w:hAnsi="宋体" w:cs="宋体"/>
          <w:b/>
          <w:bCs/>
          <w:color w:val="auto"/>
          <w:sz w:val="24"/>
          <w:highlight w:val="none"/>
        </w:rPr>
      </w:pPr>
      <w:r>
        <w:rPr>
          <w:rFonts w:hint="eastAsia" w:ascii="宋体" w:hAnsi="宋体" w:cs="宋体"/>
          <w:color w:val="auto"/>
          <w:sz w:val="24"/>
          <w:highlight w:val="none"/>
        </w:rPr>
        <w:t>2.提供人员的身份证、职称证或资格证复件件及由社保经办机构出具的供应商为拟投入人员</w:t>
      </w:r>
      <w:r>
        <w:rPr>
          <w:rFonts w:hint="eastAsia" w:ascii="宋体" w:hAnsi="宋体" w:cs="宋体"/>
          <w:color w:val="auto"/>
          <w:sz w:val="24"/>
          <w:highlight w:val="none"/>
          <w:lang w:eastAsia="zh-CN"/>
        </w:rPr>
        <w:t>2024年6月至2024年11月</w:t>
      </w:r>
      <w:r>
        <w:rPr>
          <w:rFonts w:hint="eastAsia" w:ascii="宋体" w:hAnsi="宋体" w:cs="宋体"/>
          <w:color w:val="auto"/>
          <w:sz w:val="24"/>
          <w:highlight w:val="none"/>
        </w:rPr>
        <w:t>内</w:t>
      </w:r>
      <w:r>
        <w:rPr>
          <w:rFonts w:hint="eastAsia" w:ascii="宋体" w:hAnsi="宋体" w:cs="宋体"/>
          <w:color w:val="auto"/>
          <w:sz w:val="24"/>
          <w:highlight w:val="none"/>
          <w:lang w:eastAsia="zh-CN"/>
        </w:rPr>
        <w:t>任意</w:t>
      </w:r>
      <w:r>
        <w:rPr>
          <w:rFonts w:hint="eastAsia" w:ascii="宋体" w:hAnsi="宋体" w:cs="宋体"/>
          <w:color w:val="auto"/>
          <w:sz w:val="24"/>
          <w:highlight w:val="none"/>
          <w:lang w:val="en-US" w:eastAsia="zh-CN"/>
        </w:rPr>
        <w:t>1个</w:t>
      </w:r>
      <w:r>
        <w:rPr>
          <w:rFonts w:hint="eastAsia" w:ascii="宋体" w:hAnsi="宋体" w:cs="宋体"/>
          <w:color w:val="auto"/>
          <w:sz w:val="24"/>
          <w:highlight w:val="none"/>
        </w:rPr>
        <w:t>月</w:t>
      </w:r>
      <w:r>
        <w:rPr>
          <w:rFonts w:hint="eastAsia" w:ascii="宋体" w:hAnsi="宋体" w:cs="宋体"/>
          <w:color w:val="auto"/>
          <w:sz w:val="24"/>
          <w:highlight w:val="none"/>
        </w:rPr>
        <w:t>交纳的社保证明复印件</w:t>
      </w:r>
    </w:p>
    <w:p w14:paraId="2B3766B7">
      <w:pPr>
        <w:snapToGrid w:val="0"/>
        <w:spacing w:before="156" w:beforeLines="50" w:after="50"/>
        <w:jc w:val="center"/>
        <w:rPr>
          <w:rFonts w:ascii="宋体" w:hAnsi="宋体" w:cs="宋体"/>
          <w:b/>
          <w:bCs/>
          <w:color w:val="auto"/>
          <w:sz w:val="36"/>
          <w:szCs w:val="36"/>
          <w:highlight w:val="none"/>
        </w:rPr>
      </w:pPr>
    </w:p>
    <w:p w14:paraId="7BA8CF8C">
      <w:pPr>
        <w:snapToGrid w:val="0"/>
        <w:spacing w:before="50" w:after="50" w:line="360" w:lineRule="auto"/>
        <w:ind w:right="-817" w:rightChars="-389" w:firstLine="2160" w:firstLineChars="900"/>
        <w:rPr>
          <w:rFonts w:ascii="宋体" w:hAnsi="宋体" w:cs="宋体"/>
          <w:color w:val="auto"/>
          <w:sz w:val="24"/>
          <w:highlight w:val="non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val="en-US" w:eastAsia="zh-CN"/>
        </w:rPr>
        <w:t>签字或签章</w:t>
      </w:r>
      <w:r>
        <w:rPr>
          <w:rFonts w:hint="eastAsia" w:ascii="宋体" w:hAnsi="宋体" w:cs="宋体"/>
          <w:color w:val="auto"/>
          <w:sz w:val="24"/>
          <w:highlight w:val="none"/>
        </w:rPr>
        <w:t xml:space="preserve">）：                    </w:t>
      </w:r>
    </w:p>
    <w:p w14:paraId="6261218E">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70A4C68F">
      <w:pPr>
        <w:snapToGrid w:val="0"/>
        <w:spacing w:before="156" w:beforeLines="50" w:after="50"/>
        <w:jc w:val="center"/>
        <w:rPr>
          <w:rFonts w:ascii="宋体" w:hAnsi="宋体" w:cs="宋体"/>
          <w:b/>
          <w:bCs/>
          <w:color w:val="auto"/>
          <w:sz w:val="36"/>
          <w:szCs w:val="36"/>
          <w:highlight w:val="none"/>
        </w:rPr>
      </w:pPr>
      <w:r>
        <w:rPr>
          <w:rFonts w:hint="eastAsia" w:ascii="宋体" w:hAnsi="宋体" w:cs="宋体"/>
          <w:color w:val="auto"/>
          <w:sz w:val="24"/>
          <w:highlight w:val="none"/>
        </w:rPr>
        <w:t>日期：   年   月   日</w:t>
      </w:r>
    </w:p>
    <w:p w14:paraId="1DF8C044">
      <w:pPr>
        <w:snapToGrid w:val="0"/>
        <w:spacing w:before="156" w:beforeLines="50" w:after="50"/>
        <w:jc w:val="center"/>
        <w:rPr>
          <w:rFonts w:ascii="宋体" w:hAnsi="宋体" w:cs="宋体"/>
          <w:b/>
          <w:bCs/>
          <w:color w:val="auto"/>
          <w:sz w:val="36"/>
          <w:szCs w:val="36"/>
          <w:highlight w:val="none"/>
        </w:rPr>
      </w:pPr>
    </w:p>
    <w:p w14:paraId="09840A23">
      <w:pPr>
        <w:snapToGrid w:val="0"/>
        <w:spacing w:before="156" w:beforeLines="50" w:after="50"/>
        <w:jc w:val="both"/>
        <w:rPr>
          <w:rFonts w:ascii="宋体" w:hAnsi="宋体" w:cs="宋体"/>
          <w:color w:val="auto"/>
          <w:sz w:val="24"/>
          <w:highlight w:val="none"/>
        </w:rPr>
      </w:pPr>
    </w:p>
    <w:p w14:paraId="269FC0FA">
      <w:pPr>
        <w:snapToGrid w:val="0"/>
        <w:spacing w:before="156" w:beforeLines="50" w:after="50"/>
        <w:ind w:left="142"/>
        <w:jc w:val="center"/>
        <w:rPr>
          <w:rFonts w:ascii="宋体" w:hAnsi="宋体" w:cs="宋体"/>
          <w:b/>
          <w:color w:val="auto"/>
          <w:sz w:val="44"/>
          <w:szCs w:val="44"/>
          <w:highlight w:val="none"/>
        </w:rPr>
      </w:pPr>
    </w:p>
    <w:p w14:paraId="3D29A75E">
      <w:pPr>
        <w:spacing w:before="68" w:line="220" w:lineRule="auto"/>
        <w:ind w:left="136"/>
        <w:jc w:val="center"/>
        <w:rPr>
          <w:rFonts w:ascii="宋体" w:hAnsi="宋体" w:cs="宋体"/>
          <w:color w:val="auto"/>
          <w:sz w:val="24"/>
          <w:highlight w:val="none"/>
        </w:rPr>
      </w:pPr>
      <w:r>
        <w:rPr>
          <w:rFonts w:hint="eastAsia" w:ascii="宋体" w:hAnsi="宋体" w:cs="宋体"/>
          <w:color w:val="auto"/>
          <w:spacing w:val="-1"/>
          <w:sz w:val="24"/>
          <w:highlight w:val="none"/>
        </w:rPr>
        <w:t>近年供应商类似成功案例的业绩证明</w:t>
      </w:r>
    </w:p>
    <w:p w14:paraId="4AA389CD">
      <w:pPr>
        <w:spacing w:before="141" w:line="221" w:lineRule="auto"/>
        <w:ind w:left="3568"/>
        <w:rPr>
          <w:rFonts w:ascii="宋体" w:hAnsi="宋体" w:cs="宋体"/>
          <w:color w:val="auto"/>
          <w:sz w:val="24"/>
          <w:highlight w:val="none"/>
        </w:rPr>
      </w:pPr>
      <w:r>
        <w:rPr>
          <w:rFonts w:hint="eastAsia" w:ascii="宋体" w:hAnsi="宋体" w:cs="宋体"/>
          <w:color w:val="auto"/>
          <w:spacing w:val="1"/>
          <w:sz w:val="24"/>
          <w:highlight w:val="none"/>
          <w14:textOutline w14:w="3835" w14:cap="flat" w14:cmpd="sng" w14:algn="ctr">
            <w14:solidFill>
              <w14:srgbClr w14:val="000000"/>
            </w14:solidFill>
            <w14:prstDash w14:val="solid"/>
            <w14:miter w14:val="0"/>
          </w14:textOutline>
        </w:rPr>
        <w:t>类似</w:t>
      </w:r>
      <w:r>
        <w:rPr>
          <w:rFonts w:hint="eastAsia" w:ascii="宋体" w:hAnsi="宋体" w:cs="宋体"/>
          <w:color w:val="auto"/>
          <w:sz w:val="24"/>
          <w:highlight w:val="none"/>
          <w14:textOutline w14:w="3835" w14:cap="flat" w14:cmpd="sng" w14:algn="ctr">
            <w14:solidFill>
              <w14:srgbClr w14:val="000000"/>
            </w14:solidFill>
            <w14:prstDash w14:val="solid"/>
            <w14:miter w14:val="0"/>
          </w14:textOutline>
        </w:rPr>
        <w:t>成功案例业绩一览表</w:t>
      </w:r>
    </w:p>
    <w:p w14:paraId="58D7437E">
      <w:pPr>
        <w:spacing w:line="112" w:lineRule="exact"/>
        <w:rPr>
          <w:rFonts w:ascii="宋体" w:hAnsi="宋体" w:cs="宋体"/>
          <w:color w:val="auto"/>
          <w:sz w:val="24"/>
          <w:highlight w:val="none"/>
        </w:rPr>
      </w:pPr>
    </w:p>
    <w:tbl>
      <w:tblPr>
        <w:tblStyle w:val="74"/>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2945"/>
        <w:gridCol w:w="1691"/>
        <w:gridCol w:w="3032"/>
      </w:tblGrid>
      <w:tr w14:paraId="0D6C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402" w:type="dxa"/>
          </w:tcPr>
          <w:p w14:paraId="095E7CB8">
            <w:pPr>
              <w:spacing w:line="253" w:lineRule="auto"/>
              <w:jc w:val="center"/>
              <w:rPr>
                <w:rFonts w:ascii="宋体" w:hAnsi="宋体" w:cs="宋体"/>
                <w:color w:val="auto"/>
                <w:sz w:val="24"/>
                <w:highlight w:val="none"/>
              </w:rPr>
            </w:pPr>
          </w:p>
          <w:p w14:paraId="73B87A2E">
            <w:pPr>
              <w:spacing w:line="254" w:lineRule="auto"/>
              <w:jc w:val="center"/>
              <w:rPr>
                <w:rFonts w:ascii="宋体" w:hAnsi="宋体" w:cs="宋体"/>
                <w:color w:val="auto"/>
                <w:sz w:val="24"/>
                <w:highlight w:val="none"/>
              </w:rPr>
            </w:pPr>
          </w:p>
          <w:p w14:paraId="03916C2D">
            <w:pPr>
              <w:spacing w:line="220" w:lineRule="auto"/>
              <w:jc w:val="center"/>
              <w:rPr>
                <w:rFonts w:ascii="宋体" w:hAnsi="宋体" w:cs="宋体"/>
                <w:color w:val="auto"/>
                <w:sz w:val="24"/>
                <w:highlight w:val="none"/>
              </w:rPr>
            </w:pPr>
            <w:r>
              <w:rPr>
                <w:rFonts w:hint="eastAsia" w:ascii="宋体" w:hAnsi="宋体" w:cs="宋体"/>
                <w:color w:val="auto"/>
                <w:spacing w:val="-1"/>
                <w:sz w:val="24"/>
                <w:highlight w:val="none"/>
              </w:rPr>
              <w:t>采购单位</w:t>
            </w:r>
            <w:r>
              <w:rPr>
                <w:rFonts w:hint="eastAsia" w:ascii="宋体" w:hAnsi="宋体" w:cs="宋体"/>
                <w:color w:val="auto"/>
                <w:sz w:val="24"/>
                <w:highlight w:val="none"/>
              </w:rPr>
              <w:t>名称</w:t>
            </w:r>
          </w:p>
        </w:tc>
        <w:tc>
          <w:tcPr>
            <w:tcW w:w="2945" w:type="dxa"/>
          </w:tcPr>
          <w:p w14:paraId="3244EF27">
            <w:pPr>
              <w:spacing w:line="387" w:lineRule="auto"/>
              <w:jc w:val="center"/>
              <w:rPr>
                <w:rFonts w:ascii="宋体" w:hAnsi="宋体" w:cs="宋体"/>
                <w:color w:val="auto"/>
                <w:sz w:val="24"/>
                <w:highlight w:val="none"/>
              </w:rPr>
            </w:pPr>
          </w:p>
          <w:p w14:paraId="2C40D27B">
            <w:pPr>
              <w:spacing w:line="228" w:lineRule="auto"/>
              <w:jc w:val="center"/>
              <w:rPr>
                <w:rFonts w:ascii="宋体" w:hAnsi="宋体" w:cs="宋体"/>
                <w:color w:val="auto"/>
                <w:sz w:val="24"/>
                <w:highlight w:val="none"/>
              </w:rPr>
            </w:pPr>
            <w:r>
              <w:rPr>
                <w:rFonts w:hint="eastAsia" w:ascii="宋体" w:hAnsi="宋体" w:cs="宋体"/>
                <w:color w:val="auto"/>
                <w:spacing w:val="-2"/>
                <w:sz w:val="24"/>
                <w:highlight w:val="none"/>
              </w:rPr>
              <w:t>项</w:t>
            </w:r>
            <w:r>
              <w:rPr>
                <w:rFonts w:hint="eastAsia" w:ascii="宋体" w:hAnsi="宋体" w:cs="宋体"/>
                <w:color w:val="auto"/>
                <w:spacing w:val="-1"/>
                <w:sz w:val="24"/>
                <w:highlight w:val="none"/>
              </w:rPr>
              <w:t>目名称或服务内</w:t>
            </w:r>
            <w:r>
              <w:rPr>
                <w:rFonts w:hint="eastAsia" w:ascii="宋体" w:hAnsi="宋体" w:cs="宋体"/>
                <w:color w:val="auto"/>
                <w:sz w:val="24"/>
                <w:highlight w:val="none"/>
              </w:rPr>
              <w:t>容</w:t>
            </w:r>
          </w:p>
        </w:tc>
        <w:tc>
          <w:tcPr>
            <w:tcW w:w="1691" w:type="dxa"/>
          </w:tcPr>
          <w:p w14:paraId="325283C7">
            <w:pPr>
              <w:spacing w:line="388" w:lineRule="auto"/>
              <w:jc w:val="center"/>
              <w:rPr>
                <w:rFonts w:ascii="宋体" w:hAnsi="宋体" w:cs="宋体"/>
                <w:color w:val="auto"/>
                <w:sz w:val="24"/>
                <w:highlight w:val="none"/>
              </w:rPr>
            </w:pPr>
          </w:p>
          <w:p w14:paraId="3C15F87A">
            <w:pPr>
              <w:spacing w:line="211" w:lineRule="auto"/>
              <w:jc w:val="center"/>
              <w:rPr>
                <w:rFonts w:ascii="宋体" w:hAnsi="宋体" w:cs="宋体"/>
                <w:color w:val="auto"/>
                <w:sz w:val="24"/>
                <w:highlight w:val="none"/>
              </w:rPr>
            </w:pPr>
            <w:r>
              <w:rPr>
                <w:rFonts w:hint="eastAsia" w:ascii="宋体" w:hAnsi="宋体" w:cs="宋体"/>
                <w:color w:val="auto"/>
                <w:spacing w:val="-2"/>
                <w:sz w:val="24"/>
                <w:highlight w:val="none"/>
              </w:rPr>
              <w:t>合同</w:t>
            </w:r>
            <w:r>
              <w:rPr>
                <w:rFonts w:hint="eastAsia" w:ascii="宋体" w:hAnsi="宋体" w:cs="宋体"/>
                <w:color w:val="auto"/>
                <w:spacing w:val="-1"/>
                <w:sz w:val="24"/>
                <w:highlight w:val="none"/>
              </w:rPr>
              <w:t>总价</w:t>
            </w:r>
          </w:p>
          <w:p w14:paraId="6C90C01F">
            <w:pPr>
              <w:spacing w:line="221" w:lineRule="auto"/>
              <w:jc w:val="center"/>
              <w:rPr>
                <w:rFonts w:ascii="宋体" w:hAnsi="宋体" w:cs="宋体"/>
                <w:color w:val="auto"/>
                <w:sz w:val="24"/>
                <w:highlight w:val="none"/>
              </w:rPr>
            </w:pPr>
            <w:r>
              <w:rPr>
                <w:rFonts w:hint="eastAsia" w:ascii="宋体" w:hAnsi="宋体" w:cs="宋体"/>
                <w:color w:val="auto"/>
                <w:spacing w:val="27"/>
                <w:sz w:val="24"/>
                <w:highlight w:val="none"/>
              </w:rPr>
              <w:t>(</w:t>
            </w:r>
            <w:r>
              <w:rPr>
                <w:rFonts w:hint="eastAsia" w:ascii="宋体" w:hAnsi="宋体" w:cs="宋体"/>
                <w:color w:val="auto"/>
                <w:spacing w:val="26"/>
                <w:sz w:val="24"/>
                <w:highlight w:val="none"/>
              </w:rPr>
              <w:t>元)</w:t>
            </w:r>
          </w:p>
        </w:tc>
        <w:tc>
          <w:tcPr>
            <w:tcW w:w="3032" w:type="dxa"/>
          </w:tcPr>
          <w:p w14:paraId="5E5B1680">
            <w:pPr>
              <w:spacing w:line="374" w:lineRule="auto"/>
              <w:jc w:val="center"/>
              <w:rPr>
                <w:rFonts w:ascii="宋体" w:hAnsi="宋体" w:cs="宋体"/>
                <w:color w:val="auto"/>
                <w:sz w:val="24"/>
                <w:highlight w:val="none"/>
              </w:rPr>
            </w:pPr>
          </w:p>
          <w:p w14:paraId="27E25050">
            <w:pPr>
              <w:spacing w:line="256" w:lineRule="auto"/>
              <w:jc w:val="center"/>
              <w:rPr>
                <w:rFonts w:hint="eastAsia" w:ascii="宋体" w:hAnsi="宋体" w:eastAsia="宋体" w:cs="宋体"/>
                <w:color w:val="auto"/>
                <w:sz w:val="24"/>
                <w:highlight w:val="none"/>
                <w:lang w:eastAsia="zh-CN"/>
              </w:rPr>
            </w:pPr>
            <w:r>
              <w:rPr>
                <w:rFonts w:hint="eastAsia" w:ascii="宋体" w:hAnsi="宋体" w:cs="宋体"/>
                <w:color w:val="auto"/>
                <w:spacing w:val="-1"/>
                <w:sz w:val="24"/>
                <w:highlight w:val="none"/>
                <w:lang w:eastAsia="zh-CN"/>
              </w:rPr>
              <w:t>签订合同日期</w:t>
            </w:r>
          </w:p>
        </w:tc>
      </w:tr>
      <w:tr w14:paraId="49325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402" w:type="dxa"/>
          </w:tcPr>
          <w:p w14:paraId="6610B1D8">
            <w:pPr>
              <w:rPr>
                <w:rFonts w:ascii="宋体" w:hAnsi="宋体" w:cs="宋体"/>
                <w:color w:val="auto"/>
                <w:sz w:val="24"/>
                <w:highlight w:val="none"/>
              </w:rPr>
            </w:pPr>
          </w:p>
        </w:tc>
        <w:tc>
          <w:tcPr>
            <w:tcW w:w="2945" w:type="dxa"/>
          </w:tcPr>
          <w:p w14:paraId="05111B25">
            <w:pPr>
              <w:rPr>
                <w:rFonts w:ascii="宋体" w:hAnsi="宋体" w:cs="宋体"/>
                <w:color w:val="auto"/>
                <w:sz w:val="24"/>
                <w:highlight w:val="none"/>
              </w:rPr>
            </w:pPr>
          </w:p>
        </w:tc>
        <w:tc>
          <w:tcPr>
            <w:tcW w:w="1691" w:type="dxa"/>
          </w:tcPr>
          <w:p w14:paraId="0789C8F7">
            <w:pPr>
              <w:rPr>
                <w:rFonts w:ascii="宋体" w:hAnsi="宋体" w:cs="宋体"/>
                <w:color w:val="auto"/>
                <w:sz w:val="24"/>
                <w:highlight w:val="none"/>
              </w:rPr>
            </w:pPr>
          </w:p>
        </w:tc>
        <w:tc>
          <w:tcPr>
            <w:tcW w:w="3032" w:type="dxa"/>
          </w:tcPr>
          <w:p w14:paraId="3CD57FF4">
            <w:pPr>
              <w:rPr>
                <w:rFonts w:ascii="宋体" w:hAnsi="宋体" w:cs="宋体"/>
                <w:color w:val="auto"/>
                <w:sz w:val="24"/>
                <w:highlight w:val="none"/>
              </w:rPr>
            </w:pPr>
          </w:p>
        </w:tc>
      </w:tr>
      <w:tr w14:paraId="22AF2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2" w:type="dxa"/>
          </w:tcPr>
          <w:p w14:paraId="02AC96DF">
            <w:pPr>
              <w:rPr>
                <w:rFonts w:ascii="宋体" w:hAnsi="宋体" w:cs="宋体"/>
                <w:color w:val="auto"/>
                <w:sz w:val="24"/>
                <w:highlight w:val="none"/>
              </w:rPr>
            </w:pPr>
          </w:p>
        </w:tc>
        <w:tc>
          <w:tcPr>
            <w:tcW w:w="2945" w:type="dxa"/>
          </w:tcPr>
          <w:p w14:paraId="44859444">
            <w:pPr>
              <w:rPr>
                <w:rFonts w:ascii="宋体" w:hAnsi="宋体" w:cs="宋体"/>
                <w:color w:val="auto"/>
                <w:sz w:val="24"/>
                <w:highlight w:val="none"/>
              </w:rPr>
            </w:pPr>
          </w:p>
        </w:tc>
        <w:tc>
          <w:tcPr>
            <w:tcW w:w="1691" w:type="dxa"/>
          </w:tcPr>
          <w:p w14:paraId="468EB746">
            <w:pPr>
              <w:rPr>
                <w:rFonts w:ascii="宋体" w:hAnsi="宋体" w:cs="宋体"/>
                <w:color w:val="auto"/>
                <w:sz w:val="24"/>
                <w:highlight w:val="none"/>
              </w:rPr>
            </w:pPr>
          </w:p>
        </w:tc>
        <w:tc>
          <w:tcPr>
            <w:tcW w:w="3032" w:type="dxa"/>
          </w:tcPr>
          <w:p w14:paraId="124379D1">
            <w:pPr>
              <w:rPr>
                <w:rFonts w:ascii="宋体" w:hAnsi="宋体" w:cs="宋体"/>
                <w:color w:val="auto"/>
                <w:sz w:val="24"/>
                <w:highlight w:val="none"/>
              </w:rPr>
            </w:pPr>
          </w:p>
        </w:tc>
      </w:tr>
      <w:tr w14:paraId="66F84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402" w:type="dxa"/>
          </w:tcPr>
          <w:p w14:paraId="28031207">
            <w:pPr>
              <w:rPr>
                <w:rFonts w:ascii="宋体" w:hAnsi="宋体" w:cs="宋体"/>
                <w:color w:val="auto"/>
                <w:sz w:val="24"/>
                <w:highlight w:val="none"/>
              </w:rPr>
            </w:pPr>
          </w:p>
        </w:tc>
        <w:tc>
          <w:tcPr>
            <w:tcW w:w="2945" w:type="dxa"/>
          </w:tcPr>
          <w:p w14:paraId="44C0DAB7">
            <w:pPr>
              <w:rPr>
                <w:rFonts w:ascii="宋体" w:hAnsi="宋体" w:cs="宋体"/>
                <w:color w:val="auto"/>
                <w:sz w:val="24"/>
                <w:highlight w:val="none"/>
              </w:rPr>
            </w:pPr>
          </w:p>
        </w:tc>
        <w:tc>
          <w:tcPr>
            <w:tcW w:w="1691" w:type="dxa"/>
          </w:tcPr>
          <w:p w14:paraId="1A42EB18">
            <w:pPr>
              <w:rPr>
                <w:rFonts w:ascii="宋体" w:hAnsi="宋体" w:cs="宋体"/>
                <w:color w:val="auto"/>
                <w:sz w:val="24"/>
                <w:highlight w:val="none"/>
              </w:rPr>
            </w:pPr>
          </w:p>
        </w:tc>
        <w:tc>
          <w:tcPr>
            <w:tcW w:w="3032" w:type="dxa"/>
          </w:tcPr>
          <w:p w14:paraId="54D769AB">
            <w:pPr>
              <w:rPr>
                <w:rFonts w:ascii="宋体" w:hAnsi="宋体" w:cs="宋体"/>
                <w:color w:val="auto"/>
                <w:sz w:val="24"/>
                <w:highlight w:val="none"/>
              </w:rPr>
            </w:pPr>
          </w:p>
        </w:tc>
      </w:tr>
      <w:tr w14:paraId="7ABE5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402" w:type="dxa"/>
          </w:tcPr>
          <w:p w14:paraId="4FB80382">
            <w:pPr>
              <w:rPr>
                <w:rFonts w:ascii="宋体" w:hAnsi="宋体" w:cs="宋体"/>
                <w:color w:val="auto"/>
                <w:sz w:val="24"/>
                <w:highlight w:val="none"/>
              </w:rPr>
            </w:pPr>
          </w:p>
        </w:tc>
        <w:tc>
          <w:tcPr>
            <w:tcW w:w="2945" w:type="dxa"/>
          </w:tcPr>
          <w:p w14:paraId="0CD6CD38">
            <w:pPr>
              <w:rPr>
                <w:rFonts w:ascii="宋体" w:hAnsi="宋体" w:cs="宋体"/>
                <w:color w:val="auto"/>
                <w:sz w:val="24"/>
                <w:highlight w:val="none"/>
              </w:rPr>
            </w:pPr>
          </w:p>
        </w:tc>
        <w:tc>
          <w:tcPr>
            <w:tcW w:w="1691" w:type="dxa"/>
          </w:tcPr>
          <w:p w14:paraId="197CC5F0">
            <w:pPr>
              <w:rPr>
                <w:rFonts w:ascii="宋体" w:hAnsi="宋体" w:cs="宋体"/>
                <w:color w:val="auto"/>
                <w:sz w:val="24"/>
                <w:highlight w:val="none"/>
              </w:rPr>
            </w:pPr>
          </w:p>
        </w:tc>
        <w:tc>
          <w:tcPr>
            <w:tcW w:w="3032" w:type="dxa"/>
          </w:tcPr>
          <w:p w14:paraId="470A3A12">
            <w:pPr>
              <w:rPr>
                <w:rFonts w:ascii="宋体" w:hAnsi="宋体" w:cs="宋体"/>
                <w:color w:val="auto"/>
                <w:sz w:val="24"/>
                <w:highlight w:val="none"/>
              </w:rPr>
            </w:pPr>
          </w:p>
        </w:tc>
      </w:tr>
      <w:tr w14:paraId="7DDD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02" w:type="dxa"/>
          </w:tcPr>
          <w:p w14:paraId="002286F3">
            <w:pPr>
              <w:rPr>
                <w:rFonts w:ascii="宋体" w:hAnsi="宋体" w:cs="宋体"/>
                <w:color w:val="auto"/>
                <w:sz w:val="24"/>
                <w:highlight w:val="none"/>
              </w:rPr>
            </w:pPr>
          </w:p>
        </w:tc>
        <w:tc>
          <w:tcPr>
            <w:tcW w:w="2945" w:type="dxa"/>
          </w:tcPr>
          <w:p w14:paraId="7863881B">
            <w:pPr>
              <w:rPr>
                <w:rFonts w:ascii="宋体" w:hAnsi="宋体" w:cs="宋体"/>
                <w:color w:val="auto"/>
                <w:sz w:val="24"/>
                <w:highlight w:val="none"/>
              </w:rPr>
            </w:pPr>
          </w:p>
        </w:tc>
        <w:tc>
          <w:tcPr>
            <w:tcW w:w="1691" w:type="dxa"/>
          </w:tcPr>
          <w:p w14:paraId="0919A1B2">
            <w:pPr>
              <w:rPr>
                <w:rFonts w:ascii="宋体" w:hAnsi="宋体" w:cs="宋体"/>
                <w:color w:val="auto"/>
                <w:sz w:val="24"/>
                <w:highlight w:val="none"/>
              </w:rPr>
            </w:pPr>
          </w:p>
        </w:tc>
        <w:tc>
          <w:tcPr>
            <w:tcW w:w="3032" w:type="dxa"/>
          </w:tcPr>
          <w:p w14:paraId="1B80359A">
            <w:pPr>
              <w:rPr>
                <w:rFonts w:ascii="宋体" w:hAnsi="宋体" w:cs="宋体"/>
                <w:color w:val="auto"/>
                <w:sz w:val="24"/>
                <w:highlight w:val="none"/>
              </w:rPr>
            </w:pPr>
          </w:p>
        </w:tc>
      </w:tr>
    </w:tbl>
    <w:p w14:paraId="7CAFE911">
      <w:pPr>
        <w:spacing w:before="180" w:line="225" w:lineRule="auto"/>
        <w:ind w:left="121"/>
        <w:rPr>
          <w:rFonts w:ascii="宋体" w:hAnsi="宋体" w:cs="宋体"/>
          <w:color w:val="auto"/>
          <w:sz w:val="24"/>
          <w:highlight w:val="none"/>
        </w:rPr>
      </w:pPr>
      <w:r>
        <w:rPr>
          <w:rFonts w:hint="eastAsia" w:ascii="宋体" w:hAnsi="宋体" w:cs="宋体"/>
          <w:color w:val="auto"/>
          <w:spacing w:val="-15"/>
          <w:sz w:val="24"/>
          <w:highlight w:val="none"/>
        </w:rPr>
        <w:t>注</w:t>
      </w:r>
      <w:r>
        <w:rPr>
          <w:rFonts w:hint="eastAsia" w:ascii="宋体" w:hAnsi="宋体" w:cs="宋体"/>
          <w:color w:val="auto"/>
          <w:spacing w:val="-13"/>
          <w:sz w:val="24"/>
          <w:highlight w:val="none"/>
        </w:rPr>
        <w:t>：</w:t>
      </w:r>
    </w:p>
    <w:p w14:paraId="63DE72C3">
      <w:pPr>
        <w:spacing w:before="178" w:line="220" w:lineRule="auto"/>
        <w:ind w:left="130"/>
        <w:rPr>
          <w:rFonts w:ascii="宋体" w:hAnsi="宋体" w:cs="宋体"/>
          <w:color w:val="auto"/>
          <w:sz w:val="24"/>
          <w:highlight w:val="none"/>
        </w:rPr>
      </w:pPr>
      <w:r>
        <w:rPr>
          <w:rFonts w:hint="eastAsia" w:ascii="宋体" w:hAnsi="宋体" w:cs="宋体"/>
          <w:color w:val="auto"/>
          <w:spacing w:val="1"/>
          <w:sz w:val="24"/>
          <w:highlight w:val="none"/>
        </w:rPr>
        <w:t>(1)</w:t>
      </w:r>
      <w:r>
        <w:rPr>
          <w:rFonts w:hint="eastAsia" w:ascii="宋体" w:hAnsi="宋体" w:cs="宋体"/>
          <w:color w:val="auto"/>
          <w:sz w:val="24"/>
          <w:highlight w:val="none"/>
        </w:rPr>
        <w:t>未附证明材料的业绩无效， 证明材料见第四章《评审方法及标准》规定。</w:t>
      </w:r>
    </w:p>
    <w:p w14:paraId="7ED184B0">
      <w:pPr>
        <w:spacing w:before="182" w:line="220" w:lineRule="auto"/>
        <w:ind w:left="130"/>
        <w:rPr>
          <w:rFonts w:ascii="宋体" w:hAnsi="宋体" w:cs="宋体"/>
          <w:color w:val="auto"/>
          <w:sz w:val="24"/>
          <w:highlight w:val="none"/>
        </w:rPr>
      </w:pPr>
      <w:r>
        <w:rPr>
          <w:rFonts w:hint="eastAsia" w:ascii="宋体" w:hAnsi="宋体" w:cs="宋体"/>
          <w:color w:val="auto"/>
          <w:spacing w:val="3"/>
          <w:sz w:val="24"/>
          <w:highlight w:val="none"/>
        </w:rPr>
        <w:t>(2)类似项目的定义见第四章《评审方法及标准》规</w:t>
      </w:r>
      <w:r>
        <w:rPr>
          <w:rFonts w:hint="eastAsia" w:ascii="宋体" w:hAnsi="宋体" w:cs="宋体"/>
          <w:color w:val="auto"/>
          <w:spacing w:val="2"/>
          <w:sz w:val="24"/>
          <w:highlight w:val="none"/>
        </w:rPr>
        <w:t>定</w:t>
      </w:r>
      <w:r>
        <w:rPr>
          <w:rFonts w:hint="eastAsia" w:ascii="宋体" w:hAnsi="宋体" w:cs="宋体"/>
          <w:color w:val="auto"/>
          <w:sz w:val="24"/>
          <w:highlight w:val="none"/>
        </w:rPr>
        <w:t>。</w:t>
      </w:r>
    </w:p>
    <w:p w14:paraId="5A069C36">
      <w:pPr>
        <w:spacing w:before="182" w:line="220" w:lineRule="auto"/>
        <w:ind w:left="127"/>
        <w:rPr>
          <w:rFonts w:ascii="宋体" w:hAnsi="宋体" w:cs="宋体"/>
          <w:color w:val="auto"/>
          <w:sz w:val="24"/>
          <w:highlight w:val="none"/>
        </w:rPr>
      </w:pPr>
      <w:r>
        <w:rPr>
          <w:rFonts w:hint="eastAsia" w:ascii="宋体" w:hAnsi="宋体" w:cs="宋体"/>
          <w:color w:val="auto"/>
          <w:spacing w:val="14"/>
          <w:sz w:val="24"/>
          <w:highlight w:val="none"/>
        </w:rPr>
        <w:t>(</w:t>
      </w:r>
      <w:r>
        <w:rPr>
          <w:rFonts w:hint="eastAsia" w:ascii="宋体" w:hAnsi="宋体" w:cs="宋体"/>
          <w:color w:val="auto"/>
          <w:spacing w:val="10"/>
          <w:sz w:val="24"/>
          <w:highlight w:val="none"/>
        </w:rPr>
        <w:t>3)本表可拓展</w:t>
      </w:r>
    </w:p>
    <w:p w14:paraId="33268271">
      <w:pPr>
        <w:snapToGrid w:val="0"/>
        <w:spacing w:before="50" w:after="156" w:afterLines="50"/>
        <w:jc w:val="left"/>
        <w:rPr>
          <w:rFonts w:ascii="宋体" w:hAnsi="宋体" w:cs="宋体"/>
          <w:color w:val="auto"/>
          <w:sz w:val="24"/>
          <w:highlight w:val="none"/>
        </w:rPr>
      </w:pPr>
    </w:p>
    <w:p w14:paraId="104464A9">
      <w:pPr>
        <w:snapToGrid w:val="0"/>
        <w:spacing w:before="50" w:after="156" w:afterLines="50"/>
        <w:jc w:val="left"/>
        <w:rPr>
          <w:rFonts w:ascii="宋体" w:hAnsi="宋体" w:cs="宋体"/>
          <w:color w:val="auto"/>
          <w:sz w:val="24"/>
          <w:highlight w:val="none"/>
        </w:rPr>
      </w:pPr>
    </w:p>
    <w:p w14:paraId="4F173110">
      <w:pPr>
        <w:snapToGrid w:val="0"/>
        <w:spacing w:before="50" w:after="156" w:afterLines="50"/>
        <w:jc w:val="left"/>
        <w:rPr>
          <w:rFonts w:hint="eastAsia" w:ascii="宋体" w:hAnsi="宋体" w:cs="宋体"/>
          <w:color w:val="auto"/>
          <w:sz w:val="24"/>
          <w:highlight w:val="non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22DD2E3">
      <w:pPr>
        <w:snapToGrid w:val="0"/>
        <w:spacing w:before="50" w:after="156" w:afterLines="50"/>
        <w:jc w:val="left"/>
        <w:rPr>
          <w:rFonts w:ascii="宋体" w:hAnsi="宋体" w:cs="宋体"/>
          <w:color w:val="auto"/>
          <w:sz w:val="24"/>
          <w:szCs w:val="20"/>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07E8C39">
      <w:pPr>
        <w:spacing w:line="300" w:lineRule="auto"/>
        <w:rPr>
          <w:rFonts w:ascii="宋体" w:hAnsi="宋体" w:cs="宋体"/>
          <w:b/>
          <w:bCs/>
          <w:color w:val="auto"/>
          <w:sz w:val="24"/>
          <w:highlight w:val="none"/>
        </w:rPr>
      </w:pPr>
    </w:p>
    <w:p w14:paraId="43785792">
      <w:pPr>
        <w:spacing w:line="300" w:lineRule="auto"/>
        <w:rPr>
          <w:rFonts w:ascii="宋体" w:hAnsi="宋体" w:cs="宋体"/>
          <w:b/>
          <w:bCs/>
          <w:color w:val="auto"/>
          <w:sz w:val="24"/>
          <w:highlight w:val="none"/>
        </w:rPr>
      </w:pPr>
    </w:p>
    <w:p w14:paraId="13E4F93E">
      <w:pPr>
        <w:spacing w:line="300" w:lineRule="auto"/>
        <w:rPr>
          <w:rFonts w:ascii="宋体" w:hAnsi="宋体" w:cs="宋体"/>
          <w:b/>
          <w:bCs/>
          <w:color w:val="auto"/>
          <w:sz w:val="24"/>
          <w:highlight w:val="none"/>
        </w:rPr>
      </w:pPr>
    </w:p>
    <w:p w14:paraId="0189F06B">
      <w:pPr>
        <w:spacing w:line="300" w:lineRule="auto"/>
        <w:rPr>
          <w:rFonts w:ascii="宋体" w:hAnsi="宋体" w:cs="宋体"/>
          <w:b/>
          <w:bCs/>
          <w:color w:val="auto"/>
          <w:sz w:val="24"/>
          <w:highlight w:val="none"/>
        </w:rPr>
      </w:pPr>
    </w:p>
    <w:p w14:paraId="1A2B7CD6">
      <w:pPr>
        <w:spacing w:line="300" w:lineRule="auto"/>
        <w:rPr>
          <w:rFonts w:ascii="宋体" w:hAnsi="宋体" w:cs="宋体"/>
          <w:b/>
          <w:bCs/>
          <w:color w:val="auto"/>
          <w:sz w:val="24"/>
          <w:highlight w:val="none"/>
        </w:rPr>
      </w:pPr>
    </w:p>
    <w:p w14:paraId="1DA15462">
      <w:pPr>
        <w:spacing w:line="300" w:lineRule="auto"/>
        <w:rPr>
          <w:rFonts w:ascii="宋体" w:hAnsi="宋体" w:cs="宋体"/>
          <w:b/>
          <w:bCs/>
          <w:color w:val="auto"/>
          <w:sz w:val="24"/>
          <w:highlight w:val="none"/>
        </w:rPr>
      </w:pPr>
    </w:p>
    <w:p w14:paraId="060B68C0">
      <w:pPr>
        <w:spacing w:line="300" w:lineRule="auto"/>
        <w:rPr>
          <w:rFonts w:ascii="宋体" w:hAnsi="宋体" w:cs="宋体"/>
          <w:b/>
          <w:bCs/>
          <w:color w:val="auto"/>
          <w:sz w:val="24"/>
          <w:highlight w:val="none"/>
        </w:rPr>
      </w:pPr>
    </w:p>
    <w:p w14:paraId="7BEB76A2">
      <w:pPr>
        <w:spacing w:line="300" w:lineRule="auto"/>
        <w:rPr>
          <w:rFonts w:ascii="宋体" w:hAnsi="宋体" w:cs="宋体"/>
          <w:b/>
          <w:bCs/>
          <w:color w:val="auto"/>
          <w:sz w:val="24"/>
          <w:highlight w:val="none"/>
        </w:rPr>
      </w:pPr>
    </w:p>
    <w:p w14:paraId="518698DF">
      <w:pPr>
        <w:spacing w:line="300" w:lineRule="auto"/>
        <w:rPr>
          <w:rFonts w:ascii="宋体" w:hAnsi="宋体" w:cs="宋体"/>
          <w:b/>
          <w:bCs/>
          <w:color w:val="auto"/>
          <w:sz w:val="24"/>
          <w:highlight w:val="none"/>
        </w:rPr>
      </w:pPr>
    </w:p>
    <w:p w14:paraId="6FD31542">
      <w:pPr>
        <w:spacing w:line="300" w:lineRule="auto"/>
        <w:rPr>
          <w:rFonts w:ascii="宋体" w:hAnsi="宋体" w:cs="宋体"/>
          <w:b/>
          <w:bCs/>
          <w:color w:val="auto"/>
          <w:sz w:val="24"/>
          <w:highlight w:val="none"/>
        </w:rPr>
      </w:pPr>
    </w:p>
    <w:p w14:paraId="4645D7DC">
      <w:pPr>
        <w:spacing w:line="300" w:lineRule="auto"/>
        <w:rPr>
          <w:rFonts w:ascii="宋体" w:hAnsi="宋体" w:cs="宋体"/>
          <w:color w:val="auto"/>
          <w:szCs w:val="21"/>
          <w:highlight w:val="none"/>
        </w:rPr>
      </w:pPr>
      <w:r>
        <w:rPr>
          <w:rFonts w:hint="eastAsia" w:ascii="宋体" w:hAnsi="宋体" w:cs="宋体"/>
          <w:b/>
          <w:bCs/>
          <w:color w:val="auto"/>
          <w:sz w:val="24"/>
          <w:highlight w:val="none"/>
        </w:rPr>
        <w:t>其他文书、文件格式</w:t>
      </w:r>
    </w:p>
    <w:p w14:paraId="302E927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149D0218">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08ABF7E">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A18B6F6">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787B67F">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E864BAA">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47D96EB9">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86341AE">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0F8ABA7">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221B76E4">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E176A2A">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4F9DA66">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178DBC23">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71E5902C">
      <w:pPr>
        <w:pStyle w:val="19"/>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624CA970">
      <w:pPr>
        <w:pStyle w:val="19"/>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48A4BE86">
      <w:pPr>
        <w:pStyle w:val="19"/>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32AF0D54">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45C551C8">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CA2F8F0">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34106DB4">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03BBB720">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7919AEF5">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1BE9B292">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6DB74A7C">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67FEE86E">
      <w:pPr>
        <w:pStyle w:val="19"/>
        <w:spacing w:line="360" w:lineRule="auto"/>
        <w:ind w:left="25" w:leftChars="12" w:firstLine="352" w:firstLineChars="147"/>
        <w:rPr>
          <w:rFonts w:hAnsi="宋体" w:cs="宋体"/>
          <w:color w:val="auto"/>
          <w:sz w:val="24"/>
          <w:szCs w:val="24"/>
          <w:highlight w:val="none"/>
        </w:rPr>
      </w:pPr>
    </w:p>
    <w:p w14:paraId="3CFF1A14">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2F44BB7">
      <w:pPr>
        <w:pStyle w:val="19"/>
        <w:spacing w:line="360" w:lineRule="auto"/>
        <w:ind w:left="25" w:leftChars="12" w:firstLine="352" w:firstLineChars="147"/>
        <w:rPr>
          <w:rFonts w:hAnsi="宋体" w:cs="宋体"/>
          <w:color w:val="auto"/>
          <w:sz w:val="24"/>
          <w:szCs w:val="24"/>
          <w:highlight w:val="none"/>
        </w:rPr>
      </w:pPr>
    </w:p>
    <w:p w14:paraId="2EA02E4E">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48ED92E">
      <w:pPr>
        <w:pStyle w:val="19"/>
        <w:snapToGrid w:val="0"/>
        <w:spacing w:line="360" w:lineRule="auto"/>
        <w:rPr>
          <w:rFonts w:hAnsi="宋体" w:cs="宋体"/>
          <w:b/>
          <w:color w:val="auto"/>
          <w:sz w:val="24"/>
          <w:szCs w:val="24"/>
          <w:highlight w:val="none"/>
        </w:rPr>
      </w:pPr>
    </w:p>
    <w:p w14:paraId="4F5497AD">
      <w:pPr>
        <w:pStyle w:val="19"/>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7140767">
      <w:pPr>
        <w:pStyle w:val="19"/>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9071A67">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27A798">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08D7020E">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34F47D16">
      <w:pPr>
        <w:pStyle w:val="19"/>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69B41933">
      <w:pPr>
        <w:pStyle w:val="19"/>
        <w:snapToGrid w:val="0"/>
        <w:rPr>
          <w:rFonts w:hAnsi="宋体" w:cs="宋体"/>
          <w:b/>
          <w:color w:val="auto"/>
          <w:sz w:val="24"/>
          <w:szCs w:val="24"/>
          <w:highlight w:val="none"/>
        </w:rPr>
      </w:pPr>
    </w:p>
    <w:p w14:paraId="0A5A6E34">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09D5078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41BB2361">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71FE3D8A">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A4F7316">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88FE9CA">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5363C382">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E1276D0">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3D373E7">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094FD97">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2A207EEE">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71D929D">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F9D7ACF">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21F7C9C4">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7063F3EE">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6CD7FBC">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47909C4">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8598393">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5EAC9CE">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2964F503">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526BB36">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2990F97">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35F4EB87">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C14578A">
      <w:pPr>
        <w:pStyle w:val="19"/>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F3C2D10">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EA1F46E">
      <w:pPr>
        <w:pStyle w:val="19"/>
        <w:spacing w:line="360" w:lineRule="auto"/>
        <w:ind w:left="25" w:leftChars="12" w:firstLine="952" w:firstLineChars="397"/>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79D196A4">
      <w:pPr>
        <w:pStyle w:val="19"/>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C0DB573">
      <w:pPr>
        <w:pStyle w:val="19"/>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467E470C">
      <w:pPr>
        <w:pStyle w:val="19"/>
        <w:spacing w:line="360" w:lineRule="auto"/>
        <w:ind w:firstLine="241"/>
        <w:rPr>
          <w:rFonts w:hAnsi="宋体" w:cs="宋体"/>
          <w:color w:val="auto"/>
          <w:sz w:val="24"/>
          <w:szCs w:val="24"/>
          <w:highlight w:val="non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5748DFEF">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C363575">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04473488">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9EE4170">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056B47AF">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B537B91">
      <w:pPr>
        <w:pStyle w:val="19"/>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ADCEFDF">
      <w:pPr>
        <w:pStyle w:val="19"/>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171DE553">
      <w:pPr>
        <w:pStyle w:val="19"/>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07EC027">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44E26C64">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70DA5D2">
      <w:pPr>
        <w:pStyle w:val="19"/>
        <w:spacing w:line="360" w:lineRule="auto"/>
        <w:ind w:left="25" w:leftChars="12" w:firstLine="352" w:firstLineChars="147"/>
        <w:rPr>
          <w:rFonts w:hAnsi="宋体" w:cs="宋体"/>
          <w:color w:val="auto"/>
          <w:sz w:val="24"/>
          <w:szCs w:val="24"/>
          <w:highlight w:val="none"/>
        </w:rPr>
      </w:pPr>
    </w:p>
    <w:p w14:paraId="5B77E3B8">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514FBACE">
      <w:pPr>
        <w:pStyle w:val="19"/>
        <w:spacing w:line="360" w:lineRule="auto"/>
        <w:ind w:left="25" w:leftChars="12" w:firstLine="352" w:firstLineChars="147"/>
        <w:rPr>
          <w:rFonts w:hAnsi="宋体" w:cs="宋体"/>
          <w:color w:val="auto"/>
          <w:sz w:val="24"/>
          <w:szCs w:val="24"/>
          <w:highlight w:val="none"/>
        </w:rPr>
      </w:pPr>
    </w:p>
    <w:p w14:paraId="7D3F48AD">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010A8FCD">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7FD1FF58">
      <w:pPr>
        <w:pStyle w:val="19"/>
        <w:snapToGrid w:val="0"/>
        <w:spacing w:line="360" w:lineRule="auto"/>
        <w:rPr>
          <w:rFonts w:hAnsi="宋体" w:cs="宋体"/>
          <w:b/>
          <w:color w:val="auto"/>
          <w:sz w:val="24"/>
          <w:szCs w:val="24"/>
          <w:highlight w:val="none"/>
        </w:rPr>
      </w:pPr>
    </w:p>
    <w:p w14:paraId="07B0FE36">
      <w:pPr>
        <w:pStyle w:val="19"/>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F05A6F1">
      <w:pPr>
        <w:pStyle w:val="19"/>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76632B10">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F080CA3">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723EEA22">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0B5CE539">
      <w:pPr>
        <w:pStyle w:val="19"/>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2A7FB139">
      <w:pPr>
        <w:pStyle w:val="19"/>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461D4244">
      <w:pPr>
        <w:pStyle w:val="4"/>
        <w:spacing w:line="520" w:lineRule="exact"/>
        <w:jc w:val="center"/>
        <w:rPr>
          <w:rFonts w:ascii="宋体" w:hAnsi="宋体" w:cs="宋体"/>
          <w:color w:val="auto"/>
          <w:highlight w:val="none"/>
        </w:rPr>
      </w:pPr>
      <w:r>
        <w:rPr>
          <w:rFonts w:hint="eastAsia" w:ascii="宋体" w:hAnsi="宋体" w:cs="宋体"/>
          <w:color w:val="auto"/>
          <w:highlight w:val="none"/>
        </w:rPr>
        <w:br w:type="page"/>
      </w:r>
      <w:bookmarkStart w:id="171" w:name="_Toc24421"/>
      <w:bookmarkStart w:id="172" w:name="_Toc24489"/>
      <w:r>
        <w:rPr>
          <w:rFonts w:hint="eastAsia" w:ascii="宋体" w:hAnsi="宋体" w:cs="宋体"/>
          <w:color w:val="auto"/>
          <w:highlight w:val="none"/>
        </w:rPr>
        <w:t>第六章 合同文本</w:t>
      </w:r>
      <w:bookmarkEnd w:id="171"/>
      <w:bookmarkEnd w:id="172"/>
    </w:p>
    <w:p w14:paraId="221DB614">
      <w:pPr>
        <w:spacing w:line="360" w:lineRule="auto"/>
        <w:rPr>
          <w:rFonts w:hint="eastAsia" w:ascii="宋体" w:hAnsi="宋体" w:eastAsia="宋体" w:cs="宋体"/>
          <w:color w:val="auto"/>
          <w:sz w:val="24"/>
          <w:highlight w:val="none"/>
        </w:rPr>
      </w:pPr>
    </w:p>
    <w:p w14:paraId="33A010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“广西政府采购云平台”合同编号：</w:t>
      </w:r>
      <w:r>
        <w:rPr>
          <w:rFonts w:hint="eastAsia" w:ascii="宋体" w:hAnsi="宋体" w:eastAsia="宋体" w:cs="宋体"/>
          <w:color w:val="auto"/>
          <w:sz w:val="24"/>
          <w:highlight w:val="none"/>
          <w:u w:val="single"/>
        </w:rPr>
        <w:t xml:space="preserve">           </w:t>
      </w:r>
    </w:p>
    <w:p w14:paraId="730001AC">
      <w:pPr>
        <w:spacing w:line="360" w:lineRule="auto"/>
        <w:jc w:val="center"/>
        <w:rPr>
          <w:rFonts w:hint="eastAsia" w:ascii="宋体" w:hAnsi="宋体" w:eastAsia="宋体" w:cs="宋体"/>
          <w:b/>
          <w:bCs/>
          <w:color w:val="auto"/>
          <w:sz w:val="52"/>
          <w:highlight w:val="none"/>
        </w:rPr>
      </w:pPr>
    </w:p>
    <w:p w14:paraId="07CEBE70">
      <w:pPr>
        <w:spacing w:line="360" w:lineRule="auto"/>
        <w:jc w:val="center"/>
        <w:rPr>
          <w:rFonts w:hint="eastAsia" w:ascii="宋体" w:hAnsi="宋体" w:eastAsia="宋体" w:cs="宋体"/>
          <w:b/>
          <w:bCs/>
          <w:color w:val="auto"/>
          <w:sz w:val="52"/>
          <w:highlight w:val="none"/>
        </w:rPr>
      </w:pPr>
    </w:p>
    <w:p w14:paraId="0102C8E7">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政 府 采 购</w:t>
      </w:r>
    </w:p>
    <w:p w14:paraId="033C7795">
      <w:pPr>
        <w:spacing w:line="360" w:lineRule="auto"/>
        <w:ind w:firstLine="420" w:firstLineChars="200"/>
        <w:rPr>
          <w:rFonts w:hint="eastAsia" w:ascii="宋体" w:hAnsi="宋体" w:eastAsia="宋体" w:cs="宋体"/>
          <w:color w:val="auto"/>
          <w:highlight w:val="none"/>
        </w:rPr>
      </w:pPr>
    </w:p>
    <w:p w14:paraId="121414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6305588">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u w:val="single"/>
          <w:lang w:val="en-US" w:eastAsia="zh-CN"/>
        </w:rPr>
        <w:t xml:space="preserve">  （项目名称）        </w:t>
      </w:r>
      <w:r>
        <w:rPr>
          <w:rFonts w:hint="eastAsia" w:ascii="宋体" w:hAnsi="宋体" w:eastAsia="宋体" w:cs="宋体"/>
          <w:b/>
          <w:bCs/>
          <w:color w:val="auto"/>
          <w:sz w:val="44"/>
          <w:highlight w:val="none"/>
        </w:rPr>
        <w:t>合同</w:t>
      </w:r>
    </w:p>
    <w:p w14:paraId="2AB400A4">
      <w:pPr>
        <w:spacing w:line="360" w:lineRule="auto"/>
        <w:ind w:firstLine="3507" w:firstLineChars="794"/>
        <w:rPr>
          <w:rFonts w:hint="eastAsia" w:ascii="宋体" w:hAnsi="宋体" w:eastAsia="宋体" w:cs="宋体"/>
          <w:b/>
          <w:bCs/>
          <w:color w:val="auto"/>
          <w:sz w:val="44"/>
          <w:highlight w:val="none"/>
        </w:rPr>
      </w:pPr>
    </w:p>
    <w:p w14:paraId="60AD6AD3">
      <w:pPr>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 xml:space="preserve">                   </w:t>
      </w:r>
    </w:p>
    <w:p w14:paraId="43958DBC">
      <w:pPr>
        <w:ind w:firstLine="1970" w:firstLineChars="545"/>
        <w:rPr>
          <w:rFonts w:hint="eastAsia" w:ascii="宋体" w:hAnsi="宋体" w:eastAsia="宋体" w:cs="宋体"/>
          <w:b/>
          <w:color w:val="auto"/>
          <w:sz w:val="36"/>
          <w:szCs w:val="36"/>
          <w:highlight w:val="none"/>
          <w:u w:val="single"/>
        </w:rPr>
      </w:pPr>
    </w:p>
    <w:p w14:paraId="17371BE2">
      <w:pPr>
        <w:pStyle w:val="2"/>
        <w:rPr>
          <w:rFonts w:hint="eastAsia" w:ascii="宋体" w:hAnsi="宋体" w:eastAsia="宋体" w:cs="宋体"/>
          <w:b/>
          <w:color w:val="auto"/>
          <w:sz w:val="36"/>
          <w:szCs w:val="36"/>
          <w:highlight w:val="none"/>
          <w:u w:val="single"/>
        </w:rPr>
      </w:pPr>
    </w:p>
    <w:p w14:paraId="4B4FDAE3">
      <w:pPr>
        <w:pStyle w:val="2"/>
        <w:rPr>
          <w:rFonts w:hint="eastAsia" w:ascii="宋体" w:hAnsi="宋体" w:eastAsia="宋体" w:cs="宋体"/>
          <w:b/>
          <w:color w:val="auto"/>
          <w:sz w:val="36"/>
          <w:szCs w:val="36"/>
          <w:highlight w:val="none"/>
          <w:u w:val="single"/>
        </w:rPr>
      </w:pPr>
    </w:p>
    <w:p w14:paraId="762B7C04">
      <w:pPr>
        <w:pStyle w:val="2"/>
        <w:rPr>
          <w:rFonts w:hint="eastAsia" w:ascii="宋体" w:hAnsi="宋体" w:eastAsia="宋体" w:cs="宋体"/>
          <w:b/>
          <w:color w:val="auto"/>
          <w:sz w:val="36"/>
          <w:szCs w:val="36"/>
          <w:highlight w:val="none"/>
          <w:u w:val="single"/>
        </w:rPr>
      </w:pPr>
    </w:p>
    <w:p w14:paraId="088DBF40">
      <w:pPr>
        <w:pStyle w:val="2"/>
        <w:rPr>
          <w:rFonts w:hint="eastAsia" w:ascii="宋体" w:hAnsi="宋体" w:eastAsia="宋体" w:cs="宋体"/>
          <w:b/>
          <w:color w:val="auto"/>
          <w:sz w:val="36"/>
          <w:szCs w:val="36"/>
          <w:highlight w:val="none"/>
          <w:u w:val="single"/>
        </w:rPr>
      </w:pPr>
    </w:p>
    <w:p w14:paraId="5B47B80A">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eastAsia="zh-CN"/>
        </w:rPr>
        <w:t>百色市右江区自然资源局</w:t>
      </w:r>
      <w:r>
        <w:rPr>
          <w:rFonts w:hint="eastAsia" w:ascii="宋体" w:hAnsi="宋体" w:eastAsia="宋体" w:cs="宋体"/>
          <w:b/>
          <w:color w:val="auto"/>
          <w:sz w:val="36"/>
          <w:szCs w:val="36"/>
          <w:highlight w:val="none"/>
          <w:u w:val="single"/>
        </w:rPr>
        <w:t xml:space="preserve">  </w:t>
      </w:r>
    </w:p>
    <w:p w14:paraId="4F9381D8">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0CF23750">
      <w:pPr>
        <w:spacing w:before="120" w:line="360" w:lineRule="auto"/>
        <w:ind w:firstLine="960" w:firstLineChars="400"/>
        <w:rPr>
          <w:rFonts w:hint="eastAsia" w:ascii="宋体" w:hAnsi="宋体" w:eastAsia="宋体" w:cs="宋体"/>
          <w:color w:val="auto"/>
          <w:sz w:val="24"/>
          <w:highlight w:val="none"/>
        </w:rPr>
      </w:pPr>
    </w:p>
    <w:p w14:paraId="592FFEA1">
      <w:pPr>
        <w:spacing w:before="120" w:line="360" w:lineRule="auto"/>
        <w:ind w:firstLine="960" w:firstLineChars="400"/>
        <w:rPr>
          <w:rFonts w:hint="eastAsia" w:ascii="宋体" w:hAnsi="宋体" w:eastAsia="宋体" w:cs="宋体"/>
          <w:color w:val="auto"/>
          <w:sz w:val="24"/>
          <w:highlight w:val="none"/>
        </w:rPr>
      </w:pPr>
    </w:p>
    <w:p w14:paraId="04531AA6">
      <w:pPr>
        <w:spacing w:before="120" w:line="360" w:lineRule="auto"/>
        <w:ind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34FCC51">
      <w:pPr>
        <w:pStyle w:val="19"/>
        <w:snapToGrid w:val="0"/>
        <w:spacing w:line="400" w:lineRule="exact"/>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36"/>
          <w:highlight w:val="none"/>
        </w:rPr>
        <w:t>拟签订的合同文本</w:t>
      </w:r>
    </w:p>
    <w:p w14:paraId="26C61CD4">
      <w:pPr>
        <w:pStyle w:val="19"/>
        <w:snapToGrid w:val="0"/>
        <w:spacing w:line="400" w:lineRule="exact"/>
        <w:rPr>
          <w:rFonts w:hint="eastAsia" w:ascii="宋体" w:hAnsi="宋体" w:eastAsia="宋体" w:cs="宋体"/>
          <w:b/>
          <w:bCs/>
          <w:color w:val="auto"/>
          <w:sz w:val="44"/>
          <w:highlight w:val="none"/>
        </w:rPr>
      </w:pPr>
    </w:p>
    <w:p w14:paraId="1DF7826F">
      <w:pPr>
        <w:pStyle w:val="19"/>
        <w:snapToGrid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345CF801">
      <w:pPr>
        <w:pStyle w:val="19"/>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1、本合同书仅供签订正式合同时参考用，正式合同书应包括此参考格式之内容。</w:t>
      </w:r>
    </w:p>
    <w:p w14:paraId="415527BB">
      <w:pPr>
        <w:pStyle w:val="19"/>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2、合同签订双方可根据项目的具体要求进行修订，但合同条款不得与采购文件和</w:t>
      </w:r>
      <w:r>
        <w:rPr>
          <w:rFonts w:hint="eastAsia" w:ascii="宋体" w:hAnsi="宋体" w:eastAsia="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供应商</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文件有实质性偏离。</w:t>
      </w:r>
    </w:p>
    <w:p w14:paraId="5EED607A">
      <w:pPr>
        <w:pStyle w:val="19"/>
        <w:snapToGrid w:val="0"/>
        <w:spacing w:line="400" w:lineRule="exact"/>
        <w:rPr>
          <w:rFonts w:hint="eastAsia" w:ascii="宋体" w:hAnsi="宋体" w:eastAsia="宋体" w:cs="宋体"/>
          <w:color w:val="auto"/>
          <w:sz w:val="24"/>
          <w:szCs w:val="24"/>
          <w:highlight w:val="none"/>
        </w:rPr>
      </w:pPr>
    </w:p>
    <w:p w14:paraId="78BAB23F">
      <w:pPr>
        <w:rPr>
          <w:rFonts w:hint="eastAsia" w:ascii="宋体" w:hAnsi="宋体" w:eastAsia="宋体" w:cs="宋体"/>
          <w:color w:val="auto"/>
          <w:sz w:val="24"/>
          <w:szCs w:val="24"/>
          <w:highlight w:val="none"/>
        </w:rPr>
      </w:pPr>
    </w:p>
    <w:p w14:paraId="0CAB6F51">
      <w:pPr>
        <w:pStyle w:val="2"/>
        <w:rPr>
          <w:rFonts w:hint="eastAsia" w:ascii="宋体" w:hAnsi="宋体" w:eastAsia="宋体" w:cs="宋体"/>
          <w:color w:val="auto"/>
          <w:sz w:val="24"/>
          <w:szCs w:val="24"/>
          <w:highlight w:val="none"/>
        </w:rPr>
      </w:pPr>
    </w:p>
    <w:p w14:paraId="502A4BF0">
      <w:pPr>
        <w:pStyle w:val="19"/>
        <w:snapToGrid w:val="0"/>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合同名称：</w:t>
      </w:r>
      <w:r>
        <w:rPr>
          <w:rFonts w:hint="eastAsia" w:ascii="宋体" w:hAnsi="宋体" w:eastAsia="宋体" w:cs="宋体"/>
          <w:color w:val="auto"/>
          <w:sz w:val="24"/>
          <w:szCs w:val="24"/>
          <w:highlight w:val="none"/>
          <w:u w:val="single"/>
        </w:rPr>
        <w:t xml:space="preserve">                                </w:t>
      </w:r>
    </w:p>
    <w:p w14:paraId="13618EC5">
      <w:pPr>
        <w:pStyle w:val="19"/>
        <w:snapToGrid w:val="0"/>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F0170ED">
      <w:pPr>
        <w:pStyle w:val="19"/>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6A3EEB22">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Style w:val="84"/>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rPr>
        <w:t xml:space="preserve">人）  </w:t>
      </w:r>
    </w:p>
    <w:p w14:paraId="4D52A7B0">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（成交人）  </w:t>
      </w:r>
    </w:p>
    <w:p w14:paraId="182B39F0">
      <w:pPr>
        <w:pStyle w:val="19"/>
        <w:snapToGrid w:val="0"/>
        <w:spacing w:line="400" w:lineRule="exact"/>
        <w:ind w:firstLine="840" w:firstLineChars="350"/>
        <w:rPr>
          <w:rFonts w:hint="eastAsia" w:ascii="宋体" w:hAnsi="宋体" w:eastAsia="宋体" w:cs="宋体"/>
          <w:color w:val="auto"/>
          <w:sz w:val="24"/>
          <w:szCs w:val="24"/>
          <w:highlight w:val="none"/>
        </w:rPr>
      </w:pPr>
    </w:p>
    <w:p w14:paraId="2DFCD3FB">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甲乙双方同意按下述条款和条件签署本合同书（以下简称合同）：</w:t>
      </w:r>
    </w:p>
    <w:p w14:paraId="030AB703">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本合同所附下列文件是构成本合同不可分割的部分：</w:t>
      </w:r>
    </w:p>
    <w:p w14:paraId="0AC06095">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（1）供应商提交的全部响应文件和评审过程中经磋商小组和供应商确认签字的补充文件</w:t>
      </w:r>
    </w:p>
    <w:p w14:paraId="0973092C">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w:t>
      </w:r>
    </w:p>
    <w:p w14:paraId="25259DA2">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14:paraId="45520560">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（4）甲、乙双方商定的补充协议。</w:t>
      </w:r>
    </w:p>
    <w:p w14:paraId="5E5844CC">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本合同是指买方（以下简称甲方）和成交人（以下简称乙方）应共同遵守的基本原则，并作为双方签约的依据。对于合同的其他条款，双方应本着互谅互让的精神，在谈判中协商解决。</w:t>
      </w:r>
    </w:p>
    <w:p w14:paraId="640C1853">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制订本合同的依据是：《中华人民共和国政府采购法》、《中华人民共和国民法典》</w:t>
      </w:r>
    </w:p>
    <w:p w14:paraId="0E1E032A">
      <w:pPr>
        <w:pStyle w:val="19"/>
        <w:numPr>
          <w:ilvl w:val="0"/>
          <w:numId w:val="5"/>
        </w:numPr>
        <w:snapToGrid w:val="0"/>
        <w:spacing w:line="40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 作业范</w:t>
      </w:r>
      <w:r>
        <w:rPr>
          <w:rFonts w:hint="eastAsia" w:ascii="宋体" w:hAnsi="宋体" w:eastAsia="宋体" w:cs="宋体"/>
          <w:b/>
          <w:color w:val="auto"/>
          <w:sz w:val="24"/>
          <w:szCs w:val="24"/>
          <w:highlight w:val="none"/>
          <w:u w:val="none"/>
        </w:rPr>
        <w:t>围：</w:t>
      </w:r>
      <w:r>
        <w:rPr>
          <w:rFonts w:hint="eastAsia" w:ascii="宋体" w:hAnsi="宋体" w:eastAsia="宋体" w:cs="宋体"/>
          <w:b/>
          <w:color w:val="auto"/>
          <w:sz w:val="24"/>
          <w:szCs w:val="24"/>
          <w:highlight w:val="none"/>
          <w:u w:val="single"/>
          <w:lang w:val="en-US" w:eastAsia="zh-CN"/>
        </w:rPr>
        <w:t xml:space="preserve">                         </w:t>
      </w:r>
    </w:p>
    <w:p w14:paraId="3F8EE1DA">
      <w:pPr>
        <w:spacing w:line="400" w:lineRule="exact"/>
        <w:ind w:firstLine="480" w:firstLineChars="200"/>
        <w:rPr>
          <w:rFonts w:hint="eastAsia" w:ascii="宋体" w:hAnsi="宋体" w:eastAsia="宋体" w:cs="宋体"/>
          <w:color w:val="auto"/>
          <w:sz w:val="24"/>
          <w:szCs w:val="24"/>
          <w:highlight w:val="none"/>
        </w:rPr>
      </w:pPr>
    </w:p>
    <w:p w14:paraId="0495502A">
      <w:pPr>
        <w:pStyle w:val="19"/>
        <w:numPr>
          <w:ilvl w:val="0"/>
          <w:numId w:val="5"/>
        </w:numPr>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工作内容：</w:t>
      </w:r>
      <w:r>
        <w:rPr>
          <w:rFonts w:hint="eastAsia" w:ascii="宋体" w:hAnsi="宋体" w:eastAsia="宋体" w:cs="宋体"/>
          <w:b/>
          <w:color w:val="auto"/>
          <w:sz w:val="24"/>
          <w:szCs w:val="24"/>
          <w:highlight w:val="none"/>
          <w:u w:val="single"/>
          <w:lang w:val="en-US" w:eastAsia="zh-CN"/>
        </w:rPr>
        <w:t xml:space="preserve">                         </w:t>
      </w:r>
    </w:p>
    <w:p w14:paraId="4D7B4B4E">
      <w:pPr>
        <w:pStyle w:val="19"/>
        <w:snapToGrid w:val="0"/>
        <w:spacing w:line="400" w:lineRule="exact"/>
        <w:ind w:firstLine="480" w:firstLineChars="200"/>
        <w:jc w:val="left"/>
        <w:rPr>
          <w:rFonts w:hint="eastAsia" w:ascii="宋体" w:hAnsi="宋体" w:eastAsia="宋体" w:cs="宋体"/>
          <w:color w:val="auto"/>
          <w:sz w:val="24"/>
          <w:szCs w:val="24"/>
          <w:highlight w:val="none"/>
        </w:rPr>
      </w:pPr>
    </w:p>
    <w:p w14:paraId="795002A3">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作业技术标准和依据及要求：</w:t>
      </w:r>
      <w:r>
        <w:rPr>
          <w:rFonts w:hint="eastAsia" w:ascii="宋体" w:hAnsi="宋体" w:eastAsia="宋体" w:cs="宋体"/>
          <w:b/>
          <w:color w:val="auto"/>
          <w:sz w:val="24"/>
          <w:szCs w:val="24"/>
          <w:highlight w:val="none"/>
          <w:u w:val="single"/>
          <w:lang w:val="en-US" w:eastAsia="zh-CN"/>
        </w:rPr>
        <w:t xml:space="preserve">                         </w:t>
      </w:r>
    </w:p>
    <w:p w14:paraId="28C69F63">
      <w:pPr>
        <w:pStyle w:val="19"/>
        <w:snapToGrid w:val="0"/>
        <w:spacing w:line="400" w:lineRule="exact"/>
        <w:ind w:firstLine="480" w:firstLineChars="200"/>
        <w:rPr>
          <w:rFonts w:hint="eastAsia" w:ascii="宋体" w:hAnsi="宋体" w:eastAsia="宋体" w:cs="宋体"/>
          <w:color w:val="auto"/>
          <w:sz w:val="24"/>
          <w:szCs w:val="24"/>
          <w:highlight w:val="none"/>
        </w:rPr>
      </w:pPr>
    </w:p>
    <w:p w14:paraId="3D3AC5FB">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服务费及支付方式：</w:t>
      </w:r>
    </w:p>
    <w:p w14:paraId="01EB05C7">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4.1项目合同总价款：</w:t>
      </w:r>
    </w:p>
    <w:p w14:paraId="1C481032">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4.2服务费支付方式</w:t>
      </w:r>
    </w:p>
    <w:p w14:paraId="0B85489C">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（1）合同签订后10个工作日内，采购人向成交供应商支付合同总价30%作为预付款；</w:t>
      </w:r>
    </w:p>
    <w:p w14:paraId="05F471A4">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（2）成交供应商完成成果，并通过市级论证后10个工作日内，采购人向成交供应商支付合同总价的60%。</w:t>
      </w:r>
    </w:p>
    <w:p w14:paraId="421F9732">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（3）成交供应商提交成果至自治区自然资源厅后10个工作日内，采购人支付合同总价10%。</w:t>
      </w:r>
    </w:p>
    <w:p w14:paraId="4220D87E">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（4）成交供应商按规定向采购人开具正式发票。</w:t>
      </w:r>
    </w:p>
    <w:p w14:paraId="189C0F92">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甲方义务</w:t>
      </w:r>
    </w:p>
    <w:p w14:paraId="5640FAF9">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1、协助乙方顺利进入现场工作，并为乙方提供工作便利。</w:t>
      </w:r>
    </w:p>
    <w:p w14:paraId="2B0D671A">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2、负责组织协调权属调查工作。</w:t>
      </w:r>
    </w:p>
    <w:p w14:paraId="09FBE40B">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乙方的义务</w:t>
      </w:r>
    </w:p>
    <w:p w14:paraId="514C5F50">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1、签订合同后X天内进场开始相关工作。</w:t>
      </w:r>
    </w:p>
    <w:p w14:paraId="6C880F32">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2、乙方应按合同规定的工作内容和要求确保项目的完成。</w:t>
      </w:r>
    </w:p>
    <w:p w14:paraId="01177E36">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3、项目生产成果经验收合格后，成交人完成按合同要求移交数据成果，按后续服务承诺提供后续服务。</w:t>
      </w:r>
    </w:p>
    <w:p w14:paraId="26B308BB">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乙方向甲方交付成果：</w:t>
      </w:r>
    </w:p>
    <w:p w14:paraId="30D6F90E">
      <w:pPr>
        <w:widowControl/>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合同签订之日起至30天内提交成果。</w:t>
      </w:r>
    </w:p>
    <w:p w14:paraId="45CF8155">
      <w:pPr>
        <w:pStyle w:val="19"/>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第八条</w:t>
      </w:r>
      <w:r>
        <w:rPr>
          <w:rFonts w:hint="eastAsia" w:ascii="宋体" w:hAnsi="宋体" w:eastAsia="宋体" w:cs="宋体"/>
          <w:color w:val="auto"/>
          <w:sz w:val="24"/>
          <w:szCs w:val="24"/>
          <w:highlight w:val="none"/>
        </w:rPr>
        <w:t xml:space="preserve">  对乙方生产成果的所有权、使用权和著作权归属的约定：</w:t>
      </w:r>
    </w:p>
    <w:p w14:paraId="4F65F6E5">
      <w:pPr>
        <w:pStyle w:val="19"/>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乙方生产的本项目成果资料的所有权、使用权和著作权归甲方所有，乙方未经甲方同意不得以任何形式向第三方提供及传播。</w:t>
      </w:r>
    </w:p>
    <w:p w14:paraId="76EBEB34">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甲方违约责任</w:t>
      </w:r>
    </w:p>
    <w:p w14:paraId="576C87C6">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1、甲方应按期提供项目基础资料和必要的测绘成果。否则，工期顺延。</w:t>
      </w:r>
    </w:p>
    <w:p w14:paraId="6A468FF0">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2、付款时间每拖延一天按 1 ‰支付给乙方。</w:t>
      </w:r>
    </w:p>
    <w:p w14:paraId="584A928D">
      <w:pPr>
        <w:pStyle w:val="19"/>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乙方违约责任</w:t>
      </w:r>
    </w:p>
    <w:p w14:paraId="4AD0DC39">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1、乙方未能按合同规定的日期提交项目成果时，应向甲方偿付拖期损失费，每天的拖期损失费按本合同约定的工程总价款的 1 ‰计算。</w:t>
      </w:r>
    </w:p>
    <w:p w14:paraId="456A88E3">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2、乙方提供的项目成果质量不合格，乙方应负责无偿给予返工直至合格以上。返工时间视作拖延工期（甲方同意除外）。</w:t>
      </w:r>
    </w:p>
    <w:p w14:paraId="4BAFCE81">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3、对于甲方提供的资料以及属于甲方的项目成果，乙方有义务从国家安全的高度做好项目成果资料的保密工作，不得向第三方转让，否则，甲方有权追究乙方因此造成的与成果造价相等的经济损失的责任。</w:t>
      </w:r>
    </w:p>
    <w:p w14:paraId="50434F24">
      <w:pPr>
        <w:pStyle w:val="19"/>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第十一条</w:t>
      </w:r>
      <w:r>
        <w:rPr>
          <w:rFonts w:hint="eastAsia" w:ascii="宋体" w:hAnsi="宋体" w:eastAsia="宋体" w:cs="宋体"/>
          <w:color w:val="auto"/>
          <w:sz w:val="24"/>
          <w:szCs w:val="24"/>
          <w:highlight w:val="none"/>
        </w:rPr>
        <w:t xml:space="preserve">  由于不可抗力，致使合同无法履行时，双方应按有关法律、法规及时协商处理。</w:t>
      </w:r>
    </w:p>
    <w:p w14:paraId="1E035B5A">
      <w:pPr>
        <w:pStyle w:val="19"/>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第十二条</w:t>
      </w:r>
      <w:r>
        <w:rPr>
          <w:rFonts w:hint="eastAsia" w:ascii="宋体" w:hAnsi="宋体" w:eastAsia="宋体" w:cs="宋体"/>
          <w:color w:val="auto"/>
          <w:sz w:val="24"/>
          <w:szCs w:val="24"/>
          <w:highlight w:val="none"/>
        </w:rPr>
        <w:t xml:space="preserve">  本合同执行过程中的未尽事宜，双方应本着实事求是友好协商的态度加以解决。双方协商一致的，签订补充协议，补充协议与本合同具有同等效力。</w:t>
      </w:r>
    </w:p>
    <w:p w14:paraId="01893C4E">
      <w:pPr>
        <w:pStyle w:val="19"/>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color w:val="auto"/>
          <w:sz w:val="24"/>
          <w:szCs w:val="24"/>
          <w:highlight w:val="none"/>
        </w:rPr>
        <w:t xml:space="preserve">  因合同执行过程中双方发生纠纷，可由甲、乙双方协商解决，若达不成协议，甲、乙双方同意就本合同产生的纠纷向仲裁委员会申请仲裁（甲、乙双方不在合同中约定仲裁机构的，事后又没有达成书面仲裁协议的，可向有管辖权的人民法院起诉）。</w:t>
      </w:r>
    </w:p>
    <w:p w14:paraId="01156B98">
      <w:pPr>
        <w:pStyle w:val="19"/>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第十四条</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附则</w:t>
      </w:r>
    </w:p>
    <w:p w14:paraId="57879E27">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1、本合同由甲、乙双方法定代表人签字，加盖甲、乙双方公章或合同专用章即生效。全部成果交接完毕和测绘工程费结算付款完成后，本合同终止。</w:t>
      </w:r>
    </w:p>
    <w:p w14:paraId="7BAAAA82">
      <w:pPr>
        <w:pStyle w:val="19"/>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2、本合同正本一式六份，甲、乙双方各二份，采购代理机构及监督管理部门各执一份。  </w:t>
      </w:r>
    </w:p>
    <w:p w14:paraId="36C9AF4E">
      <w:pPr>
        <w:pStyle w:val="19"/>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6E3A79B">
      <w:pPr>
        <w:pStyle w:val="19"/>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本页以下无正文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973"/>
      </w:tblGrid>
      <w:tr w14:paraId="775F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867" w:type="dxa"/>
            <w:tcBorders>
              <w:top w:val="single" w:color="auto" w:sz="4" w:space="0"/>
              <w:left w:val="single" w:color="auto" w:sz="4" w:space="0"/>
              <w:bottom w:val="single" w:color="auto" w:sz="4" w:space="0"/>
              <w:right w:val="single" w:color="auto" w:sz="4" w:space="0"/>
            </w:tcBorders>
            <w:noWrap w:val="0"/>
            <w:vAlign w:val="center"/>
          </w:tcPr>
          <w:p w14:paraId="66F5BEEF">
            <w:pPr>
              <w:pStyle w:val="19"/>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甲  方</w:t>
            </w:r>
          </w:p>
        </w:tc>
        <w:tc>
          <w:tcPr>
            <w:tcW w:w="4973" w:type="dxa"/>
            <w:tcBorders>
              <w:top w:val="single" w:color="auto" w:sz="4" w:space="0"/>
              <w:left w:val="single" w:color="auto" w:sz="4" w:space="0"/>
              <w:bottom w:val="single" w:color="auto" w:sz="4" w:space="0"/>
              <w:right w:val="single" w:color="auto" w:sz="4" w:space="0"/>
            </w:tcBorders>
            <w:noWrap w:val="0"/>
            <w:vAlign w:val="center"/>
          </w:tcPr>
          <w:p w14:paraId="04D16BE6">
            <w:pPr>
              <w:pStyle w:val="19"/>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乙  方</w:t>
            </w:r>
          </w:p>
        </w:tc>
      </w:tr>
      <w:tr w14:paraId="3808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4867" w:type="dxa"/>
            <w:tcBorders>
              <w:top w:val="single" w:color="auto" w:sz="4" w:space="0"/>
              <w:left w:val="single" w:color="auto" w:sz="4" w:space="0"/>
              <w:bottom w:val="single" w:color="auto" w:sz="4" w:space="0"/>
              <w:right w:val="single" w:color="auto" w:sz="4" w:space="0"/>
            </w:tcBorders>
            <w:noWrap w:val="0"/>
            <w:vAlign w:val="top"/>
          </w:tcPr>
          <w:p w14:paraId="149323A1">
            <w:pPr>
              <w:pStyle w:val="19"/>
              <w:spacing w:line="360" w:lineRule="auto"/>
              <w:rPr>
                <w:rFonts w:hint="eastAsia" w:ascii="宋体" w:hAnsi="宋体" w:eastAsia="宋体" w:cs="宋体"/>
                <w:color w:val="auto"/>
                <w:sz w:val="24"/>
                <w:szCs w:val="24"/>
                <w:highlight w:val="none"/>
                <w:lang w:val="en-US" w:eastAsia="zh-CN"/>
              </w:rPr>
            </w:pPr>
          </w:p>
          <w:p w14:paraId="23409E37">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甲方（章）: </w:t>
            </w:r>
          </w:p>
          <w:p w14:paraId="539970C9">
            <w:pPr>
              <w:pStyle w:val="19"/>
              <w:spacing w:line="360" w:lineRule="auto"/>
              <w:rPr>
                <w:rFonts w:hint="eastAsia" w:ascii="宋体" w:hAnsi="宋体" w:eastAsia="宋体" w:cs="宋体"/>
                <w:color w:val="auto"/>
                <w:sz w:val="24"/>
                <w:szCs w:val="24"/>
                <w:highlight w:val="none"/>
                <w:lang w:val="en-US" w:eastAsia="zh-CN"/>
              </w:rPr>
            </w:pPr>
          </w:p>
          <w:p w14:paraId="5865DB97">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w:t>
            </w:r>
          </w:p>
          <w:p w14:paraId="2FC2BE1E">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委托代理人:</w:t>
            </w:r>
          </w:p>
          <w:p w14:paraId="58C46D93">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 </w:t>
            </w:r>
          </w:p>
          <w:p w14:paraId="0AE9E4C0">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电话: </w:t>
            </w:r>
          </w:p>
          <w:p w14:paraId="7A165B88">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传真：</w:t>
            </w:r>
          </w:p>
          <w:p w14:paraId="1606043F">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开户银行: </w:t>
            </w:r>
          </w:p>
          <w:p w14:paraId="4D64CBD7">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户名: </w:t>
            </w:r>
          </w:p>
          <w:p w14:paraId="4FE01E4E">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账号: </w:t>
            </w:r>
          </w:p>
          <w:p w14:paraId="03F08016">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邮政编码:</w:t>
            </w:r>
          </w:p>
        </w:tc>
        <w:tc>
          <w:tcPr>
            <w:tcW w:w="4973" w:type="dxa"/>
            <w:tcBorders>
              <w:top w:val="single" w:color="auto" w:sz="4" w:space="0"/>
              <w:left w:val="single" w:color="auto" w:sz="4" w:space="0"/>
              <w:bottom w:val="single" w:color="auto" w:sz="4" w:space="0"/>
              <w:right w:val="single" w:color="auto" w:sz="4" w:space="0"/>
            </w:tcBorders>
            <w:noWrap w:val="0"/>
            <w:vAlign w:val="top"/>
          </w:tcPr>
          <w:p w14:paraId="77EBBC15">
            <w:pPr>
              <w:pStyle w:val="19"/>
              <w:spacing w:line="360" w:lineRule="auto"/>
              <w:rPr>
                <w:rFonts w:hint="eastAsia" w:ascii="宋体" w:hAnsi="宋体" w:eastAsia="宋体" w:cs="宋体"/>
                <w:color w:val="auto"/>
                <w:sz w:val="24"/>
                <w:szCs w:val="24"/>
                <w:highlight w:val="none"/>
                <w:lang w:val="en-US" w:eastAsia="zh-CN"/>
              </w:rPr>
            </w:pPr>
          </w:p>
          <w:p w14:paraId="46C2833C">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乙方（章）: </w:t>
            </w:r>
          </w:p>
          <w:p w14:paraId="0BE6B09F">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w:t>
            </w:r>
          </w:p>
          <w:p w14:paraId="0E42229E">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委托代理人:</w:t>
            </w:r>
          </w:p>
          <w:p w14:paraId="23627D27">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 </w:t>
            </w:r>
          </w:p>
          <w:p w14:paraId="4C18D101">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电话: </w:t>
            </w:r>
          </w:p>
          <w:p w14:paraId="7D7D5F11">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传真:  </w:t>
            </w:r>
          </w:p>
          <w:p w14:paraId="649D69FD">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开户银行: </w:t>
            </w:r>
          </w:p>
          <w:p w14:paraId="0DD6BB7E">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户名: </w:t>
            </w:r>
          </w:p>
          <w:p w14:paraId="119D4051">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w:t>
            </w:r>
          </w:p>
          <w:p w14:paraId="1D324310">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邮政编码: </w:t>
            </w:r>
          </w:p>
          <w:p w14:paraId="416805B2">
            <w:pPr>
              <w:pStyle w:val="1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纳税人识别号：</w:t>
            </w:r>
          </w:p>
        </w:tc>
      </w:tr>
    </w:tbl>
    <w:p w14:paraId="60BD791E">
      <w:pPr>
        <w:tabs>
          <w:tab w:val="left" w:pos="904"/>
        </w:tabs>
        <w:adjustRightInd w:val="0"/>
        <w:snapToGrid w:val="0"/>
        <w:spacing w:line="360" w:lineRule="auto"/>
        <w:ind w:firstLine="241" w:firstLineChars="100"/>
        <w:jc w:val="left"/>
        <w:rPr>
          <w:rFonts w:hint="eastAsia" w:ascii="宋体" w:hAnsi="宋体" w:eastAsia="宋体" w:cs="宋体"/>
          <w:b/>
          <w:color w:val="auto"/>
          <w:sz w:val="24"/>
          <w:szCs w:val="24"/>
          <w:highlight w:val="none"/>
        </w:rPr>
      </w:pPr>
    </w:p>
    <w:p w14:paraId="3EBF309D">
      <w:pPr>
        <w:rPr>
          <w:rFonts w:hint="eastAsia" w:ascii="宋体" w:hAnsi="宋体" w:eastAsia="宋体" w:cs="宋体"/>
          <w:color w:val="auto"/>
          <w:sz w:val="24"/>
          <w:szCs w:val="24"/>
          <w:highlight w:val="none"/>
        </w:rPr>
      </w:pPr>
    </w:p>
    <w:p w14:paraId="7033EF88">
      <w:pPr>
        <w:pStyle w:val="16"/>
        <w:rPr>
          <w:rFonts w:hint="eastAsia" w:ascii="宋体" w:hAnsi="宋体" w:eastAsia="宋体" w:cs="宋体"/>
          <w:color w:val="auto"/>
          <w:highlight w:val="none"/>
        </w:rPr>
      </w:pPr>
    </w:p>
    <w:p w14:paraId="37DE29C3">
      <w:pPr>
        <w:snapToGrid w:val="0"/>
        <w:spacing w:line="360" w:lineRule="auto"/>
        <w:rPr>
          <w:rFonts w:ascii="宋体" w:hAnsi="宋体" w:cs="宋体"/>
          <w:b/>
          <w:color w:val="auto"/>
          <w:szCs w:val="21"/>
          <w:highlight w:val="none"/>
        </w:rPr>
      </w:pPr>
    </w:p>
    <w:sectPr>
      <w:footerReference r:id="rId6" w:type="first"/>
      <w:footerReference r:id="rId5" w:type="default"/>
      <w:pgSz w:w="11906" w:h="16838"/>
      <w:pgMar w:top="1440" w:right="1080" w:bottom="1440" w:left="130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embedRegular r:id="rId1" w:fontKey="{328919E2-53F5-4A0D-942A-98DDFABC8855}"/>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AA8A2BC7-2A9A-497E-98B2-70CAD924EB1D}"/>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46347393-8106-47A6-8269-4E007CFE5D51}"/>
  </w:font>
  <w:font w:name="方正小标宋简体">
    <w:panose1 w:val="02000000000000000000"/>
    <w:charset w:val="86"/>
    <w:family w:val="script"/>
    <w:pitch w:val="default"/>
    <w:sig w:usb0="00000001" w:usb1="08000000" w:usb2="00000000" w:usb3="00000000" w:csb0="00040000" w:csb1="00000000"/>
    <w:embedRegular r:id="rId4" w:fontKey="{D93445DE-2B29-47F5-AFCA-CA6BF022ABC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63962">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409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D6B07F7">
                          <w:pPr>
                            <w:pStyle w:val="23"/>
                            <w:jc w:val="center"/>
                          </w:pPr>
                          <w:r>
                            <w:fldChar w:fldCharType="begin"/>
                          </w:r>
                          <w:r>
                            <w:instrText xml:space="preserve"> PAGE   \* MERGEFORMAT </w:instrText>
                          </w:r>
                          <w:r>
                            <w:fldChar w:fldCharType="separate"/>
                          </w:r>
                          <w:r>
                            <w:rPr>
                              <w:lang w:val="zh-CN"/>
                            </w:rPr>
                            <w:t>68</w:t>
                          </w:r>
                          <w:r>
                            <w:fldChar w:fldCharType="end"/>
                          </w:r>
                        </w:p>
                      </w:txbxContent>
                    </wps:txbx>
                    <wps:bodyPr rot="0" vert="horz" wrap="none" lIns="0" tIns="0" rIns="0" bIns="0" anchor="t" anchorCtr="0" upright="1">
                      <a:spAutoFit/>
                    </wps:bodyPr>
                  </wps:wsp>
                </a:graphicData>
              </a:graphic>
            </wp:anchor>
          </w:drawing>
        </mc:Choice>
        <mc:Fallback>
          <w:pict>
            <v:shape id="Text Box 409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NuVDIz9AQAABAQAAA4AAAAAAAAAAQAgAAAAHwEAAGRycy9lMm9Eb2MueG1s&#10;UEsFBgAAAAAGAAYAWQEAAI4FAAAAAA==&#10;">
              <v:fill on="f" focussize="0,0"/>
              <v:stroke on="f"/>
              <v:imagedata o:title=""/>
              <o:lock v:ext="edit" aspectratio="f"/>
              <v:textbox inset="0mm,0mm,0mm,0mm" style="mso-fit-shape-to-text:t;">
                <w:txbxContent>
                  <w:p w14:paraId="1D6B07F7">
                    <w:pPr>
                      <w:pStyle w:val="23"/>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61561FB8">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6C58">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409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ADEB090">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09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IYVWSPwBAAADBAAADgAAAAAAAAABACAAAAAfAQAAZHJzL2Uyb0RvYy54bWxQ&#10;SwUGAAAAAAYABgBZAQAAjQUAAAAA&#10;">
              <v:fill on="f" focussize="0,0"/>
              <v:stroke on="f"/>
              <v:imagedata o:title=""/>
              <o:lock v:ext="edit" aspectratio="f"/>
              <v:textbox inset="0mm,0mm,0mm,0mm" style="mso-fit-shape-to-text:t;">
                <w:txbxContent>
                  <w:p w14:paraId="1ADEB090">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6976">
    <w:pPr>
      <w:pStyle w:val="24"/>
      <w:jc w:val="both"/>
      <w:rPr>
        <w:rFonts w:hint="eastAsia" w:eastAsia="宋体"/>
        <w:lang w:eastAsia="zh-CN"/>
      </w:rPr>
    </w:pPr>
    <w:r>
      <w:rPr>
        <w:rFonts w:hint="eastAsia"/>
      </w:rPr>
      <w:t>项目名称：</w:t>
    </w:r>
    <w:r>
      <w:rPr>
        <w:rFonts w:hint="eastAsia"/>
        <w:lang w:eastAsia="zh-CN"/>
      </w:rPr>
      <w:t>右江区隐形耕地流出排查技术服务项目</w:t>
    </w:r>
    <w:r>
      <w:rPr>
        <w:rFonts w:hint="eastAsia"/>
      </w:rPr>
      <w:t xml:space="preserve">               </w:t>
    </w:r>
    <w:r>
      <w:rPr>
        <w:rFonts w:hint="eastAsia"/>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773D">
    <w:pPr>
      <w:pStyle w:val="24"/>
      <w:jc w:val="both"/>
      <w:rPr>
        <w:rFonts w:hint="eastAsia" w:eastAsia="宋体"/>
        <w:lang w:eastAsia="zh-CN"/>
      </w:rPr>
    </w:pPr>
    <w:r>
      <w:rPr>
        <w:rFonts w:hint="eastAsia"/>
      </w:rPr>
      <w:t>项目名称：</w:t>
    </w:r>
    <w:r>
      <w:rPr>
        <w:rFonts w:hint="eastAsia"/>
        <w:lang w:eastAsia="zh-CN"/>
      </w:rPr>
      <w:t>右江区隐形耕地流出排查技术服务项目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ABF54"/>
    <w:multiLevelType w:val="singleLevel"/>
    <w:tmpl w:val="87BABF54"/>
    <w:lvl w:ilvl="0" w:tentative="0">
      <w:start w:val="7"/>
      <w:numFmt w:val="chineseCounting"/>
      <w:suff w:val="nothing"/>
      <w:lvlText w:val="%1、"/>
      <w:lvlJc w:val="left"/>
      <w:rPr>
        <w:rFonts w:hint="eastAsia"/>
      </w:rPr>
    </w:lvl>
  </w:abstractNum>
  <w:abstractNum w:abstractNumId="1">
    <w:nsid w:val="C70FBD95"/>
    <w:multiLevelType w:val="singleLevel"/>
    <w:tmpl w:val="C70FBD95"/>
    <w:lvl w:ilvl="0" w:tentative="0">
      <w:start w:val="1"/>
      <w:numFmt w:val="chineseCounting"/>
      <w:suff w:val="space"/>
      <w:lvlText w:val="第%1章"/>
      <w:lvlJc w:val="left"/>
      <w:rPr>
        <w:rFonts w:hint="eastAsia"/>
      </w:r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384BDB16"/>
    <w:multiLevelType w:val="singleLevel"/>
    <w:tmpl w:val="384BDB16"/>
    <w:lvl w:ilvl="0" w:tentative="0">
      <w:start w:val="1"/>
      <w:numFmt w:val="chineseCounting"/>
      <w:suff w:val="space"/>
      <w:lvlText w:val="第%1条"/>
      <w:lvlJc w:val="left"/>
      <w:pPr>
        <w:ind w:left="0" w:firstLine="0"/>
      </w:pPr>
    </w:lvl>
  </w:abstractNum>
  <w:abstractNum w:abstractNumId="4">
    <w:nsid w:val="4D4DCBCD"/>
    <w:multiLevelType w:val="singleLevel"/>
    <w:tmpl w:val="4D4DCBC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CVcwpJZP8QuVClra0FmdukmgsOk=" w:salt="4WOQ336FUMa+fpPAmSP70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mM1NDVjNTkxNGRlODI1ZThjY2RmNmVkNjNmOGIifQ=="/>
    <w:docVar w:name="KSO_WPS_MARK_KEY" w:val="934b0ce5-7a4e-4933-92ca-08120e4a10f4"/>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0BA1"/>
    <w:rsid w:val="00102676"/>
    <w:rsid w:val="00103646"/>
    <w:rsid w:val="00103918"/>
    <w:rsid w:val="00104096"/>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1A"/>
    <w:rsid w:val="00117CBD"/>
    <w:rsid w:val="0012006A"/>
    <w:rsid w:val="00121979"/>
    <w:rsid w:val="00122064"/>
    <w:rsid w:val="00122C7F"/>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2B7B"/>
    <w:rsid w:val="001434BE"/>
    <w:rsid w:val="00144050"/>
    <w:rsid w:val="0014479F"/>
    <w:rsid w:val="001452B4"/>
    <w:rsid w:val="00145320"/>
    <w:rsid w:val="00147674"/>
    <w:rsid w:val="001476D3"/>
    <w:rsid w:val="001509CF"/>
    <w:rsid w:val="00150D1D"/>
    <w:rsid w:val="001525AA"/>
    <w:rsid w:val="00152A87"/>
    <w:rsid w:val="00153BB5"/>
    <w:rsid w:val="00154518"/>
    <w:rsid w:val="00156359"/>
    <w:rsid w:val="00156DD6"/>
    <w:rsid w:val="0016086E"/>
    <w:rsid w:val="00160D0C"/>
    <w:rsid w:val="00160E78"/>
    <w:rsid w:val="00161172"/>
    <w:rsid w:val="00161998"/>
    <w:rsid w:val="00161E65"/>
    <w:rsid w:val="00162597"/>
    <w:rsid w:val="001629AF"/>
    <w:rsid w:val="001629FD"/>
    <w:rsid w:val="00162E10"/>
    <w:rsid w:val="0016428A"/>
    <w:rsid w:val="001647C9"/>
    <w:rsid w:val="00165140"/>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968"/>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A57"/>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343"/>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53E2"/>
    <w:rsid w:val="00281F5B"/>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1AF8"/>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E7047"/>
    <w:rsid w:val="002F0522"/>
    <w:rsid w:val="002F16DD"/>
    <w:rsid w:val="002F199D"/>
    <w:rsid w:val="002F213C"/>
    <w:rsid w:val="002F2453"/>
    <w:rsid w:val="002F352D"/>
    <w:rsid w:val="002F4084"/>
    <w:rsid w:val="002F4A08"/>
    <w:rsid w:val="002F4ADB"/>
    <w:rsid w:val="002F531E"/>
    <w:rsid w:val="002F548D"/>
    <w:rsid w:val="002F5ACC"/>
    <w:rsid w:val="002F6083"/>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2667"/>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DD3"/>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250"/>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52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5BC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32"/>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44E"/>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3274"/>
    <w:rsid w:val="00564126"/>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40D4"/>
    <w:rsid w:val="00594A7B"/>
    <w:rsid w:val="00594EDE"/>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341"/>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45B"/>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4DFE"/>
    <w:rsid w:val="00640082"/>
    <w:rsid w:val="00640291"/>
    <w:rsid w:val="00640EFE"/>
    <w:rsid w:val="00641D6D"/>
    <w:rsid w:val="00641FAC"/>
    <w:rsid w:val="00643664"/>
    <w:rsid w:val="00643CAA"/>
    <w:rsid w:val="00644F16"/>
    <w:rsid w:val="006452D5"/>
    <w:rsid w:val="006455EB"/>
    <w:rsid w:val="006456C2"/>
    <w:rsid w:val="006477F0"/>
    <w:rsid w:val="006478E4"/>
    <w:rsid w:val="0065171A"/>
    <w:rsid w:val="00652680"/>
    <w:rsid w:val="00653CDE"/>
    <w:rsid w:val="00654585"/>
    <w:rsid w:val="00655AB6"/>
    <w:rsid w:val="00656281"/>
    <w:rsid w:val="0065636A"/>
    <w:rsid w:val="00657003"/>
    <w:rsid w:val="006601F1"/>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6A3B"/>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5EBF"/>
    <w:rsid w:val="0073792F"/>
    <w:rsid w:val="00740C81"/>
    <w:rsid w:val="00740DA6"/>
    <w:rsid w:val="00741B4B"/>
    <w:rsid w:val="00741D1E"/>
    <w:rsid w:val="00741DD6"/>
    <w:rsid w:val="00741EE2"/>
    <w:rsid w:val="0074207F"/>
    <w:rsid w:val="00742367"/>
    <w:rsid w:val="00742EAA"/>
    <w:rsid w:val="00742FB2"/>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0C2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008"/>
    <w:rsid w:val="00824306"/>
    <w:rsid w:val="008249D2"/>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77A80"/>
    <w:rsid w:val="00880106"/>
    <w:rsid w:val="00880F95"/>
    <w:rsid w:val="00882B44"/>
    <w:rsid w:val="008838AD"/>
    <w:rsid w:val="00886250"/>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1E78"/>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5FC"/>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F5B"/>
    <w:rsid w:val="00A15655"/>
    <w:rsid w:val="00A1740C"/>
    <w:rsid w:val="00A20069"/>
    <w:rsid w:val="00A2244D"/>
    <w:rsid w:val="00A2253D"/>
    <w:rsid w:val="00A23EC3"/>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0ABF"/>
    <w:rsid w:val="00A8311C"/>
    <w:rsid w:val="00A835D0"/>
    <w:rsid w:val="00A84C5F"/>
    <w:rsid w:val="00A85930"/>
    <w:rsid w:val="00A863F7"/>
    <w:rsid w:val="00A86604"/>
    <w:rsid w:val="00A87519"/>
    <w:rsid w:val="00A9246D"/>
    <w:rsid w:val="00A93BD0"/>
    <w:rsid w:val="00A93CC2"/>
    <w:rsid w:val="00A974CC"/>
    <w:rsid w:val="00AA069B"/>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5C0"/>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848"/>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3922"/>
    <w:rsid w:val="00B542FE"/>
    <w:rsid w:val="00B55A1B"/>
    <w:rsid w:val="00B561DB"/>
    <w:rsid w:val="00B562A2"/>
    <w:rsid w:val="00B56DF9"/>
    <w:rsid w:val="00B600BD"/>
    <w:rsid w:val="00B61274"/>
    <w:rsid w:val="00B61DCE"/>
    <w:rsid w:val="00B62188"/>
    <w:rsid w:val="00B62F79"/>
    <w:rsid w:val="00B62F82"/>
    <w:rsid w:val="00B6306A"/>
    <w:rsid w:val="00B635E3"/>
    <w:rsid w:val="00B63D96"/>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A52"/>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764"/>
    <w:rsid w:val="00BD5CD4"/>
    <w:rsid w:val="00BD65D9"/>
    <w:rsid w:val="00BD6DF3"/>
    <w:rsid w:val="00BD6E09"/>
    <w:rsid w:val="00BD6EF9"/>
    <w:rsid w:val="00BE0ACB"/>
    <w:rsid w:val="00BE2260"/>
    <w:rsid w:val="00BE2D88"/>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43F"/>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0E62"/>
    <w:rsid w:val="00CB19FE"/>
    <w:rsid w:val="00CB2364"/>
    <w:rsid w:val="00CB304C"/>
    <w:rsid w:val="00CB3933"/>
    <w:rsid w:val="00CB53E8"/>
    <w:rsid w:val="00CB594A"/>
    <w:rsid w:val="00CB5CB2"/>
    <w:rsid w:val="00CB64AC"/>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1B1"/>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992"/>
    <w:rsid w:val="00D16C58"/>
    <w:rsid w:val="00D17019"/>
    <w:rsid w:val="00D17FC8"/>
    <w:rsid w:val="00D20B44"/>
    <w:rsid w:val="00D21168"/>
    <w:rsid w:val="00D2438C"/>
    <w:rsid w:val="00D2585B"/>
    <w:rsid w:val="00D26C3F"/>
    <w:rsid w:val="00D27185"/>
    <w:rsid w:val="00D27D11"/>
    <w:rsid w:val="00D33AB3"/>
    <w:rsid w:val="00D33F24"/>
    <w:rsid w:val="00D34160"/>
    <w:rsid w:val="00D346B8"/>
    <w:rsid w:val="00D34DCA"/>
    <w:rsid w:val="00D35AC8"/>
    <w:rsid w:val="00D36F87"/>
    <w:rsid w:val="00D37E4E"/>
    <w:rsid w:val="00D417D8"/>
    <w:rsid w:val="00D41F78"/>
    <w:rsid w:val="00D42E6C"/>
    <w:rsid w:val="00D4351C"/>
    <w:rsid w:val="00D43B80"/>
    <w:rsid w:val="00D44611"/>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3A7"/>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173FE"/>
    <w:rsid w:val="00E219CE"/>
    <w:rsid w:val="00E24071"/>
    <w:rsid w:val="00E24EBC"/>
    <w:rsid w:val="00E2522C"/>
    <w:rsid w:val="00E2552F"/>
    <w:rsid w:val="00E2599B"/>
    <w:rsid w:val="00E2710C"/>
    <w:rsid w:val="00E2736B"/>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4F69"/>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76A"/>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104D"/>
    <w:rsid w:val="00F81587"/>
    <w:rsid w:val="00F8288F"/>
    <w:rsid w:val="00F84802"/>
    <w:rsid w:val="00F85B72"/>
    <w:rsid w:val="00F86540"/>
    <w:rsid w:val="00F865CE"/>
    <w:rsid w:val="00F86B8F"/>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2313A8"/>
    <w:rsid w:val="01AF3D99"/>
    <w:rsid w:val="01B110AA"/>
    <w:rsid w:val="02511F9D"/>
    <w:rsid w:val="03120D29"/>
    <w:rsid w:val="03215DBB"/>
    <w:rsid w:val="037662D8"/>
    <w:rsid w:val="03A314B8"/>
    <w:rsid w:val="03AF0E31"/>
    <w:rsid w:val="03D82B98"/>
    <w:rsid w:val="03E533B8"/>
    <w:rsid w:val="03F83E8B"/>
    <w:rsid w:val="040C25C7"/>
    <w:rsid w:val="04A24CDA"/>
    <w:rsid w:val="04E840AB"/>
    <w:rsid w:val="056B77C2"/>
    <w:rsid w:val="05962B68"/>
    <w:rsid w:val="05A827C4"/>
    <w:rsid w:val="05AA5C6E"/>
    <w:rsid w:val="05C56868"/>
    <w:rsid w:val="061F0CF1"/>
    <w:rsid w:val="06207A56"/>
    <w:rsid w:val="06354BAC"/>
    <w:rsid w:val="067246B5"/>
    <w:rsid w:val="06810FA8"/>
    <w:rsid w:val="06C918CF"/>
    <w:rsid w:val="07B72767"/>
    <w:rsid w:val="07E775D3"/>
    <w:rsid w:val="08077E72"/>
    <w:rsid w:val="085941C4"/>
    <w:rsid w:val="085D1644"/>
    <w:rsid w:val="08882DD0"/>
    <w:rsid w:val="09993A7F"/>
    <w:rsid w:val="09BB0D18"/>
    <w:rsid w:val="09CC2AAC"/>
    <w:rsid w:val="0A083831"/>
    <w:rsid w:val="0A652D3E"/>
    <w:rsid w:val="0AA01CBB"/>
    <w:rsid w:val="0AAE6B22"/>
    <w:rsid w:val="0AC70A6D"/>
    <w:rsid w:val="0AE167DB"/>
    <w:rsid w:val="0B326F2A"/>
    <w:rsid w:val="0B666A61"/>
    <w:rsid w:val="0BEB6F66"/>
    <w:rsid w:val="0C011CFE"/>
    <w:rsid w:val="0C1E2888"/>
    <w:rsid w:val="0C92213C"/>
    <w:rsid w:val="0C943AA2"/>
    <w:rsid w:val="0D3C4789"/>
    <w:rsid w:val="0D442DD2"/>
    <w:rsid w:val="0D4E3C51"/>
    <w:rsid w:val="0D84032B"/>
    <w:rsid w:val="0DD04666"/>
    <w:rsid w:val="0E5E5152"/>
    <w:rsid w:val="0F2A74C4"/>
    <w:rsid w:val="0F490136"/>
    <w:rsid w:val="0F5C216B"/>
    <w:rsid w:val="0F605330"/>
    <w:rsid w:val="0F767AA0"/>
    <w:rsid w:val="10211F13"/>
    <w:rsid w:val="10284C2D"/>
    <w:rsid w:val="10394744"/>
    <w:rsid w:val="10543875"/>
    <w:rsid w:val="10A27F31"/>
    <w:rsid w:val="110A1309"/>
    <w:rsid w:val="111F0680"/>
    <w:rsid w:val="11927058"/>
    <w:rsid w:val="11942293"/>
    <w:rsid w:val="11FF4F63"/>
    <w:rsid w:val="121D0DB5"/>
    <w:rsid w:val="12D4020F"/>
    <w:rsid w:val="12EA7CAB"/>
    <w:rsid w:val="1326156F"/>
    <w:rsid w:val="13694841"/>
    <w:rsid w:val="13AF4F03"/>
    <w:rsid w:val="13BF7458"/>
    <w:rsid w:val="13D1077B"/>
    <w:rsid w:val="143858D0"/>
    <w:rsid w:val="145F04F1"/>
    <w:rsid w:val="147321EF"/>
    <w:rsid w:val="14736E66"/>
    <w:rsid w:val="147C5547"/>
    <w:rsid w:val="147F458F"/>
    <w:rsid w:val="149C654B"/>
    <w:rsid w:val="14BB6070"/>
    <w:rsid w:val="14CC4202"/>
    <w:rsid w:val="15287487"/>
    <w:rsid w:val="1534169A"/>
    <w:rsid w:val="15C03E03"/>
    <w:rsid w:val="15EC04AB"/>
    <w:rsid w:val="16225C7A"/>
    <w:rsid w:val="162A25EB"/>
    <w:rsid w:val="16921052"/>
    <w:rsid w:val="16AF39B2"/>
    <w:rsid w:val="16FD2A55"/>
    <w:rsid w:val="17067C1A"/>
    <w:rsid w:val="170B2BB3"/>
    <w:rsid w:val="1726179A"/>
    <w:rsid w:val="17366761"/>
    <w:rsid w:val="17514A3E"/>
    <w:rsid w:val="1752433D"/>
    <w:rsid w:val="17550FEB"/>
    <w:rsid w:val="177C01F0"/>
    <w:rsid w:val="1783099B"/>
    <w:rsid w:val="17CE6630"/>
    <w:rsid w:val="18AD3F21"/>
    <w:rsid w:val="18F27B86"/>
    <w:rsid w:val="18F67D9A"/>
    <w:rsid w:val="19410B0E"/>
    <w:rsid w:val="19630A84"/>
    <w:rsid w:val="19D50791"/>
    <w:rsid w:val="1A7171D0"/>
    <w:rsid w:val="1AA54634"/>
    <w:rsid w:val="1AEC5396"/>
    <w:rsid w:val="1AFF0AFE"/>
    <w:rsid w:val="1B083691"/>
    <w:rsid w:val="1B4F19F8"/>
    <w:rsid w:val="1B72604B"/>
    <w:rsid w:val="1B886580"/>
    <w:rsid w:val="1BA2219B"/>
    <w:rsid w:val="1BB16DAD"/>
    <w:rsid w:val="1C720E1E"/>
    <w:rsid w:val="1CAB7BC2"/>
    <w:rsid w:val="1CBA2253"/>
    <w:rsid w:val="1D1502E7"/>
    <w:rsid w:val="1DDA78F7"/>
    <w:rsid w:val="1E1B66C0"/>
    <w:rsid w:val="1ECC44FA"/>
    <w:rsid w:val="1ED11921"/>
    <w:rsid w:val="1EEB30C3"/>
    <w:rsid w:val="1F063325"/>
    <w:rsid w:val="1F94163B"/>
    <w:rsid w:val="1FBC5DF5"/>
    <w:rsid w:val="201A0C55"/>
    <w:rsid w:val="20341928"/>
    <w:rsid w:val="20C3623F"/>
    <w:rsid w:val="210D4B0B"/>
    <w:rsid w:val="21781212"/>
    <w:rsid w:val="21B83F86"/>
    <w:rsid w:val="21B856E5"/>
    <w:rsid w:val="21DA5084"/>
    <w:rsid w:val="21DF589E"/>
    <w:rsid w:val="221178A8"/>
    <w:rsid w:val="221213CF"/>
    <w:rsid w:val="22327A92"/>
    <w:rsid w:val="22736B09"/>
    <w:rsid w:val="22A95107"/>
    <w:rsid w:val="22F30068"/>
    <w:rsid w:val="231D53A2"/>
    <w:rsid w:val="236D5383"/>
    <w:rsid w:val="23957733"/>
    <w:rsid w:val="23B7504C"/>
    <w:rsid w:val="23E262AD"/>
    <w:rsid w:val="23EB3B50"/>
    <w:rsid w:val="24013373"/>
    <w:rsid w:val="240570EF"/>
    <w:rsid w:val="2412279E"/>
    <w:rsid w:val="24571307"/>
    <w:rsid w:val="248163D5"/>
    <w:rsid w:val="24D660FE"/>
    <w:rsid w:val="25110A2A"/>
    <w:rsid w:val="25443A06"/>
    <w:rsid w:val="25654000"/>
    <w:rsid w:val="256C0944"/>
    <w:rsid w:val="259332A8"/>
    <w:rsid w:val="25BF7042"/>
    <w:rsid w:val="25C03C0F"/>
    <w:rsid w:val="25C74149"/>
    <w:rsid w:val="26446DE3"/>
    <w:rsid w:val="269669E7"/>
    <w:rsid w:val="26CF4758"/>
    <w:rsid w:val="26D7699F"/>
    <w:rsid w:val="2728659F"/>
    <w:rsid w:val="27F174ED"/>
    <w:rsid w:val="285931BF"/>
    <w:rsid w:val="285A5748"/>
    <w:rsid w:val="2883093D"/>
    <w:rsid w:val="2886653D"/>
    <w:rsid w:val="28D948BF"/>
    <w:rsid w:val="29A87178"/>
    <w:rsid w:val="29C53533"/>
    <w:rsid w:val="29F319B0"/>
    <w:rsid w:val="2A3A138D"/>
    <w:rsid w:val="2AA07129"/>
    <w:rsid w:val="2AB64053"/>
    <w:rsid w:val="2AD11E71"/>
    <w:rsid w:val="2B134CC7"/>
    <w:rsid w:val="2B774624"/>
    <w:rsid w:val="2C241186"/>
    <w:rsid w:val="2C7A72BE"/>
    <w:rsid w:val="2C9A7D75"/>
    <w:rsid w:val="2CC3566A"/>
    <w:rsid w:val="2D4F4E81"/>
    <w:rsid w:val="2D9371DA"/>
    <w:rsid w:val="2D9A33B9"/>
    <w:rsid w:val="2DAE4759"/>
    <w:rsid w:val="2E015014"/>
    <w:rsid w:val="2E1468E2"/>
    <w:rsid w:val="2E792558"/>
    <w:rsid w:val="2E832100"/>
    <w:rsid w:val="2E8A42F5"/>
    <w:rsid w:val="2E9976CE"/>
    <w:rsid w:val="2ED578D6"/>
    <w:rsid w:val="2F401D3C"/>
    <w:rsid w:val="2F5B24E1"/>
    <w:rsid w:val="2FA95C88"/>
    <w:rsid w:val="2FE139F3"/>
    <w:rsid w:val="3041370F"/>
    <w:rsid w:val="3059325D"/>
    <w:rsid w:val="310F6C24"/>
    <w:rsid w:val="311D6057"/>
    <w:rsid w:val="312B50A3"/>
    <w:rsid w:val="313E2BF9"/>
    <w:rsid w:val="314814EC"/>
    <w:rsid w:val="31700539"/>
    <w:rsid w:val="318B6972"/>
    <w:rsid w:val="31B34E33"/>
    <w:rsid w:val="31C76861"/>
    <w:rsid w:val="31D5563B"/>
    <w:rsid w:val="31E85B72"/>
    <w:rsid w:val="32453A27"/>
    <w:rsid w:val="32537490"/>
    <w:rsid w:val="32546DED"/>
    <w:rsid w:val="3263064A"/>
    <w:rsid w:val="32A43132"/>
    <w:rsid w:val="32AC0C06"/>
    <w:rsid w:val="33190218"/>
    <w:rsid w:val="33344EF5"/>
    <w:rsid w:val="3381627F"/>
    <w:rsid w:val="33835B53"/>
    <w:rsid w:val="338B45BF"/>
    <w:rsid w:val="33F21271"/>
    <w:rsid w:val="3408225D"/>
    <w:rsid w:val="34112443"/>
    <w:rsid w:val="349C3E7E"/>
    <w:rsid w:val="3537750C"/>
    <w:rsid w:val="3537798C"/>
    <w:rsid w:val="35C13FC9"/>
    <w:rsid w:val="360C77D7"/>
    <w:rsid w:val="36105772"/>
    <w:rsid w:val="361722AD"/>
    <w:rsid w:val="362A4856"/>
    <w:rsid w:val="363B0967"/>
    <w:rsid w:val="364257B6"/>
    <w:rsid w:val="36825E5C"/>
    <w:rsid w:val="36EC1C61"/>
    <w:rsid w:val="36F65DAC"/>
    <w:rsid w:val="37577122"/>
    <w:rsid w:val="376D1DBB"/>
    <w:rsid w:val="37977E1F"/>
    <w:rsid w:val="37EA5922"/>
    <w:rsid w:val="38112631"/>
    <w:rsid w:val="38116401"/>
    <w:rsid w:val="38276B93"/>
    <w:rsid w:val="386F7D39"/>
    <w:rsid w:val="38705D30"/>
    <w:rsid w:val="38AC3431"/>
    <w:rsid w:val="38E47094"/>
    <w:rsid w:val="392F2E16"/>
    <w:rsid w:val="39360837"/>
    <w:rsid w:val="393824DF"/>
    <w:rsid w:val="393C4877"/>
    <w:rsid w:val="397C371B"/>
    <w:rsid w:val="39876441"/>
    <w:rsid w:val="399446D5"/>
    <w:rsid w:val="39E00529"/>
    <w:rsid w:val="39ED3C96"/>
    <w:rsid w:val="3A054CBA"/>
    <w:rsid w:val="3A0B64A7"/>
    <w:rsid w:val="3A0E3EC6"/>
    <w:rsid w:val="3A211C22"/>
    <w:rsid w:val="3A2F55D8"/>
    <w:rsid w:val="3A574DDA"/>
    <w:rsid w:val="3AD3075A"/>
    <w:rsid w:val="3AF74C02"/>
    <w:rsid w:val="3B12384B"/>
    <w:rsid w:val="3B9B2DD5"/>
    <w:rsid w:val="3C0059A5"/>
    <w:rsid w:val="3C134E78"/>
    <w:rsid w:val="3C6504EB"/>
    <w:rsid w:val="3CF7310E"/>
    <w:rsid w:val="3D3566C6"/>
    <w:rsid w:val="3DCF0605"/>
    <w:rsid w:val="3DF6345D"/>
    <w:rsid w:val="3E1D3B91"/>
    <w:rsid w:val="3E4D4F28"/>
    <w:rsid w:val="3E94098D"/>
    <w:rsid w:val="3EE13701"/>
    <w:rsid w:val="3EFE1908"/>
    <w:rsid w:val="3F1A4BB3"/>
    <w:rsid w:val="3F7E02FA"/>
    <w:rsid w:val="3FA674BF"/>
    <w:rsid w:val="3FC82E6A"/>
    <w:rsid w:val="3FDD483D"/>
    <w:rsid w:val="40046520"/>
    <w:rsid w:val="40192BA6"/>
    <w:rsid w:val="4043629C"/>
    <w:rsid w:val="40896772"/>
    <w:rsid w:val="409C1F0F"/>
    <w:rsid w:val="40FC6F44"/>
    <w:rsid w:val="413D4413"/>
    <w:rsid w:val="420324D5"/>
    <w:rsid w:val="422C3859"/>
    <w:rsid w:val="42443F6F"/>
    <w:rsid w:val="42550A18"/>
    <w:rsid w:val="428611BC"/>
    <w:rsid w:val="428D2F47"/>
    <w:rsid w:val="429D496A"/>
    <w:rsid w:val="42F246C4"/>
    <w:rsid w:val="42F473A1"/>
    <w:rsid w:val="435D3056"/>
    <w:rsid w:val="43AF029E"/>
    <w:rsid w:val="440C6DD0"/>
    <w:rsid w:val="441B29C2"/>
    <w:rsid w:val="441E62C0"/>
    <w:rsid w:val="44395BC8"/>
    <w:rsid w:val="449000D0"/>
    <w:rsid w:val="45325D14"/>
    <w:rsid w:val="4552504B"/>
    <w:rsid w:val="45811C7C"/>
    <w:rsid w:val="459C2437"/>
    <w:rsid w:val="45BF7AA0"/>
    <w:rsid w:val="462D593C"/>
    <w:rsid w:val="468B3EFB"/>
    <w:rsid w:val="46B50CDB"/>
    <w:rsid w:val="46C47118"/>
    <w:rsid w:val="46F93C7F"/>
    <w:rsid w:val="470A6193"/>
    <w:rsid w:val="47162351"/>
    <w:rsid w:val="47385210"/>
    <w:rsid w:val="47DC4F5C"/>
    <w:rsid w:val="48B40671"/>
    <w:rsid w:val="49494469"/>
    <w:rsid w:val="498D2D3D"/>
    <w:rsid w:val="499B5738"/>
    <w:rsid w:val="499F244D"/>
    <w:rsid w:val="4A973F3F"/>
    <w:rsid w:val="4ABD0197"/>
    <w:rsid w:val="4AF96BC7"/>
    <w:rsid w:val="4B46598C"/>
    <w:rsid w:val="4B862A85"/>
    <w:rsid w:val="4C713977"/>
    <w:rsid w:val="4C9A21E5"/>
    <w:rsid w:val="4CEF36E2"/>
    <w:rsid w:val="4CEF4DC5"/>
    <w:rsid w:val="4D931A02"/>
    <w:rsid w:val="4DB210B7"/>
    <w:rsid w:val="4DF6081B"/>
    <w:rsid w:val="4E014C9F"/>
    <w:rsid w:val="4E1D2750"/>
    <w:rsid w:val="4E257655"/>
    <w:rsid w:val="4EAD5D22"/>
    <w:rsid w:val="4EC46B6C"/>
    <w:rsid w:val="4ED84D30"/>
    <w:rsid w:val="4F1C1D10"/>
    <w:rsid w:val="4F372380"/>
    <w:rsid w:val="4F372FFB"/>
    <w:rsid w:val="4FA50CDC"/>
    <w:rsid w:val="50036EBA"/>
    <w:rsid w:val="502B24C5"/>
    <w:rsid w:val="507E03BB"/>
    <w:rsid w:val="51503B64"/>
    <w:rsid w:val="52395ECD"/>
    <w:rsid w:val="526C393A"/>
    <w:rsid w:val="52A018C0"/>
    <w:rsid w:val="52AA4F00"/>
    <w:rsid w:val="52B700B6"/>
    <w:rsid w:val="52C10D75"/>
    <w:rsid w:val="52C13CA6"/>
    <w:rsid w:val="52C75604"/>
    <w:rsid w:val="53BF4EC8"/>
    <w:rsid w:val="53C27FF8"/>
    <w:rsid w:val="53D578AD"/>
    <w:rsid w:val="53D80EDC"/>
    <w:rsid w:val="54130E82"/>
    <w:rsid w:val="542B1BC3"/>
    <w:rsid w:val="54337890"/>
    <w:rsid w:val="543D36A4"/>
    <w:rsid w:val="549E1A80"/>
    <w:rsid w:val="54C23240"/>
    <w:rsid w:val="54C658F4"/>
    <w:rsid w:val="5501743B"/>
    <w:rsid w:val="550C4BD7"/>
    <w:rsid w:val="55165D7A"/>
    <w:rsid w:val="55310BB5"/>
    <w:rsid w:val="554C1D56"/>
    <w:rsid w:val="55572986"/>
    <w:rsid w:val="55674DDF"/>
    <w:rsid w:val="5621502B"/>
    <w:rsid w:val="56284C24"/>
    <w:rsid w:val="562E62E0"/>
    <w:rsid w:val="565340FA"/>
    <w:rsid w:val="568F3A1A"/>
    <w:rsid w:val="56944551"/>
    <w:rsid w:val="576C6DCE"/>
    <w:rsid w:val="57FF6454"/>
    <w:rsid w:val="580A1AEF"/>
    <w:rsid w:val="5858486D"/>
    <w:rsid w:val="59170968"/>
    <w:rsid w:val="596279B4"/>
    <w:rsid w:val="597B0EF6"/>
    <w:rsid w:val="59FE5BF4"/>
    <w:rsid w:val="5A2F2CC8"/>
    <w:rsid w:val="5A352E58"/>
    <w:rsid w:val="5A3A490E"/>
    <w:rsid w:val="5A5D2D60"/>
    <w:rsid w:val="5B5E287E"/>
    <w:rsid w:val="5BC96FA7"/>
    <w:rsid w:val="5BE33069"/>
    <w:rsid w:val="5BE87D5B"/>
    <w:rsid w:val="5C0D1BAE"/>
    <w:rsid w:val="5C10702D"/>
    <w:rsid w:val="5C152601"/>
    <w:rsid w:val="5C8A1B2F"/>
    <w:rsid w:val="5CC04E72"/>
    <w:rsid w:val="5CDE38DA"/>
    <w:rsid w:val="5D597A5F"/>
    <w:rsid w:val="5D6238E0"/>
    <w:rsid w:val="5D706898"/>
    <w:rsid w:val="5DED4343"/>
    <w:rsid w:val="5E225C70"/>
    <w:rsid w:val="5E533747"/>
    <w:rsid w:val="5E6737F7"/>
    <w:rsid w:val="5E8B7B1E"/>
    <w:rsid w:val="5EF26A23"/>
    <w:rsid w:val="5F294F51"/>
    <w:rsid w:val="5F473616"/>
    <w:rsid w:val="5FAB005C"/>
    <w:rsid w:val="5FBE1B3D"/>
    <w:rsid w:val="5FF1132F"/>
    <w:rsid w:val="601C57A4"/>
    <w:rsid w:val="60333CA4"/>
    <w:rsid w:val="604F6ABC"/>
    <w:rsid w:val="606007BB"/>
    <w:rsid w:val="6091495F"/>
    <w:rsid w:val="60AC7F66"/>
    <w:rsid w:val="60BA62CD"/>
    <w:rsid w:val="60E443BA"/>
    <w:rsid w:val="610F50C3"/>
    <w:rsid w:val="61BF10D9"/>
    <w:rsid w:val="62055F1E"/>
    <w:rsid w:val="62234699"/>
    <w:rsid w:val="62404C02"/>
    <w:rsid w:val="626764BC"/>
    <w:rsid w:val="629A3D99"/>
    <w:rsid w:val="629F7077"/>
    <w:rsid w:val="62A80882"/>
    <w:rsid w:val="62AC22DC"/>
    <w:rsid w:val="62E278F0"/>
    <w:rsid w:val="633F2F95"/>
    <w:rsid w:val="63414066"/>
    <w:rsid w:val="63E15DFA"/>
    <w:rsid w:val="64682077"/>
    <w:rsid w:val="64726A7E"/>
    <w:rsid w:val="647C6B47"/>
    <w:rsid w:val="64E45EF7"/>
    <w:rsid w:val="65126A88"/>
    <w:rsid w:val="657E19DE"/>
    <w:rsid w:val="65CD0D2C"/>
    <w:rsid w:val="65D9664B"/>
    <w:rsid w:val="6691014E"/>
    <w:rsid w:val="66E55C01"/>
    <w:rsid w:val="674E7C4A"/>
    <w:rsid w:val="677435B2"/>
    <w:rsid w:val="67BC5A4A"/>
    <w:rsid w:val="67EF75F1"/>
    <w:rsid w:val="68534475"/>
    <w:rsid w:val="68A3537F"/>
    <w:rsid w:val="69124F16"/>
    <w:rsid w:val="69146C72"/>
    <w:rsid w:val="692A3D9F"/>
    <w:rsid w:val="6956755A"/>
    <w:rsid w:val="69BA3375"/>
    <w:rsid w:val="69CD5C14"/>
    <w:rsid w:val="69CF0D33"/>
    <w:rsid w:val="69CF0E9E"/>
    <w:rsid w:val="6A097E59"/>
    <w:rsid w:val="6A184941"/>
    <w:rsid w:val="6A386990"/>
    <w:rsid w:val="6A6257BB"/>
    <w:rsid w:val="6B2B2120"/>
    <w:rsid w:val="6B9946B3"/>
    <w:rsid w:val="6B9A1C62"/>
    <w:rsid w:val="6BF97D60"/>
    <w:rsid w:val="6C443F7B"/>
    <w:rsid w:val="6C65000C"/>
    <w:rsid w:val="6C7007C7"/>
    <w:rsid w:val="6CA22A5C"/>
    <w:rsid w:val="6CB2484D"/>
    <w:rsid w:val="6D6830E8"/>
    <w:rsid w:val="6DE76850"/>
    <w:rsid w:val="6EBC193D"/>
    <w:rsid w:val="6EF160F4"/>
    <w:rsid w:val="6F3C40B4"/>
    <w:rsid w:val="6F5568E7"/>
    <w:rsid w:val="6F5B73A8"/>
    <w:rsid w:val="6F5F096B"/>
    <w:rsid w:val="6FB20BD4"/>
    <w:rsid w:val="6FBA59BE"/>
    <w:rsid w:val="6FED512C"/>
    <w:rsid w:val="702754DC"/>
    <w:rsid w:val="70296B3E"/>
    <w:rsid w:val="702C2878"/>
    <w:rsid w:val="705E007E"/>
    <w:rsid w:val="70611204"/>
    <w:rsid w:val="70883186"/>
    <w:rsid w:val="709770CE"/>
    <w:rsid w:val="70AD30AB"/>
    <w:rsid w:val="714B1752"/>
    <w:rsid w:val="718E5C33"/>
    <w:rsid w:val="71BB412E"/>
    <w:rsid w:val="72001B41"/>
    <w:rsid w:val="72697FC0"/>
    <w:rsid w:val="731C595D"/>
    <w:rsid w:val="73505CC8"/>
    <w:rsid w:val="737A5923"/>
    <w:rsid w:val="73A105D0"/>
    <w:rsid w:val="73B0296D"/>
    <w:rsid w:val="73DC0BAC"/>
    <w:rsid w:val="73EA7319"/>
    <w:rsid w:val="7471612B"/>
    <w:rsid w:val="74BF68B5"/>
    <w:rsid w:val="74CD6CBC"/>
    <w:rsid w:val="74FA2C30"/>
    <w:rsid w:val="754461E9"/>
    <w:rsid w:val="754D5C4B"/>
    <w:rsid w:val="7551732F"/>
    <w:rsid w:val="758F3A5A"/>
    <w:rsid w:val="75B943D4"/>
    <w:rsid w:val="75D03F20"/>
    <w:rsid w:val="76303976"/>
    <w:rsid w:val="765B1A3C"/>
    <w:rsid w:val="766D176F"/>
    <w:rsid w:val="76C240A7"/>
    <w:rsid w:val="76F4277B"/>
    <w:rsid w:val="7708042F"/>
    <w:rsid w:val="771E4103"/>
    <w:rsid w:val="775246B7"/>
    <w:rsid w:val="777C610E"/>
    <w:rsid w:val="77BC7346"/>
    <w:rsid w:val="77EB7199"/>
    <w:rsid w:val="781E098B"/>
    <w:rsid w:val="781E69D1"/>
    <w:rsid w:val="7860158C"/>
    <w:rsid w:val="78636E01"/>
    <w:rsid w:val="78A84032"/>
    <w:rsid w:val="78CE3932"/>
    <w:rsid w:val="78E03ECE"/>
    <w:rsid w:val="79445023"/>
    <w:rsid w:val="798F5EA8"/>
    <w:rsid w:val="79E07EDB"/>
    <w:rsid w:val="7A263B6B"/>
    <w:rsid w:val="7A2A4E3A"/>
    <w:rsid w:val="7A6A04A0"/>
    <w:rsid w:val="7A6F3D08"/>
    <w:rsid w:val="7A7A40BB"/>
    <w:rsid w:val="7AAB7700"/>
    <w:rsid w:val="7AF46346"/>
    <w:rsid w:val="7AFE2790"/>
    <w:rsid w:val="7B0F5EBF"/>
    <w:rsid w:val="7B130FB9"/>
    <w:rsid w:val="7B62561B"/>
    <w:rsid w:val="7BF44D61"/>
    <w:rsid w:val="7BF64EDE"/>
    <w:rsid w:val="7C1B5BA7"/>
    <w:rsid w:val="7C400C1E"/>
    <w:rsid w:val="7CAC386E"/>
    <w:rsid w:val="7CBB1486"/>
    <w:rsid w:val="7D3B4E01"/>
    <w:rsid w:val="7D9C12B8"/>
    <w:rsid w:val="7DD11708"/>
    <w:rsid w:val="7DE247F1"/>
    <w:rsid w:val="7DFA6F07"/>
    <w:rsid w:val="7E967552"/>
    <w:rsid w:val="7EB517AA"/>
    <w:rsid w:val="7EC167BD"/>
    <w:rsid w:val="7F08297D"/>
    <w:rsid w:val="7F272D9E"/>
    <w:rsid w:val="7F4514DB"/>
    <w:rsid w:val="7F9D199D"/>
    <w:rsid w:val="7FF7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240" w:line="360" w:lineRule="auto"/>
      <w:contextualSpacing/>
      <w:outlineLvl w:val="0"/>
    </w:pPr>
    <w:rPr>
      <w:rFonts w:eastAsia="黑体"/>
      <w:bCs/>
      <w:kern w:val="44"/>
      <w:sz w:val="30"/>
      <w:szCs w:val="44"/>
    </w:rPr>
  </w:style>
  <w:style w:type="paragraph" w:styleId="4">
    <w:name w:val="heading 2"/>
    <w:basedOn w:val="1"/>
    <w:next w:val="1"/>
    <w:link w:val="44"/>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autoRedefine/>
    <w:qFormat/>
    <w:uiPriority w:val="0"/>
    <w:pPr>
      <w:keepNext/>
      <w:keepLines/>
      <w:spacing w:line="360" w:lineRule="auto"/>
      <w:outlineLvl w:val="3"/>
    </w:pPr>
    <w:rPr>
      <w:rFonts w:ascii="Arial" w:hAnsi="Arial" w:eastAsia="黑体"/>
      <w:b/>
      <w:kern w:val="0"/>
      <w:sz w:val="24"/>
    </w:rPr>
  </w:style>
  <w:style w:type="paragraph" w:styleId="7">
    <w:name w:val="heading 5"/>
    <w:basedOn w:val="1"/>
    <w:next w:val="8"/>
    <w:link w:val="45"/>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46"/>
    <w:autoRedefine/>
    <w:qFormat/>
    <w:uiPriority w:val="9"/>
    <w:pPr>
      <w:keepNext/>
      <w:keepLines/>
      <w:spacing w:before="240" w:after="64" w:line="320" w:lineRule="auto"/>
      <w:outlineLvl w:val="7"/>
    </w:pPr>
    <w:rPr>
      <w:rFonts w:ascii="等线 Light" w:hAnsi="等线 Light" w:eastAsia="等线 Light"/>
      <w:sz w:val="24"/>
    </w:rPr>
  </w:style>
  <w:style w:type="paragraph" w:styleId="10">
    <w:name w:val="heading 9"/>
    <w:basedOn w:val="1"/>
    <w:next w:val="1"/>
    <w:autoRedefine/>
    <w:qFormat/>
    <w:uiPriority w:val="1"/>
    <w:pPr>
      <w:ind w:left="1240"/>
      <w:outlineLvl w:val="8"/>
    </w:pPr>
    <w:rPr>
      <w:rFonts w:ascii="宋体" w:hAnsi="宋体" w:cs="宋体"/>
      <w:b/>
      <w:bCs/>
      <w:szCs w:val="21"/>
      <w:lang w:val="zh-CN" w:bidi="zh-CN"/>
    </w:rPr>
  </w:style>
  <w:style w:type="character" w:default="1" w:styleId="35">
    <w:name w:val="Default Paragraph Font"/>
    <w:autoRedefine/>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Normal Indent"/>
    <w:basedOn w:val="1"/>
    <w:autoRedefine/>
    <w:qFormat/>
    <w:uiPriority w:val="0"/>
    <w:pPr>
      <w:ind w:firstLine="420"/>
    </w:pPr>
    <w:rPr>
      <w:szCs w:val="20"/>
    </w:rPr>
  </w:style>
  <w:style w:type="paragraph" w:styleId="11">
    <w:name w:val="index 8"/>
    <w:basedOn w:val="1"/>
    <w:next w:val="1"/>
    <w:autoRedefine/>
    <w:unhideWhenUsed/>
    <w:qFormat/>
    <w:uiPriority w:val="99"/>
    <w:pPr>
      <w:ind w:left="1400" w:leftChars="140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toa heading"/>
    <w:basedOn w:val="1"/>
    <w:next w:val="1"/>
    <w:autoRedefine/>
    <w:unhideWhenUsed/>
    <w:qFormat/>
    <w:uiPriority w:val="99"/>
    <w:pPr>
      <w:spacing w:before="120"/>
    </w:pPr>
    <w:rPr>
      <w:rFonts w:ascii="Cambria" w:hAnsi="Cambria"/>
      <w:sz w:val="24"/>
    </w:rPr>
  </w:style>
  <w:style w:type="paragraph" w:styleId="14">
    <w:name w:val="annotation text"/>
    <w:basedOn w:val="1"/>
    <w:link w:val="47"/>
    <w:autoRedefine/>
    <w:qFormat/>
    <w:uiPriority w:val="0"/>
    <w:pPr>
      <w:jc w:val="left"/>
    </w:pPr>
  </w:style>
  <w:style w:type="paragraph" w:styleId="15">
    <w:name w:val="Body Text 3"/>
    <w:basedOn w:val="1"/>
    <w:link w:val="48"/>
    <w:autoRedefine/>
    <w:unhideWhenUsed/>
    <w:qFormat/>
    <w:uiPriority w:val="99"/>
    <w:pPr>
      <w:spacing w:after="120"/>
    </w:pPr>
    <w:rPr>
      <w:sz w:val="16"/>
      <w:szCs w:val="16"/>
    </w:rPr>
  </w:style>
  <w:style w:type="paragraph" w:styleId="16">
    <w:name w:val="Body Text"/>
    <w:basedOn w:val="1"/>
    <w:next w:val="1"/>
    <w:link w:val="49"/>
    <w:unhideWhenUsed/>
    <w:qFormat/>
    <w:uiPriority w:val="0"/>
    <w:pPr>
      <w:spacing w:after="120"/>
    </w:pPr>
  </w:style>
  <w:style w:type="paragraph" w:styleId="17">
    <w:name w:val="Body Text Indent"/>
    <w:basedOn w:val="1"/>
    <w:link w:val="50"/>
    <w:autoRedefine/>
    <w:qFormat/>
    <w:uiPriority w:val="0"/>
    <w:pPr>
      <w:ind w:firstLine="830" w:firstLineChars="352"/>
    </w:pPr>
    <w:rPr>
      <w:rFonts w:ascii="仿宋_GB2312" w:eastAsia="仿宋_GB2312"/>
      <w:kern w:val="0"/>
      <w:sz w:val="32"/>
      <w:szCs w:val="20"/>
    </w:rPr>
  </w:style>
  <w:style w:type="paragraph" w:styleId="18">
    <w:name w:val="List 2"/>
    <w:basedOn w:val="1"/>
    <w:autoRedefine/>
    <w:unhideWhenUsed/>
    <w:qFormat/>
    <w:uiPriority w:val="99"/>
    <w:pPr>
      <w:ind w:left="100" w:leftChars="200" w:hanging="200" w:hangingChars="200"/>
      <w:contextualSpacing/>
    </w:pPr>
  </w:style>
  <w:style w:type="paragraph" w:styleId="19">
    <w:name w:val="Plain Text"/>
    <w:basedOn w:val="1"/>
    <w:next w:val="1"/>
    <w:link w:val="51"/>
    <w:autoRedefine/>
    <w:qFormat/>
    <w:uiPriority w:val="0"/>
    <w:rPr>
      <w:rFonts w:ascii="宋体" w:hAnsi="Courier New"/>
      <w:kern w:val="0"/>
      <w:sz w:val="20"/>
      <w:szCs w:val="21"/>
    </w:rPr>
  </w:style>
  <w:style w:type="paragraph" w:styleId="20">
    <w:name w:val="Date"/>
    <w:basedOn w:val="1"/>
    <w:next w:val="1"/>
    <w:link w:val="52"/>
    <w:autoRedefine/>
    <w:unhideWhenUsed/>
    <w:qFormat/>
    <w:uiPriority w:val="99"/>
    <w:pPr>
      <w:ind w:left="100" w:leftChars="2500"/>
    </w:pPr>
  </w:style>
  <w:style w:type="paragraph" w:styleId="21">
    <w:name w:val="Body Text Indent 2"/>
    <w:basedOn w:val="1"/>
    <w:autoRedefine/>
    <w:qFormat/>
    <w:uiPriority w:val="0"/>
    <w:pPr>
      <w:spacing w:after="120" w:line="480" w:lineRule="auto"/>
      <w:ind w:left="420" w:leftChars="200"/>
    </w:pPr>
    <w:rPr>
      <w:rFonts w:ascii="Calibri" w:hAnsi="Calibri"/>
    </w:rPr>
  </w:style>
  <w:style w:type="paragraph" w:styleId="22">
    <w:name w:val="Balloon Text"/>
    <w:basedOn w:val="1"/>
    <w:autoRedefine/>
    <w:semiHidden/>
    <w:qFormat/>
    <w:uiPriority w:val="0"/>
    <w:rPr>
      <w:sz w:val="18"/>
      <w:szCs w:val="18"/>
    </w:rPr>
  </w:style>
  <w:style w:type="paragraph" w:styleId="23">
    <w:name w:val="footer"/>
    <w:basedOn w:val="1"/>
    <w:link w:val="53"/>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5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toc 2"/>
    <w:basedOn w:val="1"/>
    <w:next w:val="1"/>
    <w:autoRedefine/>
    <w:unhideWhenUsed/>
    <w:qFormat/>
    <w:uiPriority w:val="39"/>
    <w:pPr>
      <w:tabs>
        <w:tab w:val="right" w:leader="dot" w:pos="8296"/>
      </w:tabs>
      <w:ind w:left="420" w:leftChars="200"/>
    </w:pPr>
  </w:style>
  <w:style w:type="paragraph" w:styleId="27">
    <w:name w:val="Body Text 2"/>
    <w:basedOn w:val="1"/>
    <w:next w:val="16"/>
    <w:autoRedefine/>
    <w:qFormat/>
    <w:uiPriority w:val="0"/>
    <w:pPr>
      <w:spacing w:line="280" w:lineRule="exact"/>
      <w:jc w:val="center"/>
    </w:pPr>
  </w:style>
  <w:style w:type="paragraph" w:styleId="28">
    <w:name w:val="Normal (Web)"/>
    <w:basedOn w:val="1"/>
    <w:autoRedefine/>
    <w:unhideWhenUsed/>
    <w:qFormat/>
    <w:uiPriority w:val="99"/>
    <w:rPr>
      <w:rFonts w:ascii="Calibri" w:hAnsi="Calibri"/>
      <w:kern w:val="0"/>
      <w:sz w:val="24"/>
    </w:rPr>
  </w:style>
  <w:style w:type="paragraph" w:styleId="29">
    <w:name w:val="Title"/>
    <w:basedOn w:val="1"/>
    <w:next w:val="1"/>
    <w:autoRedefine/>
    <w:qFormat/>
    <w:uiPriority w:val="10"/>
    <w:pPr>
      <w:spacing w:before="240" w:after="60"/>
      <w:jc w:val="center"/>
      <w:outlineLvl w:val="0"/>
    </w:pPr>
    <w:rPr>
      <w:rFonts w:ascii="Cambria" w:hAnsi="Cambria"/>
      <w:b/>
      <w:bCs/>
      <w:sz w:val="32"/>
      <w:szCs w:val="32"/>
    </w:rPr>
  </w:style>
  <w:style w:type="paragraph" w:styleId="30">
    <w:name w:val="annotation subject"/>
    <w:basedOn w:val="14"/>
    <w:next w:val="14"/>
    <w:link w:val="55"/>
    <w:autoRedefine/>
    <w:qFormat/>
    <w:uiPriority w:val="99"/>
    <w:rPr>
      <w:b/>
      <w:bCs/>
    </w:rPr>
  </w:style>
  <w:style w:type="paragraph" w:styleId="31">
    <w:name w:val="Body Text First Indent"/>
    <w:basedOn w:val="16"/>
    <w:autoRedefine/>
    <w:qFormat/>
    <w:uiPriority w:val="0"/>
    <w:pPr>
      <w:spacing w:line="600" w:lineRule="exact"/>
      <w:ind w:firstLine="880" w:firstLineChars="200"/>
    </w:pPr>
    <w:rPr>
      <w:sz w:val="28"/>
    </w:rPr>
  </w:style>
  <w:style w:type="paragraph" w:styleId="32">
    <w:name w:val="Body Text First Indent 2"/>
    <w:basedOn w:val="17"/>
    <w:autoRedefine/>
    <w:unhideWhenUsed/>
    <w:qFormat/>
    <w:uiPriority w:val="99"/>
    <w:pPr>
      <w:ind w:firstLine="420" w:firstLineChars="200"/>
    </w:pPr>
  </w:style>
  <w:style w:type="table" w:styleId="34">
    <w:name w:val="Table Grid"/>
    <w:basedOn w:val="3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autoRedefine/>
    <w:qFormat/>
    <w:uiPriority w:val="22"/>
    <w:rPr>
      <w:b/>
    </w:rPr>
  </w:style>
  <w:style w:type="character" w:styleId="37">
    <w:name w:val="endnote reference"/>
    <w:autoRedefine/>
    <w:unhideWhenUsed/>
    <w:qFormat/>
    <w:uiPriority w:val="99"/>
    <w:rPr>
      <w:vertAlign w:val="superscript"/>
    </w:rPr>
  </w:style>
  <w:style w:type="character" w:styleId="38">
    <w:name w:val="Emphasis"/>
    <w:basedOn w:val="35"/>
    <w:autoRedefine/>
    <w:qFormat/>
    <w:uiPriority w:val="20"/>
    <w:rPr>
      <w:i/>
    </w:rPr>
  </w:style>
  <w:style w:type="character" w:styleId="39">
    <w:name w:val="Hyperlink"/>
    <w:autoRedefine/>
    <w:unhideWhenUsed/>
    <w:qFormat/>
    <w:uiPriority w:val="99"/>
    <w:rPr>
      <w:color w:val="0000FF"/>
      <w:u w:val="single"/>
    </w:rPr>
  </w:style>
  <w:style w:type="character" w:styleId="40">
    <w:name w:val="annotation reference"/>
    <w:autoRedefine/>
    <w:qFormat/>
    <w:uiPriority w:val="0"/>
    <w:rPr>
      <w:sz w:val="21"/>
      <w:szCs w:val="21"/>
    </w:rPr>
  </w:style>
  <w:style w:type="character" w:styleId="41">
    <w:name w:val="HTML Sample"/>
    <w:basedOn w:val="35"/>
    <w:semiHidden/>
    <w:unhideWhenUsed/>
    <w:qFormat/>
    <w:uiPriority w:val="99"/>
    <w:rPr>
      <w:rFonts w:ascii="Courier New" w:hAnsi="Courier New"/>
    </w:rPr>
  </w:style>
  <w:style w:type="paragraph" w:customStyle="1" w:styleId="42">
    <w:name w:val="正文-公1"/>
    <w:basedOn w:val="1"/>
    <w:autoRedefine/>
    <w:qFormat/>
    <w:uiPriority w:val="0"/>
    <w:pPr>
      <w:ind w:firstLine="200" w:firstLineChars="200"/>
      <w:jc w:val="left"/>
    </w:pPr>
    <w:rPr>
      <w:rFonts w:eastAsia="仿宋_GB2312"/>
    </w:rPr>
  </w:style>
  <w:style w:type="paragraph" w:customStyle="1" w:styleId="43">
    <w:name w:val="目录 82"/>
    <w:next w:val="1"/>
    <w:autoRedefine/>
    <w:qFormat/>
    <w:uiPriority w:val="0"/>
    <w:pPr>
      <w:wordWrap w:val="0"/>
      <w:ind w:left="2550"/>
      <w:jc w:val="both"/>
    </w:pPr>
    <w:rPr>
      <w:rFonts w:ascii="Times New Roman" w:hAnsi="Times New Roman" w:eastAsia="宋体" w:cs="Times New Roman"/>
      <w:sz w:val="21"/>
      <w:szCs w:val="21"/>
      <w:lang w:val="en-US" w:eastAsia="zh-CN" w:bidi="ar-SA"/>
    </w:rPr>
  </w:style>
  <w:style w:type="character" w:customStyle="1" w:styleId="44">
    <w:name w:val="标题 2 Char1"/>
    <w:link w:val="4"/>
    <w:autoRedefine/>
    <w:qFormat/>
    <w:uiPriority w:val="9"/>
    <w:rPr>
      <w:rFonts w:ascii="Cambria" w:hAnsi="Cambria" w:eastAsia="宋体" w:cs="Times New Roman"/>
      <w:b/>
      <w:bCs/>
      <w:kern w:val="2"/>
      <w:sz w:val="32"/>
      <w:szCs w:val="32"/>
    </w:rPr>
  </w:style>
  <w:style w:type="character" w:customStyle="1" w:styleId="45">
    <w:name w:val="标题 5 Char"/>
    <w:link w:val="7"/>
    <w:autoRedefine/>
    <w:semiHidden/>
    <w:qFormat/>
    <w:uiPriority w:val="9"/>
    <w:rPr>
      <w:rFonts w:ascii="Times New Roman" w:hAnsi="Times New Roman"/>
      <w:b/>
      <w:bCs/>
      <w:kern w:val="2"/>
      <w:sz w:val="28"/>
      <w:szCs w:val="28"/>
    </w:rPr>
  </w:style>
  <w:style w:type="character" w:customStyle="1" w:styleId="46">
    <w:name w:val="标题 8 Char1"/>
    <w:link w:val="9"/>
    <w:autoRedefine/>
    <w:semiHidden/>
    <w:qFormat/>
    <w:uiPriority w:val="9"/>
    <w:rPr>
      <w:rFonts w:ascii="等线 Light" w:hAnsi="等线 Light" w:eastAsia="等线 Light" w:cs="Times New Roman"/>
      <w:kern w:val="2"/>
      <w:sz w:val="24"/>
      <w:szCs w:val="24"/>
    </w:rPr>
  </w:style>
  <w:style w:type="character" w:customStyle="1" w:styleId="47">
    <w:name w:val="批注文字 Char1"/>
    <w:link w:val="14"/>
    <w:autoRedefine/>
    <w:qFormat/>
    <w:uiPriority w:val="0"/>
    <w:rPr>
      <w:rFonts w:ascii="Times New Roman" w:hAnsi="Times New Roman"/>
      <w:kern w:val="2"/>
      <w:sz w:val="21"/>
      <w:szCs w:val="24"/>
    </w:rPr>
  </w:style>
  <w:style w:type="character" w:customStyle="1" w:styleId="48">
    <w:name w:val="正文文本 3 Char"/>
    <w:link w:val="15"/>
    <w:autoRedefine/>
    <w:semiHidden/>
    <w:qFormat/>
    <w:uiPriority w:val="99"/>
    <w:rPr>
      <w:kern w:val="2"/>
      <w:sz w:val="16"/>
      <w:szCs w:val="16"/>
    </w:rPr>
  </w:style>
  <w:style w:type="character" w:customStyle="1" w:styleId="49">
    <w:name w:val="正文文本 Char1"/>
    <w:link w:val="16"/>
    <w:autoRedefine/>
    <w:qFormat/>
    <w:uiPriority w:val="0"/>
    <w:rPr>
      <w:rFonts w:ascii="Times New Roman" w:hAnsi="Times New Roman"/>
      <w:kern w:val="2"/>
      <w:sz w:val="21"/>
      <w:szCs w:val="24"/>
    </w:rPr>
  </w:style>
  <w:style w:type="character" w:customStyle="1" w:styleId="50">
    <w:name w:val="正文文本缩进 Char"/>
    <w:link w:val="17"/>
    <w:autoRedefine/>
    <w:qFormat/>
    <w:uiPriority w:val="0"/>
    <w:rPr>
      <w:rFonts w:ascii="仿宋_GB2312" w:hAnsi="Times New Roman" w:eastAsia="仿宋_GB2312" w:cs="Times New Roman"/>
      <w:sz w:val="32"/>
      <w:szCs w:val="20"/>
    </w:rPr>
  </w:style>
  <w:style w:type="character" w:customStyle="1" w:styleId="51">
    <w:name w:val="纯文本 Char1"/>
    <w:link w:val="19"/>
    <w:autoRedefine/>
    <w:qFormat/>
    <w:uiPriority w:val="0"/>
    <w:rPr>
      <w:rFonts w:ascii="宋体" w:hAnsi="Courier New" w:eastAsia="宋体" w:cs="Courier New"/>
      <w:szCs w:val="21"/>
    </w:rPr>
  </w:style>
  <w:style w:type="character" w:customStyle="1" w:styleId="52">
    <w:name w:val="日期 Char"/>
    <w:link w:val="20"/>
    <w:autoRedefine/>
    <w:semiHidden/>
    <w:qFormat/>
    <w:uiPriority w:val="99"/>
    <w:rPr>
      <w:rFonts w:ascii="Times New Roman" w:hAnsi="Times New Roman"/>
      <w:kern w:val="2"/>
      <w:sz w:val="21"/>
      <w:szCs w:val="24"/>
    </w:rPr>
  </w:style>
  <w:style w:type="character" w:customStyle="1" w:styleId="53">
    <w:name w:val="页脚 Char"/>
    <w:link w:val="23"/>
    <w:autoRedefine/>
    <w:qFormat/>
    <w:uiPriority w:val="99"/>
    <w:rPr>
      <w:sz w:val="18"/>
      <w:szCs w:val="18"/>
    </w:rPr>
  </w:style>
  <w:style w:type="character" w:customStyle="1" w:styleId="54">
    <w:name w:val="页眉 Char"/>
    <w:link w:val="24"/>
    <w:autoRedefine/>
    <w:qFormat/>
    <w:uiPriority w:val="99"/>
    <w:rPr>
      <w:sz w:val="18"/>
      <w:szCs w:val="18"/>
    </w:rPr>
  </w:style>
  <w:style w:type="character" w:customStyle="1" w:styleId="55">
    <w:name w:val="批注主题 Char"/>
    <w:link w:val="30"/>
    <w:autoRedefine/>
    <w:qFormat/>
    <w:uiPriority w:val="99"/>
    <w:rPr>
      <w:rFonts w:ascii="Times New Roman" w:hAnsi="Times New Roman"/>
      <w:b/>
      <w:bCs/>
      <w:kern w:val="2"/>
      <w:sz w:val="21"/>
      <w:szCs w:val="24"/>
    </w:rPr>
  </w:style>
  <w:style w:type="character" w:customStyle="1" w:styleId="56">
    <w:name w:val="纯文本 字符1"/>
    <w:autoRedefine/>
    <w:qFormat/>
    <w:uiPriority w:val="0"/>
    <w:rPr>
      <w:rFonts w:ascii="宋体" w:hAnsi="Courier New"/>
    </w:rPr>
  </w:style>
  <w:style w:type="character" w:customStyle="1" w:styleId="57">
    <w:name w:val="正文文本 Char"/>
    <w:autoRedefine/>
    <w:qFormat/>
    <w:uiPriority w:val="0"/>
    <w:rPr>
      <w:rFonts w:ascii="Times New Roman" w:hAnsi="Times New Roman"/>
      <w:kern w:val="2"/>
      <w:sz w:val="21"/>
      <w:szCs w:val="24"/>
    </w:rPr>
  </w:style>
  <w:style w:type="character" w:customStyle="1" w:styleId="58">
    <w:name w:val="NormalCharacter"/>
    <w:autoRedefine/>
    <w:qFormat/>
    <w:uiPriority w:val="0"/>
  </w:style>
  <w:style w:type="character" w:customStyle="1" w:styleId="59">
    <w:name w:val="批注文字 Char"/>
    <w:autoRedefine/>
    <w:qFormat/>
    <w:uiPriority w:val="0"/>
    <w:rPr>
      <w:rFonts w:ascii="Times New Roman" w:hAnsi="Times New Roman"/>
      <w:kern w:val="2"/>
      <w:sz w:val="21"/>
      <w:szCs w:val="24"/>
    </w:rPr>
  </w:style>
  <w:style w:type="character" w:customStyle="1" w:styleId="60">
    <w:name w:val="apple-style-span"/>
    <w:autoRedefine/>
    <w:qFormat/>
    <w:uiPriority w:val="0"/>
  </w:style>
  <w:style w:type="character" w:customStyle="1" w:styleId="6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UserStyle_15"/>
    <w:basedOn w:val="58"/>
    <w:autoRedefine/>
    <w:qFormat/>
    <w:uiPriority w:val="0"/>
  </w:style>
  <w:style w:type="character" w:customStyle="1" w:styleId="63">
    <w:name w:val="纯文本 Char"/>
    <w:autoRedefine/>
    <w:qFormat/>
    <w:uiPriority w:val="0"/>
    <w:rPr>
      <w:rFonts w:ascii="宋体" w:hAnsi="Courier New" w:eastAsia="宋体" w:cs="Courier New"/>
      <w:szCs w:val="21"/>
    </w:rPr>
  </w:style>
  <w:style w:type="character" w:customStyle="1" w:styleId="64">
    <w:name w:val="标题 8 Char"/>
    <w:autoRedefine/>
    <w:qFormat/>
    <w:uiPriority w:val="0"/>
    <w:rPr>
      <w:rFonts w:ascii="Arial" w:hAnsi="Arial" w:eastAsia="黑体"/>
      <w:kern w:val="2"/>
      <w:sz w:val="24"/>
      <w:szCs w:val="24"/>
    </w:rPr>
  </w:style>
  <w:style w:type="character" w:customStyle="1" w:styleId="65">
    <w:name w:val="批注文字 字符1"/>
    <w:autoRedefine/>
    <w:qFormat/>
    <w:uiPriority w:val="0"/>
    <w:rPr>
      <w:rFonts w:ascii="Times New Roman" w:hAnsi="Times New Roman"/>
      <w:kern w:val="2"/>
      <w:sz w:val="21"/>
      <w:szCs w:val="24"/>
    </w:rPr>
  </w:style>
  <w:style w:type="character" w:customStyle="1" w:styleId="66">
    <w:name w:val="标题 2 Char"/>
    <w:autoRedefine/>
    <w:qFormat/>
    <w:uiPriority w:val="9"/>
    <w:rPr>
      <w:rFonts w:ascii="Cambria" w:hAnsi="Cambria" w:eastAsia="宋体" w:cs="Times New Roman"/>
      <w:b/>
      <w:bCs/>
      <w:kern w:val="2"/>
      <w:sz w:val="32"/>
      <w:szCs w:val="32"/>
    </w:rPr>
  </w:style>
  <w:style w:type="character" w:customStyle="1" w:styleId="67">
    <w:name w:val="纯文本 字符2"/>
    <w:autoRedefine/>
    <w:qFormat/>
    <w:uiPriority w:val="0"/>
    <w:rPr>
      <w:rFonts w:ascii="宋体" w:hAnsi="Courier New" w:eastAsia="宋体" w:cs="Courier New"/>
      <w:szCs w:val="21"/>
    </w:rPr>
  </w:style>
  <w:style w:type="character" w:customStyle="1" w:styleId="68">
    <w:name w:val="textcontents"/>
    <w:autoRedefine/>
    <w:qFormat/>
    <w:uiPriority w:val="0"/>
  </w:style>
  <w:style w:type="paragraph" w:customStyle="1" w:styleId="69">
    <w:name w:val="默认段落字体 Para Char Char Char Char Char Char Char Char Char1 Char Char Char Char"/>
    <w:basedOn w:val="1"/>
    <w:autoRedefine/>
    <w:qFormat/>
    <w:uiPriority w:val="0"/>
    <w:rPr>
      <w:rFonts w:ascii="Tahoma" w:hAnsi="Tahoma"/>
      <w:sz w:val="24"/>
      <w:szCs w:val="20"/>
    </w:rPr>
  </w:style>
  <w:style w:type="paragraph" w:styleId="70">
    <w:name w:val="List Paragraph"/>
    <w:basedOn w:val="1"/>
    <w:autoRedefine/>
    <w:qFormat/>
    <w:uiPriority w:val="34"/>
    <w:pPr>
      <w:ind w:firstLine="420" w:firstLineChars="200"/>
    </w:pPr>
  </w:style>
  <w:style w:type="paragraph" w:customStyle="1" w:styleId="71">
    <w:name w:val="Table Paragraph"/>
    <w:basedOn w:val="1"/>
    <w:autoRedefine/>
    <w:qFormat/>
    <w:uiPriority w:val="1"/>
    <w:rPr>
      <w:rFonts w:ascii="宋体" w:hAnsi="宋体" w:cs="宋体"/>
      <w:lang w:val="zh-CN" w:bidi="zh-CN"/>
    </w:rPr>
  </w:style>
  <w:style w:type="paragraph" w:customStyle="1" w:styleId="7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3">
    <w:name w:val="Title1"/>
    <w:basedOn w:val="1"/>
    <w:next w:val="1"/>
    <w:autoRedefine/>
    <w:qFormat/>
    <w:uiPriority w:val="99"/>
    <w:pPr>
      <w:jc w:val="center"/>
      <w:outlineLvl w:val="0"/>
    </w:pPr>
    <w:rPr>
      <w:rFonts w:ascii="Calibri Light" w:hAnsi="Calibri Light" w:eastAsia="仿宋_GB2312"/>
      <w:b/>
      <w:sz w:val="32"/>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WPSOffice手动目录 1"/>
    <w:autoRedefine/>
    <w:qFormat/>
    <w:uiPriority w:val="0"/>
    <w:rPr>
      <w:rFonts w:ascii="Times New Roman" w:hAnsi="Times New Roman" w:eastAsia="宋体" w:cs="Times New Roman"/>
      <w:lang w:val="en-US" w:eastAsia="zh-CN" w:bidi="ar-SA"/>
    </w:rPr>
  </w:style>
  <w:style w:type="paragraph" w:customStyle="1" w:styleId="76">
    <w:name w:val="表格文字"/>
    <w:basedOn w:val="1"/>
    <w:autoRedefine/>
    <w:qFormat/>
    <w:uiPriority w:val="0"/>
    <w:pPr>
      <w:adjustRightInd w:val="0"/>
      <w:spacing w:line="420" w:lineRule="atLeast"/>
      <w:textAlignment w:val="baseline"/>
    </w:pPr>
    <w:rPr>
      <w:szCs w:val="20"/>
    </w:rPr>
  </w:style>
  <w:style w:type="paragraph" w:customStyle="1" w:styleId="77">
    <w:name w:val="_Style 4"/>
    <w:basedOn w:val="1"/>
    <w:autoRedefine/>
    <w:qFormat/>
    <w:uiPriority w:val="0"/>
    <w:pPr>
      <w:spacing w:line="360" w:lineRule="auto"/>
      <w:ind w:firstLine="420" w:firstLineChars="200"/>
    </w:pPr>
    <w:rPr>
      <w:rFonts w:eastAsia="仿宋"/>
      <w:sz w:val="28"/>
      <w:szCs w:val="22"/>
    </w:rPr>
  </w:style>
  <w:style w:type="paragraph" w:customStyle="1" w:styleId="78">
    <w:name w:val="BodyText"/>
    <w:basedOn w:val="1"/>
    <w:autoRedefine/>
    <w:qFormat/>
    <w:uiPriority w:val="0"/>
    <w:pPr>
      <w:textAlignment w:val="baseline"/>
    </w:pPr>
  </w:style>
  <w:style w:type="paragraph" w:customStyle="1" w:styleId="79">
    <w:name w:val="表格"/>
    <w:basedOn w:val="1"/>
    <w:next w:val="80"/>
    <w:autoRedefine/>
    <w:qFormat/>
    <w:uiPriority w:val="0"/>
    <w:rPr>
      <w:szCs w:val="21"/>
    </w:rPr>
  </w:style>
  <w:style w:type="paragraph" w:customStyle="1" w:styleId="80">
    <w:name w:val="表格后空格"/>
    <w:basedOn w:val="1"/>
    <w:next w:val="1"/>
    <w:autoRedefine/>
    <w:qFormat/>
    <w:uiPriority w:val="0"/>
  </w:style>
  <w:style w:type="paragraph" w:customStyle="1" w:styleId="8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2">
    <w:name w:val="PlainText"/>
    <w:basedOn w:val="1"/>
    <w:next w:val="1"/>
    <w:autoRedefine/>
    <w:qFormat/>
    <w:uiPriority w:val="0"/>
    <w:pPr>
      <w:widowControl/>
      <w:textAlignment w:val="baseline"/>
    </w:pPr>
    <w:rPr>
      <w:rFonts w:ascii="宋体" w:hAnsi="Courier New"/>
      <w:kern w:val="0"/>
      <w:sz w:val="20"/>
      <w:szCs w:val="21"/>
    </w:rPr>
  </w:style>
  <w:style w:type="paragraph" w:customStyle="1" w:styleId="83">
    <w:name w:val="Other|1"/>
    <w:basedOn w:val="1"/>
    <w:autoRedefine/>
    <w:qFormat/>
    <w:uiPriority w:val="0"/>
    <w:pPr>
      <w:spacing w:line="406" w:lineRule="auto"/>
      <w:ind w:firstLine="400"/>
    </w:pPr>
    <w:rPr>
      <w:rFonts w:ascii="宋体" w:hAnsi="宋体" w:cs="宋体"/>
      <w:sz w:val="22"/>
      <w:szCs w:val="22"/>
      <w:lang w:val="zh-TW" w:eastAsia="zh-TW" w:bidi="zh-TW"/>
    </w:rPr>
  </w:style>
  <w:style w:type="character" w:customStyle="1" w:styleId="84">
    <w:name w:val="gram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74</Pages>
  <Words>9381</Words>
  <Characters>10092</Characters>
  <Lines>320</Lines>
  <Paragraphs>90</Paragraphs>
  <TotalTime>14</TotalTime>
  <ScaleCrop>false</ScaleCrop>
  <LinksUpToDate>false</LinksUpToDate>
  <CharactersWithSpaces>10208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2022-12-29T10:24:00Z</dcterms:created>
  <dc:creator>MACBOOK</dc:creator>
  <cp:lastModifiedBy>章鱼小嘴</cp:lastModifiedBy>
  <cp:lastPrinted>2023-01-04T08:13:00Z</cp:lastPrinted>
  <dcterms:modified xsi:type="dcterms:W3CDTF">2024-11-07T10:57:33Z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54748F17A27240CD91F53018D6A8C98B_13</vt:lpwstr>
  </property>
</Properties>
</file>