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r>
        <w:rPr>
          <w:highlight w:val="none"/>
        </w:rPr>
        <w:drawing>
          <wp:inline distT="0" distB="0" distL="114300" distR="114300">
            <wp:extent cx="5273040" cy="7377430"/>
            <wp:effectExtent l="0" t="0" r="381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3040" cy="7377430"/>
                    </a:xfrm>
                    <a:prstGeom prst="rect">
                      <a:avLst/>
                    </a:prstGeom>
                    <a:noFill/>
                    <a:ln>
                      <a:noFill/>
                    </a:ln>
                  </pic:spPr>
                </pic:pic>
              </a:graphicData>
            </a:graphic>
          </wp:inline>
        </w:drawing>
      </w:r>
    </w:p>
    <w:p>
      <w:pPr>
        <w:rPr>
          <w:highlight w:val="none"/>
        </w:rPr>
      </w:pPr>
    </w:p>
    <w:p>
      <w:pPr>
        <w:rPr>
          <w:highlight w:val="none"/>
        </w:rPr>
      </w:pPr>
    </w:p>
    <w:p>
      <w:pPr>
        <w:rPr>
          <w:highlight w:val="none"/>
        </w:rPr>
      </w:pPr>
    </w:p>
    <w:p>
      <w:pPr>
        <w:rPr>
          <w:highlight w:val="none"/>
        </w:rPr>
      </w:pPr>
    </w:p>
    <w:p>
      <w:pPr>
        <w:rPr>
          <w:rFonts w:hint="eastAsia"/>
          <w:highlight w:val="none"/>
        </w:rPr>
      </w:pPr>
    </w:p>
    <w:p>
      <w:pPr>
        <w:rPr>
          <w:rFonts w:hint="eastAsia"/>
          <w:color w:val="auto"/>
          <w:highlight w:val="none"/>
        </w:rPr>
      </w:pPr>
    </w:p>
    <w:p>
      <w:pPr>
        <w:rPr>
          <w:rFonts w:hint="eastAsia"/>
          <w:color w:val="auto"/>
          <w:highlight w:val="none"/>
        </w:rPr>
      </w:pPr>
    </w:p>
    <w:p>
      <w:pPr>
        <w:rPr>
          <w:color w:val="auto"/>
          <w:highlight w:val="none"/>
        </w:rPr>
      </w:pPr>
      <w:bookmarkStart w:id="0" w:name="EBadb230e6bfd8433db6f63a48bcd75a67"/>
      <w:r>
        <w:rPr>
          <w:rFonts w:hint="eastAsia"/>
          <w:color w:val="auto"/>
          <w:sz w:val="20"/>
          <w:highlight w:val="none"/>
        </w:rPr>
        <w:t xml:space="preserve"> </w:t>
      </w:r>
      <w:bookmarkEnd w:id="0"/>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pPr>
        <w:pStyle w:val="15"/>
        <w:spacing w:line="480" w:lineRule="auto"/>
        <w:rPr>
          <w:rFonts w:ascii="Calibri" w:hAnsi="Calibri"/>
          <w:b w:val="0"/>
          <w:bCs w:val="0"/>
          <w:caps w:val="0"/>
          <w:color w:val="auto"/>
          <w:sz w:val="28"/>
          <w:szCs w:val="28"/>
          <w:highlight w:val="none"/>
          <w:lang w:val="en-US" w:eastAsia="zh-CN"/>
        </w:rPr>
      </w:pPr>
      <w:r>
        <w:rPr>
          <w:rFonts w:ascii="仿宋_GB2312" w:eastAsia="仿宋_GB2312"/>
          <w:b w:val="0"/>
          <w:color w:val="auto"/>
          <w:sz w:val="28"/>
          <w:szCs w:val="28"/>
          <w:highlight w:val="none"/>
        </w:rPr>
        <w:fldChar w:fldCharType="begin"/>
      </w:r>
      <w:r>
        <w:rPr>
          <w:rFonts w:ascii="仿宋_GB2312" w:eastAsia="仿宋_GB2312"/>
          <w:b w:val="0"/>
          <w:color w:val="auto"/>
          <w:sz w:val="28"/>
          <w:szCs w:val="28"/>
          <w:highlight w:val="none"/>
        </w:rPr>
        <w:instrText xml:space="preserve"> </w:instrText>
      </w:r>
      <w:r>
        <w:rPr>
          <w:rFonts w:hint="eastAsia" w:ascii="仿宋_GB2312" w:eastAsia="仿宋_GB2312"/>
          <w:b w:val="0"/>
          <w:color w:val="auto"/>
          <w:sz w:val="28"/>
          <w:szCs w:val="28"/>
          <w:highlight w:val="none"/>
        </w:rPr>
        <w:instrText xml:space="preserve">TOC \o "1-2" \h \z \u</w:instrText>
      </w:r>
      <w:r>
        <w:rPr>
          <w:rFonts w:ascii="仿宋_GB2312" w:eastAsia="仿宋_GB2312"/>
          <w:b w:val="0"/>
          <w:color w:val="auto"/>
          <w:sz w:val="28"/>
          <w:szCs w:val="28"/>
          <w:highlight w:val="none"/>
        </w:rPr>
        <w:instrText xml:space="preserve"> </w:instrText>
      </w:r>
      <w:r>
        <w:rPr>
          <w:rFonts w:ascii="仿宋_GB2312" w:eastAsia="仿宋_GB2312"/>
          <w:b w:val="0"/>
          <w:color w:val="auto"/>
          <w:sz w:val="28"/>
          <w:szCs w:val="28"/>
          <w:highlight w:val="none"/>
        </w:rPr>
        <w:fldChar w:fldCharType="separate"/>
      </w: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"_Toc74320800"</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第一章</w:t>
      </w:r>
      <w:r>
        <w:rPr>
          <w:rStyle w:val="21"/>
          <w:color w:val="auto"/>
          <w:sz w:val="28"/>
          <w:szCs w:val="28"/>
          <w:highlight w:val="none"/>
        </w:rPr>
        <w:t xml:space="preserve"> </w:t>
      </w:r>
      <w:r>
        <w:rPr>
          <w:rStyle w:val="21"/>
          <w:rFonts w:hint="eastAsia"/>
          <w:color w:val="auto"/>
          <w:sz w:val="28"/>
          <w:szCs w:val="28"/>
          <w:highlight w:val="none"/>
          <w:lang w:val="en-US" w:eastAsia="zh-CN"/>
        </w:rPr>
        <w:t xml:space="preserve"> </w:t>
      </w:r>
      <w:r>
        <w:rPr>
          <w:rStyle w:val="21"/>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"_Toc74320801"</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第二章</w:t>
      </w:r>
      <w:r>
        <w:rPr>
          <w:rStyle w:val="21"/>
          <w:color w:val="auto"/>
          <w:sz w:val="28"/>
          <w:szCs w:val="28"/>
          <w:highlight w:val="none"/>
        </w:rPr>
        <w:t xml:space="preserve">  </w:t>
      </w:r>
      <w:r>
        <w:rPr>
          <w:rStyle w:val="21"/>
          <w:rFonts w:hint="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"_Toc74320802"</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第三章</w:t>
      </w:r>
      <w:r>
        <w:rPr>
          <w:rStyle w:val="21"/>
          <w:color w:val="auto"/>
          <w:sz w:val="28"/>
          <w:szCs w:val="28"/>
          <w:highlight w:val="none"/>
        </w:rPr>
        <w:t xml:space="preserve">  </w:t>
      </w:r>
      <w:r>
        <w:rPr>
          <w:rStyle w:val="21"/>
          <w:rFonts w:hint="eastAsia"/>
          <w:color w:val="auto"/>
          <w:sz w:val="28"/>
          <w:szCs w:val="28"/>
          <w:highlight w:val="none"/>
        </w:rPr>
        <w:t>投标人须</w:t>
      </w:r>
      <w:bookmarkStart w:id="1" w:name="_Hlt79572744"/>
      <w:bookmarkStart w:id="2" w:name="_Hlt79572745"/>
      <w:r>
        <w:rPr>
          <w:rStyle w:val="21"/>
          <w:rFonts w:hint="eastAsia"/>
          <w:color w:val="auto"/>
          <w:sz w:val="28"/>
          <w:szCs w:val="28"/>
          <w:highlight w:val="none"/>
        </w:rPr>
        <w:t>知</w:t>
      </w:r>
      <w:bookmarkEnd w:id="1"/>
      <w:bookmarkEnd w:id="2"/>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"_Toc74320803"</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第四章</w:t>
      </w:r>
      <w:r>
        <w:rPr>
          <w:rStyle w:val="21"/>
          <w:color w:val="auto"/>
          <w:sz w:val="28"/>
          <w:szCs w:val="28"/>
          <w:highlight w:val="none"/>
        </w:rPr>
        <w:t xml:space="preserve">  </w:t>
      </w:r>
      <w:r>
        <w:rPr>
          <w:rStyle w:val="21"/>
          <w:rFonts w:hint="eastAsia"/>
          <w:color w:val="auto"/>
          <w:sz w:val="28"/>
          <w:szCs w:val="28"/>
          <w:highlight w:val="none"/>
        </w:rPr>
        <w:t>评标方</w:t>
      </w:r>
      <w:bookmarkStart w:id="3" w:name="_Hlt82186273"/>
      <w:bookmarkStart w:id="4" w:name="_Hlt82186274"/>
      <w:r>
        <w:rPr>
          <w:rStyle w:val="21"/>
          <w:rFonts w:hint="eastAsia"/>
          <w:color w:val="auto"/>
          <w:sz w:val="28"/>
          <w:szCs w:val="28"/>
          <w:highlight w:val="none"/>
        </w:rPr>
        <w:t>法</w:t>
      </w:r>
      <w:bookmarkEnd w:id="3"/>
      <w:bookmarkEnd w:id="4"/>
      <w:r>
        <w:rPr>
          <w:rStyle w:val="21"/>
          <w:rFonts w:hint="eastAsia"/>
          <w:color w:val="auto"/>
          <w:sz w:val="28"/>
          <w:szCs w:val="28"/>
          <w:highlight w:val="none"/>
        </w:rPr>
        <w:t>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_Toc74320803 \h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"_Toc74320804"</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第五章</w:t>
      </w:r>
      <w:r>
        <w:rPr>
          <w:rStyle w:val="21"/>
          <w:color w:val="auto"/>
          <w:sz w:val="28"/>
          <w:szCs w:val="28"/>
          <w:highlight w:val="none"/>
        </w:rPr>
        <w:t xml:space="preserve">  </w:t>
      </w:r>
      <w:r>
        <w:rPr>
          <w:rStyle w:val="21"/>
          <w:rFonts w:hint="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_Toc74320804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rStyle w:val="21"/>
          <w:color w:val="auto"/>
          <w:sz w:val="28"/>
          <w:szCs w:val="28"/>
          <w:highlight w:val="none"/>
        </w:rPr>
        <w:fldChar w:fldCharType="end"/>
      </w:r>
    </w:p>
    <w:p>
      <w:pPr>
        <w:pStyle w:val="15"/>
        <w:spacing w:line="480" w:lineRule="auto"/>
        <w:ind w:firstLine="241"/>
        <w:rPr>
          <w:rFonts w:ascii="Calibri" w:hAnsi="Calibri"/>
          <w:b w:val="0"/>
          <w:bCs w:val="0"/>
          <w:caps w:val="0"/>
          <w:color w:val="auto"/>
          <w:sz w:val="28"/>
          <w:szCs w:val="28"/>
          <w:highlight w:val="none"/>
          <w:lang w:val="en-US" w:eastAsia="zh-CN"/>
        </w:rPr>
      </w:pPr>
      <w:r>
        <w:rPr>
          <w:rStyle w:val="21"/>
          <w:color w:val="auto"/>
          <w:sz w:val="28"/>
          <w:szCs w:val="28"/>
          <w:highlight w:val="none"/>
        </w:rPr>
        <w:fldChar w:fldCharType="begin"/>
      </w:r>
      <w:r>
        <w:rPr>
          <w:rStyle w:val="21"/>
          <w:color w:val="auto"/>
          <w:sz w:val="28"/>
          <w:szCs w:val="28"/>
          <w:highlight w:val="none"/>
        </w:rPr>
        <w:instrText xml:space="preserve"> </w:instrText>
      </w:r>
      <w:r>
        <w:rPr>
          <w:color w:val="auto"/>
          <w:sz w:val="28"/>
          <w:szCs w:val="28"/>
          <w:highlight w:val="none"/>
        </w:rPr>
        <w:instrText xml:space="preserve">HYPERLINK \l "_Toc74320805"</w:instrText>
      </w:r>
      <w:r>
        <w:rPr>
          <w:rStyle w:val="21"/>
          <w:color w:val="auto"/>
          <w:sz w:val="28"/>
          <w:szCs w:val="28"/>
          <w:highlight w:val="none"/>
        </w:rPr>
        <w:instrText xml:space="preserve"> </w:instrText>
      </w:r>
      <w:r>
        <w:rPr>
          <w:rStyle w:val="21"/>
          <w:color w:val="auto"/>
          <w:sz w:val="28"/>
          <w:szCs w:val="28"/>
          <w:highlight w:val="none"/>
        </w:rPr>
        <w:fldChar w:fldCharType="separate"/>
      </w:r>
      <w:r>
        <w:rPr>
          <w:rStyle w:val="21"/>
          <w:rFonts w:hint="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_Toc74320805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rStyle w:val="21"/>
          <w:color w:val="auto"/>
          <w:sz w:val="28"/>
          <w:szCs w:val="28"/>
          <w:highlight w:val="none"/>
        </w:rPr>
        <w:fldChar w:fldCharType="end"/>
      </w:r>
    </w:p>
    <w:p>
      <w:pPr>
        <w:spacing w:before="120" w:beforeLines="50" w:line="480" w:lineRule="auto"/>
        <w:rPr>
          <w:rFonts w:hint="eastAsia" w:ascii="仿宋_GB2312" w:hAnsi="宋体" w:eastAsia="仿宋_GB2312"/>
          <w:color w:val="auto"/>
          <w:sz w:val="24"/>
          <w:highlight w:val="none"/>
        </w:rPr>
      </w:pPr>
      <w:r>
        <w:rPr>
          <w:rFonts w:ascii="仿宋_GB2312" w:hAnsi="宋体" w:eastAsia="仿宋_GB2312"/>
          <w:b/>
          <w:color w:val="auto"/>
          <w:sz w:val="28"/>
          <w:szCs w:val="28"/>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8"/>
        <w:rPr>
          <w:rFonts w:hint="eastAsia" w:ascii="宋体" w:hAnsi="宋体" w:cs="宋体"/>
          <w:b/>
          <w:bCs/>
          <w:color w:val="auto"/>
          <w:highlight w:val="none"/>
        </w:rPr>
      </w:pPr>
      <w:bookmarkStart w:id="5" w:name="_Toc254970489"/>
      <w:bookmarkStart w:id="6" w:name="_Toc25497063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headerReference r:id="rId3" w:type="default"/>
          <w:pgSz w:w="11906" w:h="16838"/>
          <w:pgMar w:top="1440" w:right="1797" w:bottom="1440" w:left="1797" w:header="851" w:footer="992" w:gutter="0"/>
          <w:cols w:space="720" w:num="1"/>
          <w:docGrid w:linePitch="312" w:charSpace="0"/>
        </w:sectPr>
      </w:pPr>
      <w:bookmarkStart w:id="7" w:name="_Toc7432080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eastAsia="宋体"/>
          <w:color w:val="auto"/>
          <w:highlight w:val="none"/>
          <w:lang w:eastAsia="zh-CN"/>
        </w:rPr>
      </w:pPr>
      <w:r>
        <w:rPr>
          <w:rFonts w:hint="eastAsia"/>
          <w:color w:val="auto"/>
          <w:highlight w:val="none"/>
        </w:rPr>
        <w:t>第一章</w:t>
      </w:r>
      <w:bookmarkEnd w:id="5"/>
      <w:bookmarkEnd w:id="6"/>
      <w:bookmarkStart w:id="8" w:name="_Toc35393789"/>
      <w:bookmarkStart w:id="9" w:name="_Toc28359001"/>
      <w:r>
        <w:rPr>
          <w:rFonts w:hint="eastAsia"/>
          <w:color w:val="auto"/>
          <w:highlight w:val="none"/>
        </w:rPr>
        <w:t xml:space="preserve"> 招标公告</w:t>
      </w:r>
      <w:bookmarkEnd w:id="7"/>
      <w:bookmarkEnd w:id="8"/>
      <w:bookmarkEnd w:id="9"/>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imes New Roman" w:hAnsi="Times New Roman" w:eastAsia="宋体" w:cs="Times New Roman"/>
          <w:b/>
          <w:bCs/>
          <w:color w:val="auto"/>
          <w:highlight w:val="none"/>
        </w:rPr>
      </w:pPr>
      <w:r>
        <w:rPr>
          <w:rFonts w:hint="eastAsia" w:cs="Times New Roman"/>
          <w:b/>
          <w:bCs/>
          <w:color w:val="auto"/>
          <w:highlight w:val="none"/>
          <w:lang w:eastAsia="zh-CN"/>
        </w:rPr>
        <w:t>靖西市人民医院新院一批设备采购项目标项6、标项7(重）</w:t>
      </w:r>
      <w:r>
        <w:rPr>
          <w:rFonts w:hint="eastAsia" w:ascii="Times New Roman" w:hAnsi="Times New Roman" w:eastAsia="宋体" w:cs="Times New Roman"/>
          <w:b/>
          <w:bCs/>
          <w:color w:val="auto"/>
          <w:highlight w:val="none"/>
          <w:lang w:eastAsia="zh-CN"/>
        </w:rPr>
        <w:t>招标公告</w:t>
      </w:r>
      <w:r>
        <w:rPr>
          <w:rFonts w:hint="eastAsia"/>
          <w:color w:val="auto"/>
          <w:highlight w:val="none"/>
          <w:lang w:eastAsia="zh-CN"/>
        </w:rPr>
        <w:t>（远程异地评标）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bookmarkStart w:id="179" w:name="_GoBack"/>
      <w:r>
        <w:rPr>
          <w:rFonts w:hint="eastAsia" w:ascii="宋体" w:hAnsi="宋体" w:cs="Times New Roman"/>
          <w:color w:val="auto"/>
          <w:szCs w:val="21"/>
          <w:highlight w:val="none"/>
          <w:u w:val="single"/>
          <w:lang w:eastAsia="zh-CN"/>
        </w:rPr>
        <w:t>靖西市人民医院新院一批设备采购项目标项6、标项7(重）</w:t>
      </w:r>
      <w:bookmarkEnd w:id="179"/>
      <w:r>
        <w:rPr>
          <w:rFonts w:hint="eastAsia" w:ascii="宋体" w:hAnsi="宋体" w:eastAsia="宋体" w:cs="Times New Roman"/>
          <w:color w:val="auto"/>
          <w:szCs w:val="21"/>
          <w:highlight w:val="none"/>
          <w:u w:val="none"/>
          <w:lang w:eastAsia="zh-CN"/>
        </w:rPr>
        <w:t xml:space="preserve"> </w:t>
      </w:r>
      <w:r>
        <w:rPr>
          <w:rFonts w:hint="eastAsia" w:ascii="宋体" w:hAnsi="宋体" w:eastAsia="宋体" w:cs="Times New Roman"/>
          <w:color w:val="auto"/>
          <w:szCs w:val="21"/>
          <w:highlight w:val="none"/>
          <w:lang w:eastAsia="zh-CN"/>
        </w:rPr>
        <w:t>招标项目的潜在投标人应在</w:t>
      </w:r>
      <w:r>
        <w:rPr>
          <w:rFonts w:hint="eastAsia" w:ascii="宋体" w:hAnsi="宋体" w:eastAsia="宋体" w:cs="Times New Roman"/>
          <w:color w:val="auto"/>
          <w:szCs w:val="21"/>
          <w:highlight w:val="none"/>
          <w:u w:val="single"/>
          <w:lang w:eastAsia="zh-CN"/>
        </w:rPr>
        <w:t>广西政府采购云平台（https://www.gcy.zfcg.gxzf.gov.cn/）</w:t>
      </w:r>
      <w:r>
        <w:rPr>
          <w:rFonts w:hint="eastAsia" w:ascii="宋体" w:hAnsi="宋体" w:eastAsia="宋体" w:cs="Times New Roman"/>
          <w:color w:val="auto"/>
          <w:szCs w:val="21"/>
          <w:highlight w:val="none"/>
          <w:lang w:eastAsia="zh-CN"/>
        </w:rPr>
        <w:t>获取招标文件，并于</w:t>
      </w:r>
      <w:r>
        <w:rPr>
          <w:rFonts w:hint="eastAsia" w:ascii="宋体" w:hAnsi="宋体" w:eastAsia="宋体" w:cs="Times New Roman"/>
          <w:color w:val="auto"/>
          <w:szCs w:val="21"/>
          <w:highlight w:val="none"/>
          <w:u w:val="single"/>
          <w:lang w:eastAsia="zh-CN"/>
        </w:rPr>
        <w:t xml:space="preserve"> </w:t>
      </w:r>
      <w:r>
        <w:rPr>
          <w:rFonts w:hint="eastAsia" w:ascii="宋体" w:hAnsi="宋体" w:eastAsia="宋体" w:cs="Times New Roman"/>
          <w:color w:val="auto"/>
          <w:szCs w:val="21"/>
          <w:highlight w:val="none"/>
          <w:u w:val="single"/>
          <w:lang w:val="en-US" w:eastAsia="zh-CN"/>
        </w:rPr>
        <w:t>202</w:t>
      </w:r>
      <w:r>
        <w:rPr>
          <w:rFonts w:hint="eastAsia" w:ascii="宋体" w:hAnsi="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lang w:eastAsia="zh-CN"/>
        </w:rPr>
        <w:t>年</w:t>
      </w:r>
      <w:r>
        <w:rPr>
          <w:rFonts w:hint="eastAsia" w:ascii="宋体" w:hAnsi="宋体" w:cs="Times New Roman"/>
          <w:color w:val="auto"/>
          <w:szCs w:val="21"/>
          <w:highlight w:val="none"/>
          <w:u w:val="single"/>
          <w:lang w:val="en-US" w:eastAsia="zh-CN"/>
        </w:rPr>
        <w:t xml:space="preserve"> 3 </w:t>
      </w:r>
      <w:r>
        <w:rPr>
          <w:rFonts w:hint="eastAsia" w:ascii="宋体" w:hAnsi="宋体" w:eastAsia="宋体" w:cs="Times New Roman"/>
          <w:color w:val="auto"/>
          <w:szCs w:val="21"/>
          <w:highlight w:val="none"/>
          <w:u w:val="single"/>
          <w:lang w:eastAsia="zh-CN"/>
        </w:rPr>
        <w:t>月</w:t>
      </w:r>
      <w:r>
        <w:rPr>
          <w:rFonts w:hint="eastAsia" w:ascii="宋体" w:hAnsi="宋体" w:cs="Times New Roman"/>
          <w:color w:val="auto"/>
          <w:szCs w:val="21"/>
          <w:highlight w:val="none"/>
          <w:u w:val="single"/>
          <w:lang w:val="en-US" w:eastAsia="zh-CN"/>
        </w:rPr>
        <w:t xml:space="preserve"> 19 </w:t>
      </w:r>
      <w:r>
        <w:rPr>
          <w:rFonts w:hint="eastAsia" w:ascii="宋体" w:hAnsi="宋体" w:eastAsia="宋体" w:cs="Times New Roman"/>
          <w:color w:val="auto"/>
          <w:szCs w:val="21"/>
          <w:highlight w:val="none"/>
          <w:u w:val="single"/>
          <w:lang w:eastAsia="zh-CN"/>
        </w:rPr>
        <w:t>日</w:t>
      </w:r>
      <w:r>
        <w:rPr>
          <w:rFonts w:hint="eastAsia" w:ascii="宋体" w:hAnsi="宋体" w:eastAsia="宋体" w:cs="Times New Roman"/>
          <w:color w:val="auto"/>
          <w:szCs w:val="21"/>
          <w:highlight w:val="none"/>
          <w:lang w:val="en-US" w:eastAsia="zh-CN"/>
        </w:rPr>
        <w:t>09</w:t>
      </w:r>
      <w:r>
        <w:rPr>
          <w:rFonts w:hint="eastAsia" w:ascii="宋体" w:hAnsi="宋体" w:eastAsia="宋体" w:cs="Times New Roman"/>
          <w:color w:val="auto"/>
          <w:szCs w:val="21"/>
          <w:highlight w:val="none"/>
          <w:lang w:eastAsia="zh-CN"/>
        </w:rPr>
        <w:t>时</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分（北京时间）前递交投标文件。</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10" w:name="_Toc35393790"/>
      <w:bookmarkStart w:id="11" w:name="_Toc35393621"/>
      <w:bookmarkStart w:id="12" w:name="_Toc28359079"/>
      <w:bookmarkStart w:id="13" w:name="_Toc28359002"/>
      <w:bookmarkStart w:id="14" w:name="_Hlk24379207"/>
      <w:r>
        <w:rPr>
          <w:rFonts w:hint="eastAsia" w:ascii="黑体" w:hAnsi="黑体" w:eastAsia="黑体"/>
          <w:b/>
          <w:bCs/>
          <w:color w:val="auto"/>
          <w:sz w:val="24"/>
          <w:highlight w:val="none"/>
        </w:rPr>
        <w:t>一、项目基本情况</w:t>
      </w:r>
      <w:bookmarkEnd w:id="10"/>
      <w:bookmarkEnd w:id="11"/>
      <w:bookmarkEnd w:id="12"/>
      <w:bookmarkEnd w:id="13"/>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 BSZC2025-G1-250024-GXBS</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bookmarkStart w:id="15" w:name="OLE_LINK10"/>
      <w:r>
        <w:rPr>
          <w:rFonts w:hint="eastAsia" w:ascii="宋体" w:hAnsi="宋体"/>
          <w:color w:val="auto"/>
          <w:szCs w:val="21"/>
          <w:highlight w:val="none"/>
          <w:u w:val="single"/>
          <w:lang w:eastAsia="zh-CN"/>
        </w:rPr>
        <w:t>靖西市人民医院新院一批设备采购项目标项6、标项7(重）</w:t>
      </w:r>
      <w:bookmarkEnd w:id="15"/>
    </w:p>
    <w:bookmarkEnd w:id="14"/>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预算金额：</w:t>
      </w:r>
      <w:r>
        <w:rPr>
          <w:rFonts w:ascii="宋体" w:hAnsi="宋体"/>
          <w:color w:val="auto"/>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color w:val="auto"/>
          <w:szCs w:val="21"/>
          <w:highlight w:val="none"/>
          <w:u w:val="single"/>
          <w:lang w:val="en-US" w:eastAsia="zh-CN"/>
        </w:rPr>
        <w:t>1803000.00</w:t>
      </w:r>
      <w:r>
        <w:rPr>
          <w:rFonts w:hint="eastAsia" w:ascii="宋体" w:hAnsi="宋体"/>
          <w:color w:val="auto"/>
          <w:szCs w:val="21"/>
          <w:highlight w:val="none"/>
          <w:u w:val="single"/>
        </w:rPr>
        <w:t>元</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 ¥</w:t>
      </w:r>
      <w:r>
        <w:rPr>
          <w:rFonts w:hint="eastAsia" w:ascii="宋体" w:hAnsi="宋体"/>
          <w:color w:val="auto"/>
          <w:szCs w:val="21"/>
          <w:highlight w:val="none"/>
          <w:u w:val="single"/>
          <w:lang w:val="en-US" w:eastAsia="zh-CN"/>
        </w:rPr>
        <w:t>1803000.00</w:t>
      </w:r>
      <w:r>
        <w:rPr>
          <w:rFonts w:hint="eastAsia" w:ascii="宋体" w:hAnsi="宋体" w:eastAsia="宋体" w:cs="Times New Roman"/>
          <w:color w:val="auto"/>
          <w:szCs w:val="21"/>
          <w:highlight w:val="none"/>
        </w:rPr>
        <w:t>元</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 xml:space="preserve">标项 </w:t>
      </w:r>
      <w:r>
        <w:rPr>
          <w:rFonts w:hint="eastAsia" w:ascii="宋体" w:hAnsi="宋体" w:cs="Times New Roman"/>
          <w:b/>
          <w:bCs/>
          <w:color w:val="auto"/>
          <w:szCs w:val="21"/>
          <w:highlight w:val="none"/>
          <w:lang w:val="en-US" w:eastAsia="zh-CN"/>
        </w:rPr>
        <w:t>1</w:t>
      </w:r>
      <w:r>
        <w:rPr>
          <w:rFonts w:hint="eastAsia" w:ascii="宋体" w:hAnsi="宋体" w:eastAsia="宋体" w:cs="Times New Roman"/>
          <w:b/>
          <w:bCs/>
          <w:color w:val="auto"/>
          <w:szCs w:val="21"/>
          <w:highlight w:val="none"/>
          <w:lang w:val="en-US" w:eastAsia="zh-CN"/>
        </w:rPr>
        <w:t>：标项名称：</w:t>
      </w:r>
      <w:bookmarkStart w:id="16" w:name="OLE_LINK2"/>
      <w:bookmarkStart w:id="17" w:name="OLE_LINK15"/>
      <w:r>
        <w:rPr>
          <w:rFonts w:hint="eastAsia" w:ascii="宋体" w:hAnsi="宋体" w:cs="Times New Roman"/>
          <w:b/>
          <w:bCs/>
          <w:color w:val="auto"/>
          <w:szCs w:val="21"/>
          <w:highlight w:val="none"/>
          <w:lang w:val="en-US" w:eastAsia="zh-CN"/>
        </w:rPr>
        <w:t>标项6</w:t>
      </w:r>
      <w:r>
        <w:rPr>
          <w:rFonts w:hint="eastAsia" w:ascii="宋体" w:hAnsi="宋体" w:eastAsia="宋体" w:cs="Times New Roman"/>
          <w:b/>
          <w:bCs/>
          <w:color w:val="auto"/>
          <w:szCs w:val="21"/>
          <w:highlight w:val="none"/>
          <w:lang w:val="en-US" w:eastAsia="zh-CN"/>
        </w:rPr>
        <w:t>内镜清洗消毒工作站、氩气高频手术系统</w:t>
      </w:r>
      <w:bookmarkEnd w:id="16"/>
    </w:p>
    <w:bookmarkEnd w:id="17"/>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数量：各1套 </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预算金额（元）：531900.00</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简要规格描述或项目基本概况介绍、用途：具体内容详见附件：采购需求表；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最高限价：531900.00元。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合同履约期限：</w:t>
      </w:r>
      <w:bookmarkStart w:id="18" w:name="OLE_LINK12"/>
      <w:r>
        <w:rPr>
          <w:rFonts w:hint="eastAsia" w:ascii="宋体" w:hAnsi="宋体"/>
          <w:color w:val="auto"/>
          <w:szCs w:val="21"/>
          <w:highlight w:val="none"/>
          <w:lang w:val="en-US" w:eastAsia="zh-CN"/>
        </w:rPr>
        <w:t>自合同签订之日起60日历天内供货并安装调试完毕。</w:t>
      </w:r>
      <w:bookmarkEnd w:id="18"/>
      <w:r>
        <w:rPr>
          <w:rFonts w:hint="eastAsia" w:ascii="宋体" w:hAnsi="宋体" w:eastAsia="宋体" w:cs="Times New Roman"/>
          <w:color w:val="auto"/>
          <w:szCs w:val="21"/>
          <w:highlight w:val="none"/>
          <w:lang w:val="en-US" w:eastAsia="zh-CN"/>
        </w:rPr>
        <w:t xml:space="preserve">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本标项（否）接受联合体投标。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备注：/</w:t>
      </w:r>
    </w:p>
    <w:p>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 xml:space="preserve">标项 </w:t>
      </w:r>
      <w:r>
        <w:rPr>
          <w:rFonts w:hint="eastAsia" w:ascii="宋体" w:hAnsi="宋体" w:cs="Times New Roman"/>
          <w:b/>
          <w:bCs/>
          <w:color w:val="auto"/>
          <w:szCs w:val="21"/>
          <w:highlight w:val="none"/>
          <w:lang w:val="en-US" w:eastAsia="zh-CN"/>
        </w:rPr>
        <w:t>2</w:t>
      </w:r>
      <w:r>
        <w:rPr>
          <w:rFonts w:hint="eastAsia" w:ascii="宋体" w:hAnsi="宋体" w:eastAsia="宋体" w:cs="Times New Roman"/>
          <w:b/>
          <w:bCs/>
          <w:color w:val="auto"/>
          <w:szCs w:val="21"/>
          <w:highlight w:val="none"/>
          <w:lang w:val="en-US" w:eastAsia="zh-CN"/>
        </w:rPr>
        <w:t>：标项名称：</w:t>
      </w:r>
      <w:bookmarkStart w:id="19" w:name="OLE_LINK3"/>
      <w:bookmarkStart w:id="20" w:name="OLE_LINK11"/>
      <w:r>
        <w:rPr>
          <w:rFonts w:hint="eastAsia" w:ascii="宋体" w:hAnsi="宋体" w:cs="Times New Roman"/>
          <w:b/>
          <w:bCs/>
          <w:color w:val="auto"/>
          <w:szCs w:val="21"/>
          <w:highlight w:val="none"/>
          <w:lang w:val="en-US" w:eastAsia="zh-CN"/>
        </w:rPr>
        <w:t>标项7</w:t>
      </w:r>
      <w:r>
        <w:rPr>
          <w:rFonts w:hint="eastAsia" w:ascii="宋体" w:hAnsi="宋体" w:eastAsia="宋体" w:cs="Times New Roman"/>
          <w:b/>
          <w:bCs/>
          <w:color w:val="auto"/>
          <w:szCs w:val="21"/>
          <w:highlight w:val="none"/>
          <w:lang w:val="en-US" w:eastAsia="zh-CN"/>
        </w:rPr>
        <w:t>全自动清洗消毒器、医用干燥柜、医用真空干燥柜、硬式内镜清洗工作站、牙科手机清洗机、绝缘检测仪、医用除锈仪、煮沸消毒器</w:t>
      </w:r>
      <w:bookmarkEnd w:id="19"/>
    </w:p>
    <w:bookmarkEnd w:id="20"/>
    <w:p>
      <w:pPr>
        <w:spacing w:line="360" w:lineRule="auto"/>
        <w:ind w:firstLine="420" w:firstLineChars="200"/>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eastAsia="zh-CN"/>
        </w:rPr>
        <w:t>数量：全自动清洗消毒器2套，其余各1套。</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预算金额（元）：</w:t>
      </w:r>
      <w:bookmarkStart w:id="21" w:name="OLE_LINK13"/>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71100</w:t>
      </w:r>
      <w:bookmarkEnd w:id="21"/>
      <w:r>
        <w:rPr>
          <w:rFonts w:hint="eastAsia" w:ascii="宋体" w:hAnsi="宋体" w:eastAsia="宋体" w:cs="Times New Roman"/>
          <w:color w:val="auto"/>
          <w:szCs w:val="21"/>
          <w:highlight w:val="none"/>
          <w:lang w:val="en-US" w:eastAsia="zh-CN"/>
        </w:rPr>
        <w:t>.00</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简要规格描述或项目基本概况介绍、用途：具体内容详见附件：采购需求表；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最高限价：</w:t>
      </w: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 xml:space="preserve">71100.00元。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合同履约期限：</w:t>
      </w:r>
      <w:r>
        <w:rPr>
          <w:rFonts w:hint="eastAsia" w:ascii="宋体" w:hAnsi="宋体"/>
          <w:color w:val="auto"/>
          <w:szCs w:val="21"/>
          <w:highlight w:val="none"/>
          <w:lang w:val="en-US" w:eastAsia="zh-CN"/>
        </w:rPr>
        <w:t>自合同签订之日起60日历天内供货并安装调试完毕。</w:t>
      </w:r>
      <w:r>
        <w:rPr>
          <w:rFonts w:hint="eastAsia" w:ascii="宋体" w:hAnsi="宋体" w:eastAsia="宋体" w:cs="Times New Roman"/>
          <w:color w:val="auto"/>
          <w:szCs w:val="21"/>
          <w:highlight w:val="none"/>
          <w:lang w:val="en-US" w:eastAsia="zh-CN"/>
        </w:rPr>
        <w:t xml:space="preserve">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本标项（否）接受联合体投标。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备注：/</w:t>
      </w:r>
    </w:p>
    <w:p>
      <w:pPr>
        <w:spacing w:line="360" w:lineRule="auto"/>
        <w:rPr>
          <w:rFonts w:ascii="黑体" w:hAnsi="黑体" w:eastAsia="黑体"/>
          <w:b/>
          <w:bCs/>
          <w:color w:val="auto"/>
          <w:sz w:val="24"/>
          <w:highlight w:val="none"/>
        </w:rPr>
      </w:pPr>
      <w:bookmarkStart w:id="22" w:name="_Toc35393622"/>
      <w:bookmarkStart w:id="23" w:name="_Toc28359003"/>
      <w:bookmarkStart w:id="24" w:name="_Toc35393791"/>
      <w:bookmarkStart w:id="25" w:name="_Toc28359080"/>
      <w:r>
        <w:rPr>
          <w:rFonts w:hint="eastAsia" w:ascii="黑体" w:hAnsi="黑体" w:eastAsia="黑体"/>
          <w:b/>
          <w:bCs/>
          <w:color w:val="auto"/>
          <w:sz w:val="24"/>
          <w:highlight w:val="none"/>
        </w:rPr>
        <w:t>二、申请人的资格要求：</w:t>
      </w:r>
      <w:bookmarkEnd w:id="22"/>
      <w:bookmarkEnd w:id="23"/>
      <w:bookmarkEnd w:id="24"/>
      <w:bookmarkEnd w:id="25"/>
    </w:p>
    <w:p>
      <w:pPr>
        <w:spacing w:line="360" w:lineRule="auto"/>
        <w:ind w:firstLine="420" w:firstLineChars="200"/>
        <w:rPr>
          <w:rFonts w:ascii="宋体" w:hAnsi="宋体"/>
          <w:color w:val="auto"/>
          <w:szCs w:val="21"/>
          <w:highlight w:val="none"/>
        </w:rPr>
      </w:pPr>
      <w:bookmarkStart w:id="26" w:name="_Hlk51746371"/>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olor w:val="auto"/>
          <w:szCs w:val="21"/>
          <w:highlight w:val="none"/>
          <w:lang w:eastAsia="zh-CN"/>
        </w:rPr>
      </w:pPr>
      <w:bookmarkStart w:id="27" w:name="_Toc28359004"/>
      <w:bookmarkStart w:id="28"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w:t>
      </w:r>
      <w:r>
        <w:rPr>
          <w:rFonts w:hint="eastAsia" w:ascii="宋体" w:hAnsi="宋体"/>
          <w:b w:val="0"/>
          <w:bCs w:val="0"/>
          <w:color w:val="auto"/>
          <w:szCs w:val="21"/>
          <w:highlight w:val="none"/>
          <w:u w:val="single"/>
        </w:rPr>
        <w:t>不属于</w:t>
      </w:r>
      <w:r>
        <w:rPr>
          <w:rFonts w:hint="eastAsia" w:ascii="宋体" w:hAnsi="宋体"/>
          <w:color w:val="auto"/>
          <w:szCs w:val="21"/>
          <w:highlight w:val="none"/>
          <w:u w:val="single"/>
        </w:rPr>
        <w:t>专门面向中小企业采购的项目</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bookmarkStart w:id="29" w:name="OLE_LINK7"/>
      <w:bookmarkStart w:id="30" w:name="OLE_LINK16"/>
      <w:r>
        <w:rPr>
          <w:rFonts w:hint="eastAsia" w:ascii="宋体" w:hAnsi="宋体"/>
          <w:color w:val="auto"/>
          <w:szCs w:val="21"/>
          <w:highlight w:val="none"/>
        </w:rPr>
        <w:t>投标供应商按《医疗器械监督管理条例》（国务院令第 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9"/>
    </w:p>
    <w:bookmarkEnd w:id="26"/>
    <w:bookmarkEnd w:id="30"/>
    <w:p>
      <w:pPr>
        <w:spacing w:line="360" w:lineRule="auto"/>
        <w:rPr>
          <w:rFonts w:ascii="黑体" w:hAnsi="黑体" w:eastAsia="黑体"/>
          <w:b/>
          <w:bCs/>
          <w:color w:val="auto"/>
          <w:sz w:val="24"/>
          <w:highlight w:val="none"/>
        </w:rPr>
      </w:pPr>
      <w:bookmarkStart w:id="31" w:name="_Toc35393623"/>
      <w:bookmarkStart w:id="32" w:name="_Toc35393792"/>
      <w:r>
        <w:rPr>
          <w:rFonts w:hint="eastAsia" w:ascii="黑体" w:hAnsi="黑体" w:eastAsia="黑体"/>
          <w:b/>
          <w:bCs/>
          <w:color w:val="auto"/>
          <w:sz w:val="24"/>
          <w:highlight w:val="none"/>
        </w:rPr>
        <w:t>三、获取招标文件</w:t>
      </w:r>
      <w:bookmarkEnd w:id="27"/>
      <w:bookmarkEnd w:id="28"/>
      <w:bookmarkEnd w:id="31"/>
      <w:bookmarkEnd w:id="32"/>
    </w:p>
    <w:p>
      <w:pPr>
        <w:spacing w:line="360" w:lineRule="auto"/>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2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26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3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u w:val="none"/>
          <w:lang w:eastAsia="zh-CN"/>
        </w:rPr>
        <w:t>，每天上午8:30—12:00，下午1</w:t>
      </w:r>
      <w:r>
        <w:rPr>
          <w:rFonts w:hint="eastAsia" w:ascii="宋体" w:hAnsi="宋体" w:cs="宋体"/>
          <w:bCs/>
          <w:color w:val="auto"/>
          <w:kern w:val="0"/>
          <w:szCs w:val="21"/>
          <w:highlight w:val="none"/>
          <w:u w:val="none"/>
          <w:lang w:val="en-US" w:eastAsia="zh-CN"/>
        </w:rPr>
        <w:t>2</w:t>
      </w:r>
      <w:r>
        <w:rPr>
          <w:rFonts w:hint="eastAsia" w:ascii="宋体" w:hAnsi="宋体" w:cs="宋体"/>
          <w:bCs/>
          <w:color w:val="auto"/>
          <w:kern w:val="0"/>
          <w:szCs w:val="21"/>
          <w:highlight w:val="none"/>
          <w:u w:val="none"/>
          <w:lang w:eastAsia="zh-CN"/>
        </w:rPr>
        <w:t>:00—</w:t>
      </w:r>
      <w:r>
        <w:rPr>
          <w:rFonts w:hint="eastAsia" w:ascii="宋体" w:hAnsi="宋体" w:cs="宋体"/>
          <w:bCs/>
          <w:color w:val="auto"/>
          <w:kern w:val="0"/>
          <w:szCs w:val="21"/>
          <w:highlight w:val="none"/>
          <w:u w:val="none"/>
          <w:lang w:val="en-US" w:eastAsia="zh-CN"/>
        </w:rPr>
        <w:t>23</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lang w:val="en-US" w:eastAsia="zh-CN"/>
        </w:rPr>
        <w:t>59</w:t>
      </w:r>
      <w:r>
        <w:rPr>
          <w:rFonts w:hint="eastAsia" w:ascii="宋体" w:hAnsi="宋体" w:cs="宋体"/>
          <w:bCs/>
          <w:color w:val="auto"/>
          <w:kern w:val="0"/>
          <w:szCs w:val="21"/>
          <w:highlight w:val="none"/>
          <w:u w:val="none"/>
          <w:lang w:eastAsia="zh-CN"/>
        </w:rPr>
        <w:t>（北京时间，法定公休日、法定节假日除外)</w:t>
      </w:r>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bookmarkStart w:id="33" w:name="OLE_LINK8"/>
      <w:r>
        <w:rPr>
          <w:rFonts w:hint="eastAsia" w:ascii="宋体" w:hAnsi="宋体" w:cs="宋体"/>
          <w:bCs/>
          <w:color w:val="auto"/>
          <w:kern w:val="0"/>
          <w:szCs w:val="21"/>
          <w:highlight w:val="none"/>
        </w:rPr>
        <w:t>广西政府采购云平台（https://www.gcy.zfcg.gxzf.gov.cn/）</w:t>
      </w:r>
      <w:bookmarkEnd w:id="33"/>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w:t>
      </w:r>
      <w:bookmarkStart w:id="34" w:name="OLE_LINK4"/>
      <w:bookmarkStart w:id="35" w:name="OLE_LINK17"/>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菜单中选择项目，获取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。电子响应文件制作需要基于广西政府采购云平台（https://www.gcy.zfcg.gxzf.gov.cn/）获取的</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编制，通过其他方式获取</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的，将有可能导致供应商无法在广西政府采购云平台编制及上传响应文件。</w:t>
      </w:r>
      <w:bookmarkEnd w:id="34"/>
    </w:p>
    <w:bookmarkEnd w:id="35"/>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val="en-US" w:eastAsia="zh-CN"/>
        </w:rPr>
        <w:t>0元。</w:t>
      </w:r>
      <w:r>
        <w:rPr>
          <w:rFonts w:hint="eastAsia" w:ascii="宋体" w:hAnsi="宋体" w:cs="宋体"/>
          <w:color w:val="auto"/>
          <w:szCs w:val="21"/>
          <w:highlight w:val="none"/>
        </w:rPr>
        <w:t xml:space="preserve">  </w:t>
      </w:r>
    </w:p>
    <w:p>
      <w:pPr>
        <w:spacing w:line="360" w:lineRule="auto"/>
        <w:rPr>
          <w:rFonts w:ascii="黑体" w:hAnsi="黑体" w:eastAsia="黑体"/>
          <w:b/>
          <w:bCs/>
          <w:color w:val="auto"/>
          <w:sz w:val="24"/>
          <w:highlight w:val="none"/>
        </w:rPr>
      </w:pPr>
      <w:bookmarkStart w:id="36" w:name="_Toc28359082"/>
      <w:bookmarkStart w:id="37" w:name="_Toc28359005"/>
      <w:bookmarkStart w:id="38" w:name="_Toc35393793"/>
      <w:bookmarkStart w:id="39" w:name="_Toc35393624"/>
      <w:r>
        <w:rPr>
          <w:rFonts w:hint="eastAsia" w:ascii="黑体" w:hAnsi="黑体" w:eastAsia="黑体"/>
          <w:b/>
          <w:bCs/>
          <w:color w:val="auto"/>
          <w:sz w:val="24"/>
          <w:highlight w:val="none"/>
        </w:rPr>
        <w:t>四、提交投标文件</w:t>
      </w:r>
      <w:bookmarkEnd w:id="36"/>
      <w:bookmarkEnd w:id="37"/>
      <w:r>
        <w:rPr>
          <w:rFonts w:hint="eastAsia" w:ascii="黑体" w:hAnsi="黑体" w:eastAsia="黑体"/>
          <w:b/>
          <w:bCs/>
          <w:color w:val="auto"/>
          <w:sz w:val="24"/>
          <w:highlight w:val="none"/>
        </w:rPr>
        <w:t>截止时间、开标时间和地点</w:t>
      </w:r>
      <w:bookmarkEnd w:id="38"/>
      <w:bookmarkEnd w:id="39"/>
    </w:p>
    <w:p>
      <w:pPr>
        <w:spacing w:line="360" w:lineRule="auto"/>
        <w:ind w:firstLine="420" w:firstLineChars="200"/>
        <w:rPr>
          <w:rFonts w:ascii="宋体" w:hAnsi="宋体" w:cs="宋体"/>
          <w:color w:val="auto"/>
          <w:szCs w:val="21"/>
          <w:highlight w:val="none"/>
          <w:u w:val="none"/>
        </w:rPr>
      </w:pPr>
      <w:bookmarkStart w:id="40" w:name="_Toc35393794"/>
      <w:bookmarkStart w:id="41" w:name="_Toc35393625"/>
      <w:bookmarkStart w:id="42" w:name="_Toc28359007"/>
      <w:bookmarkStart w:id="43" w:name="_Toc28359084"/>
      <w:r>
        <w:rPr>
          <w:rFonts w:hint="eastAsia" w:ascii="宋体" w:hAnsi="宋体" w:cs="宋体"/>
          <w:color w:val="auto"/>
          <w:szCs w:val="21"/>
          <w:highlight w:val="none"/>
          <w:u w:val="none"/>
        </w:rPr>
        <w:t>提交投标文件截止时间：</w:t>
      </w:r>
      <w:r>
        <w:rPr>
          <w:rFonts w:hint="eastAsia" w:ascii="宋体" w:hAnsi="宋体"/>
          <w:color w:val="auto"/>
          <w:szCs w:val="21"/>
          <w:highlight w:val="none"/>
          <w:u w:val="single"/>
          <w:lang w:val="en-US" w:eastAsia="zh-CN"/>
        </w:rPr>
        <w:t xml:space="preserve"> 2025年  3  月 19 日</w:t>
      </w:r>
      <w:r>
        <w:rPr>
          <w:rFonts w:hint="eastAsia" w:ascii="宋体" w:hAnsi="宋体" w:cs="宋体"/>
          <w:color w:val="auto"/>
          <w:szCs w:val="21"/>
          <w:highlight w:val="none"/>
          <w:u w:val="none"/>
        </w:rPr>
        <w:t xml:space="preserve"> 09:</w:t>
      </w:r>
      <w:r>
        <w:rPr>
          <w:rFonts w:hint="eastAsia" w:ascii="宋体" w:hAnsi="宋体" w:cs="宋体"/>
          <w:color w:val="auto"/>
          <w:szCs w:val="21"/>
          <w:highlight w:val="none"/>
          <w:u w:val="none"/>
          <w:lang w:val="en-US" w:eastAsia="zh-CN"/>
        </w:rPr>
        <w:t>0</w:t>
      </w:r>
      <w:r>
        <w:rPr>
          <w:rFonts w:hint="eastAsia" w:ascii="宋体" w:hAnsi="宋体" w:cs="宋体"/>
          <w:color w:val="auto"/>
          <w:szCs w:val="21"/>
          <w:highlight w:val="none"/>
          <w:u w:val="none"/>
        </w:rPr>
        <w:t>0（北京时间）</w:t>
      </w:r>
    </w:p>
    <w:p>
      <w:pPr>
        <w:spacing w:line="360" w:lineRule="auto"/>
        <w:ind w:firstLine="420" w:firstLineChars="200"/>
        <w:rPr>
          <w:rFonts w:hint="eastAsia" w:ascii="仿宋" w:hAnsi="仿宋" w:eastAsia="仿宋" w:cs="仿宋"/>
          <w:i w:val="0"/>
          <w:iCs w:val="0"/>
          <w:caps w:val="0"/>
          <w:color w:val="auto"/>
          <w:spacing w:val="0"/>
          <w:sz w:val="27"/>
          <w:szCs w:val="27"/>
          <w:highlight w:val="none"/>
          <w:u w:val="none"/>
        </w:rPr>
      </w:pPr>
      <w:r>
        <w:rPr>
          <w:rFonts w:hint="eastAsia" w:ascii="宋体" w:hAnsi="宋体"/>
          <w:color w:val="auto"/>
          <w:szCs w:val="21"/>
          <w:highlight w:val="none"/>
          <w:u w:val="none"/>
        </w:rPr>
        <w:t>地点：</w:t>
      </w:r>
      <w:r>
        <w:rPr>
          <w:rFonts w:hint="eastAsia" w:ascii="宋体" w:hAnsi="宋体" w:eastAsia="宋体" w:cs="宋体"/>
          <w:color w:val="auto"/>
          <w:szCs w:val="21"/>
          <w:highlight w:val="none"/>
          <w:u w:val="none"/>
        </w:rPr>
        <w:t>广西政府采购云平台（https://www.gcy.zfcg.gxzf.gov.cn/）</w:t>
      </w:r>
    </w:p>
    <w:p>
      <w:pPr>
        <w:spacing w:line="360" w:lineRule="auto"/>
        <w:ind w:firstLine="420" w:firstLineChars="200"/>
        <w:rPr>
          <w:rFonts w:hint="eastAsia"/>
          <w:color w:val="auto"/>
          <w:highlight w:val="none"/>
        </w:rPr>
      </w:pPr>
      <w:r>
        <w:rPr>
          <w:rFonts w:hint="eastAsia"/>
          <w:color w:val="auto"/>
          <w:highlight w:val="none"/>
        </w:rPr>
        <w:t>开标时间：</w:t>
      </w:r>
      <w:r>
        <w:rPr>
          <w:rFonts w:hint="eastAsia" w:ascii="宋体" w:hAnsi="宋体"/>
          <w:color w:val="auto"/>
          <w:szCs w:val="21"/>
          <w:highlight w:val="none"/>
          <w:u w:val="single"/>
          <w:lang w:val="en-US" w:eastAsia="zh-CN"/>
        </w:rPr>
        <w:t>2025年 3 月 19日</w:t>
      </w:r>
      <w:r>
        <w:rPr>
          <w:rFonts w:hint="eastAsia"/>
          <w:color w:val="auto"/>
          <w:highlight w:val="none"/>
        </w:rPr>
        <w:t xml:space="preserve"> </w:t>
      </w:r>
      <w:r>
        <w:rPr>
          <w:rFonts w:hint="eastAsia" w:ascii="宋体" w:hAnsi="宋体" w:cs="宋体"/>
          <w:color w:val="auto"/>
          <w:szCs w:val="21"/>
          <w:highlight w:val="none"/>
          <w:u w:val="none"/>
        </w:rPr>
        <w:t xml:space="preserve"> 09:</w:t>
      </w:r>
      <w:r>
        <w:rPr>
          <w:rFonts w:hint="eastAsia" w:ascii="宋体" w:hAnsi="宋体" w:cs="宋体"/>
          <w:color w:val="auto"/>
          <w:szCs w:val="21"/>
          <w:highlight w:val="none"/>
          <w:u w:val="none"/>
          <w:lang w:val="en-US" w:eastAsia="zh-CN"/>
        </w:rPr>
        <w:t>00</w:t>
      </w:r>
      <w:r>
        <w:rPr>
          <w:rFonts w:hint="eastAsia"/>
          <w:color w:val="auto"/>
          <w:highlight w:val="none"/>
        </w:rPr>
        <w:t xml:space="preserve">（北京时间） </w:t>
      </w:r>
    </w:p>
    <w:p>
      <w:pPr>
        <w:spacing w:line="360" w:lineRule="auto"/>
        <w:ind w:firstLine="420" w:firstLineChars="200"/>
        <w:rPr>
          <w:color w:val="auto"/>
          <w:highlight w:val="none"/>
        </w:rPr>
      </w:pPr>
      <w:r>
        <w:rPr>
          <w:rFonts w:hint="eastAsia"/>
          <w:color w:val="auto"/>
          <w:highlight w:val="none"/>
        </w:rPr>
        <w:t>开标地点：供应商登录“</w:t>
      </w:r>
      <w:r>
        <w:rPr>
          <w:rFonts w:hint="eastAsia" w:ascii="宋体" w:hAnsi="宋体" w:cs="宋体"/>
          <w:bCs/>
          <w:color w:val="auto"/>
          <w:kern w:val="0"/>
          <w:szCs w:val="21"/>
          <w:highlight w:val="none"/>
        </w:rPr>
        <w:t>广西政府采购云平台（https://www.gcy.zfcg.gxzf.gov.cn/）</w:t>
      </w:r>
      <w:r>
        <w:rPr>
          <w:rFonts w:hint="eastAsia"/>
          <w:color w:val="auto"/>
          <w:highlight w:val="none"/>
        </w:rPr>
        <w:t>”电子开标大厅开标。</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40"/>
      <w:bookmarkEnd w:id="41"/>
      <w:bookmarkEnd w:id="42"/>
      <w:bookmarkEnd w:id="43"/>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44" w:name="_Toc35393626"/>
      <w:bookmarkStart w:id="45" w:name="_Toc35393795"/>
      <w:r>
        <w:rPr>
          <w:rFonts w:hint="eastAsia" w:ascii="黑体" w:hAnsi="黑体" w:eastAsia="黑体"/>
          <w:b/>
          <w:bCs/>
          <w:color w:val="auto"/>
          <w:sz w:val="24"/>
          <w:highlight w:val="none"/>
        </w:rPr>
        <w:t>六、其他补充事宜</w:t>
      </w:r>
      <w:bookmarkEnd w:id="44"/>
      <w:bookmarkEnd w:id="45"/>
    </w:p>
    <w:p>
      <w:pPr>
        <w:spacing w:line="360" w:lineRule="auto"/>
        <w:ind w:firstLine="420" w:firstLineChars="200"/>
        <w:rPr>
          <w:rFonts w:hint="eastAsia" w:ascii="宋体" w:hAnsi="宋体" w:cs="宋体"/>
          <w:color w:val="auto"/>
          <w:kern w:val="0"/>
          <w:szCs w:val="21"/>
          <w:highlight w:val="none"/>
        </w:rPr>
      </w:pPr>
      <w:bookmarkStart w:id="46" w:name="_Hlk37429585"/>
      <w:bookmarkStart w:id="47" w:name="_Hlk37429595"/>
      <w:bookmarkStart w:id="48" w:name="OLE_LINK18"/>
      <w:bookmarkStart w:id="49" w:name="OLE_LINK5"/>
      <w:r>
        <w:rPr>
          <w:rFonts w:hint="eastAsia" w:ascii="宋体" w:hAnsi="宋体" w:cs="宋体"/>
          <w:color w:val="auto"/>
          <w:kern w:val="0"/>
          <w:szCs w:val="21"/>
          <w:highlight w:val="none"/>
        </w:rPr>
        <w:t>1.网上查询地址</w:t>
      </w:r>
      <w:bookmarkEnd w:id="46"/>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本次招标公告同时在中国政府采购网（http://www.ccgp.gov.cn/）、</w:t>
      </w:r>
      <w:r>
        <w:rPr>
          <w:rStyle w:val="21"/>
          <w:rFonts w:hint="eastAsia" w:ascii="宋体" w:hAnsi="宋体" w:cs="宋体"/>
          <w:color w:val="auto"/>
          <w:kern w:val="0"/>
          <w:szCs w:val="21"/>
          <w:highlight w:val="none"/>
          <w:u w:val="none"/>
        </w:rPr>
        <w:t>广西壮族自治区政府采购网</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http://www.ccgp-guangxi.gov.cn/</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eastAsia="宋体" w:cs="Times New Roman"/>
          <w:color w:val="auto"/>
          <w:kern w:val="2"/>
          <w:sz w:val="21"/>
          <w:szCs w:val="21"/>
          <w:highlight w:val="none"/>
          <w:lang w:val="en-US" w:eastAsia="zh-CN" w:bidi="ar-SA"/>
        </w:rPr>
        <w:t>全国公共资源交易平台（广西·百色）(http://ggzy.jgswj.gxzf.gov.cn/bsggzy/)</w:t>
      </w:r>
      <w:r>
        <w:rPr>
          <w:rFonts w:hint="eastAsia" w:ascii="宋体" w:hAnsi="宋体" w:cs="宋体"/>
          <w:color w:val="auto"/>
          <w:kern w:val="0"/>
          <w:szCs w:val="21"/>
          <w:highlight w:val="none"/>
          <w:lang w:val="en-US" w:eastAsia="zh-CN"/>
        </w:rPr>
        <w:t>发布</w:t>
      </w:r>
      <w:r>
        <w:rPr>
          <w:rFonts w:hint="eastAsia" w:ascii="宋体" w:hAnsi="宋体" w:cs="宋体"/>
          <w:color w:val="auto"/>
          <w:kern w:val="0"/>
          <w:szCs w:val="21"/>
          <w:highlight w:val="none"/>
        </w:rPr>
        <w:t>。</w:t>
      </w:r>
    </w:p>
    <w:bookmarkEnd w:id="47"/>
    <w:p>
      <w:pPr>
        <w:numPr>
          <w:ilvl w:val="0"/>
          <w:numId w:val="2"/>
        </w:numPr>
        <w:spacing w:line="360" w:lineRule="auto"/>
        <w:ind w:firstLine="424" w:firstLineChars="202"/>
        <w:rPr>
          <w:rFonts w:hint="eastAsia" w:ascii="宋体" w:hAnsi="宋体" w:eastAsia="宋体" w:cs="宋体"/>
          <w:color w:val="auto"/>
          <w:kern w:val="0"/>
          <w:sz w:val="21"/>
          <w:szCs w:val="21"/>
          <w:highlight w:val="none"/>
          <w:lang w:val="en-US" w:eastAsia="zh-CN" w:bidi="ar-SA"/>
        </w:rPr>
      </w:pPr>
      <w:bookmarkStart w:id="50" w:name="_Hlk37429674"/>
      <w:r>
        <w:rPr>
          <w:rFonts w:hint="eastAsia" w:ascii="宋体" w:hAnsi="宋体" w:cs="宋体"/>
          <w:color w:val="auto"/>
          <w:kern w:val="0"/>
          <w:szCs w:val="21"/>
          <w:highlight w:val="none"/>
        </w:rPr>
        <w:t>本项目需要落实的政府采购政策</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政府采购促进中小企业发展。</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政府采购支持采用本国产品的政策。</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强制采购节能产品；优先采购节能产品、环境标志产品。</w:t>
      </w:r>
    </w:p>
    <w:p>
      <w:pPr>
        <w:numPr>
          <w:ilvl w:val="0"/>
          <w:numId w:val="3"/>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政府采购促进残疾人就业政策。</w:t>
      </w:r>
    </w:p>
    <w:p>
      <w:pPr>
        <w:numPr>
          <w:ilvl w:val="0"/>
          <w:numId w:val="3"/>
        </w:numPr>
        <w:spacing w:line="360" w:lineRule="auto"/>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政府采购支持监狱企业发展。</w:t>
      </w:r>
    </w:p>
    <w:p>
      <w:pPr>
        <w:numPr>
          <w:ilvl w:val="0"/>
          <w:numId w:val="2"/>
        </w:numPr>
        <w:spacing w:line="360" w:lineRule="auto"/>
        <w:ind w:left="0" w:leftChars="0" w:firstLine="424" w:firstLineChars="202"/>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投标保证金：本项目不收取投标保证金。</w:t>
      </w:r>
    </w:p>
    <w:p>
      <w:pPr>
        <w:numPr>
          <w:ilvl w:val="0"/>
          <w:numId w:val="2"/>
        </w:numPr>
        <w:spacing w:line="360" w:lineRule="auto"/>
        <w:ind w:left="0" w:leftChars="0" w:firstLine="424" w:firstLineChars="202"/>
        <w:rPr>
          <w:rFonts w:hint="default"/>
          <w:color w:val="auto"/>
          <w:highlight w:val="none"/>
          <w:lang w:val="en-US" w:eastAsia="zh-CN"/>
        </w:rPr>
      </w:pPr>
      <w:r>
        <w:rPr>
          <w:rFonts w:hint="eastAsia" w:ascii="宋体" w:hAnsi="宋体" w:cs="宋体"/>
          <w:color w:val="auto"/>
          <w:kern w:val="0"/>
          <w:sz w:val="21"/>
          <w:szCs w:val="21"/>
          <w:highlight w:val="none"/>
          <w:lang w:val="en-US" w:eastAsia="zh-CN" w:bidi="ar-SA"/>
        </w:rPr>
        <w:t>若对项目采购电子交易系统操作有疑问，可登录“</w:t>
      </w:r>
      <w:r>
        <w:rPr>
          <w:rFonts w:hint="eastAsia" w:ascii="宋体" w:hAnsi="宋体" w:cs="宋体"/>
          <w:color w:val="auto"/>
          <w:kern w:val="0"/>
          <w:szCs w:val="21"/>
          <w:highlight w:val="none"/>
        </w:rPr>
        <w:t>广西政府采购云平台</w:t>
      </w:r>
      <w:r>
        <w:rPr>
          <w:rFonts w:hint="eastAsia" w:ascii="宋体" w:hAnsi="宋体" w:cs="宋体"/>
          <w:color w:val="auto"/>
          <w:kern w:val="0"/>
          <w:sz w:val="21"/>
          <w:szCs w:val="21"/>
          <w:highlight w:val="none"/>
          <w:lang w:val="en-US" w:eastAsia="zh-CN" w:bidi="ar-SA"/>
        </w:rPr>
        <w:t>”平台（</w:t>
      </w:r>
      <w:r>
        <w:rPr>
          <w:rFonts w:hint="eastAsia" w:ascii="宋体" w:hAnsi="宋体" w:cs="宋体"/>
          <w:color w:val="auto"/>
          <w:kern w:val="0"/>
          <w:szCs w:val="21"/>
          <w:highlight w:val="none"/>
        </w:rPr>
        <w:t>https://www.gcy.zfcg.gxzf.gov.cn/</w:t>
      </w:r>
      <w:r>
        <w:rPr>
          <w:rFonts w:hint="eastAsia" w:ascii="宋体" w:hAnsi="宋体" w:cs="宋体"/>
          <w:color w:val="auto"/>
          <w:kern w:val="0"/>
          <w:sz w:val="21"/>
          <w:szCs w:val="21"/>
          <w:highlight w:val="none"/>
          <w:lang w:val="en-US" w:eastAsia="zh-CN" w:bidi="ar-SA"/>
        </w:rPr>
        <w:t>），点击右侧咨询小采，获取采小蜜智能服务管家帮助，或拨打政服务热线</w:t>
      </w:r>
      <w:r>
        <w:rPr>
          <w:rFonts w:hint="eastAsia" w:ascii="Times New Roman" w:hAnsi="Times New Roman" w:eastAsia="宋体" w:cs="Times New Roman"/>
          <w:color w:val="auto"/>
          <w:highlight w:val="none"/>
          <w:lang w:val="en-US" w:eastAsia="zh-CN"/>
        </w:rPr>
        <w:t>95763</w:t>
      </w:r>
      <w:r>
        <w:rPr>
          <w:rFonts w:hint="eastAsia" w:ascii="宋体" w:hAnsi="宋体" w:cs="宋体"/>
          <w:color w:val="auto"/>
          <w:kern w:val="0"/>
          <w:sz w:val="21"/>
          <w:szCs w:val="21"/>
          <w:highlight w:val="none"/>
          <w:lang w:val="en-US" w:eastAsia="zh-CN" w:bidi="ar-SA"/>
        </w:rPr>
        <w:t>获取热线服务帮助。</w:t>
      </w:r>
    </w:p>
    <w:p>
      <w:pPr>
        <w:numPr>
          <w:ilvl w:val="0"/>
          <w:numId w:val="2"/>
        </w:numPr>
        <w:spacing w:line="360" w:lineRule="auto"/>
        <w:ind w:left="0" w:leftChars="0" w:firstLine="424" w:firstLineChars="202"/>
        <w:rPr>
          <w:rFonts w:hint="default"/>
          <w:color w:val="auto"/>
          <w:highlight w:val="none"/>
          <w:lang w:val="en-US" w:eastAsia="zh-CN"/>
        </w:rPr>
      </w:pPr>
      <w:r>
        <w:rPr>
          <w:rFonts w:hint="default"/>
          <w:color w:val="auto"/>
          <w:highlight w:val="none"/>
          <w:lang w:val="en-US" w:eastAsia="zh-CN"/>
        </w:rPr>
        <w:t>在线投标响应（电子投标）说明：</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（1）本项目通过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实行在线投标响应（电子投标），投标人需要先安装“</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电子交易客户端”，并按照本招标文件和</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的要求，通过“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电子交易客户端”编制并加密响应文件。投标人未按规定编制并加密的响应文件，</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将予以拒收。</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电子交易客户端”请自行前往广西政府采购网下载并安装；电子投标具体操作流程参考《政府采购项目电子交易管理操作指南-投标人》；在使用政采云投标客户端时，建议使用WIN7及以上操作系统，通过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参与在线投标时如遇平台技术问题详询</w:t>
      </w:r>
      <w:r>
        <w:rPr>
          <w:rFonts w:hint="eastAsia" w:ascii="Times New Roman" w:hAnsi="Times New Roman" w:eastAsia="宋体" w:cs="Times New Roman"/>
          <w:color w:val="auto"/>
          <w:highlight w:val="none"/>
          <w:lang w:val="en-US" w:eastAsia="zh-CN"/>
        </w:rPr>
        <w:t>95763</w:t>
      </w:r>
      <w:r>
        <w:rPr>
          <w:rFonts w:hint="default" w:ascii="Times New Roman" w:hAnsi="Times New Roman" w:eastAsia="宋体" w:cs="Times New Roman"/>
          <w:color w:val="auto"/>
          <w:highlight w:val="none"/>
          <w:lang w:val="en-US" w:eastAsia="zh-CN"/>
        </w:rPr>
        <w:t>。</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为确保网上操作合法、有效和安全，投标人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投标人获取</w:t>
      </w:r>
      <w:r>
        <w:rPr>
          <w:rFonts w:hint="eastAsia" w:ascii="Times New Roman" w:hAnsi="Times New Roman" w:eastAsia="宋体" w:cs="Times New Roman"/>
          <w:color w:val="auto"/>
          <w:highlight w:val="none"/>
          <w:lang w:val="en-US" w:eastAsia="zh-CN"/>
        </w:rPr>
        <w:t>招标文件</w:t>
      </w:r>
      <w:r>
        <w:rPr>
          <w:rFonts w:hint="default" w:ascii="Times New Roman" w:hAnsi="Times New Roman" w:eastAsia="宋体" w:cs="Times New Roman"/>
          <w:color w:val="auto"/>
          <w:highlight w:val="none"/>
          <w:lang w:val="en-US" w:eastAsia="zh-CN"/>
        </w:rPr>
        <w:t>后立即办理。</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（4）投标人应当在开标截止时间前，将生成的“电子加密响应文件”上传递交至</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。响应文件递交截止时间前可以补充、修改或者撤回电子投标文件。补充或者修改电子投标文件的，应当先行撤回原文件，补充、修改后重新传输递交，开标截止时间前未完成传输的，视为撤回响应文件。</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（5）响应文件递交截止时间后，</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电子交易平台）自动提取所有响应文件，各投标人须在提交响应文件截止后30分钟内对上传政采云的响应文件进行解密，所有投标人在规定的解密时限内解密完成或解密时限到后，采购代理机构开启响应文件；投标人超过解密时限的，系统默认自动放弃。</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如电子加密响应文件无法按时解密时，投标人可授权采购代理机构以电子备份响应文件为依据【在接到无法解密或解密失败的通知后，投标人可根据自身实际情况按通知时要求的时间到百色市公共资源交易中心交易大厅（具体开标室以开标日当天百色市公共资源交易中心电子显示屏公布为准）现场提交或以电子邮件的形式（以通知时所告知的电子邮箱地址为准）提交电子备份响应文件】，若投标人在规定时间内无法解密或解密失败且未提供电子备份响应文件的（包含提供的电子备份文件无效或无法解密的情况），视为投标无效。</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（7）投标人可以参与现场开标，所需在线投标响应及解密开启设备自带。</w:t>
      </w:r>
    </w:p>
    <w:p>
      <w:pPr>
        <w:numPr>
          <w:ilvl w:val="0"/>
          <w:numId w:val="0"/>
        </w:numPr>
        <w:spacing w:line="360" w:lineRule="auto"/>
        <w:ind w:leftChars="20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（8）在投标人提交了电子备份响应文件后，如通过</w:t>
      </w:r>
      <w:r>
        <w:rPr>
          <w:rFonts w:hint="eastAsia" w:ascii="Times New Roman" w:hAnsi="Times New Roman" w:eastAsia="宋体" w:cs="Times New Roman"/>
          <w:color w:val="auto"/>
          <w:highlight w:val="none"/>
          <w:lang w:val="en-US" w:eastAsia="zh-CN"/>
        </w:rPr>
        <w:t>广西政府采购云平台</w:t>
      </w:r>
      <w:r>
        <w:rPr>
          <w:rFonts w:hint="default" w:ascii="Times New Roman" w:hAnsi="Times New Roman" w:eastAsia="宋体" w:cs="Times New Roman"/>
          <w:color w:val="auto"/>
          <w:highlight w:val="none"/>
          <w:lang w:val="en-US" w:eastAsia="zh-CN"/>
        </w:rPr>
        <w:t>上传递交的电子加密响应文件无法按时解密且无法通过政采云“异常处理”端口处理的视为响应文件撤回，所造成的后果由投标人自行承担。</w:t>
      </w:r>
      <w:bookmarkEnd w:id="48"/>
    </w:p>
    <w:bookmarkEnd w:id="49"/>
    <w:bookmarkEnd w:id="50"/>
    <w:p>
      <w:pPr>
        <w:spacing w:line="360" w:lineRule="auto"/>
        <w:rPr>
          <w:rFonts w:ascii="黑体" w:hAnsi="黑体" w:eastAsia="黑体"/>
          <w:b/>
          <w:bCs/>
          <w:color w:val="auto"/>
          <w:sz w:val="24"/>
          <w:highlight w:val="none"/>
        </w:rPr>
      </w:pPr>
      <w:bookmarkStart w:id="51" w:name="_Toc35393627"/>
      <w:bookmarkStart w:id="52" w:name="_Toc28359085"/>
      <w:bookmarkStart w:id="53" w:name="_Toc28359008"/>
      <w:bookmarkStart w:id="54" w:name="_Toc35393796"/>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51"/>
      <w:bookmarkEnd w:id="52"/>
      <w:bookmarkEnd w:id="53"/>
      <w:bookmarkEnd w:id="54"/>
    </w:p>
    <w:p>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靖西市人民医院</w:t>
      </w:r>
    </w:p>
    <w:p>
      <w:pPr>
        <w:spacing w:line="360" w:lineRule="auto"/>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地址：靖西市新靖镇南门街45号 </w:t>
      </w:r>
    </w:p>
    <w:p>
      <w:pPr>
        <w:spacing w:line="360" w:lineRule="auto"/>
        <w:ind w:firstLine="567" w:firstLineChars="270"/>
        <w:jc w:val="left"/>
        <w:rPr>
          <w:rFonts w:hint="default" w:eastAsia="宋体"/>
          <w:color w:val="auto"/>
          <w:highlight w:val="none"/>
          <w:lang w:val="en-US" w:eastAsia="zh-CN"/>
        </w:rPr>
      </w:pPr>
      <w:r>
        <w:rPr>
          <w:rFonts w:hint="eastAsia" w:ascii="宋体" w:hAnsi="宋体"/>
          <w:color w:val="auto"/>
          <w:szCs w:val="21"/>
          <w:highlight w:val="none"/>
          <w:lang w:val="en-US" w:eastAsia="zh-CN"/>
        </w:rPr>
        <w:t>联系人</w:t>
      </w:r>
      <w:bookmarkStart w:id="55" w:name="OLE_LINK6"/>
      <w:r>
        <w:rPr>
          <w:rFonts w:hint="eastAsia" w:ascii="宋体" w:hAnsi="宋体"/>
          <w:color w:val="auto"/>
          <w:szCs w:val="21"/>
          <w:highlight w:val="none"/>
          <w:lang w:val="en-US" w:eastAsia="zh-CN"/>
        </w:rPr>
        <w:t>：李主任</w:t>
      </w:r>
      <w:bookmarkEnd w:id="55"/>
    </w:p>
    <w:p>
      <w:pPr>
        <w:spacing w:line="360" w:lineRule="auto"/>
        <w:ind w:firstLine="567" w:firstLineChars="270"/>
        <w:jc w:val="left"/>
        <w:rPr>
          <w:rFonts w:ascii="宋体" w:hAnsi="宋体"/>
          <w:color w:val="auto"/>
          <w:szCs w:val="21"/>
          <w:highlight w:val="none"/>
          <w:u w:val="single"/>
        </w:rPr>
      </w:pPr>
      <w:r>
        <w:rPr>
          <w:rFonts w:hint="eastAsia" w:ascii="宋体" w:hAnsi="宋体"/>
          <w:color w:val="auto"/>
          <w:szCs w:val="21"/>
          <w:highlight w:val="none"/>
        </w:rPr>
        <w:t>联系方式：</w:t>
      </w:r>
      <w:bookmarkStart w:id="56" w:name="_Toc28359086"/>
      <w:bookmarkStart w:id="57" w:name="_Toc28359009"/>
      <w:r>
        <w:rPr>
          <w:rFonts w:hint="eastAsia" w:ascii="宋体" w:hAnsi="宋体"/>
          <w:color w:val="auto"/>
          <w:szCs w:val="21"/>
          <w:highlight w:val="none"/>
        </w:rPr>
        <w:t>0776-3050366</w:t>
      </w:r>
    </w:p>
    <w:p>
      <w:pPr>
        <w:spacing w:line="360" w:lineRule="auto"/>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56"/>
      <w:bookmarkEnd w:id="57"/>
    </w:p>
    <w:p>
      <w:pPr>
        <w:spacing w:line="360" w:lineRule="auto"/>
        <w:ind w:firstLine="567" w:firstLineChars="27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广西百色公共资源交易有限公司</w:t>
      </w:r>
    </w:p>
    <w:p>
      <w:pPr>
        <w:spacing w:line="360" w:lineRule="auto"/>
        <w:ind w:firstLine="567" w:firstLineChars="270"/>
        <w:rPr>
          <w:rFonts w:hint="default" w:ascii="宋体" w:hAnsi="宋体" w:eastAsia="宋体"/>
          <w:color w:val="auto"/>
          <w:szCs w:val="21"/>
          <w:highlight w:val="none"/>
          <w:lang w:val="en-US" w:eastAsia="zh-CN"/>
        </w:rPr>
      </w:pPr>
      <w:r>
        <w:rPr>
          <w:rFonts w:hint="eastAsia" w:ascii="宋体" w:hAnsi="宋体"/>
          <w:color w:val="auto"/>
          <w:szCs w:val="21"/>
          <w:highlight w:val="none"/>
        </w:rPr>
        <w:t>地　址：百色市右江区迎龙路50号汇丰商业广场15楼</w:t>
      </w:r>
    </w:p>
    <w:p>
      <w:pPr>
        <w:spacing w:line="360" w:lineRule="auto"/>
        <w:ind w:firstLine="567" w:firstLineChars="270"/>
        <w:rPr>
          <w:rFonts w:hint="default" w:eastAsia="宋体"/>
          <w:color w:val="auto"/>
          <w:highlight w:val="none"/>
          <w:lang w:val="en-US" w:eastAsia="zh-CN"/>
        </w:rPr>
      </w:pPr>
      <w:r>
        <w:rPr>
          <w:rFonts w:hint="eastAsia" w:ascii="宋体" w:hAnsi="宋体"/>
          <w:color w:val="auto"/>
          <w:szCs w:val="21"/>
          <w:highlight w:val="none"/>
          <w:lang w:val="en-US" w:eastAsia="zh-CN"/>
        </w:rPr>
        <w:t>联系人：黄海洋</w:t>
      </w:r>
    </w:p>
    <w:p>
      <w:pPr>
        <w:spacing w:line="360" w:lineRule="auto"/>
        <w:ind w:firstLine="567" w:firstLineChars="270"/>
        <w:rPr>
          <w:rFonts w:hint="eastAsia" w:ascii="宋体" w:hAnsi="宋体"/>
          <w:color w:val="auto"/>
          <w:szCs w:val="21"/>
          <w:highlight w:val="none"/>
          <w:u w:val="none"/>
          <w:lang w:val="en-US" w:eastAsia="zh-CN"/>
        </w:rPr>
      </w:pPr>
      <w:r>
        <w:rPr>
          <w:rFonts w:hint="eastAsia" w:ascii="宋体" w:hAnsi="宋体"/>
          <w:color w:val="auto"/>
          <w:szCs w:val="21"/>
          <w:highlight w:val="none"/>
        </w:rPr>
        <w:t>联系方式：</w:t>
      </w:r>
      <w:bookmarkStart w:id="58" w:name="OLE_LINK9"/>
      <w:bookmarkStart w:id="59" w:name="_Toc28359087"/>
      <w:bookmarkStart w:id="60" w:name="_Toc28359010"/>
      <w:r>
        <w:rPr>
          <w:rFonts w:hint="eastAsia" w:ascii="宋体" w:hAnsi="宋体"/>
          <w:color w:val="auto"/>
          <w:szCs w:val="21"/>
          <w:highlight w:val="none"/>
          <w:u w:val="none"/>
          <w:lang w:val="en-US" w:eastAsia="zh-CN"/>
        </w:rPr>
        <w:t>0776-2981360</w:t>
      </w:r>
      <w:bookmarkEnd w:id="58"/>
    </w:p>
    <w:p>
      <w:pPr>
        <w:spacing w:line="360" w:lineRule="auto"/>
        <w:ind w:firstLine="567" w:firstLineChars="270"/>
        <w:rPr>
          <w:rFonts w:hint="default" w:ascii="宋体" w:hAnsi="宋体"/>
          <w:color w:val="auto"/>
          <w:szCs w:val="21"/>
          <w:highlight w:val="none"/>
          <w:u w:val="none"/>
          <w:lang w:val="en-US" w:eastAsia="zh-CN"/>
        </w:rPr>
      </w:pPr>
    </w:p>
    <w:bookmarkEnd w:id="59"/>
    <w:bookmarkEnd w:id="60"/>
    <w:p>
      <w:pPr>
        <w:snapToGrid w:val="0"/>
        <w:spacing w:line="320" w:lineRule="exact"/>
        <w:jc w:val="center"/>
        <w:rPr>
          <w:rFonts w:hint="eastAsia" w:ascii="仿宋_GB2312" w:hAnsi="宋体" w:eastAsia="仿宋_GB2312"/>
          <w:color w:val="auto"/>
          <w:sz w:val="24"/>
          <w:szCs w:val="20"/>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2025</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 xml:space="preserve"> 2  </w:t>
      </w:r>
      <w:r>
        <w:rPr>
          <w:rFonts w:hint="eastAsia" w:ascii="宋体" w:hAnsi="宋体" w:eastAsia="宋体" w:cs="Times New Roman"/>
          <w:color w:val="auto"/>
          <w:szCs w:val="21"/>
          <w:highlight w:val="none"/>
          <w:lang w:val="en-US" w:eastAsia="zh-CN"/>
        </w:rPr>
        <w:t xml:space="preserve">月 </w:t>
      </w:r>
      <w:r>
        <w:rPr>
          <w:rFonts w:hint="eastAsia" w:ascii="宋体" w:hAnsi="宋体" w:cs="Times New Roman"/>
          <w:color w:val="auto"/>
          <w:szCs w:val="21"/>
          <w:highlight w:val="none"/>
          <w:lang w:val="en-US" w:eastAsia="zh-CN"/>
        </w:rPr>
        <w:t xml:space="preserve">  26 </w:t>
      </w:r>
      <w:r>
        <w:rPr>
          <w:rFonts w:hint="eastAsia" w:ascii="宋体" w:hAnsi="宋体" w:eastAsia="宋体" w:cs="Times New Roman"/>
          <w:color w:val="auto"/>
          <w:szCs w:val="21"/>
          <w:highlight w:val="none"/>
          <w:lang w:val="en-US" w:eastAsia="zh-CN"/>
        </w:rPr>
        <w:t>日</w:t>
      </w:r>
      <w:r>
        <w:rPr>
          <w:rFonts w:hint="eastAsia" w:ascii="宋体" w:hAnsi="宋体" w:eastAsia="宋体" w:cs="Times New Roman"/>
          <w:color w:val="auto"/>
          <w:szCs w:val="21"/>
          <w:highlight w:val="none"/>
        </w:rPr>
        <w:br w:type="page"/>
      </w:r>
    </w:p>
    <w:p>
      <w:pPr>
        <w:pStyle w:val="2"/>
        <w:jc w:val="center"/>
        <w:rPr>
          <w:rFonts w:hint="eastAsia"/>
          <w:color w:val="auto"/>
          <w:highlight w:val="none"/>
        </w:rPr>
      </w:pPr>
      <w:bookmarkStart w:id="61" w:name="_Toc74320801"/>
      <w:r>
        <w:rPr>
          <w:rFonts w:hint="eastAsia"/>
          <w:color w:val="auto"/>
          <w:highlight w:val="none"/>
        </w:rPr>
        <w:t>第二章  采购需求</w:t>
      </w:r>
      <w:bookmarkEnd w:id="61"/>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color w:val="auto"/>
          <w:szCs w:val="21"/>
          <w:highlight w:val="none"/>
        </w:rPr>
      </w:pPr>
      <w:bookmarkStart w:id="62" w:name="_Toc254970631"/>
      <w:bookmarkStart w:id="63" w:name="_Toc254970490"/>
      <w:r>
        <w:rPr>
          <w:rFonts w:hint="eastAsia" w:ascii="宋体" w:hAnsi="宋体" w:cs="宋体"/>
          <w:color w:val="auto"/>
          <w:szCs w:val="21"/>
          <w:highlight w:val="none"/>
        </w:rPr>
        <w:t>说明：</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本项目不专门面向中小企业预留采购。项目属专业性较强的专业设备设施,符合《政府采购促进中小企业发展管理办法》(财库(2020) 46 号)中符合下列情形的可不专门面向中小企业之(三) :按照本办法规定预留采购份额无法确保充分供应、充分竞争，或者存在可能影响政府采购目标实现的情形。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color w:val="auto"/>
          <w:highlight w:val="none"/>
        </w:rPr>
        <w:t>1. 为落实政府采购政策需满足的要求</w:t>
      </w:r>
      <w:r>
        <w:rPr>
          <w:rFonts w:hint="eastAsia"/>
          <w:color w:val="auto"/>
          <w:highlight w:val="none"/>
          <w:lang w:eastAsia="zh-CN"/>
        </w:rPr>
        <w:t>：</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Times New Roman"/>
          <w:color w:val="auto"/>
          <w:szCs w:val="21"/>
          <w:highlight w:val="none"/>
          <w:u w:val="non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1）本招标文件所称中小企业必须符合 《政府采购促进中小企业发展管理办法》（财库〔2020〕46号）的规定。</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投标货物必须使用政府强制采购的节能产品，供应商必须在响应文件中提供所投标产品的节能产品认证证书复印件（加盖供应商电子公章），否则响应文件作无效处理。如本项目包含的货物属于品目清单内非标注“★”的产品时，应优先采购，</w:t>
      </w:r>
      <w:r>
        <w:rPr>
          <w:rFonts w:hint="eastAsia" w:ascii="宋体" w:hAnsi="宋体" w:eastAsia="宋体" w:cs="宋体"/>
          <w:color w:val="auto"/>
          <w:szCs w:val="21"/>
          <w:highlight w:val="none"/>
          <w:lang w:val="en-US" w:eastAsia="zh-CN"/>
        </w:rPr>
        <w:t xml:space="preserve">具体详见“第四章 </w:t>
      </w:r>
      <w:r>
        <w:rPr>
          <w:rFonts w:hint="eastAsia" w:ascii="宋体" w:hAnsi="宋体"/>
          <w:color w:val="auto"/>
          <w:szCs w:val="21"/>
          <w:highlight w:val="none"/>
        </w:rPr>
        <w:t>评标方法及评标标准</w:t>
      </w:r>
      <w:r>
        <w:rPr>
          <w:rFonts w:hint="eastAsia" w:ascii="宋体" w:hAnsi="宋体" w:eastAsia="宋体" w:cs="宋体"/>
          <w:color w:val="auto"/>
          <w:szCs w:val="21"/>
          <w:highlight w:val="none"/>
          <w:lang w:val="en-US" w:eastAsia="zh-CN"/>
        </w:rPr>
        <w:t>”。</w:t>
      </w:r>
    </w:p>
    <w:p>
      <w:pPr>
        <w:keepNext w:val="0"/>
        <w:keepLines w:val="0"/>
        <w:pageBreakBefore w:val="0"/>
        <w:widowControl w:val="0"/>
        <w:numPr>
          <w:ilvl w:val="0"/>
          <w:numId w:val="4"/>
        </w:numPr>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“实质性要求”是指采购需求中带“▲”的条款</w:t>
      </w:r>
      <w:r>
        <w:rPr>
          <w:rFonts w:hint="eastAsia" w:ascii="宋体" w:hAnsi="宋体" w:cs="宋体"/>
          <w:color w:val="auto"/>
          <w:szCs w:val="21"/>
          <w:highlight w:val="none"/>
          <w:lang w:eastAsia="zh-CN"/>
        </w:rPr>
        <w:t>或者技术要求中带“★”的条款</w:t>
      </w:r>
      <w:r>
        <w:rPr>
          <w:rFonts w:hint="eastAsia" w:ascii="宋体" w:hAnsi="宋体" w:cs="宋体"/>
          <w:color w:val="auto"/>
          <w:szCs w:val="21"/>
          <w:highlight w:val="none"/>
        </w:rPr>
        <w:t>或者不能负偏离的条款或者已经指明不满足按响应文件按无效处理的条款。</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jc w:val="left"/>
        <w:textAlignment w:val="auto"/>
        <w:rPr>
          <w:rFonts w:hint="eastAsia" w:ascii="宋体" w:hAnsi="宋体" w:cs="宋体"/>
          <w:color w:val="auto"/>
          <w:szCs w:val="21"/>
          <w:highlight w:val="none"/>
        </w:rPr>
      </w:pPr>
      <w:r>
        <w:rPr>
          <w:rFonts w:hint="default" w:ascii="宋体" w:hAnsi="宋体" w:eastAsia="宋体" w:cs="宋体"/>
          <w:color w:val="auto"/>
          <w:szCs w:val="21"/>
          <w:highlight w:val="none"/>
          <w:lang w:val="en-US" w:eastAsia="zh-CN"/>
        </w:rPr>
        <w:t>本一览表的货物品牌型号、技术参数及其性能配置仅起参考作用，供应商可选用其它品牌型号替代，但这些替代的</w:t>
      </w:r>
      <w:r>
        <w:rPr>
          <w:rFonts w:hint="eastAsia" w:ascii="宋体" w:hAnsi="宋体" w:eastAsia="宋体" w:cs="宋体"/>
          <w:color w:val="auto"/>
          <w:szCs w:val="21"/>
          <w:highlight w:val="none"/>
          <w:lang w:val="en-US" w:eastAsia="zh-CN"/>
        </w:rPr>
        <w:t>品</w:t>
      </w:r>
      <w:r>
        <w:rPr>
          <w:rFonts w:hint="default" w:ascii="宋体" w:hAnsi="宋体" w:eastAsia="宋体" w:cs="宋体"/>
          <w:color w:val="auto"/>
          <w:szCs w:val="21"/>
          <w:highlight w:val="none"/>
          <w:lang w:val="en-US" w:eastAsia="zh-CN"/>
        </w:rPr>
        <w:t>牌型号要实质上相当于或优于参考品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型号及其技术参数性能</w:t>
      </w:r>
      <w:r>
        <w:rPr>
          <w:rFonts w:hint="eastAsia" w:ascii="宋体" w:hAnsi="宋体" w:eastAsia="宋体" w:cs="宋体"/>
          <w:color w:val="auto"/>
          <w:szCs w:val="21"/>
          <w:highlight w:val="none"/>
          <w:lang w:val="en-US" w:eastAsia="zh-CN"/>
        </w:rPr>
        <w:t>配置</w:t>
      </w:r>
      <w:r>
        <w:rPr>
          <w:rFonts w:hint="default"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本一览表中参考品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规格及技术参数不明确或有误的</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或供应商选用其它品</w:t>
      </w:r>
      <w:r>
        <w:rPr>
          <w:rFonts w:hint="eastAsia" w:ascii="宋体" w:hAnsi="宋体" w:eastAsia="宋体" w:cs="宋体"/>
          <w:color w:val="auto"/>
          <w:szCs w:val="21"/>
          <w:highlight w:val="none"/>
          <w:lang w:val="en-US" w:eastAsia="zh-CN"/>
        </w:rPr>
        <w:t>牌</w:t>
      </w:r>
      <w:r>
        <w:rPr>
          <w:rFonts w:hint="default" w:ascii="宋体" w:hAnsi="宋体" w:eastAsia="宋体" w:cs="宋体"/>
          <w:color w:val="auto"/>
          <w:szCs w:val="21"/>
          <w:highlight w:val="none"/>
          <w:lang w:val="en-US" w:eastAsia="zh-CN"/>
        </w:rPr>
        <w:t>号替代的,请以详细、正确的</w:t>
      </w:r>
      <w:r>
        <w:rPr>
          <w:rFonts w:hint="eastAsia" w:ascii="宋体" w:hAnsi="宋体" w:eastAsia="宋体" w:cs="宋体"/>
          <w:color w:val="auto"/>
          <w:szCs w:val="21"/>
          <w:highlight w:val="none"/>
          <w:lang w:val="en-US" w:eastAsia="zh-CN"/>
        </w:rPr>
        <w:t>品牌</w:t>
      </w:r>
      <w:r>
        <w:rPr>
          <w:rFonts w:hint="default" w:ascii="宋体" w:hAnsi="宋体" w:eastAsia="宋体" w:cs="宋体"/>
          <w:color w:val="auto"/>
          <w:szCs w:val="21"/>
          <w:highlight w:val="none"/>
          <w:lang w:val="en-US" w:eastAsia="zh-CN"/>
        </w:rPr>
        <w:t>型号、技术参数</w:t>
      </w:r>
      <w:r>
        <w:rPr>
          <w:rFonts w:hint="eastAsia" w:ascii="宋体" w:hAnsi="宋体" w:eastAsia="宋体" w:cs="宋体"/>
          <w:color w:val="auto"/>
          <w:szCs w:val="21"/>
          <w:highlight w:val="none"/>
          <w:lang w:val="en-US" w:eastAsia="zh-CN"/>
        </w:rPr>
        <w:t>配置</w:t>
      </w:r>
      <w:r>
        <w:rPr>
          <w:rFonts w:hint="default" w:ascii="宋体" w:hAnsi="宋体" w:eastAsia="宋体" w:cs="宋体"/>
          <w:color w:val="auto"/>
          <w:szCs w:val="21"/>
          <w:highlight w:val="none"/>
          <w:lang w:val="en-US" w:eastAsia="zh-CN"/>
        </w:rPr>
        <w:t>同时填写</w:t>
      </w:r>
      <w:r>
        <w:rPr>
          <w:rFonts w:hint="eastAsia" w:ascii="宋体" w:hAnsi="宋体" w:eastAsia="宋体" w:cs="宋体"/>
          <w:color w:val="auto"/>
          <w:szCs w:val="21"/>
          <w:highlight w:val="none"/>
          <w:lang w:val="en-US" w:eastAsia="zh-CN"/>
        </w:rPr>
        <w:t>投标</w:t>
      </w:r>
      <w:r>
        <w:rPr>
          <w:rFonts w:hint="default" w:ascii="宋体" w:hAnsi="宋体" w:eastAsia="宋体" w:cs="宋体"/>
          <w:color w:val="auto"/>
          <w:szCs w:val="21"/>
          <w:highlight w:val="none"/>
          <w:lang w:val="en-US" w:eastAsia="zh-CN"/>
        </w:rPr>
        <w:t>报价明细表和技术规格</w:t>
      </w:r>
      <w:r>
        <w:rPr>
          <w:rFonts w:hint="eastAsia" w:ascii="宋体" w:hAnsi="宋体" w:eastAsia="宋体" w:cs="宋体"/>
          <w:color w:val="auto"/>
          <w:szCs w:val="21"/>
          <w:highlight w:val="none"/>
          <w:lang w:val="en-US" w:eastAsia="zh-CN"/>
        </w:rPr>
        <w:t>响</w:t>
      </w:r>
      <w:r>
        <w:rPr>
          <w:rFonts w:hint="default" w:ascii="宋体" w:hAnsi="宋体" w:eastAsia="宋体" w:cs="宋体"/>
          <w:color w:val="auto"/>
          <w:szCs w:val="21"/>
          <w:highlight w:val="none"/>
          <w:lang w:val="en-US" w:eastAsia="zh-CN"/>
        </w:rPr>
        <w:t>应表。</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color w:val="auto"/>
          <w:highlight w:val="none"/>
        </w:rPr>
      </w:pPr>
      <w:r>
        <w:rPr>
          <w:rFonts w:hint="eastAsia" w:ascii="宋体" w:hAnsi="宋体" w:cs="宋体"/>
          <w:color w:val="auto"/>
          <w:szCs w:val="21"/>
          <w:highlight w:val="none"/>
        </w:rPr>
        <w:t>▲3.供应商应根据自身实际情况如实响应</w:t>
      </w:r>
      <w:r>
        <w:rPr>
          <w:rFonts w:hint="eastAsia" w:ascii="宋体" w:hAnsi="宋体" w:cs="宋体"/>
          <w:color w:val="auto"/>
          <w:szCs w:val="21"/>
          <w:highlight w:val="none"/>
          <w:lang w:eastAsia="zh-CN"/>
        </w:rPr>
        <w:t>招标文件</w:t>
      </w:r>
      <w:r>
        <w:rPr>
          <w:rFonts w:hint="eastAsia" w:ascii="宋体" w:hAnsi="宋体"/>
          <w:color w:val="auto"/>
          <w:szCs w:val="21"/>
          <w:highlight w:val="none"/>
        </w:rPr>
        <w:t>，不得仅将</w:t>
      </w:r>
      <w:r>
        <w:rPr>
          <w:rFonts w:hint="eastAsia" w:ascii="宋体" w:hAnsi="宋体" w:cs="宋体"/>
          <w:color w:val="auto"/>
          <w:szCs w:val="21"/>
          <w:highlight w:val="none"/>
          <w:lang w:eastAsia="zh-CN"/>
        </w:rPr>
        <w:t>招标文件</w:t>
      </w:r>
      <w:r>
        <w:rPr>
          <w:rFonts w:hint="eastAsia" w:ascii="宋体" w:hAnsi="宋体"/>
          <w:color w:val="auto"/>
          <w:szCs w:val="21"/>
          <w:highlight w:val="none"/>
        </w:rPr>
        <w:t>内容简单复制粘贴作为</w:t>
      </w:r>
      <w:r>
        <w:rPr>
          <w:rFonts w:hint="eastAsia" w:ascii="宋体" w:hAnsi="宋体"/>
          <w:color w:val="auto"/>
          <w:szCs w:val="21"/>
          <w:highlight w:val="none"/>
          <w:lang w:eastAsia="zh-CN"/>
        </w:rPr>
        <w:t>投标</w:t>
      </w:r>
      <w:r>
        <w:rPr>
          <w:rFonts w:hint="eastAsia" w:ascii="宋体" w:hAnsi="宋体"/>
          <w:color w:val="auto"/>
          <w:szCs w:val="21"/>
          <w:highlight w:val="none"/>
        </w:rPr>
        <w:t>响应，还应当提供相关证明材料，否则将按无效响应处理（定制采购不适用本条款）。</w:t>
      </w:r>
      <w:r>
        <w:rPr>
          <w:rFonts w:hint="eastAsia"/>
          <w:color w:val="auto"/>
          <w:highlight w:val="none"/>
        </w:rPr>
        <w:t>对于重要技术条款或技术参数应当在响应文件中提供技术支持资料，技术支持资料以</w:t>
      </w:r>
      <w:r>
        <w:rPr>
          <w:rFonts w:hint="eastAsia"/>
          <w:color w:val="auto"/>
          <w:highlight w:val="none"/>
          <w:lang w:eastAsia="zh-CN"/>
        </w:rPr>
        <w:t>招标文件</w:t>
      </w:r>
      <w:r>
        <w:rPr>
          <w:rFonts w:hint="eastAsia"/>
          <w:color w:val="auto"/>
          <w:highlight w:val="none"/>
        </w:rPr>
        <w:t>中规定的形式为准，否则将视为无效技术支持资料。</w:t>
      </w:r>
    </w:p>
    <w:p>
      <w:pPr>
        <w:spacing w:line="360" w:lineRule="auto"/>
        <w:ind w:firstLine="310" w:firstLineChars="147"/>
        <w:jc w:val="left"/>
        <w:rPr>
          <w:rFonts w:hint="eastAsia" w:ascii="宋体" w:hAnsi="宋体"/>
          <w:b/>
          <w:bCs w:val="0"/>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采购预算</w:t>
      </w:r>
      <w:r>
        <w:rPr>
          <w:rFonts w:hint="eastAsia" w:ascii="宋体" w:hAnsi="宋体"/>
          <w:b/>
          <w:bCs w:val="0"/>
          <w:color w:val="auto"/>
          <w:szCs w:val="21"/>
          <w:highlight w:val="none"/>
        </w:rPr>
        <w:t>：</w:t>
      </w:r>
    </w:p>
    <w:p>
      <w:pPr>
        <w:spacing w:line="360" w:lineRule="auto"/>
        <w:ind w:firstLine="308" w:firstLineChars="147"/>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详见招标公告</w:t>
      </w:r>
    </w:p>
    <w:p>
      <w:pPr>
        <w:spacing w:line="360" w:lineRule="auto"/>
        <w:ind w:firstLine="310" w:firstLineChars="147"/>
        <w:jc w:val="left"/>
        <w:rPr>
          <w:rFonts w:hint="eastAsia" w:ascii="宋体" w:hAnsi="宋体" w:cs="Arial"/>
          <w:b/>
          <w:bCs w:val="0"/>
          <w:color w:val="auto"/>
          <w:szCs w:val="21"/>
          <w:highlight w:val="none"/>
          <w:u w:val="none"/>
          <w:lang w:eastAsia="zh-CN"/>
        </w:rPr>
      </w:pPr>
      <w:r>
        <w:rPr>
          <w:rFonts w:hint="eastAsia" w:ascii="宋体" w:hAnsi="宋体" w:cs="Arial"/>
          <w:b/>
          <w:bCs w:val="0"/>
          <w:color w:val="auto"/>
          <w:szCs w:val="21"/>
          <w:highlight w:val="none"/>
          <w:u w:val="none"/>
          <w:lang w:eastAsia="zh-CN"/>
        </w:rPr>
        <w:t xml:space="preserve">一、技术要求 </w:t>
      </w:r>
    </w:p>
    <w:p>
      <w:pPr>
        <w:spacing w:line="360" w:lineRule="auto"/>
        <w:ind w:firstLine="310" w:firstLineChars="147"/>
        <w:jc w:val="left"/>
        <w:rPr>
          <w:rFonts w:hint="eastAsia" w:ascii="宋体" w:hAnsi="宋体" w:cs="Arial"/>
          <w:b/>
          <w:bCs w:val="0"/>
          <w:color w:val="auto"/>
          <w:szCs w:val="21"/>
          <w:highlight w:val="none"/>
          <w:u w:val="none"/>
          <w:lang w:eastAsia="zh-CN"/>
        </w:rPr>
      </w:pPr>
      <w:r>
        <w:rPr>
          <w:rFonts w:hint="eastAsia" w:ascii="宋体" w:hAnsi="宋体" w:cs="Arial"/>
          <w:b/>
          <w:bCs w:val="0"/>
          <w:color w:val="auto"/>
          <w:szCs w:val="21"/>
          <w:highlight w:val="none"/>
          <w:u w:val="none"/>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spacing w:line="360" w:lineRule="auto"/>
        <w:ind w:firstLine="310" w:firstLineChars="147"/>
        <w:jc w:val="left"/>
        <w:rPr>
          <w:rFonts w:hint="eastAsia" w:ascii="宋体" w:hAnsi="宋体" w:cs="Arial"/>
          <w:b/>
          <w:bCs w:val="0"/>
          <w:color w:val="auto"/>
          <w:szCs w:val="21"/>
          <w:highlight w:val="none"/>
          <w:u w:val="none"/>
          <w:lang w:val="en-US" w:eastAsia="zh-CN"/>
        </w:rPr>
      </w:pPr>
      <w:r>
        <w:rPr>
          <w:rFonts w:hint="eastAsia" w:ascii="宋体" w:hAnsi="宋体" w:cs="Arial"/>
          <w:b/>
          <w:bCs w:val="0"/>
          <w:color w:val="auto"/>
          <w:szCs w:val="21"/>
          <w:highlight w:val="none"/>
          <w:u w:val="none"/>
          <w:lang w:val="en-US" w:eastAsia="zh-CN"/>
        </w:rPr>
        <w:t>本项目所属行业：工业。</w:t>
      </w:r>
    </w:p>
    <w:p>
      <w:pPr>
        <w:spacing w:line="360" w:lineRule="auto"/>
        <w:ind w:firstLine="310" w:firstLineChars="147"/>
        <w:jc w:val="left"/>
        <w:rPr>
          <w:rFonts w:hint="eastAsia" w:ascii="宋体" w:hAnsi="宋体" w:cs="Arial"/>
          <w:b/>
          <w:bCs w:val="0"/>
          <w:color w:val="auto"/>
          <w:szCs w:val="21"/>
          <w:highlight w:val="none"/>
          <w:u w:val="none"/>
          <w:lang w:val="en-US" w:eastAsia="zh-CN"/>
        </w:rPr>
      </w:pPr>
      <w:r>
        <w:rPr>
          <w:rFonts w:hint="eastAsia" w:ascii="宋体" w:hAnsi="宋体" w:cs="Arial"/>
          <w:b/>
          <w:bCs w:val="0"/>
          <w:color w:val="auto"/>
          <w:szCs w:val="21"/>
          <w:highlight w:val="none"/>
          <w:u w:val="none"/>
          <w:lang w:val="en-US" w:eastAsia="zh-CN"/>
        </w:rPr>
        <w:t>产地要求：国产。</w:t>
      </w:r>
    </w:p>
    <w:tbl>
      <w:tblPr>
        <w:tblStyle w:val="18"/>
        <w:tblpPr w:leftFromText="180" w:rightFromText="180" w:vertAnchor="text" w:horzAnchor="page" w:tblpXSpec="center" w:tblpY="512"/>
        <w:tblOverlap w:val="neve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35"/>
        <w:gridCol w:w="1231"/>
        <w:gridCol w:w="516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标项</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cs="宋体"/>
                <w:b/>
                <w:bCs w:val="0"/>
                <w:color w:val="auto"/>
                <w:sz w:val="21"/>
                <w:szCs w:val="21"/>
                <w:highlight w:val="none"/>
                <w:shd w:val="clear" w:color="auto" w:fill="auto"/>
                <w:vertAlign w:val="baseline"/>
                <w:lang w:val="en-US" w:eastAsia="zh-CN"/>
              </w:rPr>
              <w:t>标项名称/</w:t>
            </w:r>
            <w:r>
              <w:rPr>
                <w:rFonts w:hint="eastAsia" w:ascii="宋体" w:hAnsi="宋体" w:eastAsia="宋体" w:cs="宋体"/>
                <w:b/>
                <w:bCs w:val="0"/>
                <w:color w:val="auto"/>
                <w:sz w:val="21"/>
                <w:szCs w:val="21"/>
                <w:highlight w:val="none"/>
                <w:shd w:val="clear" w:color="auto" w:fill="auto"/>
                <w:vertAlign w:val="baseline"/>
                <w:lang w:val="en-US" w:eastAsia="zh-CN"/>
              </w:rPr>
              <w:t>设备名称</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需求数量</w:t>
            </w:r>
          </w:p>
        </w:tc>
        <w:tc>
          <w:tcPr>
            <w:tcW w:w="5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技术要求</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21"/>
                <w:szCs w:val="21"/>
                <w:highlight w:val="none"/>
                <w:shd w:val="clear" w:color="auto" w:fill="auto"/>
                <w:vertAlign w:val="baseline"/>
                <w:lang w:val="en-US" w:eastAsia="zh-CN"/>
              </w:rPr>
            </w:pPr>
            <w:r>
              <w:rPr>
                <w:rFonts w:hint="eastAsia" w:ascii="宋体" w:hAnsi="宋体" w:eastAsia="宋体" w:cs="宋体"/>
                <w:b/>
                <w:bCs w:val="0"/>
                <w:color w:val="auto"/>
                <w:sz w:val="21"/>
                <w:szCs w:val="21"/>
                <w:highlight w:val="none"/>
                <w:shd w:val="clear" w:color="auto" w:fill="auto"/>
                <w:vertAlign w:val="baseline"/>
                <w:lang w:val="en-US" w:eastAsia="zh-CN"/>
              </w:rPr>
              <w:t>预算金额合计（万元）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bCs/>
                <w:color w:val="auto"/>
                <w:sz w:val="21"/>
                <w:szCs w:val="21"/>
                <w:highlight w:val="none"/>
                <w:shd w:val="clear" w:color="auto" w:fill="auto"/>
                <w:vertAlign w:val="baseline"/>
                <w:lang w:val="en-US" w:eastAsia="zh-CN"/>
              </w:rPr>
              <w:t>1</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shd w:val="clear" w:color="auto" w:fill="auto"/>
                <w:vertAlign w:val="baseline"/>
                <w:lang w:val="en-US" w:eastAsia="zh-CN"/>
              </w:rPr>
              <w:t>内镜清洗消毒工作站</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shd w:val="clear" w:color="auto" w:fill="auto"/>
                <w:vertAlign w:val="baseline"/>
                <w:lang w:val="en-US" w:eastAsia="zh-CN"/>
              </w:rPr>
              <w:t>1套</w:t>
            </w:r>
          </w:p>
        </w:tc>
        <w:tc>
          <w:tcPr>
            <w:tcW w:w="516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1、整体要求：由不同功能槽及附件组成，用于对内镜进行手动清洗，并可以使用化学消毒剂进行消毒的设备。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内洗消主体和背板：由洗消槽、干燥台、柜体、背板四部分组成，洗消槽使用高分子复合材料（AKL）一次压铸成型，表面平整光滑，无锋角接缝，抗菌，耐酸碱腐蚀，容易清洁。可对内镜的进行全浸泡，质地柔软，能最大限度防止内镜免受硬冲击造成的损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3、内镜清洗槽设计规格数量：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单槽规格：（软镜）580mm×750mm。数量1组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双槽规格：（软镜）1100mm×750mm，数量5组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干燥台规格：（软镜）1800mm×750mm。数量1组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组合式超干台：（嵌入式超声波用）580mm×750mm。数量1组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4、清洗消毒槽柜体：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柜体框架采用 SUS304 不锈钢材质，底部放置PVC底板，可有效防止因潮湿或溅水而引起的变形现象发生。柜门采用彩色钢化玻璃,防水溅且不易破裂。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5、照明系统：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采用低压照明灯，绿色环保，节约能源，光线柔和。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6、浸泡槽盖3个：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采用高透明PVC防弹材料吸塑成形，十米跌落不破裂。配有不同颜色的双手柄，区别污染和洁净，可清晰看到洗消、浸泡的状况。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7、自动电子水源开关：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自动控制工作站供水水源的开/关，有效防止无人看管下渗水、漏水现象的发生。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8、高压清洗水枪：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材质采用优质304#不锈钢，防止枪体腔道腐蚀，杜绝纯净空气通过枪体腔道的二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 xml:space="preserve">次污染。至少配八个(a混合型b深锥型c尖嘴型d硅胶盖口型e粗堵型f短锥型g花洒型h细堵口型)快接式喷嘴，需在彩页中有所体现，各类喷嘴名称及用途在彩页中有文字说明，高压清洗枪与供水管连接部使用螺纹旋转接口，非快接插头，有效防止漏水现象的发生。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9、高压气枪：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材质采用优质304#不锈钢，防止枪体腔道腐蚀，杜绝纯净空气通过枪体腔道的二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 xml:space="preserve">次污染。至少配八个(a混合型b深锥型c尖嘴型d硅胶盖口型e粗堵型f短锥型g花洒型h细堵口型)快接式喷嘴，需在彩页中有所体现，各类喷嘴名称及用途在彩页中有文字说明，高压清洗枪与供水管连接部使用螺纹旋转接口，非快接插头，有效防止漏水现象的发生。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★10、空气过滤：空气过滤：机器内置≤0.2um孔径PET材质空气过滤系统，对吹干的空气中细菌、病毒进行有效阻隔，防止二次污染。自带放水阀门，可随时排放过滤器内的水分，延长使用寿命。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不锈钢专用水龙头：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主体采用USU304不锈钢材质，360度旋转式设计，表面镀烙防锈处理，抗磨损，耐酸碱，使用年限较长。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12、医用无油空气压缩机：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采用无油活塞式设计，保证压缩气体中无油分子，压力可在0.2Mpa-0.8Mpa之间调节,气罐一次性储气量≧25L，主机最大产气量≧115L/min。配水汽分离系统，可有效将气体中含有的水分剥离出来，使气枪喷出的气体长期保持干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★13、水质处理器：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采用ABS材质双筒过滤器，2个过滤桶一次注塑成型，中间无管件连接，防止因管件连接造成渗水，过滤器配银离子抗菌滤芯，可有效去除水中的杂质，抑制细菌生长，过滤孔径≦5μm。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★14、酶液/消毒液管道循环灌流装置：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酶液/消毒液管道循环灌流装置为非外挂式，主机与控制部分分离设计。平板玻璃触摸开关，液晶显示屏，可分别控制注液与注气。注液时间可控范围≦99分钟，注气时间可控范围≧99秒,灌液途中或注液完毕可进行注气或单独注气、注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15、水汽灌流装置: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主机与控制部分分离设计，平板玻璃触摸开关，蓝色液晶显示屏，可分别控制注水与注气。采用流动水灌流，注水时间≧99分钟，注气时间可≧99秒。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★16、全管道灌流器：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配有可与奥林巴斯、宾得、富士能品牌的送水/送气管道，活检/吸引管道，水瓶插口相连接的接口组件。一次连接，无需再次拔插。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17、灌流器快接插头：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配有与管道灌流器相匹配的快速接头，洗消过程中只需连接快速接头，无需将全管道灌流器拆卸，方便、快捷。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18、管路自身消毒系统：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使用消毒槽内有效的消毒剂对末洗的内部管路、灌注管路进行定期消毒。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19、手套盒：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非金属喷漆，原材料为塑料制成，拥有抽拉门，可放置大\中\小各种不同的手套盒。</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20、四位挂件钩：</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采用ABS一次注塑成型，拥有四个挂钩位，可悬挂各类型管道灌流器。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21、内嵌式超声波清洗机：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全不锈钢外壳，外观精美，频率40KHZ内置定时/脱气功能，内容积满足需求，带定时功能，配网栏盖子。</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22、测漏维护装置：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使用与内镜光源相同原理的气泵做为气源，可根据不同镜种调节相应压力值，具备实时数字压力显示屏。</w:t>
            </w: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shd w:val="clear" w:color="auto" w:fill="auto"/>
                <w:vertAlign w:val="baseline"/>
                <w:lang w:val="en-US" w:eastAsia="zh-CN"/>
              </w:rPr>
              <w:t>氩气高频手术系统</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shd w:val="clear" w:color="auto" w:fill="auto"/>
                <w:vertAlign w:val="baseline"/>
                <w:lang w:val="en-US" w:eastAsia="zh-CN"/>
              </w:rPr>
              <w:t>1套</w:t>
            </w:r>
          </w:p>
        </w:tc>
        <w:tc>
          <w:tcPr>
            <w:tcW w:w="516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1主机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1.1 中文操作界面；</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★1.2最高功率＞320W；</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1.3工作电流频率≥2种；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1.4 可实现包括内镜脉冲电切、内镜接触电凝、内镜喷凝、精细电切等功能；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★1.5 高兼容性国际通用器械接口≧4组，其中通用单极器械接口≧2组，通用双极器械接口≧2组；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1.6  双极接口均为多功能接口，兼容大血管闭合、双极等离子电切，无需额外转接设备；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1.7</w:t>
            </w:r>
            <w:r>
              <w:rPr>
                <w:rFonts w:hint="eastAsia" w:ascii="宋体" w:hAnsi="宋体" w:eastAsia="宋体" w:cs="宋体"/>
                <w:b w:val="0"/>
                <w:bCs/>
                <w:color w:val="auto"/>
                <w:sz w:val="21"/>
                <w:szCs w:val="21"/>
                <w:highlight w:val="none"/>
                <w:shd w:val="clear" w:color="auto" w:fill="auto"/>
                <w:vertAlign w:val="baseline"/>
                <w:lang w:val="en-US" w:eastAsia="zh-CN"/>
              </w:rPr>
              <w:tab/>
            </w:r>
            <w:r>
              <w:rPr>
                <w:rFonts w:hint="eastAsia" w:ascii="宋体" w:hAnsi="宋体" w:eastAsia="宋体" w:cs="宋体"/>
                <w:b w:val="0"/>
                <w:bCs/>
                <w:color w:val="auto"/>
                <w:sz w:val="21"/>
                <w:szCs w:val="21"/>
                <w:highlight w:val="none"/>
                <w:shd w:val="clear" w:color="auto" w:fill="auto"/>
                <w:vertAlign w:val="baseline"/>
                <w:lang w:val="en-US" w:eastAsia="zh-CN"/>
              </w:rPr>
              <w:t>≥8.4英寸彩色液晶显示，无极旋钮调节，可在使用时进行快速参数调节；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1.8 出厂预设数十种手术程序及推荐电流参数，99组新增自定义程序存储空间，自动记录近期使用手术程序（≥6组）并在首页快速调用；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1.9负极板动态监控系统，时时监测负极板连接状态，并通过屏幕进度条动态预警，负极板异常，主机立即停止输出并发出声光报警；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1.10 针对婴幼儿及电容毯使用患者，智能禁用高风险电流并限制功率输出，以保护病人安全；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1.11</w:t>
            </w:r>
            <w:r>
              <w:rPr>
                <w:rFonts w:hint="eastAsia" w:ascii="宋体" w:hAnsi="宋体" w:eastAsia="宋体" w:cs="宋体"/>
                <w:b w:val="0"/>
                <w:bCs/>
                <w:color w:val="auto"/>
                <w:sz w:val="21"/>
                <w:szCs w:val="21"/>
                <w:highlight w:val="none"/>
                <w:shd w:val="clear" w:color="auto" w:fill="auto"/>
                <w:vertAlign w:val="baseline"/>
                <w:lang w:val="en-US" w:eastAsia="zh-CN"/>
              </w:rPr>
              <w:tab/>
            </w:r>
            <w:r>
              <w:rPr>
                <w:rFonts w:hint="eastAsia" w:ascii="宋体" w:hAnsi="宋体" w:eastAsia="宋体" w:cs="宋体"/>
                <w:b w:val="0"/>
                <w:bCs/>
                <w:color w:val="auto"/>
                <w:sz w:val="21"/>
                <w:szCs w:val="21"/>
                <w:highlight w:val="none"/>
                <w:shd w:val="clear" w:color="auto" w:fill="auto"/>
                <w:vertAlign w:val="baseline"/>
                <w:lang w:val="en-US" w:eastAsia="zh-CN"/>
              </w:rPr>
              <w:t>基本产品标准：防护等级I 级符合IEC 601-1标准，漏电流（高/低频）符合IEC 601-1标准。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2内镜电切及电凝</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2.1 内镜电切技术遵循切割、凝血交替输出的经典脉冲技术；</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2.2 提供≥6种不同的脉冲电切电流，以说明书或技术文件为准，且可对其实现切割和凝血效果调节；</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2.3 脉冲电切基于三大经典内镜手术（息肉圈除，EMR，ERCP）调教，直接以手术名称命名（宽蒂息肉圈除，窄蒂息肉圈除，ESD切割，ERCP混切，ERCP纯切I，ERCP纯切II），快速定位不同手术应用场景，简化电流调试；</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 xml:space="preserve">2.4 提供内镜下柔凝，强凝，钳凝等不同凝血电流模式，满足差异化器械操作需要；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2.5 提供4000Vp低压内镜专用喷凝电流，模拟内镜氩气刀效果，操作更安全，屏幕电磁干扰更低；</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 氩气功能：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3.1 ≤4000Vp低电压内镜氩气喷凝，降低内镜操作安全性，降低屏幕电磁干扰；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3.2氩气凝血模式≥4种；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★3.3 最大氩气流量＞10升/分钟，可调；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3.4 根据器械规格差异，智能匹配推荐的流量及参数设置；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3.5 氩气气瓶余量监测，并系统首页动态显示；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3.6 具备氩气气路阻塞报警系统及氩气低压力报警系统；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★3.7 提供可重复使用的内镜氩气喷管，经济高效；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3.8 提供二合一内镜氩气圈套器，一把器械完成息肉圈套及氩气喷凝操作，降低息肉复发率，且不用更换器械，节省手术时间；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highlight w:val="none"/>
                <w:shd w:val="clear" w:color="auto" w:fill="auto"/>
                <w:vertAlign w:val="baseline"/>
                <w:lang w:val="en-US" w:eastAsia="zh-CN"/>
              </w:rPr>
            </w:pPr>
            <w:r>
              <w:rPr>
                <w:rFonts w:hint="eastAsia" w:ascii="宋体" w:hAnsi="宋体" w:eastAsia="宋体" w:cs="宋体"/>
                <w:b w:val="0"/>
                <w:bCs/>
                <w:color w:val="auto"/>
                <w:sz w:val="21"/>
                <w:szCs w:val="21"/>
                <w:highlight w:val="none"/>
                <w:shd w:val="clear" w:color="auto" w:fill="auto"/>
                <w:vertAlign w:val="baseline"/>
                <w:lang w:val="en-US" w:eastAsia="zh-CN"/>
              </w:rPr>
              <w:t>3.9 所有氩气电极均带陶瓷保护头，绝缘隔热，避免误损伤及粘连，更高安全保护。</w:t>
            </w: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全自动清洗消毒器</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2套</w:t>
            </w:r>
          </w:p>
        </w:tc>
        <w:tc>
          <w:tcPr>
            <w:tcW w:w="5160" w:type="dxa"/>
            <w:vAlign w:val="top"/>
          </w:tcPr>
          <w:tbl>
            <w:tblPr>
              <w:tblStyle w:val="17"/>
              <w:tblW w:w="4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8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9" w:type="dxa"/>
                  <w:gridSpan w:val="3"/>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全自动清洗消毒器参数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38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产品适用于手术器械、呼吸管、口腔器械、奶瓶、湿化瓶、玻璃器皿</w:t>
                  </w:r>
                  <w:r>
                    <w:rPr>
                      <w:rFonts w:hint="eastAsia" w:ascii="宋体" w:hAnsi="宋体" w:eastAsia="宋体" w:cs="宋体"/>
                      <w:color w:val="auto"/>
                      <w:sz w:val="21"/>
                      <w:szCs w:val="21"/>
                      <w:highlight w:val="none"/>
                      <w:lang w:eastAsia="zh-CN"/>
                    </w:rPr>
                    <w:t>、妇科器械、呼吸球囊</w:t>
                  </w:r>
                  <w:r>
                    <w:rPr>
                      <w:rFonts w:hint="eastAsia" w:ascii="宋体" w:hAnsi="宋体" w:eastAsia="宋体" w:cs="宋体"/>
                      <w:color w:val="auto"/>
                      <w:sz w:val="21"/>
                      <w:szCs w:val="21"/>
                      <w:highlight w:val="none"/>
                    </w:rPr>
                    <w:t>等进行清洗、消毒、干燥。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有效容积</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≥550L（以注册证为准）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结构材料</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清洗管路采用卫生级不锈钢管道，清洗机内胆采用304不锈钢，外罩以及配件采用304不锈钢，厚度为1.5mm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快速连接技术</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清洗小车注水口位于清洗腔的侧面，清洗小车与喷臂之间能够快速无缝连接，保证了清洗水压及效果。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开门方式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自动下开门，前后双开门，可实现双门互锁，双层中空镀膜防爆钢化玻璃门，厚度≥50mm，隔音隔热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门安全控制</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关门遇障碍自动返回，门打开/关闭给予语音提示，告知门动作状态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快速管路设计</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双水箱设计，能够实现快速预热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干燥系统</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≥3×1500W干燥系统，噪音≤65dB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空气过滤</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过滤精度≤0.3 um，过滤等级可达到H13级（99.99%）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控制方式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采用非PLC智能控制系统，故障报警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通讯协议</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设备可通过以太网、wifi、3G、USB多种方式接入互联网或PC机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双屏，前后各一块LCD显示屏，能够动态显示设备运行状态及参数；故障报警；触控式操作；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安全保护</w:t>
                  </w:r>
                </w:p>
              </w:tc>
              <w:tc>
                <w:tcPr>
                  <w:tcW w:w="3384" w:type="dxa"/>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门电机：设备电机过载时，过流保护开关动作，电机停止工作；</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循环风机：风压过低造成空气加热管干烧时，系统自动切断加热电源；</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循环水泵：循环水泵有故障时，自动检测，退出程序；</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酶液量、润滑油量：耗材不足时给予提示，并退出程序；</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加热器：水位低造成加热管干烧时，系统自动切断加热电源；</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门防夹手装置：门在关闭过程中遇到阻碍时，会停止关门，并且向相反方向运行；</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超温保护：双温控检测，超过设定温度，系统自动切断加热电源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记录方式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可与信息管理系统及追溯系统相连，自动打印过程时间、温度等参数，自动记录AO值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内置程序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预置程序，用户可依据需要进行程序编辑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温控系统</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具有独立的预消毒舱水温控制器，预清洗舱水温控制器，清洗舱温度控制以及进风口、出风口温度控制系统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化学消毒功能</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本机带单独化学消毒程序，预留化学消毒功能模块，可以根据客户需要配备化学消毒功能。提供第三方化学消毒检测报告。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★清洗效果检测</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设备通过具有CMA认证的第三方机构对清洗效果的检测，检测结果合格。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消毒效果检测</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设备通过具有CMA认证的第三方机构对湿热消毒和化学消毒的检测，检测结果合格。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远程监控</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可通过3G、WIFI等有线、无线方式进行远程实时监控，提高维修的及时性。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身份识别技术</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用户通过自身的生理特征进入操作系统，生理特征在登录过程中具有唯一性，能实现对操作人员的操作。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数据恢复</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设备具有备份防灾机制，可以实时对设备运行参数进行云存储，当设备出现故障后科室及时备份当前数据，在设备故障修复后，可以通过包括网络、设备存储等方式进行数据恢复，保障数据的安全可追溯。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教学功能</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除人员现场培训、光盘等形式外的教学，设备自身能够以文件以及音像等形式进行设备操作指南、科室要求的内容的其他教学。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动态实时通知</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设备的运行状态（包括运行信息、故障信息等）会第一时间通知设备相关人员，提高消毒供应中心的管理以及提高产品售后服务的实时性及准确性。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日志导出</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设备运营的数据导出后自动生成为Excel文件格式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装载量</w:t>
                  </w:r>
                </w:p>
              </w:tc>
              <w:tc>
                <w:tcPr>
                  <w:tcW w:w="3384"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5层，</w:t>
                  </w:r>
                  <w:r>
                    <w:rPr>
                      <w:rFonts w:hint="eastAsia" w:ascii="宋体" w:hAnsi="宋体" w:eastAsia="宋体" w:cs="宋体"/>
                      <w:color w:val="auto"/>
                      <w:sz w:val="21"/>
                      <w:szCs w:val="21"/>
                      <w:highlight w:val="none"/>
                      <w:lang w:val="en-US" w:eastAsia="zh-CN"/>
                    </w:rPr>
                    <w:t>含有</w:t>
                  </w:r>
                  <w:r>
                    <w:rPr>
                      <w:rFonts w:hint="eastAsia" w:ascii="宋体" w:hAnsi="宋体" w:eastAsia="宋体" w:cs="宋体"/>
                      <w:color w:val="auto"/>
                      <w:sz w:val="21"/>
                      <w:szCs w:val="21"/>
                      <w:highlight w:val="none"/>
                    </w:rPr>
                    <w:t>15个标准器械篮筐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妇科器械清洗架和湿化瓶清洁架至少各1个。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运行时间</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耗水量</w:t>
                  </w:r>
                </w:p>
              </w:tc>
              <w:tc>
                <w:tcPr>
                  <w:tcW w:w="3384"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≤35L/步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耗材</w:t>
                  </w:r>
                </w:p>
              </w:tc>
              <w:tc>
                <w:tcPr>
                  <w:tcW w:w="3384"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可使用非本型号或本厂家指定专用耗材。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9" w:type="dxa"/>
                  <w:vAlign w:val="center"/>
                </w:tcPr>
                <w:p>
                  <w:pPr>
                    <w:jc w:val="center"/>
                    <w:rPr>
                      <w:rFonts w:hint="eastAsia" w:ascii="宋体" w:hAnsi="宋体" w:eastAsia="宋体" w:cs="宋体"/>
                      <w:color w:val="auto"/>
                      <w:sz w:val="21"/>
                      <w:szCs w:val="21"/>
                      <w:highlight w:val="none"/>
                      <w:lang w:val="en-US" w:eastAsia="zh-CN"/>
                    </w:rPr>
                  </w:pPr>
                </w:p>
              </w:tc>
              <w:tc>
                <w:tcPr>
                  <w:tcW w:w="986"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w:t>
                  </w:r>
                </w:p>
              </w:tc>
              <w:tc>
                <w:tcPr>
                  <w:tcW w:w="3384"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提供信息追溯系统</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医用干燥柜</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5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
              <w:gridCol w:w="1044"/>
              <w:gridCol w:w="3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医用干燥柜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适用范围</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医院中心供应室、手术室和其它需要物品干燥的部门。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★内舱容积</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有效容积≥520L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外观要求</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整体不锈钢外观，带侧面热风风循环，有效提高了柜体中下部干燥效果；显示屏和控制面板位于侧维修门处，操作高度正对操作者，更加符合人机工程学的要求。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材质要求</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外罩、舱体采用优质SUS304不锈钢拉丝板，板材厚度≥1.2mm，板材折边采用刨槽工艺，折边圆角≤R2，整体缝隙小、美观。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密封门材质</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采用优质SUS304不锈钢拉丝板，板材折边采用刨槽工艺，折边圆角≤R3，整体缝隙小、美观。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密封门</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结构门体中部采用双层中空钢化玻璃结构，通透面积≥0.59㎡，保证可视性同时，又能够有效阻隔舱体内热量损耗、降低密封门工作温度。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风机</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采用知名品牌交流离心风机，电容感应启动外转子电动机，外框铝压铸成型，镀锌板风轮，双滚珠轴承，长效免维护，风机风量≥600m³/h，最大静压≥550Pa，噪音≤72dB，风机数量≥3个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过热保护</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设备具有加热系统故障检测、保护、报警功能，采用知名过热保护器。保护阶段，程序停止运行，排出故障后，方可正常使用。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过滤器</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采用HEPA高效空气过滤器，过滤精度0.3μm，过滤效率≥99.97%，滤褶方向应垂直于地面，符合高效过滤器的安装要求，有效阻隔空气中的粉尘颗粒等进入干燥舱体内。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加热箱</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电加热方式，箱体盘型结构，减小占用空间，加热管数量≥3根，设备整体加热功率≥9kVA，加热箱加装品牌温度探头，精准测量空气温度，加热管含过热保护，避免安全隐患。加热箱外部粘贴隔热保温层，采用橡塑海绵，厚度≥10mm，闭泡式结构、防火性能好、导热系数低、绿色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44"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侧加热箱</w:t>
                  </w:r>
                </w:p>
              </w:tc>
              <w:tc>
                <w:tcPr>
                  <w:tcW w:w="3515" w:type="dxa"/>
                  <w:tcBorders>
                    <w:top w:val="nil"/>
                    <w:left w:val="nil"/>
                    <w:bottom w:val="single" w:color="auto" w:sz="4" w:space="0"/>
                    <w:right w:val="single" w:color="auto" w:sz="4" w:space="0"/>
                  </w:tcBorders>
                  <w:noWrap w:val="0"/>
                  <w:vAlign w:val="top"/>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采用一体化整体加热箱结构，密闭结构，保温性能好，电加热方式，集成过热保护警报功能，避免温度异常过高，造成隐患，电热管数量≥3根，加热箱内置硅酸铝保温隔热材料，避免热量损耗和起火隐患。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★装载量</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≥9层（≥16个篮筐 1个积水盒或者≥60根呼麻管）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4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智能化操作</w:t>
                  </w:r>
                </w:p>
              </w:tc>
              <w:tc>
                <w:tcPr>
                  <w:tcW w:w="3515"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操作程序采用智能化软件、液晶显示屏，内置针对不同器械设置的不同程序，各运行参数可调，操作灵活方便；运行过程中全自动控制、一键式操作；多种干燥方式可选择，满足医院不同器械的干燥需求。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打印系统</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设备内置打印机，可以将设备运行过程的关键信息打印出来。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满足</w:t>
                  </w:r>
                  <w:r>
                    <w:rPr>
                      <w:rFonts w:hint="eastAsia" w:ascii="宋体" w:hAnsi="宋体" w:eastAsia="宋体" w:cs="宋体"/>
                      <w:color w:val="auto"/>
                      <w:kern w:val="0"/>
                      <w:sz w:val="21"/>
                      <w:szCs w:val="21"/>
                      <w:highlight w:val="none"/>
                    </w:rPr>
                    <w:t>采购人在后续能对产品进行个性化免费软件升级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含质保期外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06" w:type="dxa"/>
                  <w:gridSpan w:val="3"/>
                  <w:tcBorders>
                    <w:top w:val="single" w:color="auto" w:sz="4" w:space="0"/>
                    <w:left w:val="single" w:color="auto" w:sz="4" w:space="0"/>
                    <w:bottom w:val="single" w:color="auto" w:sz="4" w:space="0"/>
                    <w:right w:val="single" w:color="auto" w:sz="4" w:space="0"/>
                  </w:tcBorders>
                  <w:noWrap w:val="0"/>
                  <w:vAlign w:val="center"/>
                </w:tcPr>
                <w:tbl>
                  <w:tblPr>
                    <w:tblStyle w:val="17"/>
                    <w:tblW w:w="10626"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6"/>
                    <w:gridCol w:w="1296"/>
                    <w:gridCol w:w="972"/>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16" w:type="dxa"/>
                        <w:tcBorders>
                          <w:top w:val="single" w:color="auto" w:sz="6" w:space="0"/>
                          <w:left w:val="single" w:color="auto" w:sz="6" w:space="0"/>
                          <w:bottom w:val="single" w:color="auto" w:sz="6" w:space="0"/>
                        </w:tcBorders>
                        <w:shd w:val="solid" w:color="C0C0C0" w:fill="auto"/>
                        <w:noWrap w:val="0"/>
                        <w:vAlign w:val="top"/>
                      </w:tcPr>
                      <w:p>
                        <w:pPr>
                          <w:widowControl w:val="0"/>
                          <w:autoSpaceDE w:val="0"/>
                          <w:autoSpaceDN w:val="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附加</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配件：有导管干燥架，湿化瓶干燥架</w:t>
                        </w:r>
                      </w:p>
                    </w:tc>
                    <w:tc>
                      <w:tcPr>
                        <w:tcW w:w="1296" w:type="dxa"/>
                        <w:tcBorders>
                          <w:top w:val="single" w:color="auto" w:sz="6" w:space="0"/>
                          <w:bottom w:val="single" w:color="auto" w:sz="6" w:space="0"/>
                        </w:tcBorders>
                        <w:shd w:val="solid" w:color="C0C0C0" w:fill="auto"/>
                        <w:noWrap w:val="0"/>
                        <w:vAlign w:val="top"/>
                      </w:tcPr>
                      <w:p>
                        <w:pPr>
                          <w:widowControl w:val="0"/>
                          <w:autoSpaceDE w:val="0"/>
                          <w:autoSpaceDN w:val="0"/>
                          <w:rPr>
                            <w:rFonts w:hint="eastAsia" w:ascii="宋体" w:hAnsi="宋体" w:eastAsia="宋体" w:cs="宋体"/>
                            <w:b/>
                            <w:color w:val="auto"/>
                            <w:sz w:val="21"/>
                            <w:szCs w:val="21"/>
                            <w:highlight w:val="none"/>
                          </w:rPr>
                        </w:pPr>
                      </w:p>
                    </w:tc>
                    <w:tc>
                      <w:tcPr>
                        <w:tcW w:w="972" w:type="dxa"/>
                        <w:tcBorders>
                          <w:top w:val="single" w:color="auto" w:sz="6" w:space="0"/>
                          <w:bottom w:val="single" w:color="auto" w:sz="6" w:space="0"/>
                        </w:tcBorders>
                        <w:shd w:val="solid" w:color="C0C0C0" w:fill="auto"/>
                        <w:noWrap w:val="0"/>
                        <w:vAlign w:val="top"/>
                      </w:tcPr>
                      <w:p>
                        <w:pPr>
                          <w:widowControl w:val="0"/>
                          <w:autoSpaceDE w:val="0"/>
                          <w:autoSpaceDN w:val="0"/>
                          <w:rPr>
                            <w:rFonts w:hint="eastAsia" w:ascii="宋体" w:hAnsi="宋体" w:eastAsia="宋体" w:cs="宋体"/>
                            <w:b/>
                            <w:color w:val="auto"/>
                            <w:sz w:val="21"/>
                            <w:szCs w:val="21"/>
                            <w:highlight w:val="none"/>
                          </w:rPr>
                        </w:pPr>
                      </w:p>
                    </w:tc>
                    <w:tc>
                      <w:tcPr>
                        <w:tcW w:w="1742" w:type="dxa"/>
                        <w:tcBorders>
                          <w:top w:val="single" w:color="auto" w:sz="6" w:space="0"/>
                          <w:bottom w:val="single" w:color="auto" w:sz="6" w:space="0"/>
                          <w:right w:val="single" w:color="auto" w:sz="6" w:space="0"/>
                        </w:tcBorders>
                        <w:shd w:val="solid" w:color="C0C0C0" w:fill="auto"/>
                        <w:noWrap w:val="0"/>
                        <w:vAlign w:val="top"/>
                      </w:tcPr>
                      <w:p>
                        <w:pPr>
                          <w:widowControl w:val="0"/>
                          <w:autoSpaceDE w:val="0"/>
                          <w:autoSpaceDN w:val="0"/>
                          <w:rPr>
                            <w:rFonts w:hint="eastAsia" w:ascii="宋体" w:hAnsi="宋体" w:eastAsia="宋体" w:cs="宋体"/>
                            <w:b/>
                            <w:color w:val="auto"/>
                            <w:sz w:val="21"/>
                            <w:szCs w:val="21"/>
                            <w:highlight w:val="none"/>
                          </w:rPr>
                        </w:pPr>
                      </w:p>
                    </w:tc>
                  </w:tr>
                </w:tbl>
                <w:p>
                  <w:pPr>
                    <w:widowControl/>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医用真空干燥柜</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4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1262"/>
              <w:gridCol w:w="2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4692"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一：设备参数及配置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3986"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整体全不锈钢拉丝外罩外观，整洁易于清理。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舱体采用优质铝合金防锈板拼接成型，阳极氧化处理，表面光洁，提高热辐射效率，有利于腔内温度控制，有效提高干燥性能。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舱体结构：</w:t>
                  </w:r>
                </w:p>
              </w:tc>
              <w:tc>
                <w:tcPr>
                  <w:tcW w:w="27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after="220" w:afterAutospacing="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方形舱体，上下双舱体，分开独立运行，单舱一次可装载2个标配器械托盘的器械；舱体深度≥700mm，更适合较长硬镜类负载的干燥。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加热方式：</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舱体外壁包覆PTC加热膜加热，安全高效，升温均匀；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保温材料：</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采用粘胶纤维保温层，厚度≥10mm，外覆绝缘布、防火性能好、有效阻止热量散失。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密封门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★密封门材质要求：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门框采用不锈钢板焊接成型，强度高，不变形；门罩采用不锈钢拉丝板刨槽钣金折弯成型。前后双门结构，可做通道式隔断安装。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门胶条要求：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门胶条采用白色医用硅橡胶模压而成。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门密封要求：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采用钢化玻璃密封，带有高透玻璃视窗，保证密封同时，可在运行中观察内部负载情况。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门锁装置：</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电动锁，自动检测门关位，安全方便，避免手动操作引起的误操作。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管路系统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高效真空泵，运行平稳，低噪音，低震动，抽空速度快，维修保养方便。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控制阀：</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抽空阀采用电动执行器控制，更安全、可靠；回空阀为电磁阀，质量稳定、寿命长。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过热保护：</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设备具有加热系统故障检测、保护、报警功能，采用知名品牌过热保护器，。保护阶段，程序停止运行，排出故障后，方可正常使用。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过滤器要求：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进气采用高效空气过滤器过滤，过滤精度0.3μm，有效阻隔空气中的粉尘颗粒等进入舱体内。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控制器要求：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具有一个以太网接口或一个RS485/RS422接口等接口满足采购人需求。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采用彩色触摸屏作为人机操作界面，可显示温度、压力、运行时间、报警信息等参数，触摸式操作，操作方便、简单；</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触摸屏自带USB接口，可接入储存U盘，可记录运行数据和报警信息。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程序系统：</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内置至少12套程序，用户可根据需求自行调节参数；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温度可调范围：室温～65℃；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控制压力：0~101kPa；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操作权限：三级权限，防止误操作；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智能模式：设备利用高精度传感器技术，智能判断腔内物品的干燥情况。物品干燥后，程序自动结束，实现一键干燥。程序运行全过程无时间限制，可对物品进行长时间干燥，对物品无任何损伤。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安全装置：</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设备带有防过载、短路保护装置，PLC实时限温保护，超温保护，真空泵热过载保护，门电机过载保护。</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紧急开门装置：设备发生故障，无法开门时，可长按紧急开门按钮 ，直到前门打开为止。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整体参数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外形尺寸</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≤530（宽）×1655（高）×880（深）mm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容积</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可适应性要求</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工作环境温度：5℃～40℃   相对湿度：≤85%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3986"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器械托盘4个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39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积水盘 1个</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硬式内镜清洗工作站</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1套</w:t>
            </w:r>
          </w:p>
        </w:tc>
        <w:tc>
          <w:tcPr>
            <w:tcW w:w="5160" w:type="dxa"/>
            <w:vAlign w:val="top"/>
          </w:tcPr>
          <w:tbl>
            <w:tblPr>
              <w:tblStyle w:val="17"/>
              <w:tblW w:w="4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899"/>
              <w:gridCol w:w="2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31"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ind w:left="-420" w:left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硬式内镜清洗工作站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清洗台面</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台面主料为PMMA高分子复合材料，经数次冷热加工一次性成型；</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面层质薄而坚硬，耐摩擦耐酸碱，光亮平滑，抗菌，易清洗；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固层由塑料碳纤维胶合而成，起到加固台面的承重，安装固定作用；防止迸裂的作用，防止台面长期使用变形；台面支架选用全优质镜面不锈钢.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4、尺寸可选：</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单方槽长590mm×宽750mm；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单方槽长680mm×宽750mm；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单方槽长750mm×宽750mm；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单方槽长900mm×宽710mm；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转角方槽长760mm×宽760mm；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转角方槽长850mm×850mm；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干燥台面，680mm，750mm,900mm,1180mm,1360mm，1500mm</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设备整体总高度1800mm。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0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清洗槽材质强度（提供第三方权威机构出具的清洗槽检测报告）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拉伸强度</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≥35Mpa    （检测标准：GB/T1040.2-2006）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断裂伸长率</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（检测标准：GB/T1040.2-2006）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弯曲强度</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≥100Mpa   （检测标准：GB/T9341-2008）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简支梁无缺口冲击强度</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≥20kJ/㎡ （检测标准：GB/T1043.1-2008）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压缩强度</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≥100Mpa    （检测标准：GB/T1041-2008）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0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清洗槽材质耐腐蚀性（提供第三方权威机构出具的清洗槽检测报告）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耐碱性</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在1%Na0H溶液中浸泡48小时无可视变化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耐酸性</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在5%H2S04溶液中浸泡48小时无可视变化: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0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清洗槽材质含量（提供第三方权威机构出具的清洗槽检测报告）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六种邻苯二甲酸酯（增塑剂）含量</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≤0.001%</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（邻苯二甲酸二丁酯（DBP）、邻苯二甲酸丁苄酯(BBP)、邻苯二甲酸二己酯(DEHP)、邻苯二甲酸二正辛酯(DNOP)、邻苯二甲酸二异壬酯(DINP)、邻苯二甲酸二异葵酯(DIDP)）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特定元素</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≤2mg/kg</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砷（As）、铬（Cr）、钡（Ba）、硒（Se）、锑（Sb）、镉（Cd）、汞（Hg）、铅（Pb）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功能背板及灯箱</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整体造型结构可按功能作用形成分体组合，便于设备的检修保养，搬迁和功能升级之用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微电脑控制器</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的设计简洁明快、不占用用操作空间。所有主要部件采用隐蔽方式布置，简便而功效强大。采用进口CPU中心处理芯片，液晶数码显示，多套系统供客户选择，控制系统稳定，读时准确。并具有自动时间定时启动注液,注气,排洗及过期报警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自动注流器</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严格按国家卫生部2004年颁布的《内镜清洗消毒操作规范（2004版）》的标准，使用流动水，隐藏式设计，采用国际标准做法。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工作表面清洁洁净，水注流系统可直接将净化后纯净水注入内镜，避免二次污染。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能尽量使工作人员避免误操作，注流器高水压，低流量，适合不同管径内镜；脉冲冲洗提高清洗效果；清洗步骤完成可直接排出余水，故障维修简易快捷，使用成本低，真正体现人性化设计。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水处理器</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过滤型水处理器过滤精度为1μM，不锈钢材质，多层式渗透，净化过滤水质更保证内镜清洗安全，可采用反冲式维护清洗，无需更换滤芯，水处理量：2～5T/h可选。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专用空气压缩机</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采用低噪音无油气泵，带有油水分离器的功能，能分离空气中的油污，水分，提高干燥台上干燥气体的清洁度。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内镜烘干机</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对内窥镜管壁内水分进行干燥，可避免因与水接触受潮长菌的现象发生。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高压水枪</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特别针对硬镜不同径口清洗，可提供</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8种不同口径枪头，可调节水流量、水压、水冲力，设有专用安全防震环，避免管路不畅，高压水冲破内镜管壁。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高压气枪</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特别针对硬镜不同径口吹干，可提供</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8种不同口径枪头戓专用气枪喷头，设有专用安全防震环，避免管路不畅，气压冲破内镜管壁。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专用水龙头</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通过改进款式，并进行多层防腐处理，可以承受数年高酸碱恶劣环境的考验，管路同进具有耐腐蚀功能。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供排水系统</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优质PP-R供、排水管路。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方槽盖</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避免消毒液气体外散，减少人员刺激。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快速接头</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每槽的每个流程（注液、吸液等）均采用专用接头连接内镜的每个接口，最大化的为用户节约时间。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供气管路</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采用优质的气动部件，承压强，寿命长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漏电保护</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采用降压电源，漏电保护, 为设备提供12V安全电压.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嵌入式超声波</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微控型超声清洗槽为台面镶嵌式，工作频率：40～50KHz、定时、加热、温控实时数码显示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产品资质</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产品具有医疗器械注册证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流程</w:t>
                  </w: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（初洗、酶洗）槽+漂洗槽+浸泡消毒槽+终末漂洗槽+干燥台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808" w:type="dxa"/>
                  <w:tcBorders>
                    <w:top w:val="single" w:color="auto" w:sz="6" w:space="0"/>
                    <w:left w:val="single" w:color="auto" w:sz="6" w:space="0"/>
                    <w:bottom w:val="single" w:color="auto" w:sz="6" w:space="0"/>
                    <w:right w:val="single" w:color="auto" w:sz="6" w:space="0"/>
                    <w:tl2br w:val="nil"/>
                    <w:tr2bl w:val="nil"/>
                  </w:tcBorders>
                  <w:noWrap w:val="0"/>
                  <w:vAlign w:val="top"/>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配管腔检测系统，自动上酶功能及自动开盖或脚踏式开盖</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kern w:val="2"/>
                <w:sz w:val="21"/>
                <w:szCs w:val="21"/>
                <w:highlight w:val="none"/>
                <w:shd w:val="clear" w:color="auto" w:fill="auto"/>
                <w:vertAlign w:val="baseline"/>
                <w:lang w:val="en-US" w:eastAsia="zh-CN" w:bidi="ar-SA"/>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牙科手机清洗机</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4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07"/>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74" w:type="dxa"/>
                  <w:gridSpan w:val="3"/>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牙科手机清洗机技术参数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7"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2828" w:type="dxa"/>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主要用于对医口腔器械等进行清洗、喷淋、上油。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≤585mm（深）*485mm（宽）*625mm（高）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内舱容积</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有效容积≥50L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加热方式</w:t>
                  </w:r>
                </w:p>
              </w:tc>
              <w:tc>
                <w:tcPr>
                  <w:tcW w:w="2828"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电加热</w:t>
                  </w:r>
                  <w:r>
                    <w:rPr>
                      <w:rFonts w:hint="eastAsia" w:ascii="宋体" w:hAnsi="宋体" w:eastAsia="宋体" w:cs="宋体"/>
                      <w:color w:val="auto"/>
                      <w:sz w:val="21"/>
                      <w:szCs w:val="21"/>
                      <w:highlight w:val="none"/>
                      <w:lang w:val="en-US" w:eastAsia="zh-CN"/>
                    </w:rPr>
                    <w:t>或其他方式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水耗量</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≤15L/阶段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清洗量</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1个清洗篮筐/18支口腔手机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程序预置</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开门方式</w:t>
                  </w:r>
                </w:p>
              </w:tc>
              <w:tc>
                <w:tcPr>
                  <w:tcW w:w="2828"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手动开门</w:t>
                  </w:r>
                  <w:r>
                    <w:rPr>
                      <w:rFonts w:hint="eastAsia" w:ascii="宋体" w:hAnsi="宋体" w:eastAsia="宋体" w:cs="宋体"/>
                      <w:color w:val="auto"/>
                      <w:sz w:val="21"/>
                      <w:szCs w:val="21"/>
                      <w:highlight w:val="none"/>
                      <w:lang w:val="en-US" w:eastAsia="zh-CN"/>
                    </w:rPr>
                    <w:t>或自动门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快速链接技术</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快速连接装置能够将清洗舱与清洗小车快速无缝连接，降低了清洗过程中水压损耗，增强了全自动清洗机清洗水压，保证清洗效果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打印系统</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可将清洗消毒过程中的清洗时间、漂洗时间、干燥时间、清洗温度、漂洗温度、进酶量、进油量等各项参数自动打印出来。并可对打印记录进行三年以上的长时间保存，以便于医院的追溯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10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耗材</w:t>
                  </w:r>
                </w:p>
              </w:tc>
              <w:tc>
                <w:tcPr>
                  <w:tcW w:w="2828"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可使用非本型号或本厂家专用耗材</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绝缘检测仪</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 医用绝缘检测仪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用   途：</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为医院消毒供应中心、手术室和内镜室等科室现场对有源医疗器械进行绝缘或通断检测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0～5000 V可调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输出电流</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    量</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设备主要技术要求/标准性能</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彩色触控屏，触摸操作界面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可预先设置</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4个常用测量电压模式，满足常规器械的检测需要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具有高压测试时间设置功能，可根据实际需要在2～20秒内设置高压可持续时间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具有高压放电时间连续2～20秒可调，可根据探测要求预置放电时间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声、光、影三种方式同时报警提示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具有休眠功能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配件齐全，具有十个以上的附件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体积小，重量轻，方便携带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控制方式</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触摸屏操作控制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    成</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该仪器有主机、检测用附件和铝制包装箱组成</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医用除锈仪</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20"/>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2" w:type="dxa"/>
                  <w:gridSpan w:val="3"/>
                  <w:noWrap w:val="0"/>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医用除锈仪技术参数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适用范围</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适用于医院不锈钢器械和诊疗器械（如篮筐、器械托盘、容器、手术器械、镊子、小药杯、老虎钳等）的除锈，能够快速有效的去除器械表面的锈迹，恢复器械光亮，对物品表面无损伤。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内舱容积</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采用不锈钢材料，产品美观，耐清洗擦拭，不易生锈。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管路材质</w:t>
                  </w:r>
                </w:p>
              </w:tc>
              <w:tc>
                <w:tcPr>
                  <w:tcW w:w="3093"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篮筐材质</w:t>
                  </w:r>
                </w:p>
              </w:tc>
              <w:tc>
                <w:tcPr>
                  <w:tcW w:w="3093"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开门方式</w:t>
                  </w:r>
                </w:p>
              </w:tc>
              <w:tc>
                <w:tcPr>
                  <w:tcW w:w="3093" w:type="dxa"/>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手动翻转门</w:t>
                  </w:r>
                  <w:r>
                    <w:rPr>
                      <w:rFonts w:hint="eastAsia" w:ascii="宋体" w:hAnsi="宋体" w:eastAsia="宋体" w:cs="宋体"/>
                      <w:color w:val="auto"/>
                      <w:sz w:val="21"/>
                      <w:szCs w:val="21"/>
                      <w:highlight w:val="none"/>
                      <w:lang w:val="en-US" w:eastAsia="zh-CN"/>
                    </w:rPr>
                    <w:t>或其他方式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快速管路设计</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排水管路含排水泵，排水时间≤4min</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管路除配有电磁阀排污阀、循环泵、电加热管、温度传感器、水位开关外，还配有精确的进液蠕动泵，从而保证了除锈剂计量的准确。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观察窗</w:t>
                  </w:r>
                </w:p>
              </w:tc>
              <w:tc>
                <w:tcPr>
                  <w:tcW w:w="3093" w:type="dxa"/>
                  <w:noWrap w:val="0"/>
                  <w:vAlign w:val="center"/>
                </w:tcPr>
                <w:p>
                  <w:pPr>
                    <w:widowControl/>
                    <w:spacing w:line="400" w:lineRule="exact"/>
                    <w:ind w:right="-512" w:rightChars="-24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上置观察窗，能够实时观察工作状态；倾斜设计，操作更方便、人性化。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触摸液晶显示屏</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触摸控制，实现人机交互，</w:t>
                  </w:r>
                  <w:r>
                    <w:rPr>
                      <w:rFonts w:hint="eastAsia" w:ascii="宋体" w:hAnsi="宋体" w:eastAsia="宋体" w:cs="宋体"/>
                      <w:color w:val="auto"/>
                      <w:kern w:val="0"/>
                      <w:sz w:val="21"/>
                      <w:szCs w:val="21"/>
                      <w:highlight w:val="none"/>
                      <w:lang w:val="en-US" w:eastAsia="zh-CN"/>
                    </w:rPr>
                    <w:t>高清</w:t>
                  </w:r>
                  <w:r>
                    <w:rPr>
                      <w:rFonts w:hint="eastAsia" w:ascii="宋体" w:hAnsi="宋体" w:eastAsia="宋体" w:cs="宋体"/>
                      <w:color w:val="auto"/>
                      <w:kern w:val="0"/>
                      <w:sz w:val="21"/>
                      <w:szCs w:val="21"/>
                      <w:highlight w:val="none"/>
                    </w:rPr>
                    <w:t>触摸屏显示丰富的信息，运行过程动态显示，包括但不限于进水时间、排水时间、除锈时间、当前温度、过程、状态、参数等诸多信息；</w:t>
                  </w:r>
                  <w:r>
                    <w:rPr>
                      <w:rFonts w:hint="eastAsia" w:ascii="宋体" w:hAnsi="宋体" w:eastAsia="宋体" w:cs="宋体"/>
                      <w:color w:val="auto"/>
                      <w:sz w:val="21"/>
                      <w:szCs w:val="21"/>
                      <w:highlight w:val="none"/>
                    </w:rPr>
                    <w:t>具有报警信息显示功能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记忆</w:t>
                  </w:r>
                  <w:r>
                    <w:rPr>
                      <w:rFonts w:hint="eastAsia" w:ascii="宋体" w:hAnsi="宋体" w:eastAsia="宋体" w:cs="宋体"/>
                      <w:color w:val="auto"/>
                      <w:kern w:val="0"/>
                      <w:sz w:val="21"/>
                      <w:szCs w:val="21"/>
                      <w:highlight w:val="none"/>
                    </w:rPr>
                    <w:t>功能</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自带记忆功能，参数设置完成后，无需重复设置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3093" w:type="dxa"/>
                  <w:noWrap w:val="0"/>
                  <w:vAlign w:val="center"/>
                </w:tcPr>
                <w:p>
                  <w:pPr>
                    <w:widowControl/>
                    <w:spacing w:line="400" w:lineRule="exact"/>
                    <w:ind w:right="-512" w:rightChars="-24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具有断电保护功能，防尘板防护，防止污物甩出、阻挡异物缠绕；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超声功率</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功率≤600W，并在40％-100％范围内可调，能够满足不同清洗对象。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超声频率</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38KHZ，频率偏移少，噪音低。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控制方式</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工业级单片机芯片；独立的电源滤波器，抗干扰能力强；触摸屏操作，一键启动方便快捷；具有故障自动检测功能。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加热方式</w:t>
                  </w:r>
                </w:p>
              </w:tc>
              <w:tc>
                <w:tcPr>
                  <w:tcW w:w="3093" w:type="dxa"/>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电加热</w:t>
                  </w:r>
                  <w:r>
                    <w:rPr>
                      <w:rFonts w:hint="eastAsia" w:ascii="宋体" w:hAnsi="宋体" w:eastAsia="宋体" w:cs="宋体"/>
                      <w:color w:val="auto"/>
                      <w:sz w:val="21"/>
                      <w:szCs w:val="21"/>
                      <w:highlight w:val="none"/>
                      <w:lang w:val="en-US" w:eastAsia="zh-CN"/>
                    </w:rPr>
                    <w:t>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电动去污刷轮</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电动去污刷轮转速≤7000rpm，能对带齿状手术器械污物有效剥离；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打印功能</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内置打印机，支持运行结果打印输出，纸质化保存；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102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运行时间</w:t>
                  </w:r>
                </w:p>
              </w:tc>
              <w:tc>
                <w:tcPr>
                  <w:tcW w:w="3093"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依据运行时间0~99分钟可调</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cs="宋体"/>
                <w:b w:val="0"/>
                <w:bCs/>
                <w:color w:val="auto"/>
                <w:sz w:val="21"/>
                <w:szCs w:val="21"/>
                <w:highlight w:val="none"/>
                <w:shd w:val="clear" w:color="auto" w:fill="auto"/>
                <w:vertAlign w:val="baseline"/>
                <w:lang w:val="en-US" w:eastAsia="zh-CN"/>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煮沸消毒器</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2"/>
                <w:sz w:val="21"/>
                <w:szCs w:val="21"/>
                <w:highlight w:val="none"/>
                <w:shd w:val="clear" w:color="auto" w:fill="auto"/>
                <w:vertAlign w:val="baseline"/>
                <w:lang w:val="en-US" w:eastAsia="zh-CN" w:bidi="ar-SA"/>
              </w:rPr>
            </w:pPr>
            <w:r>
              <w:rPr>
                <w:rFonts w:hint="eastAsia" w:ascii="宋体" w:hAnsi="宋体" w:eastAsia="宋体" w:cs="宋体"/>
                <w:b w:val="0"/>
                <w:bCs/>
                <w:color w:val="auto"/>
                <w:sz w:val="21"/>
                <w:szCs w:val="21"/>
                <w:highlight w:val="none"/>
                <w:shd w:val="clear" w:color="auto" w:fill="auto"/>
                <w:vertAlign w:val="baseline"/>
                <w:lang w:val="en-US" w:eastAsia="zh-CN"/>
              </w:rPr>
              <w:t>1台</w:t>
            </w:r>
          </w:p>
        </w:tc>
        <w:tc>
          <w:tcPr>
            <w:tcW w:w="5160" w:type="dxa"/>
            <w:vAlign w:val="top"/>
          </w:tcPr>
          <w:tbl>
            <w:tblPr>
              <w:tblStyle w:val="17"/>
              <w:tblW w:w="4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224"/>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适用范围</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主要适用于医院内径活检钳、手术刀、止血钳、镊子、抽吸装置、麻醉管道、输液器、瓶子、瓷制品、各种口腔科器械、测压器等污染性器械的大批量、高洁度的清洗。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内舱容积</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机器所有板金件采用304不锈钢材料，激光切割、数控折弯加工而成，产品美观，耐清洗擦拭，不易生锈。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开门方式</w:t>
                  </w:r>
                </w:p>
              </w:tc>
              <w:tc>
                <w:tcPr>
                  <w:tcW w:w="3144" w:type="dxa"/>
                  <w:noWrap w:val="0"/>
                  <w:vAlign w:val="top"/>
                </w:tcPr>
                <w:p>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手动翻转门</w:t>
                  </w:r>
                  <w:r>
                    <w:rPr>
                      <w:rFonts w:hint="eastAsia" w:ascii="宋体" w:hAnsi="宋体" w:eastAsia="宋体" w:cs="宋体"/>
                      <w:color w:val="auto"/>
                      <w:kern w:val="0"/>
                      <w:sz w:val="21"/>
                      <w:szCs w:val="21"/>
                      <w:highlight w:val="none"/>
                      <w:lang w:val="en-US" w:eastAsia="zh-CN"/>
                    </w:rPr>
                    <w:t>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快速管路设计</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排水管路含排水泵，排水时间≤4min</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管路除配有电磁阀排污阀、循环泵、电加热管、温度传感器、水位开关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液晶显示屏</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液晶屏显示丰富的信息，包括但不限于进水时间、补水时间、排水时间、清洗方式、清洗时间、当前温度、过程、状态、参数等诸多信息；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煮沸清洗功能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控制方式</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工业级单片机芯片；独立的电源滤波器，抗干扰能力强；面膜操作，一键启动方便快捷；具有故障自动检测功能。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加热方式</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电加热，功率≥6KW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清洗温度</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30℃～95℃可调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安全保护</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水位低保护功能：水位低时自动停止加热管加热和超声；</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超时保护功能：进水超过设定时间，停止进水，防止水流溢出；</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电机过流保护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1224"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运行时间</w:t>
                  </w:r>
                </w:p>
              </w:tc>
              <w:tc>
                <w:tcPr>
                  <w:tcW w:w="3144" w:type="dxa"/>
                  <w:noWrap w:val="0"/>
                  <w:vAlign w:val="top"/>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Min</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p>
        </w:tc>
        <w:tc>
          <w:tcPr>
            <w:tcW w:w="1165"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43" w:type="dxa"/>
            <w:gridSpan w:val="5"/>
            <w:shd w:val="clear" w:color="auto" w:fill="auto"/>
            <w:vAlign w:val="center"/>
          </w:tcPr>
          <w:p>
            <w:pPr>
              <w:keepNext w:val="0"/>
              <w:keepLines w:val="0"/>
              <w:widowControl/>
              <w:suppressLineNumbers w:val="0"/>
              <w:ind w:left="630" w:hanging="630" w:hangingChars="30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▲注：1．所有设备向采购人提供所有数据通讯、技术接口服务，开放接口的费用由本项目中标人自行承担。 </w:t>
            </w:r>
          </w:p>
          <w:p>
            <w:pPr>
              <w:keepNext w:val="0"/>
              <w:keepLines w:val="0"/>
              <w:widowControl/>
              <w:suppressLineNumbers w:val="0"/>
              <w:ind w:left="630" w:leftChars="300" w:firstLine="0" w:firstLineChars="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2．所有系统设备要求与医院信息网络数据互联互通，与医院信息系统连接所产生的费用由中标人自行承担。 </w:t>
            </w:r>
          </w:p>
          <w:p>
            <w:pPr>
              <w:keepNext w:val="0"/>
              <w:keepLines w:val="0"/>
              <w:widowControl/>
              <w:suppressLineNumbers w:val="0"/>
              <w:ind w:firstLine="840" w:firstLineChars="400"/>
              <w:jc w:val="left"/>
              <w:rPr>
                <w:b w:val="0"/>
                <w:bCs w:val="0"/>
                <w:color w:val="auto"/>
                <w:szCs w:val="21"/>
                <w:highlight w:val="none"/>
              </w:rPr>
            </w:pPr>
            <w:r>
              <w:rPr>
                <w:rFonts w:hint="eastAsia" w:ascii="宋体" w:hAnsi="宋体" w:eastAsia="宋体" w:cs="宋体"/>
                <w:b w:val="0"/>
                <w:bCs w:val="0"/>
                <w:color w:val="auto"/>
                <w:kern w:val="0"/>
                <w:sz w:val="21"/>
                <w:szCs w:val="21"/>
                <w:highlight w:val="none"/>
                <w:lang w:val="en-US" w:eastAsia="zh-CN" w:bidi="ar"/>
              </w:rPr>
              <w:t xml:space="preserve">3．备品备件及耗材等要求：设备安装时所需的备品备件及耗材由中标人负责提供。 </w:t>
            </w:r>
          </w:p>
          <w:p>
            <w:pPr>
              <w:keepNext w:val="0"/>
              <w:keepLines w:val="0"/>
              <w:widowControl/>
              <w:suppressLineNumbers w:val="0"/>
              <w:ind w:left="840" w:leftChars="40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 本项目验收过程中所产生的一切费用均由中标供应商承担。供应商报价时应考虑相关费用。</w:t>
            </w:r>
          </w:p>
          <w:p>
            <w:pPr>
              <w:keepNext w:val="0"/>
              <w:keepLines w:val="0"/>
              <w:widowControl/>
              <w:suppressLineNumbers w:val="0"/>
              <w:ind w:firstLine="840" w:firstLineChars="4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 xml:space="preserve"> 所</w:t>
            </w:r>
            <w:r>
              <w:rPr>
                <w:rFonts w:hint="eastAsia" w:ascii="宋体" w:hAnsi="宋体" w:cs="宋体"/>
                <w:b w:val="0"/>
                <w:bCs w:val="0"/>
                <w:color w:val="auto"/>
                <w:kern w:val="0"/>
                <w:sz w:val="21"/>
                <w:szCs w:val="21"/>
                <w:highlight w:val="none"/>
                <w:lang w:val="en-US" w:eastAsia="zh-CN" w:bidi="ar"/>
              </w:rPr>
              <w:t>有</w:t>
            </w:r>
            <w:r>
              <w:rPr>
                <w:rFonts w:hint="eastAsia" w:ascii="宋体" w:hAnsi="宋体" w:eastAsia="宋体" w:cs="宋体"/>
                <w:b w:val="0"/>
                <w:bCs w:val="0"/>
                <w:color w:val="auto"/>
                <w:kern w:val="0"/>
                <w:sz w:val="21"/>
                <w:szCs w:val="21"/>
                <w:highlight w:val="none"/>
                <w:lang w:val="en-US" w:eastAsia="zh-CN" w:bidi="ar"/>
              </w:rPr>
              <w:t>提供设备需为供货时近半年</w:t>
            </w:r>
            <w:r>
              <w:rPr>
                <w:rFonts w:hint="eastAsia" w:ascii="宋体" w:hAnsi="宋体" w:cs="宋体"/>
                <w:b w:val="0"/>
                <w:bCs w:val="0"/>
                <w:color w:val="auto"/>
                <w:kern w:val="0"/>
                <w:sz w:val="21"/>
                <w:szCs w:val="21"/>
                <w:highlight w:val="none"/>
                <w:lang w:val="en-US" w:eastAsia="zh-CN" w:bidi="ar"/>
              </w:rPr>
              <w:t>内</w:t>
            </w:r>
            <w:r>
              <w:rPr>
                <w:rFonts w:hint="eastAsia" w:ascii="宋体" w:hAnsi="宋体" w:eastAsia="宋体" w:cs="宋体"/>
                <w:b w:val="0"/>
                <w:bCs w:val="0"/>
                <w:color w:val="auto"/>
                <w:kern w:val="0"/>
                <w:sz w:val="21"/>
                <w:szCs w:val="21"/>
                <w:highlight w:val="none"/>
                <w:lang w:val="en-US" w:eastAsia="zh-CN" w:bidi="ar"/>
              </w:rPr>
              <w:t>生产的</w:t>
            </w:r>
            <w:r>
              <w:rPr>
                <w:rFonts w:hint="eastAsia" w:ascii="宋体" w:hAnsi="宋体" w:cs="宋体"/>
                <w:b w:val="0"/>
                <w:bCs w:val="0"/>
                <w:color w:val="auto"/>
                <w:kern w:val="0"/>
                <w:sz w:val="21"/>
                <w:szCs w:val="21"/>
                <w:highlight w:val="none"/>
                <w:lang w:val="en-US" w:eastAsia="zh-CN" w:bidi="ar"/>
              </w:rPr>
              <w:t>产品</w:t>
            </w:r>
            <w:r>
              <w:rPr>
                <w:rFonts w:hint="eastAsia" w:ascii="宋体" w:hAnsi="宋体" w:eastAsia="宋体" w:cs="宋体"/>
                <w:b w:val="0"/>
                <w:bCs w:val="0"/>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43" w:type="dxa"/>
            <w:gridSpan w:val="5"/>
            <w:shd w:val="clear" w:color="auto" w:fill="auto"/>
            <w:vAlign w:val="center"/>
          </w:tcPr>
          <w:p>
            <w:pPr>
              <w:keepNext w:val="0"/>
              <w:keepLines w:val="0"/>
              <w:widowControl/>
              <w:suppressLineNumbers w:val="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以上涉及到设备性能及配置评审的相关参数均需添加到中标人的货物采购合同内，且采购人有权要求针对现场货物的部件的品牌及产地进行各种甄别方式（如第三方商检）。如甄别结果与合同内一致的，甄别的费用由采购人负责，如果甄别的结果与合同不一致的，甄别的费用由中标人负责，且中标人需赔偿采购人由此产生的所有损失，并承担相应的法律责任。 </w:t>
            </w:r>
          </w:p>
        </w:tc>
      </w:tr>
      <w:bookmarkEnd w:id="62"/>
      <w:bookmarkEnd w:id="63"/>
    </w:tbl>
    <w:tbl>
      <w:tblPr>
        <w:tblStyle w:val="17"/>
        <w:tblW w:w="94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44"/>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auto"/>
                <w:szCs w:val="21"/>
                <w:highlight w:val="none"/>
              </w:rPr>
            </w:pPr>
            <w:r>
              <w:rPr>
                <w:rFonts w:hint="eastAsia" w:ascii="宋体" w:hAnsi="宋体"/>
                <w:b/>
                <w:color w:val="auto"/>
                <w:szCs w:val="21"/>
                <w:highlight w:val="none"/>
                <w:lang w:eastAsia="zh-CN"/>
              </w:rPr>
              <w:t>二</w:t>
            </w:r>
            <w:r>
              <w:rPr>
                <w:rFonts w:hint="eastAsia" w:ascii="宋体" w:hAnsi="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交付的时间和地点</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合同履行期限：</w:t>
            </w:r>
            <w:r>
              <w:rPr>
                <w:rFonts w:hint="eastAsia"/>
                <w:color w:val="auto"/>
                <w:highlight w:val="none"/>
                <w:lang w:val="en-US" w:eastAsia="zh-CN"/>
              </w:rPr>
              <w:t>详见招标公告。</w:t>
            </w:r>
          </w:p>
          <w:p>
            <w:pPr>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地点：采购人指定地点</w:t>
            </w:r>
            <w:r>
              <w:rPr>
                <w:rFonts w:hint="eastAsia" w:ascii="Times New Roman" w:hAnsi="Times New Roman" w:eastAsia="宋体" w:cs="Times New Roman"/>
                <w:color w:val="auto"/>
                <w:highlight w:val="none"/>
                <w:lang w:val="en-US" w:eastAsia="zh-CN"/>
              </w:rPr>
              <w:t>。</w:t>
            </w:r>
          </w:p>
          <w:p>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货物交接要求：安装验收合格后视为交货，在交货前的运输、仓储、装卸、搬运、保管等由中标人负责，并承担相关责任。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付款条件</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按合同条款执行。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▲售后服务</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rPr>
            </w:pPr>
            <w:r>
              <w:rPr>
                <w:rFonts w:hint="eastAsia"/>
                <w:color w:val="auto"/>
                <w:highlight w:val="none"/>
              </w:rPr>
              <w:t>1.质保期：</w:t>
            </w:r>
            <w:r>
              <w:rPr>
                <w:rFonts w:hint="eastAsia"/>
                <w:color w:val="auto"/>
                <w:highlight w:val="none"/>
                <w:lang w:val="en-US" w:eastAsia="zh-CN"/>
              </w:rPr>
              <w:t>不少于一年。</w:t>
            </w:r>
            <w:r>
              <w:rPr>
                <w:rFonts w:hint="eastAsia"/>
                <w:color w:val="auto"/>
                <w:highlight w:val="none"/>
              </w:rPr>
              <w:t>按国家有关产品“三包”规定执行“三包”，</w:t>
            </w:r>
            <w:r>
              <w:rPr>
                <w:rFonts w:hint="eastAsia"/>
                <w:color w:val="auto"/>
                <w:highlight w:val="none"/>
                <w:lang w:val="en-US" w:eastAsia="zh-CN"/>
              </w:rPr>
              <w:t>除</w:t>
            </w:r>
            <w:r>
              <w:rPr>
                <w:rFonts w:hint="eastAsia"/>
                <w:color w:val="auto"/>
                <w:highlight w:val="none"/>
              </w:rPr>
              <w:t>质保期特别注明外。质保期内负责上门服务、维修、更换配件，不得收取任何费用。保修期内，出现维修超过三次，未修好，需要第四次维修的，可要求换新机。</w:t>
            </w:r>
          </w:p>
          <w:p>
            <w:pPr>
              <w:spacing w:line="360" w:lineRule="auto"/>
              <w:rPr>
                <w:rFonts w:hint="eastAsia"/>
                <w:color w:val="auto"/>
                <w:highlight w:val="none"/>
              </w:rPr>
            </w:pPr>
            <w:r>
              <w:rPr>
                <w:rFonts w:hint="eastAsia"/>
                <w:color w:val="auto"/>
                <w:highlight w:val="none"/>
              </w:rPr>
              <w:t xml:space="preserve">2.售后服务费用包含在报价中，售后服务内容如下： </w:t>
            </w:r>
          </w:p>
          <w:p>
            <w:pPr>
              <w:spacing w:line="360" w:lineRule="auto"/>
              <w:rPr>
                <w:rFonts w:hint="eastAsia"/>
                <w:color w:val="auto"/>
                <w:highlight w:val="none"/>
              </w:rPr>
            </w:pPr>
            <w:r>
              <w:rPr>
                <w:rFonts w:hint="eastAsia"/>
                <w:color w:val="auto"/>
                <w:highlight w:val="none"/>
              </w:rPr>
              <w:t>（1）负责</w:t>
            </w:r>
            <w:r>
              <w:rPr>
                <w:rFonts w:hint="eastAsia"/>
                <w:color w:val="auto"/>
                <w:highlight w:val="none"/>
                <w:lang w:val="en-US" w:eastAsia="zh-CN"/>
              </w:rPr>
              <w:t>免费</w:t>
            </w:r>
            <w:r>
              <w:rPr>
                <w:rFonts w:hint="eastAsia"/>
                <w:color w:val="auto"/>
                <w:highlight w:val="none"/>
              </w:rPr>
              <w:t>送货上门，安装调试，培训操作人员。</w:t>
            </w:r>
          </w:p>
          <w:p>
            <w:pPr>
              <w:spacing w:line="360" w:lineRule="auto"/>
              <w:rPr>
                <w:rFonts w:hint="eastAsia"/>
                <w:color w:val="auto"/>
                <w:highlight w:val="none"/>
              </w:rPr>
            </w:pPr>
            <w:r>
              <w:rPr>
                <w:rFonts w:hint="eastAsia"/>
                <w:color w:val="auto"/>
                <w:highlight w:val="none"/>
              </w:rPr>
              <w:t>（2）不能正常使用的必须提供备用</w:t>
            </w:r>
            <w:r>
              <w:rPr>
                <w:rFonts w:hint="eastAsia"/>
                <w:color w:val="auto"/>
                <w:highlight w:val="none"/>
                <w:lang w:eastAsia="zh-CN"/>
              </w:rPr>
              <w:t>货物</w:t>
            </w:r>
            <w:r>
              <w:rPr>
                <w:rFonts w:hint="eastAsia"/>
                <w:color w:val="auto"/>
                <w:highlight w:val="none"/>
              </w:rPr>
              <w:t>。</w:t>
            </w:r>
          </w:p>
          <w:p>
            <w:pPr>
              <w:spacing w:line="360" w:lineRule="auto"/>
              <w:rPr>
                <w:rFonts w:hint="eastAsia"/>
                <w:color w:val="auto"/>
                <w:highlight w:val="none"/>
              </w:rPr>
            </w:pPr>
            <w:r>
              <w:rPr>
                <w:rFonts w:hint="eastAsia"/>
                <w:color w:val="auto"/>
                <w:highlight w:val="none"/>
              </w:rPr>
              <w:t>（3）定期回访以及对</w:t>
            </w:r>
            <w:r>
              <w:rPr>
                <w:rFonts w:hint="eastAsia"/>
                <w:color w:val="auto"/>
                <w:highlight w:val="none"/>
                <w:lang w:eastAsia="zh-CN"/>
              </w:rPr>
              <w:t>货物</w:t>
            </w:r>
            <w:r>
              <w:rPr>
                <w:rFonts w:hint="eastAsia"/>
                <w:color w:val="auto"/>
                <w:highlight w:val="none"/>
              </w:rPr>
              <w:t>维修。</w:t>
            </w:r>
          </w:p>
          <w:p>
            <w:pPr>
              <w:spacing w:line="360" w:lineRule="auto"/>
              <w:rPr>
                <w:rFonts w:hint="eastAsia"/>
                <w:color w:val="auto"/>
                <w:highlight w:val="none"/>
              </w:rPr>
            </w:pPr>
            <w:r>
              <w:rPr>
                <w:rFonts w:hint="eastAsia"/>
                <w:color w:val="auto"/>
                <w:highlight w:val="none"/>
              </w:rPr>
              <w:t>（4）其余按厂家承诺。</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中标人应配置专业安装、维修人员进行服务。</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要求中标人对采购人的服务通知，紧急故障处理：</w:t>
            </w:r>
            <w:r>
              <w:rPr>
                <w:rFonts w:hint="eastAsia" w:ascii="宋体" w:hAnsi="宋体" w:eastAsia="宋体" w:cs="宋体"/>
                <w:color w:val="auto"/>
                <w:kern w:val="0"/>
                <w:sz w:val="21"/>
                <w:szCs w:val="21"/>
                <w:highlight w:val="none"/>
                <w:lang w:val="en-US" w:eastAsia="zh-CN" w:bidi="ar"/>
              </w:rPr>
              <w:t>接到客户反馈后</w:t>
            </w:r>
            <w:r>
              <w:rPr>
                <w:rFonts w:hint="eastAsia" w:ascii="Times New Roman" w:hAnsi="Times New Roman" w:eastAsia="宋体" w:cs="Times New Roman"/>
                <w:color w:val="auto"/>
                <w:highlight w:val="none"/>
              </w:rPr>
              <w:t>必须</w:t>
            </w:r>
            <w:r>
              <w:rPr>
                <w:rFonts w:hint="eastAsia" w:ascii="宋体" w:hAnsi="宋体" w:eastAsia="宋体" w:cs="宋体"/>
                <w:color w:val="auto"/>
                <w:kern w:val="0"/>
                <w:sz w:val="21"/>
                <w:szCs w:val="21"/>
                <w:highlight w:val="none"/>
                <w:lang w:val="en-US" w:eastAsia="zh-CN" w:bidi="ar"/>
              </w:rPr>
              <w:t>半小时响应，</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4小时之内赴现场处理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不需要更换备件的条件下应在12小时内解除故障，需要更换备件时应在24小时内解除故障。</w:t>
            </w:r>
          </w:p>
          <w:p>
            <w:pPr>
              <w:spacing w:line="360" w:lineRule="auto"/>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auto"/>
                <w:szCs w:val="21"/>
                <w:highlight w:val="none"/>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质量标准</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auto"/>
                <w:szCs w:val="21"/>
                <w:highlight w:val="none"/>
              </w:rPr>
            </w:pPr>
            <w:r>
              <w:rPr>
                <w:rFonts w:hint="eastAsia" w:ascii="宋体" w:hAnsi="宋体" w:cs="宋体"/>
                <w:color w:val="auto"/>
                <w:kern w:val="0"/>
                <w:sz w:val="21"/>
                <w:szCs w:val="21"/>
                <w:highlight w:val="none"/>
                <w:lang w:bidi="ar"/>
              </w:rPr>
              <w:t>所供货物必须是全新的且按国家或国际有关质量标准制造，且能满足本项目技术指标的货物；零部件、配件及安装材料必须是全新的并符合制造国有关质量安全标准的产品。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auto"/>
                <w:szCs w:val="21"/>
                <w:highlight w:val="none"/>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规范标准</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auto"/>
                <w:szCs w:val="21"/>
                <w:highlight w:val="none"/>
              </w:rPr>
            </w:pPr>
            <w:r>
              <w:rPr>
                <w:rFonts w:hint="eastAsia" w:ascii="宋体" w:hAnsi="宋体" w:cs="宋体"/>
                <w:color w:val="auto"/>
                <w:kern w:val="0"/>
                <w:sz w:val="21"/>
                <w:szCs w:val="21"/>
                <w:highlight w:val="none"/>
                <w:lang w:bidi="ar"/>
              </w:rPr>
              <w:t>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auto"/>
                <w:szCs w:val="21"/>
                <w:highlight w:val="none"/>
              </w:rPr>
            </w:pPr>
            <w:r>
              <w:rPr>
                <w:rFonts w:hint="eastAsia" w:ascii="宋体" w:hAnsi="宋体"/>
                <w:color w:val="auto"/>
                <w:sz w:val="21"/>
                <w:szCs w:val="21"/>
                <w:highlight w:val="none"/>
              </w:rPr>
              <w:t>▲</w:t>
            </w:r>
            <w:r>
              <w:rPr>
                <w:rFonts w:hint="eastAsia" w:ascii="宋体" w:hAnsi="宋体" w:cs="宋体"/>
                <w:color w:val="auto"/>
                <w:kern w:val="0"/>
                <w:sz w:val="21"/>
                <w:szCs w:val="21"/>
                <w:highlight w:val="none"/>
                <w:lang w:bidi="ar"/>
              </w:rPr>
              <w:t>需满足的质量、安全、技术规格、物理特性等</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auto"/>
                <w:szCs w:val="21"/>
                <w:highlight w:val="none"/>
              </w:rPr>
            </w:pPr>
            <w:r>
              <w:rPr>
                <w:rFonts w:hint="eastAsia" w:ascii="宋体" w:hAnsi="宋体" w:cs="宋体"/>
                <w:color w:val="auto"/>
                <w:kern w:val="0"/>
                <w:sz w:val="21"/>
                <w:szCs w:val="21"/>
                <w:highlight w:val="none"/>
                <w:lang w:bidi="ar"/>
              </w:rPr>
              <w:t>见本表“</w:t>
            </w:r>
            <w:r>
              <w:rPr>
                <w:rFonts w:hint="eastAsia" w:ascii="宋体" w:hAnsi="宋体" w:eastAsia="宋体" w:cs="宋体"/>
                <w:color w:val="auto"/>
                <w:sz w:val="21"/>
                <w:szCs w:val="21"/>
                <w:highlight w:val="none"/>
              </w:rPr>
              <w:t>技术参数及性能配置要求</w:t>
            </w:r>
            <w:r>
              <w:rPr>
                <w:rFonts w:hint="eastAsia" w:ascii="宋体" w:hAnsi="宋体" w:cs="宋体"/>
                <w:color w:val="auto"/>
                <w:kern w:val="0"/>
                <w:sz w:val="21"/>
                <w:szCs w:val="21"/>
                <w:highlight w:val="none"/>
                <w:lang w:bidi="ar"/>
              </w:rPr>
              <w:t>”。投标人所投标产品不会发生任何的知识产权或经营权的纠纷。投标人需在投标文件中书面承诺采购方免受第三方提出侵犯其著作权、专利权、商标权或设计权的纠纷，当出现知识产权或者经营权侵权行为时由投标人承担所有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lang w:val="en-US" w:eastAsia="zh-CN"/>
              </w:rPr>
              <w:t>三</w:t>
            </w:r>
            <w:r>
              <w:rPr>
                <w:rFonts w:hint="eastAsia" w:ascii="宋体" w:hAnsi="宋体"/>
                <w:b/>
                <w:color w:val="auto"/>
                <w:szCs w:val="21"/>
                <w:highlight w:val="none"/>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验收过程中所产生的一切费用均由中标人承担。报价时应考虑相关费用。</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1.中标人代表必须参与现场拆封、安装、调试，验货时严格按照本次招标参数进行验货。如供货时出现有货物停产的情况，中标人必须提供具备与原货物技术参数要求相同或高于原货物技术参数要求的替代产品。</w:t>
            </w:r>
          </w:p>
          <w:p>
            <w:pPr>
              <w:tabs>
                <w:tab w:val="left" w:pos="180"/>
                <w:tab w:val="left" w:pos="1620"/>
              </w:tabs>
              <w:spacing w:line="360" w:lineRule="auto"/>
              <w:rPr>
                <w:rFonts w:hint="eastAsia" w:ascii="宋体" w:hAnsi="宋体" w:cs="宋体"/>
                <w:bCs/>
                <w:color w:val="auto"/>
                <w:szCs w:val="21"/>
                <w:highlight w:val="none"/>
              </w:rPr>
            </w:pPr>
            <w:r>
              <w:rPr>
                <w:rFonts w:hint="eastAsia" w:ascii="宋体" w:hAnsi="宋体" w:eastAsia="宋体" w:cs="宋体"/>
                <w:b w:val="0"/>
                <w:bCs/>
                <w:color w:val="auto"/>
                <w:sz w:val="21"/>
                <w:szCs w:val="21"/>
                <w:highlight w:val="none"/>
                <w:lang w:eastAsia="zh-CN"/>
              </w:rPr>
              <w:t>2.中标人应当保证其所提供的产品为符合国家知识产权法律法规要求的正规正版产品，为确保投标人所提供产品参数的真实性，中标产品验收时进行现场测试，满足要求后方能进行验收。若中标人所提供的产品为不符合国家知识产权法律法规要求的非正规正版产品或属于假冒伪劣商品的，其合同无效，还将按照国家相关法律法规的规定提请有关监管部门对其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auto"/>
                <w:szCs w:val="21"/>
                <w:highlight w:val="none"/>
              </w:rPr>
            </w:pPr>
            <w:r>
              <w:rPr>
                <w:rFonts w:hint="eastAsia" w:ascii="宋体" w:hAnsi="宋体"/>
                <w:b/>
                <w:color w:val="auto"/>
                <w:szCs w:val="21"/>
                <w:highlight w:val="none"/>
              </w:rPr>
              <w:t>本项目货物</w:t>
            </w:r>
            <w:r>
              <w:rPr>
                <w:rFonts w:hint="eastAsia" w:ascii="宋体" w:hAnsi="宋体"/>
                <w:b/>
                <w:color w:val="auto"/>
                <w:szCs w:val="21"/>
                <w:highlight w:val="none"/>
                <w:lang w:val="en-US" w:eastAsia="zh-CN"/>
              </w:rPr>
              <w:t>不</w:t>
            </w:r>
            <w:r>
              <w:rPr>
                <w:rFonts w:hint="eastAsia" w:ascii="宋体" w:hAnsi="宋体"/>
                <w:b/>
                <w:color w:val="auto"/>
                <w:szCs w:val="21"/>
                <w:highlight w:val="none"/>
              </w:rPr>
              <w:t>接受进口产品（即通过中国海关报关验放进入中国境内且产自关境外的产品）参与投标。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jc w:val="lef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1．投标人可于投标文件中自行考虑是否提供项目实施方案（可包含但不限于：对本项目系统总体要求的理解，包括：功能说明、性能指标及设备选型说明（质量、性能、价格、外观、体积等方面进行比 较和选择的理由及过程）、设备对接方案、对项目需求分析、针对本项目配备的实施团队、组织管理措施、详细的交货保证措施、安全措施、项目组织安排、建议的安装、调试、验收方法或方案等）； </w:t>
            </w:r>
          </w:p>
          <w:p>
            <w:pPr>
              <w:tabs>
                <w:tab w:val="left" w:pos="180"/>
                <w:tab w:val="left" w:pos="1620"/>
              </w:tabs>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2．投标人可于投标文件中自行考虑是否提供项目应急处理预案（可包含但不限于：突发情况的人员安 排、保障解决问题、解决方案、应急组织机构、提供替代品或配件方案、有具体的解决办法和措施保障，规范及方案、进度及目标、预期达到的效果、管理、组织协调、实施细则等）； </w:t>
            </w:r>
          </w:p>
          <w:p>
            <w:pPr>
              <w:tabs>
                <w:tab w:val="left" w:pos="180"/>
                <w:tab w:val="left" w:pos="1620"/>
              </w:tabs>
              <w:spacing w:line="360" w:lineRule="auto"/>
              <w:rPr>
                <w:rFonts w:hint="eastAsia" w:ascii="宋体" w:hAnsi="宋体" w:eastAsia="宋体" w:cs="宋体"/>
                <w:b/>
                <w:bCs w:val="0"/>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 xml:space="preserve">3．投标人投标时投标文件中必须列出其所投产品的品牌、型号、生产厂家、产地及投标产品的详细技术参数、技术性能。 </w:t>
            </w:r>
          </w:p>
        </w:tc>
      </w:tr>
    </w:tbl>
    <w:p>
      <w:pPr>
        <w:spacing w:line="428" w:lineRule="exact"/>
        <w:ind w:left="119"/>
        <w:rPr>
          <w:rFonts w:hint="eastAsia" w:ascii="微软雅黑" w:hAnsi="微软雅黑" w:eastAsia="微软雅黑" w:cs="微软雅黑"/>
          <w:color w:val="auto"/>
          <w:sz w:val="32"/>
          <w:szCs w:val="32"/>
          <w:highlight w:val="none"/>
        </w:rPr>
      </w:pPr>
    </w:p>
    <w:p>
      <w:pP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br w:type="page"/>
      </w:r>
    </w:p>
    <w:p>
      <w:pPr>
        <w:spacing w:line="428" w:lineRule="exact"/>
        <w:ind w:left="119"/>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预算清单</w:t>
      </w:r>
    </w:p>
    <w:tbl>
      <w:tblPr>
        <w:tblStyle w:val="17"/>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669"/>
        <w:gridCol w:w="1080"/>
        <w:gridCol w:w="1095"/>
        <w:gridCol w:w="1410"/>
        <w:gridCol w:w="108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设备名称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预算金额（万元）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分标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预算金额</w:t>
            </w:r>
          </w:p>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合计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内镜清洗消毒工作站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氩气高频手术系统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29.43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全自动清洗消毒器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医用干燥柜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医用真空干燥柜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硬式内镜清洗工作站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牙科手机清洗机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绝缘检测仪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医用除锈仪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煮沸消毒器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108.3</w:t>
            </w:r>
          </w:p>
        </w:tc>
      </w:tr>
    </w:tbl>
    <w:p>
      <w:pPr>
        <w:spacing w:line="428" w:lineRule="exact"/>
        <w:ind w:left="119"/>
        <w:rPr>
          <w:rFonts w:hint="default" w:ascii="微软雅黑" w:hAnsi="微软雅黑" w:eastAsia="微软雅黑" w:cs="微软雅黑"/>
          <w:color w:val="auto"/>
          <w:sz w:val="32"/>
          <w:szCs w:val="32"/>
          <w:highlight w:val="none"/>
          <w:lang w:val="en-US" w:eastAsia="zh-CN"/>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spacing w:line="428" w:lineRule="exact"/>
        <w:ind w:left="119"/>
        <w:rPr>
          <w:rFonts w:hint="eastAsia" w:ascii="微软雅黑" w:hAnsi="微软雅黑" w:eastAsia="微软雅黑" w:cs="微软雅黑"/>
          <w:color w:val="auto"/>
          <w:sz w:val="32"/>
          <w:szCs w:val="32"/>
          <w:highlight w:val="none"/>
        </w:rPr>
      </w:pPr>
    </w:p>
    <w:p>
      <w:pPr>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pPr>
        <w:spacing w:line="428" w:lineRule="exact"/>
        <w:ind w:left="119"/>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17"/>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《淋浴器用水效率限定值及用水效率等级》（GB28378）</w:t>
            </w:r>
          </w:p>
        </w:tc>
      </w:tr>
    </w:tbl>
    <w:p>
      <w:pPr>
        <w:pStyle w:val="10"/>
        <w:spacing w:line="360" w:lineRule="auto"/>
        <w:rPr>
          <w:rFonts w:hint="eastAsia"/>
          <w:color w:val="auto"/>
          <w:spacing w:val="-3"/>
          <w:szCs w:val="21"/>
          <w:highlight w:val="none"/>
        </w:rPr>
      </w:pPr>
    </w:p>
    <w:p>
      <w:pPr>
        <w:pStyle w:val="10"/>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0"/>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pStyle w:val="12"/>
        <w:jc w:val="left"/>
        <w:rPr>
          <w:rFonts w:ascii="Arial Unicode MS" w:hAnsi="Arial Unicode MS" w:eastAsia="Arial Unicode MS" w:cs="Arial Unicode MS"/>
          <w:color w:val="auto"/>
          <w:sz w:val="32"/>
          <w:szCs w:val="32"/>
          <w:highlight w:val="none"/>
        </w:rPr>
      </w:pPr>
      <w:r>
        <w:rPr>
          <w:rFonts w:hint="eastAsia" w:hAnsi="宋体"/>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7"/>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exact"/>
        <w:ind w:firstLine="525" w:firstLineChars="250"/>
        <w:rPr>
          <w:rFonts w:hint="eastAsia" w:ascii="宋体" w:hAnsi="宋体" w:cs="宋体"/>
          <w:color w:val="auto"/>
          <w:szCs w:val="21"/>
          <w:highlight w:val="none"/>
        </w:rPr>
      </w:pPr>
    </w:p>
    <w:p>
      <w:pPr>
        <w:pStyle w:val="12"/>
        <w:spacing w:line="360" w:lineRule="exact"/>
        <w:ind w:firstLine="211" w:firstLineChars="100"/>
        <w:jc w:val="both"/>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  </w:t>
      </w:r>
    </w:p>
    <w:p>
      <w:pPr>
        <w:spacing w:line="428" w:lineRule="exact"/>
        <w:rPr>
          <w:rFonts w:ascii="宋体" w:hAnsi="宋体" w:cs="宋体"/>
          <w:color w:val="auto"/>
          <w:sz w:val="20"/>
          <w:szCs w:val="20"/>
          <w:highlight w:val="none"/>
        </w:rPr>
      </w:pPr>
      <w:r>
        <w:rPr>
          <w:color w:val="auto"/>
          <w:highlight w:val="none"/>
        </w:rPr>
        <w:br w:type="page"/>
      </w:r>
    </w:p>
    <w:p>
      <w:pPr>
        <w:pStyle w:val="2"/>
        <w:jc w:val="center"/>
        <w:rPr>
          <w:rFonts w:hint="eastAsia"/>
          <w:color w:val="auto"/>
          <w:highlight w:val="none"/>
        </w:rPr>
      </w:pPr>
      <w:bookmarkStart w:id="64" w:name="_Toc74320802"/>
      <w:r>
        <w:rPr>
          <w:rFonts w:hint="eastAsia"/>
          <w:color w:val="auto"/>
          <w:highlight w:val="none"/>
        </w:rPr>
        <w:t>第三章  投标人须知</w:t>
      </w:r>
      <w:bookmarkEnd w:id="64"/>
    </w:p>
    <w:p>
      <w:pPr>
        <w:jc w:val="center"/>
        <w:rPr>
          <w:rFonts w:hint="eastAsia"/>
          <w:color w:val="auto"/>
          <w:sz w:val="36"/>
          <w:szCs w:val="36"/>
          <w:highlight w:val="none"/>
        </w:rPr>
      </w:pPr>
      <w:bookmarkStart w:id="65" w:name="_Toc254970526"/>
      <w:bookmarkStart w:id="66" w:name="_Toc254970667"/>
      <w:r>
        <w:rPr>
          <w:rFonts w:hint="eastAsia"/>
          <w:color w:val="auto"/>
          <w:sz w:val="36"/>
          <w:szCs w:val="36"/>
          <w:highlight w:val="none"/>
        </w:rPr>
        <w:t>投标人须知前附表</w:t>
      </w:r>
      <w:bookmarkEnd w:id="65"/>
      <w:bookmarkEnd w:id="66"/>
    </w:p>
    <w:tbl>
      <w:tblPr>
        <w:tblStyle w:val="1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67" w:name="_8.1"/>
            <w:bookmarkEnd w:id="67"/>
            <w:bookmarkStart w:id="68" w:name="_5"/>
            <w:bookmarkEnd w:id="68"/>
            <w:bookmarkStart w:id="69" w:name="_9.2"/>
            <w:bookmarkEnd w:id="69"/>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0" w:name="_13.1"/>
            <w:bookmarkEnd w:id="70"/>
            <w:r>
              <w:rPr>
                <w:rFonts w:hint="eastAsia" w:ascii="宋体" w:hAnsi="宋体"/>
                <w:color w:val="auto"/>
                <w:szCs w:val="21"/>
                <w:highlight w:val="none"/>
              </w:rPr>
              <w:t>13.</w:t>
            </w:r>
            <w:bookmarkStart w:id="71" w:name="_Hlt19632543"/>
            <w:r>
              <w:rPr>
                <w:rFonts w:hint="eastAsia" w:ascii="宋体" w:hAnsi="宋体"/>
                <w:color w:val="auto"/>
                <w:szCs w:val="21"/>
                <w:highlight w:val="none"/>
              </w:rPr>
              <w:t>1</w:t>
            </w:r>
            <w:bookmarkEnd w:id="71"/>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numPr>
                <w:ilvl w:val="0"/>
                <w:numId w:val="5"/>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（必须提供，否则按无效投标处理）</w:t>
            </w:r>
          </w:p>
          <w:p>
            <w:pPr>
              <w:numPr>
                <w:ilvl w:val="0"/>
                <w:numId w:val="5"/>
              </w:numPr>
              <w:tabs>
                <w:tab w:val="left" w:pos="459"/>
              </w:tabs>
              <w:snapToGrid w:val="0"/>
              <w:spacing w:line="360" w:lineRule="auto"/>
              <w:ind w:left="459" w:hanging="39"/>
              <w:jc w:val="left"/>
              <w:rPr>
                <w:rFonts w:hint="eastAsia" w:ascii="宋体" w:hAnsi="宋体"/>
                <w:color w:val="auto"/>
                <w:szCs w:val="21"/>
                <w:highlight w:val="none"/>
              </w:rPr>
            </w:pPr>
            <w:bookmarkStart w:id="72" w:name="_Hlk71299233"/>
            <w:r>
              <w:rPr>
                <w:rFonts w:hint="eastAsia" w:ascii="宋体" w:hAnsi="宋体"/>
                <w:color w:val="auto"/>
                <w:szCs w:val="21"/>
                <w:highlight w:val="none"/>
              </w:rPr>
              <w:t>开标一览表</w:t>
            </w:r>
            <w:bookmarkEnd w:id="72"/>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5"/>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snapToGrid w:val="0"/>
              <w:spacing w:line="360" w:lineRule="auto"/>
              <w:ind w:firstLine="420"/>
              <w:jc w:val="left"/>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w:t>
            </w:r>
            <w:r>
              <w:rPr>
                <w:rFonts w:hint="eastAsia" w:ascii="宋体" w:hAnsi="宋体"/>
                <w:b/>
                <w:bCs/>
                <w:color w:val="auto"/>
                <w:szCs w:val="21"/>
                <w:highlight w:val="none"/>
                <w:lang w:val="en-US" w:eastAsia="zh-CN"/>
              </w:rPr>
              <w:t>电子</w:t>
            </w:r>
            <w:r>
              <w:rPr>
                <w:rFonts w:hint="eastAsia" w:ascii="宋体" w:hAnsi="宋体"/>
                <w:b/>
                <w:bCs/>
                <w:color w:val="auto"/>
                <w:szCs w:val="21"/>
                <w:highlight w:val="none"/>
              </w:rPr>
              <w:t>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3" w:name="_13.2"/>
            <w:bookmarkEnd w:id="73"/>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numPr>
                <w:ilvl w:val="0"/>
                <w:numId w:val="6"/>
              </w:numPr>
              <w:snapToGrid w:val="0"/>
              <w:spacing w:line="360" w:lineRule="auto"/>
              <w:jc w:val="left"/>
              <w:rPr>
                <w:rFonts w:hint="eastAsia" w:ascii="宋体" w:hAnsi="宋体"/>
                <w:b/>
                <w:color w:val="auto"/>
                <w:szCs w:val="21"/>
                <w:highlight w:val="none"/>
              </w:rPr>
            </w:pPr>
            <w:r>
              <w:rPr>
                <w:rFonts w:hint="eastAsia" w:ascii="宋体" w:hAnsi="宋体" w:cs="宋体"/>
                <w:color w:val="auto"/>
                <w:szCs w:val="21"/>
                <w:highlight w:val="none"/>
              </w:rPr>
              <w:t>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rPr>
              <w:t>月至投标截止时间内连续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w:t>
            </w:r>
            <w:r>
              <w:rPr>
                <w:color w:val="auto"/>
                <w:highlight w:val="none"/>
              </w:rPr>
              <w:t>成立</w:t>
            </w:r>
            <w:r>
              <w:rPr>
                <w:rFonts w:hint="eastAsia"/>
                <w:color w:val="auto"/>
                <w:highlight w:val="none"/>
              </w:rPr>
              <w:t>之日</w:t>
            </w:r>
            <w:r>
              <w:rPr>
                <w:rFonts w:hint="eastAsia" w:ascii="宋体" w:hAnsi="宋体" w:cs="宋体"/>
                <w:color w:val="auto"/>
                <w:szCs w:val="21"/>
                <w:highlight w:val="none"/>
              </w:rPr>
              <w:t>起到投标文件提交截止时间止不足要求月数的，只需提供从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rPr>
              <w:t>月至投标截止时间内连续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到投标文件提交截止时间止不足要求月数的只需提供从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投标人</w:t>
            </w:r>
            <w:r>
              <w:rPr>
                <w:rFonts w:hint="eastAsia"/>
                <w:color w:val="auto"/>
                <w:szCs w:val="21"/>
                <w:highlight w:val="none"/>
              </w:rPr>
              <w:t>财务状况报告（</w:t>
            </w:r>
            <w:r>
              <w:rPr>
                <w:rFonts w:hint="eastAsia"/>
                <w:color w:val="auto"/>
                <w:szCs w:val="21"/>
                <w:highlight w:val="none"/>
                <w:u w:val="single"/>
                <w:lang w:val="en-US" w:eastAsia="zh-CN"/>
              </w:rPr>
              <w:t>2023</w:t>
            </w:r>
            <w:r>
              <w:rPr>
                <w:rFonts w:hint="eastAsia"/>
                <w:color w:val="auto"/>
                <w:szCs w:val="21"/>
                <w:highlight w:val="none"/>
                <w:u w:val="single"/>
              </w:rPr>
              <w:t xml:space="preserve"> </w:t>
            </w:r>
            <w:r>
              <w:rPr>
                <w:rFonts w:hint="eastAsia"/>
                <w:color w:val="auto"/>
                <w:szCs w:val="21"/>
                <w:highlight w:val="none"/>
              </w:rPr>
              <w:t>年度财务</w:t>
            </w:r>
            <w:r>
              <w:rPr>
                <w:rFonts w:hint="eastAsia"/>
                <w:color w:val="auto"/>
                <w:szCs w:val="21"/>
                <w:highlight w:val="none"/>
                <w:lang w:val="en-US" w:eastAsia="zh-CN"/>
              </w:rPr>
              <w:t>报表</w:t>
            </w:r>
            <w:r>
              <w:rPr>
                <w:rFonts w:hint="eastAsia"/>
                <w:color w:val="auto"/>
                <w:szCs w:val="21"/>
                <w:highlight w:val="none"/>
              </w:rPr>
              <w:t>复印件或者银行出具的资信证明</w:t>
            </w:r>
            <w:r>
              <w:rPr>
                <w:rFonts w:hint="eastAsia"/>
                <w:color w:val="auto"/>
                <w:szCs w:val="21"/>
                <w:highlight w:val="none"/>
                <w:lang w:eastAsia="zh-CN"/>
              </w:rPr>
              <w:t>；</w:t>
            </w:r>
            <w:r>
              <w:rPr>
                <w:rFonts w:hint="eastAsia"/>
                <w:color w:val="auto"/>
                <w:szCs w:val="21"/>
                <w:highlight w:val="none"/>
                <w:lang w:val="en-US" w:eastAsia="zh-CN"/>
              </w:rPr>
              <w:t>投标人属于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lang w:val="en-US" w:eastAsia="zh-CN"/>
              </w:rPr>
              <w:t>法人或其他组织</w:t>
            </w:r>
            <w:r>
              <w:rPr>
                <w:color w:val="auto"/>
                <w:highlight w:val="none"/>
              </w:rPr>
              <w:t>，需提供成立</w:t>
            </w:r>
            <w:r>
              <w:rPr>
                <w:rFonts w:hint="eastAsia"/>
                <w:color w:val="auto"/>
                <w:highlight w:val="none"/>
              </w:rPr>
              <w:t>之日起至投标截止时间前</w:t>
            </w:r>
            <w:r>
              <w:rPr>
                <w:color w:val="auto"/>
                <w:highlight w:val="none"/>
              </w:rPr>
              <w:t>的月报表</w:t>
            </w:r>
            <w:r>
              <w:rPr>
                <w:rFonts w:hint="eastAsia"/>
                <w:color w:val="auto"/>
                <w:szCs w:val="21"/>
                <w:highlight w:val="none"/>
              </w:rPr>
              <w:t>或银行出具的资信证明</w:t>
            </w:r>
            <w:r>
              <w:rPr>
                <w:rFonts w:hint="eastAsia"/>
                <w:color w:val="auto"/>
                <w:szCs w:val="21"/>
                <w:highlight w:val="none"/>
                <w:lang w:eastAsia="zh-CN"/>
              </w:rPr>
              <w:t>；</w:t>
            </w:r>
            <w:r>
              <w:rPr>
                <w:rFonts w:hint="eastAsia"/>
                <w:color w:val="auto"/>
                <w:szCs w:val="21"/>
                <w:highlight w:val="none"/>
                <w:lang w:val="en-US" w:eastAsia="zh-CN"/>
              </w:rPr>
              <w:t>资信证明</w:t>
            </w:r>
            <w:r>
              <w:rPr>
                <w:rFonts w:hint="eastAsia"/>
                <w:color w:val="auto"/>
                <w:szCs w:val="21"/>
                <w:highlight w:val="none"/>
              </w:rPr>
              <w:t>应在有效期内，未注明有效期的，</w:t>
            </w:r>
            <w:r>
              <w:rPr>
                <w:rFonts w:hint="eastAsia"/>
                <w:color w:val="auto"/>
                <w:szCs w:val="21"/>
                <w:highlight w:val="none"/>
                <w:lang w:val="en-US" w:eastAsia="zh-CN"/>
              </w:rPr>
              <w:t>银行</w:t>
            </w:r>
            <w:r>
              <w:rPr>
                <w:rFonts w:hint="eastAsia"/>
                <w:color w:val="auto"/>
                <w:szCs w:val="21"/>
                <w:highlight w:val="none"/>
              </w:rPr>
              <w:t>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lang w:val="en-US" w:eastAsia="zh-CN"/>
              </w:rPr>
              <w:t>除自然人外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投标人直接控股、管理关系信息表（格式后附）；（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投标人特定资质；</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numPr>
                <w:ilvl w:val="0"/>
                <w:numId w:val="6"/>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w:t>
            </w:r>
          </w:p>
          <w:p>
            <w:pPr>
              <w:snapToGrid w:val="0"/>
              <w:spacing w:line="360" w:lineRule="auto"/>
              <w:ind w:left="413"/>
              <w:jc w:val="left"/>
              <w:rPr>
                <w:rFonts w:hint="eastAsia" w:ascii="宋体" w:hAnsi="宋体"/>
                <w:color w:val="auto"/>
                <w:szCs w:val="21"/>
                <w:highlight w:val="none"/>
              </w:rPr>
            </w:pPr>
          </w:p>
          <w:p>
            <w:pPr>
              <w:snapToGrid w:val="0"/>
              <w:spacing w:line="360" w:lineRule="auto"/>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，否则按无效投标处理。</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w:t>
            </w:r>
            <w:r>
              <w:rPr>
                <w:rFonts w:hint="eastAsia" w:ascii="宋体" w:hAnsi="宋体"/>
                <w:b/>
                <w:bCs/>
                <w:color w:val="auto"/>
                <w:szCs w:val="21"/>
                <w:highlight w:val="none"/>
                <w:lang w:val="en-US" w:eastAsia="zh-CN"/>
              </w:rPr>
              <w:t>电子</w:t>
            </w:r>
            <w:r>
              <w:rPr>
                <w:rFonts w:hint="eastAsia" w:ascii="宋体" w:hAnsi="宋体"/>
                <w:b/>
                <w:bCs/>
                <w:color w:val="auto"/>
                <w:szCs w:val="21"/>
                <w:highlight w:val="none"/>
              </w:rPr>
              <w:t>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4.</w:t>
            </w:r>
            <w:r>
              <w:rPr>
                <w:rFonts w:hint="eastAsia" w:ascii="宋体" w:hAnsi="宋体"/>
                <w:b/>
                <w:bCs/>
                <w:color w:val="auto"/>
                <w:szCs w:val="21"/>
                <w:highlight w:val="none"/>
                <w:lang w:val="en-US" w:eastAsia="zh-CN"/>
              </w:rPr>
              <w:t>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4" w:name="_13.3"/>
            <w:bookmarkEnd w:id="74"/>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.投标人情况介绍（格式自拟）；</w:t>
            </w:r>
          </w:p>
          <w:p>
            <w:pPr>
              <w:snapToGrid w:val="0"/>
              <w:spacing w:line="360" w:lineRule="auto"/>
              <w:ind w:left="413"/>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.除招标文件规定必须提供以外，投标人认为需要提供的其他证明材料（格式自拟）</w:t>
            </w:r>
            <w:r>
              <w:rPr>
                <w:rFonts w:hint="eastAsia" w:ascii="宋体" w:hAnsi="宋体"/>
                <w:color w:val="auto"/>
                <w:szCs w:val="21"/>
                <w:highlight w:val="none"/>
                <w:lang w:eastAsia="zh-CN"/>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75" w:name="_13.4"/>
            <w:bookmarkEnd w:id="75"/>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3.项目实施方案（格式自拟）；（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Fonts w:hint="eastAsia" w:ascii="宋体" w:hAnsi="宋体" w:eastAsia="宋体"/>
                <w:color w:val="auto"/>
                <w:szCs w:val="21"/>
                <w:highlight w:val="none"/>
                <w:lang w:eastAsia="zh-CN"/>
              </w:rPr>
            </w:pPr>
            <w:r>
              <w:rPr>
                <w:rFonts w:ascii="宋体" w:hAnsi="宋体"/>
                <w:color w:val="auto"/>
                <w:szCs w:val="21"/>
                <w:highlight w:val="none"/>
              </w:rPr>
              <w:t>5</w:t>
            </w:r>
            <w:r>
              <w:rPr>
                <w:rFonts w:hint="eastAsia" w:ascii="宋体" w:hAnsi="宋体"/>
                <w:color w:val="auto"/>
                <w:szCs w:val="21"/>
                <w:highlight w:val="none"/>
              </w:rPr>
              <w:t>.产品出厂标准、质量检测报告（</w:t>
            </w:r>
            <w:r>
              <w:rPr>
                <w:color w:val="auto"/>
                <w:highlight w:val="none"/>
              </w:rPr>
              <w:t>国家认可的有资质的第三方检测机构出具的检测报告复印件</w:t>
            </w:r>
            <w:r>
              <w:rPr>
                <w:rFonts w:hint="eastAsia" w:ascii="宋体" w:hAnsi="宋体"/>
                <w:color w:val="auto"/>
                <w:szCs w:val="21"/>
                <w:highlight w:val="none"/>
                <w:lang w:eastAsia="zh-CN"/>
              </w:rPr>
              <w:t>）等；</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.投标人对本项目的合理化建议和改进措施（格式自拟）；</w:t>
            </w:r>
          </w:p>
          <w:p>
            <w:pPr>
              <w:snapToGrid w:val="0"/>
              <w:spacing w:line="360" w:lineRule="auto"/>
              <w:ind w:left="420"/>
              <w:jc w:val="left"/>
              <w:rPr>
                <w:rFonts w:hint="eastAsia" w:ascii="宋体" w:hAnsi="宋体"/>
                <w:bCs/>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.除招标文件规定必须提供以外，投标人需要说明的其他文件和说明（格式自拟）。</w:t>
            </w: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w:t>
            </w:r>
            <w:r>
              <w:rPr>
                <w:rFonts w:hint="eastAsia" w:ascii="宋体" w:hAnsi="宋体"/>
                <w:b/>
                <w:bCs/>
                <w:color w:val="auto"/>
                <w:szCs w:val="21"/>
                <w:highlight w:val="none"/>
                <w:lang w:eastAsia="zh-CN"/>
              </w:rPr>
              <w:t>投标人电子公章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6" w:name="_13.5"/>
            <w:bookmarkEnd w:id="76"/>
            <w:r>
              <w:rPr>
                <w:rFonts w:hint="eastAsia" w:ascii="宋体" w:hAnsi="宋体"/>
                <w:color w:val="auto"/>
                <w:szCs w:val="21"/>
                <w:highlight w:val="none"/>
              </w:rPr>
              <w:t>13.</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本项目不需提供</w:t>
            </w:r>
            <w:r>
              <w:rPr>
                <w:rFonts w:hint="eastAsia" w:ascii="宋体" w:hAnsi="宋体" w:cs="Courier New"/>
                <w:color w:val="auto"/>
                <w:szCs w:val="21"/>
                <w:highlight w:val="none"/>
              </w:rPr>
              <w:t>投标文件电子版</w:t>
            </w:r>
            <w:r>
              <w:rPr>
                <w:rFonts w:hint="eastAsia" w:ascii="宋体" w:hAnsi="宋体"/>
                <w:color w:val="auto"/>
                <w:szCs w:val="21"/>
                <w:highlight w:val="none"/>
              </w:rPr>
              <w:t>。</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□本项目须提供</w:t>
            </w:r>
            <w:r>
              <w:rPr>
                <w:rFonts w:hint="eastAsia" w:ascii="宋体" w:hAnsi="宋体" w:cs="Courier New"/>
                <w:color w:val="auto"/>
                <w:szCs w:val="21"/>
                <w:highlight w:val="none"/>
              </w:rPr>
              <w:t>投标文件电子版</w:t>
            </w:r>
            <w:r>
              <w:rPr>
                <w:rFonts w:hint="eastAsia" w:ascii="宋体" w:hAnsi="宋体"/>
                <w:color w:val="auto"/>
                <w:szCs w:val="21"/>
                <w:highlight w:val="none"/>
              </w:rPr>
              <w:t>，具体规定如下：</w:t>
            </w:r>
          </w:p>
          <w:p>
            <w:pPr>
              <w:snapToGrid w:val="0"/>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投标人在递交投标文件时，同时递交投标文件电子版。</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1.投标文件电子版内容：与纸质投标文件全部内容一致。</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2.投标文件电子版形式：可编辑的word文档格式1份</w:t>
            </w:r>
            <w:r>
              <w:rPr>
                <w:rFonts w:hint="eastAsia" w:ascii="宋体" w:hAnsi="宋体"/>
                <w:color w:val="auto"/>
                <w:szCs w:val="21"/>
                <w:highlight w:val="none"/>
              </w:rPr>
              <w:t>和已签字盖章的投标文件正本的扫描件（PDF格式）</w:t>
            </w:r>
            <w:r>
              <w:rPr>
                <w:rFonts w:hint="eastAsia" w:ascii="宋体" w:hAnsi="宋体" w:cs="Courier New"/>
                <w:color w:val="auto"/>
                <w:szCs w:val="21"/>
                <w:highlight w:val="none"/>
              </w:rPr>
              <w:t>1份。</w:t>
            </w:r>
          </w:p>
          <w:p>
            <w:pPr>
              <w:snapToGrid w:val="0"/>
              <w:spacing w:line="360" w:lineRule="auto"/>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7" w:name="_16.2"/>
            <w:bookmarkEnd w:id="77"/>
            <w:r>
              <w:rPr>
                <w:rFonts w:hint="eastAsia" w:ascii="宋体" w:hAnsi="宋体"/>
                <w:color w:val="auto"/>
                <w:szCs w:val="21"/>
                <w:highlight w:val="none"/>
              </w:rPr>
              <w:t>16</w:t>
            </w:r>
            <w:bookmarkStart w:id="78" w:name="_Hlt19194067"/>
            <w:bookmarkStart w:id="79" w:name="_Hlt19194066"/>
            <w:bookmarkStart w:id="80" w:name="_Hlt19693758"/>
            <w:bookmarkStart w:id="81" w:name="_Hlt19693759"/>
            <w:r>
              <w:rPr>
                <w:rFonts w:hint="eastAsia" w:ascii="宋体" w:hAnsi="宋体"/>
                <w:color w:val="auto"/>
                <w:szCs w:val="21"/>
                <w:highlight w:val="none"/>
              </w:rPr>
              <w:t>.</w:t>
            </w:r>
            <w:bookmarkEnd w:id="78"/>
            <w:bookmarkEnd w:id="79"/>
            <w:bookmarkEnd w:id="80"/>
            <w:bookmarkEnd w:id="81"/>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2" w:name="_17.1"/>
            <w:bookmarkEnd w:id="82"/>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投标有效期： </w:t>
            </w:r>
            <w:r>
              <w:rPr>
                <w:rFonts w:hint="eastAsia" w:ascii="宋体" w:hAnsi="宋体"/>
                <w:color w:val="auto"/>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3" w:name="_18"/>
            <w:bookmarkEnd w:id="83"/>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Cs w:val="21"/>
                <w:highlight w:val="none"/>
                <w:lang w:eastAsia="zh-CN"/>
              </w:rPr>
            </w:pPr>
            <w:bookmarkStart w:id="84" w:name="_19.2"/>
            <w:bookmarkEnd w:id="84"/>
            <w:r>
              <w:rPr>
                <w:rFonts w:hint="eastAsia" w:ascii="宋体" w:hAnsi="宋体"/>
                <w:color w:val="auto"/>
                <w:szCs w:val="21"/>
                <w:highlight w:val="none"/>
              </w:rPr>
              <w:t>19.</w:t>
            </w:r>
            <w:r>
              <w:rPr>
                <w:rFonts w:hint="eastAsia" w:ascii="宋体" w:hAnsi="宋体"/>
                <w:color w:val="auto"/>
                <w:szCs w:val="21"/>
                <w:highlight w:val="none"/>
                <w:lang w:val="en-US" w:eastAsia="zh-CN"/>
              </w:rPr>
              <w:t>4</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宋体" w:hAnsi="宋体" w:eastAsia="宋体"/>
                <w:color w:val="auto"/>
                <w:szCs w:val="21"/>
                <w:highlight w:val="none"/>
                <w:lang w:val="en-US" w:eastAsia="zh-CN"/>
              </w:rPr>
            </w:pPr>
            <w:r>
              <w:rPr>
                <w:rFonts w:hint="eastAsia" w:ascii="宋体" w:hAnsi="宋体"/>
                <w:color w:val="auto"/>
                <w:szCs w:val="21"/>
                <w:highlight w:val="none"/>
              </w:rPr>
              <w:t>投标文件正副本份数：</w:t>
            </w:r>
            <w:r>
              <w:rPr>
                <w:rFonts w:hint="eastAsia" w:ascii="宋体" w:hAnsi="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5" w:name="_21.1"/>
            <w:bookmarkEnd w:id="85"/>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w:t>
            </w:r>
            <w:r>
              <w:rPr>
                <w:rFonts w:hint="eastAsia"/>
                <w:color w:val="auto"/>
                <w:highlight w:val="none"/>
              </w:rPr>
              <w:t>本项目为全流程电子化项目，通过</w:t>
            </w:r>
            <w:r>
              <w:rPr>
                <w:rFonts w:hint="eastAsia" w:ascii="宋体" w:hAnsi="宋体" w:cs="宋体"/>
                <w:color w:val="auto"/>
                <w:kern w:val="0"/>
                <w:sz w:val="21"/>
                <w:szCs w:val="21"/>
                <w:highlight w:val="none"/>
                <w:lang w:val="en-US" w:eastAsia="zh-CN" w:bidi="ar-SA"/>
              </w:rPr>
              <w:t>“</w:t>
            </w:r>
            <w:r>
              <w:rPr>
                <w:rFonts w:hint="eastAsia" w:ascii="宋体" w:hAnsi="宋体" w:cs="宋体"/>
                <w:color w:val="auto"/>
                <w:kern w:val="0"/>
                <w:szCs w:val="21"/>
                <w:highlight w:val="none"/>
              </w:rPr>
              <w:t>广西政府采购云平台</w:t>
            </w:r>
            <w:r>
              <w:rPr>
                <w:rFonts w:hint="eastAsia" w:ascii="宋体" w:hAnsi="宋体" w:cs="宋体"/>
                <w:color w:val="auto"/>
                <w:kern w:val="0"/>
                <w:sz w:val="21"/>
                <w:szCs w:val="21"/>
                <w:highlight w:val="none"/>
                <w:lang w:val="en-US" w:eastAsia="zh-CN" w:bidi="ar-SA"/>
              </w:rPr>
              <w:t>”平台（</w:t>
            </w:r>
            <w:r>
              <w:rPr>
                <w:rFonts w:hint="eastAsia" w:ascii="宋体" w:hAnsi="宋体" w:cs="宋体"/>
                <w:color w:val="auto"/>
                <w:kern w:val="0"/>
                <w:szCs w:val="21"/>
                <w:highlight w:val="none"/>
              </w:rPr>
              <w:t>https://www.gcy.zfcg.gxzf.gov.cn/</w:t>
            </w:r>
            <w:r>
              <w:rPr>
                <w:rFonts w:hint="eastAsia" w:ascii="宋体" w:hAnsi="宋体" w:cs="宋体"/>
                <w:color w:val="auto"/>
                <w:kern w:val="0"/>
                <w:sz w:val="21"/>
                <w:szCs w:val="21"/>
                <w:highlight w:val="none"/>
                <w:lang w:val="en-US" w:eastAsia="zh-CN" w:bidi="ar-SA"/>
              </w:rPr>
              <w:t>）</w:t>
            </w:r>
            <w:r>
              <w:rPr>
                <w:rFonts w:hint="eastAsia"/>
                <w:color w:val="auto"/>
                <w:highlight w:val="none"/>
              </w:rPr>
              <w:t>实行在线电子响应。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6" w:name="_23"/>
            <w:bookmarkEnd w:id="86"/>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24（5）</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hAnsi="宋体"/>
                <w:color w:val="auto"/>
                <w:highlight w:val="none"/>
              </w:rPr>
              <w:t>唱标内容：投标人名称、投标价格、</w:t>
            </w:r>
            <w:r>
              <w:rPr>
                <w:rFonts w:hAnsi="宋体"/>
                <w:color w:val="auto"/>
                <w:highlight w:val="none"/>
                <w:u w:val="single"/>
              </w:rPr>
              <w:t xml:space="preserve"> </w:t>
            </w:r>
            <w:r>
              <w:rPr>
                <w:rFonts w:hint="eastAsia" w:hAnsi="宋体"/>
                <w:color w:val="auto"/>
                <w:highlight w:val="none"/>
                <w:u w:val="single"/>
                <w:lang w:val="en-US" w:eastAsia="zh-CN"/>
              </w:rPr>
              <w:t>合同履约时限</w:t>
            </w:r>
            <w:r>
              <w:rPr>
                <w:rFonts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7" w:name="_25.3"/>
            <w:bookmarkEnd w:id="87"/>
            <w:r>
              <w:rPr>
                <w:rFonts w:hint="eastAsia" w:ascii="宋体" w:hAnsi="宋体"/>
                <w:color w:val="auto"/>
                <w:szCs w:val="21"/>
                <w:highlight w:val="none"/>
              </w:rPr>
              <w:t>25.3（3）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查询渠道：“信用中国”网站(www.creditchina.gov.cn) 、中国政府采购网(www.ccgp.gov.cn)》。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r>
              <w:rPr>
                <w:rFonts w:hint="eastAsia" w:ascii="宋体" w:hAnsi="宋体"/>
                <w:color w:val="auto"/>
                <w:szCs w:val="21"/>
                <w:highlight w:val="none"/>
                <w:lang w:eastAsia="zh-CN"/>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olor w:val="auto"/>
                <w:szCs w:val="21"/>
                <w:highlight w:val="none"/>
                <w:u w:val="none"/>
                <w:lang w:val="en-US" w:eastAsia="zh-CN"/>
              </w:rPr>
              <w:t>由采购人或采购代理机构</w:t>
            </w:r>
            <w:r>
              <w:rPr>
                <w:rFonts w:hint="eastAsia" w:ascii="宋体" w:hAnsi="宋体"/>
                <w:color w:val="auto"/>
                <w:szCs w:val="21"/>
                <w:highlight w:val="none"/>
              </w:rPr>
              <w:t xml:space="preserve">在查询网站中直接打印查询记录，打印材料作为评审资料保存。  </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本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8" w:name="_26"/>
            <w:bookmarkEnd w:id="88"/>
            <w:r>
              <w:rPr>
                <w:rFonts w:hint="eastAsia" w:ascii="宋体" w:hAnsi="宋体"/>
                <w:color w:val="auto"/>
                <w:szCs w:val="21"/>
                <w:highlight w:val="none"/>
              </w:rPr>
              <w:t>26</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宋体"/>
                <w:b w:val="0"/>
                <w:bCs w:val="0"/>
                <w:color w:val="auto"/>
                <w:highlight w:val="none"/>
                <w:lang w:eastAsia="zh-CN"/>
              </w:rPr>
            </w:pPr>
            <w:r>
              <w:rPr>
                <w:rFonts w:hint="eastAsia"/>
                <w:b w:val="0"/>
                <w:bCs w:val="0"/>
                <w:color w:val="auto"/>
                <w:highlight w:val="none"/>
              </w:rPr>
              <w:t>评标委员会的人数：由采购人代表和有关技术、经济等方面的专家组成</w:t>
            </w:r>
            <w:r>
              <w:rPr>
                <w:rFonts w:hint="eastAsia"/>
                <w:b w:val="0"/>
                <w:bCs w:val="0"/>
                <w:color w:val="auto"/>
                <w:highlight w:val="none"/>
                <w:lang w:eastAsia="zh-CN"/>
              </w:rPr>
              <w:t>，</w:t>
            </w:r>
            <w:r>
              <w:rPr>
                <w:rFonts w:hint="eastAsia"/>
                <w:b w:val="0"/>
                <w:bCs w:val="0"/>
                <w:color w:val="auto"/>
                <w:highlight w:val="none"/>
                <w:lang w:val="en-US" w:eastAsia="zh-CN"/>
              </w:rPr>
              <w:t>共5</w:t>
            </w:r>
            <w:r>
              <w:rPr>
                <w:rFonts w:hint="eastAsia"/>
                <w:b w:val="0"/>
                <w:bCs w:val="0"/>
                <w:color w:val="auto"/>
                <w:highlight w:val="none"/>
              </w:rPr>
              <w:t>人</w:t>
            </w:r>
            <w:r>
              <w:rPr>
                <w:rFonts w:hint="eastAsia"/>
                <w:b w:val="0"/>
                <w:bCs w:val="0"/>
                <w:color w:val="auto"/>
                <w:highlight w:val="none"/>
                <w:lang w:eastAsia="zh-CN"/>
              </w:rPr>
              <w:t>。</w:t>
            </w:r>
          </w:p>
          <w:p>
            <w:pPr>
              <w:spacing w:line="360" w:lineRule="auto"/>
              <w:rPr>
                <w:rFonts w:hint="eastAsia" w:eastAsia="宋体"/>
                <w:color w:val="auto"/>
                <w:highlight w:val="none"/>
                <w:lang w:eastAsia="zh-CN"/>
              </w:rPr>
            </w:pPr>
            <w:r>
              <w:rPr>
                <w:rFonts w:hint="eastAsia"/>
                <w:b w:val="0"/>
                <w:bCs w:val="0"/>
                <w:color w:val="auto"/>
                <w:highlight w:val="none"/>
              </w:rPr>
              <w:t>评标专家确定方式：</w:t>
            </w:r>
            <w:bookmarkStart w:id="89" w:name="EBe457346d611c459192bee674fdabab70"/>
            <w:r>
              <w:rPr>
                <w:rFonts w:hint="eastAsia"/>
                <w:b w:val="0"/>
                <w:bCs w:val="0"/>
                <w:color w:val="auto"/>
                <w:highlight w:val="none"/>
              </w:rPr>
              <w:t>随机抽取</w:t>
            </w:r>
            <w:bookmarkEnd w:id="89"/>
            <w:r>
              <w:rPr>
                <w:rFonts w:hint="eastAsia"/>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0" w:name="_28.3"/>
            <w:bookmarkEnd w:id="90"/>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29.2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pPr>
              <w:autoSpaceDE w:val="0"/>
              <w:autoSpaceDN w:val="0"/>
              <w:snapToGrid w:val="0"/>
              <w:spacing w:line="360" w:lineRule="auto"/>
              <w:textAlignment w:val="bottom"/>
              <w:rPr>
                <w:rFonts w:hint="eastAsia" w:ascii="宋体" w:hAnsi="宋体"/>
                <w:color w:val="auto"/>
                <w:szCs w:val="21"/>
                <w:highlight w:val="none"/>
                <w:lang w:eastAsia="zh-CN"/>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continue"/>
            <w:tcBorders>
              <w:left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highlight w:val="none"/>
                <w:lang w:val="en-US" w:eastAsia="zh-CN"/>
              </w:rPr>
            </w:pPr>
            <w:bookmarkStart w:id="91" w:name="_29.2.2（2）"/>
            <w:bookmarkEnd w:id="91"/>
          </w:p>
        </w:tc>
        <w:tc>
          <w:tcPr>
            <w:tcW w:w="8670"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w:t>
            </w:r>
            <w:r>
              <w:rPr>
                <w:rFonts w:hint="eastAsia" w:hAnsi="宋体"/>
                <w:color w:val="auto"/>
                <w:highlight w:val="none"/>
                <w:lang w:val="en-US" w:eastAsia="zh-CN"/>
              </w:rPr>
              <w:t>3人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w:t>
            </w:r>
            <w:r>
              <w:rPr>
                <w:rFonts w:hint="eastAsia" w:ascii="宋体" w:hAnsi="宋体"/>
                <w:color w:val="auto"/>
                <w:szCs w:val="21"/>
                <w:highlight w:val="none"/>
                <w:u w:val="singl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2" w:name="_39.1"/>
            <w:bookmarkEnd w:id="92"/>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pPr>
              <w:spacing w:line="360" w:lineRule="auto"/>
              <w:jc w:val="left"/>
              <w:rPr>
                <w:rFonts w:hint="eastAsia" w:ascii="宋体" w:hAnsi="宋体" w:cs="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r>
              <w:rPr>
                <w:rFonts w:hint="eastAsia" w:ascii="宋体" w:hAnsi="宋体"/>
                <w:color w:val="auto"/>
                <w:szCs w:val="21"/>
                <w:highlight w:val="none"/>
                <w:lang w:val="en-US" w:eastAsia="zh-CN"/>
              </w:rPr>
              <w:t>/</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3" w:name="_40.1"/>
            <w:bookmarkEnd w:id="93"/>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广西百色公共资源交易有限公司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0776-2981360</w:t>
            </w:r>
            <w:r>
              <w:rPr>
                <w:rFonts w:hint="eastAsia" w:ascii="宋体" w:hAnsi="宋体"/>
                <w:color w:val="auto"/>
                <w:szCs w:val="21"/>
                <w:highlight w:val="none"/>
              </w:rPr>
              <w:t>，</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Helvetica"/>
                <w:color w:val="auto"/>
                <w:szCs w:val="21"/>
                <w:highlight w:val="none"/>
                <w:u w:val="single"/>
              </w:rPr>
              <w:t>广西百色市右江区</w:t>
            </w:r>
            <w:r>
              <w:rPr>
                <w:rFonts w:hint="eastAsia" w:ascii="宋体" w:hAnsi="宋体" w:cs="Helvetica"/>
                <w:color w:val="auto"/>
                <w:szCs w:val="21"/>
                <w:highlight w:val="none"/>
                <w:u w:val="single"/>
                <w:lang w:val="en-US" w:eastAsia="zh-CN"/>
              </w:rPr>
              <w:t>迎龙路50号汇丰商业广场15楼</w:t>
            </w:r>
            <w:r>
              <w:rPr>
                <w:rFonts w:hint="eastAsia" w:ascii="宋体" w:hAnsi="宋体" w:cs="Helvetica"/>
                <w:color w:val="auto"/>
                <w:szCs w:val="21"/>
                <w:highlight w:val="none"/>
                <w:lang w:val="en-US" w:eastAsia="zh-CN"/>
              </w:rPr>
              <w:t>。</w:t>
            </w:r>
          </w:p>
          <w:p>
            <w:pPr>
              <w:autoSpaceDE w:val="0"/>
              <w:autoSpaceDN w:val="0"/>
              <w:snapToGrid w:val="0"/>
              <w:spacing w:line="360" w:lineRule="auto"/>
              <w:textAlignment w:val="bottom"/>
              <w:rPr>
                <w:rFonts w:hint="eastAsia" w:ascii="宋体" w:hAnsi="宋体"/>
                <w:color w:val="auto"/>
                <w:szCs w:val="21"/>
                <w:highlight w:val="none"/>
              </w:rPr>
            </w:pPr>
            <w:r>
              <w:rPr>
                <w:rFonts w:hint="eastAsia" w:hAnsi="宋体"/>
                <w:color w:val="auto"/>
                <w:highlight w:val="none"/>
              </w:rPr>
              <w:t>现场提交质疑办理业务时间：每天8时</w:t>
            </w:r>
            <w:r>
              <w:rPr>
                <w:rFonts w:hint="eastAsia" w:hAnsi="宋体"/>
                <w:color w:val="auto"/>
                <w:highlight w:val="none"/>
                <w:lang w:val="en-US" w:eastAsia="zh-CN"/>
              </w:rPr>
              <w:t>3</w:t>
            </w:r>
            <w:r>
              <w:rPr>
                <w:rFonts w:hint="eastAsia" w:hAnsi="宋体"/>
                <w:color w:val="auto"/>
                <w:highlight w:val="none"/>
              </w:rPr>
              <w:t xml:space="preserve">0分到12时00分，15时00分到18时00分，业务时间以外、双休日和法定节假日不办理业务。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94" w:name="_42"/>
            <w:bookmarkEnd w:id="94"/>
            <w:bookmarkStart w:id="95" w:name="_41"/>
            <w:bookmarkEnd w:id="95"/>
            <w:bookmarkStart w:id="96" w:name="_Hlt17709148"/>
            <w:r>
              <w:rPr>
                <w:rFonts w:hint="eastAsia" w:ascii="宋体" w:hAnsi="宋体"/>
                <w:color w:val="auto"/>
                <w:szCs w:val="21"/>
                <w:highlight w:val="none"/>
              </w:rPr>
              <w:t>3</w:t>
            </w:r>
            <w:bookmarkEnd w:id="96"/>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在领取中标通知书前，一次性向采购代理机构支付。</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2"/>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none"/>
                <w:lang w:val="en-US" w:eastAsia="zh-CN"/>
              </w:rPr>
              <w:t xml:space="preserve"> ：</w:t>
            </w:r>
          </w:p>
          <w:p>
            <w:pPr>
              <w:spacing w:line="360" w:lineRule="auto"/>
              <w:rPr>
                <w:rFonts w:hint="default"/>
                <w:color w:val="auto"/>
                <w:highlight w:val="none"/>
                <w:lang w:val="en-US" w:eastAsia="zh-CN"/>
              </w:rPr>
            </w:pPr>
            <w:r>
              <w:rPr>
                <w:rFonts w:hint="eastAsia"/>
                <w:color w:val="auto"/>
                <w:highlight w:val="none"/>
                <w:lang w:val="en-US" w:eastAsia="zh-CN"/>
              </w:rPr>
              <w:t>按签订的《代理合同》约定收取。</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w:t>
            </w:r>
            <w:r>
              <w:rPr>
                <w:rFonts w:hAnsi="宋体" w:cs="宋体"/>
                <w:color w:val="auto"/>
                <w:sz w:val="21"/>
                <w:highlight w:val="none"/>
                <w:lang w:val="en-US" w:eastAsia="zh-CN"/>
              </w:rPr>
              <w:t>.</w:t>
            </w:r>
            <w:r>
              <w:rPr>
                <w:rFonts w:hint="eastAsia" w:hAnsi="宋体" w:cs="宋体"/>
                <w:color w:val="auto"/>
                <w:sz w:val="21"/>
                <w:highlight w:val="none"/>
                <w:lang w:val="en-US" w:eastAsia="zh-CN"/>
              </w:rPr>
              <w:t>账户名称：</w:t>
            </w:r>
            <w:r>
              <w:rPr>
                <w:rFonts w:hint="eastAsia" w:hAnsi="宋体" w:cs="宋体"/>
                <w:color w:val="auto"/>
                <w:sz w:val="21"/>
                <w:highlight w:val="none"/>
                <w:u w:val="single"/>
                <w:lang w:val="en-US" w:eastAsia="zh-CN"/>
              </w:rPr>
              <w:t xml:space="preserve"> 广西百色公共资源交易有限公司</w:t>
            </w:r>
            <w:r>
              <w:rPr>
                <w:rFonts w:hint="eastAsia" w:hAnsi="宋体" w:cs="宋体"/>
                <w:color w:val="auto"/>
                <w:sz w:val="21"/>
                <w:highlight w:val="none"/>
                <w:lang w:val="en-US" w:eastAsia="zh-CN"/>
              </w:rPr>
              <w:t xml:space="preserve">  </w:t>
            </w:r>
          </w:p>
          <w:p>
            <w:pPr>
              <w:pStyle w:val="12"/>
              <w:snapToGrid w:val="0"/>
              <w:spacing w:line="360" w:lineRule="auto"/>
              <w:rPr>
                <w:rFonts w:hint="eastAsia" w:hAnsi="宋体" w:cs="宋体"/>
                <w:color w:val="auto"/>
                <w:sz w:val="21"/>
                <w:highlight w:val="none"/>
                <w:u w:val="single"/>
                <w:lang w:val="en-US" w:eastAsia="zh-CN"/>
              </w:rPr>
            </w:pPr>
            <w:r>
              <w:rPr>
                <w:rFonts w:hint="eastAsia" w:hAnsi="宋体" w:cs="宋体"/>
                <w:color w:val="auto"/>
                <w:sz w:val="21"/>
                <w:highlight w:val="none"/>
                <w:lang w:val="en-US" w:eastAsia="zh-CN"/>
              </w:rPr>
              <w:t>开户银行：</w:t>
            </w:r>
            <w:r>
              <w:rPr>
                <w:rFonts w:hint="eastAsia" w:hAnsi="宋体" w:cs="宋体"/>
                <w:color w:val="auto"/>
                <w:sz w:val="21"/>
                <w:highlight w:val="none"/>
                <w:u w:val="single"/>
                <w:lang w:val="en-US" w:eastAsia="zh-CN"/>
              </w:rPr>
              <w:t xml:space="preserve">中国工商银行股份有限公司百色市龙景支行 </w:t>
            </w:r>
          </w:p>
          <w:p>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w:t>
            </w:r>
            <w:r>
              <w:rPr>
                <w:rFonts w:hint="eastAsia" w:hAnsi="宋体" w:cs="宋体"/>
                <w:color w:val="auto"/>
                <w:sz w:val="21"/>
                <w:highlight w:val="none"/>
                <w:u w:val="single"/>
                <w:lang w:val="en-US" w:eastAsia="zh-CN"/>
              </w:rPr>
              <w:t xml:space="preserve">2110 6111 0930 0074 232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1、本文件中描述供应商的“公章”是指供应商通过指定电子化政府采购平台办理数字证书（CA认证）获得的以法定主体行为名称制作的电子印章。</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2、本文件中描述供应商的“签字”是指供应商通过指定电子化政府采购平台办理数字证书（CA认证）获得的以供应商法定代表人或者委托代理人姓名制作的电子印章或手写签字。</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3. 供应商须知前附表是对供应商须知的具体补充和修改，如有矛盾，应以本前附表为准。</w:t>
            </w:r>
          </w:p>
          <w:p>
            <w:pPr>
              <w:spacing w:line="360" w:lineRule="auto"/>
              <w:jc w:val="left"/>
              <w:rPr>
                <w:rFonts w:hint="eastAsia" w:ascii="宋体" w:hAnsi="宋体"/>
                <w:color w:val="auto"/>
                <w:szCs w:val="21"/>
                <w:highlight w:val="none"/>
              </w:rPr>
            </w:pPr>
            <w:r>
              <w:rPr>
                <w:rFonts w:hint="eastAsia" w:hAnsi="宋体" w:cs="宋体"/>
                <w:color w:val="auto"/>
                <w:sz w:val="21"/>
                <w:highlight w:val="none"/>
              </w:rPr>
              <w:t>4.本</w:t>
            </w:r>
            <w:r>
              <w:rPr>
                <w:rFonts w:hint="eastAsia" w:hAnsi="宋体" w:cs="宋体"/>
                <w:color w:val="auto"/>
                <w:sz w:val="21"/>
                <w:highlight w:val="none"/>
                <w:lang w:val="en-US" w:eastAsia="zh-CN"/>
              </w:rPr>
              <w:t>招标</w:t>
            </w:r>
            <w:r>
              <w:rPr>
                <w:rFonts w:hint="eastAsia" w:hAnsi="宋体" w:cs="宋体"/>
                <w:color w:val="auto"/>
                <w:sz w:val="21"/>
                <w:highlight w:val="none"/>
              </w:rPr>
              <w:t>文件是根据国家有关法律及有关政策、法规和参照国际惯例编制，解释权属采购代理机构。</w:t>
            </w:r>
          </w:p>
        </w:tc>
      </w:tr>
    </w:tbl>
    <w:p>
      <w:pPr>
        <w:snapToGrid w:val="0"/>
        <w:rPr>
          <w:rFonts w:hint="eastAsia" w:ascii="宋体" w:hAnsi="宋体"/>
          <w:color w:val="auto"/>
          <w:sz w:val="24"/>
          <w:szCs w:val="20"/>
          <w:highlight w:val="none"/>
        </w:rPr>
      </w:pPr>
    </w:p>
    <w:p>
      <w:pPr>
        <w:snapToGrid w:val="0"/>
        <w:rPr>
          <w:rFonts w:hint="eastAsia" w:ascii="宋体" w:hAnsi="宋体"/>
          <w:color w:val="auto"/>
          <w:sz w:val="24"/>
          <w:szCs w:val="20"/>
          <w:highlight w:val="none"/>
        </w:rPr>
      </w:pPr>
    </w:p>
    <w:p>
      <w:pPr>
        <w:pStyle w:val="4"/>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4"/>
        <w:keepNext w:val="0"/>
        <w:keepLines w:val="0"/>
        <w:jc w:val="center"/>
        <w:rPr>
          <w:rFonts w:hint="eastAsia"/>
          <w:color w:val="auto"/>
          <w:highlight w:val="none"/>
        </w:rPr>
      </w:pPr>
      <w:r>
        <w:rPr>
          <w:rFonts w:hint="eastAsia"/>
          <w:color w:val="auto"/>
          <w:highlight w:val="none"/>
        </w:rPr>
        <w:t>一、总  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97" w:name="_Toc254970527"/>
      <w:bookmarkStart w:id="98" w:name="_Toc254970668"/>
      <w:r>
        <w:rPr>
          <w:rFonts w:hint="eastAsia" w:ascii="黑体" w:hAnsi="黑体" w:eastAsia="黑体"/>
          <w:color w:val="auto"/>
          <w:sz w:val="24"/>
          <w:highlight w:val="none"/>
        </w:rPr>
        <w:t>1.适用范围</w:t>
      </w:r>
      <w:bookmarkEnd w:id="97"/>
      <w:bookmarkEnd w:id="9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99" w:name="_Toc254970528"/>
      <w:bookmarkStart w:id="100" w:name="_Toc254970669"/>
      <w:r>
        <w:rPr>
          <w:rFonts w:hint="eastAsia" w:ascii="黑体" w:hAnsi="黑体" w:eastAsia="黑体"/>
          <w:color w:val="auto"/>
          <w:sz w:val="24"/>
          <w:highlight w:val="none"/>
        </w:rPr>
        <w:t>2.定义</w:t>
      </w:r>
      <w:bookmarkEnd w:id="99"/>
      <w:bookmarkEnd w:id="100"/>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6"/>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r>
        <w:rPr>
          <w:rFonts w:hint="eastAsia" w:ascii="宋体" w:hAnsi="宋体"/>
          <w:b w:val="0"/>
          <w:color w:val="auto"/>
          <w:sz w:val="21"/>
          <w:szCs w:val="21"/>
          <w:highlight w:val="none"/>
          <w:lang w:eastAsia="zh-CN"/>
        </w:rPr>
        <w:t>或者技术要求中带“★”的条款</w:t>
      </w:r>
      <w:r>
        <w:rPr>
          <w:rFonts w:hint="eastAsia" w:ascii="宋体" w:hAnsi="宋体"/>
          <w:b w:val="0"/>
          <w:color w:val="auto"/>
          <w:sz w:val="21"/>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101" w:name="_Toc254970529"/>
      <w:bookmarkStart w:id="102" w:name="_Toc254970670"/>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3.</w:t>
      </w:r>
      <w:bookmarkEnd w:id="101"/>
      <w:bookmarkEnd w:id="102"/>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3" w:name="_Toc254970671"/>
      <w:bookmarkStart w:id="104" w:name="_Toc254970530"/>
      <w:r>
        <w:rPr>
          <w:rFonts w:hint="eastAsia" w:ascii="宋体" w:hAnsi="宋体"/>
          <w:b w:val="0"/>
          <w:color w:val="auto"/>
          <w:sz w:val="21"/>
          <w:szCs w:val="21"/>
          <w:highlight w:val="none"/>
        </w:rPr>
        <w:t>▲</w:t>
      </w:r>
      <w:r>
        <w:rPr>
          <w:rFonts w:hint="eastAsia" w:ascii="黑体" w:hAnsi="黑体" w:eastAsia="黑体"/>
          <w:color w:val="auto"/>
          <w:sz w:val="24"/>
          <w:highlight w:val="none"/>
        </w:rPr>
        <w:t>4.投标委托</w:t>
      </w:r>
      <w:bookmarkEnd w:id="103"/>
      <w:bookmarkEnd w:id="104"/>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5" w:name="_5.投标费用"/>
      <w:bookmarkEnd w:id="105"/>
      <w:bookmarkStart w:id="106" w:name="_Toc254970672"/>
      <w:bookmarkStart w:id="107" w:name="_Toc254970531"/>
      <w:r>
        <w:rPr>
          <w:rFonts w:hint="eastAsia" w:ascii="宋体" w:hAnsi="宋体"/>
          <w:b w:val="0"/>
          <w:color w:val="auto"/>
          <w:sz w:val="21"/>
          <w:szCs w:val="21"/>
          <w:highlight w:val="none"/>
        </w:rPr>
        <w:t>▲</w:t>
      </w:r>
      <w:r>
        <w:rPr>
          <w:rFonts w:hint="eastAsia" w:ascii="黑体" w:hAnsi="黑体" w:eastAsia="黑体"/>
          <w:color w:val="auto"/>
          <w:sz w:val="24"/>
          <w:highlight w:val="none"/>
        </w:rPr>
        <w:t>5.投标费用</w:t>
      </w:r>
      <w:bookmarkEnd w:id="106"/>
      <w:bookmarkEnd w:id="107"/>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5"/>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108"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08"/>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09" w:name="_Toc254970532"/>
      <w:bookmarkStart w:id="110" w:name="_Toc254970673"/>
      <w:r>
        <w:rPr>
          <w:rFonts w:hint="eastAsia" w:ascii="黑体" w:hAnsi="黑体" w:eastAsia="黑体"/>
          <w:color w:val="auto"/>
          <w:sz w:val="24"/>
          <w:highlight w:val="none"/>
        </w:rPr>
        <w:t>8.特别说明</w:t>
      </w:r>
      <w:bookmarkEnd w:id="109"/>
      <w:bookmarkEnd w:id="110"/>
    </w:p>
    <w:p>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11" w:name="_8.1提供相同品牌产品且通过资格审查、符合性审查的不同投标人参加同一合"/>
      <w:bookmarkEnd w:id="11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2"/>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2"/>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2"/>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2"/>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2"/>
        <w:snapToGrid w:val="0"/>
        <w:spacing w:line="360" w:lineRule="auto"/>
        <w:ind w:left="2" w:leftChars="1" w:firstLine="422" w:firstLineChars="200"/>
        <w:rPr>
          <w:rFonts w:hint="eastAsia" w:hAnsi="宋体"/>
          <w:b/>
          <w:color w:val="auto"/>
          <w:kern w:val="2"/>
          <w:sz w:val="21"/>
          <w:highlight w:val="none"/>
        </w:rPr>
      </w:pPr>
    </w:p>
    <w:p>
      <w:pPr>
        <w:pStyle w:val="12"/>
        <w:snapToGrid w:val="0"/>
        <w:spacing w:line="360" w:lineRule="auto"/>
        <w:ind w:left="2" w:leftChars="1" w:firstLine="422" w:firstLineChars="200"/>
        <w:rPr>
          <w:rFonts w:hint="eastAsia" w:hAnsi="宋体"/>
          <w:b/>
          <w:color w:val="auto"/>
          <w:kern w:val="2"/>
          <w:sz w:val="21"/>
          <w:highlight w:val="none"/>
        </w:rPr>
      </w:pPr>
    </w:p>
    <w:p>
      <w:pPr>
        <w:pStyle w:val="4"/>
        <w:keepNext w:val="0"/>
        <w:keepLines w:val="0"/>
        <w:jc w:val="center"/>
        <w:rPr>
          <w:rFonts w:hint="eastAsia"/>
          <w:color w:val="auto"/>
          <w:highlight w:val="none"/>
        </w:rPr>
      </w:pPr>
      <w:bookmarkStart w:id="112" w:name="_Toc254970534"/>
      <w:bookmarkStart w:id="113" w:name="_Toc254970675"/>
      <w:r>
        <w:rPr>
          <w:rFonts w:hint="eastAsia"/>
          <w:color w:val="auto"/>
          <w:highlight w:val="none"/>
        </w:rPr>
        <w:t>二、招标文件</w:t>
      </w:r>
      <w:bookmarkEnd w:id="112"/>
      <w:bookmarkEnd w:id="113"/>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4"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4"/>
    <w:p>
      <w:pPr>
        <w:pStyle w:val="4"/>
        <w:keepNext w:val="0"/>
        <w:keepLines w:val="0"/>
        <w:jc w:val="center"/>
        <w:rPr>
          <w:rFonts w:hint="eastAsia"/>
          <w:color w:val="auto"/>
          <w:highlight w:val="none"/>
        </w:rPr>
      </w:pPr>
      <w:bookmarkStart w:id="115" w:name="_Toc254970676"/>
      <w:bookmarkStart w:id="116" w:name="_Toc254970535"/>
      <w:r>
        <w:rPr>
          <w:rFonts w:hint="eastAsia"/>
          <w:color w:val="auto"/>
          <w:highlight w:val="none"/>
        </w:rPr>
        <w:t>三、投标文件的编制</w:t>
      </w:r>
      <w:bookmarkEnd w:id="115"/>
      <w:bookmarkEnd w:id="116"/>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17" w:name="_Toc254970677"/>
      <w:bookmarkStart w:id="118" w:name="_Toc254970536"/>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13.投标文件的组成</w:t>
      </w:r>
      <w:bookmarkEnd w:id="117"/>
      <w:bookmarkEnd w:id="118"/>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19" w:name="_13.1报价文件:_具体材料见“投标人须知前附表”。"/>
      <w:bookmarkEnd w:id="119"/>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0" w:name="_13.2资格证明文件：具体材料见“投标人须知前附表”。"/>
      <w:bookmarkEnd w:id="120"/>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1" w:name="_13.3商务文件:_具体材料见“投标人须知前附表”。"/>
      <w:bookmarkEnd w:id="121"/>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2" w:name="_13.4技术文件：具体材料见“投标人须知前附表”。"/>
      <w:bookmarkEnd w:id="122"/>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3" w:name="_13.5投标文件电子版：具体材料见“投标人须知前附表”。"/>
      <w:bookmarkEnd w:id="123"/>
      <w:r>
        <w:rPr>
          <w:rFonts w:hint="eastAsia" w:ascii="宋体" w:hAnsi="宋体"/>
          <w:b w:val="0"/>
          <w:color w:val="auto"/>
          <w:sz w:val="21"/>
          <w:szCs w:val="21"/>
          <w:highlight w:val="none"/>
        </w:rPr>
        <w:t>13.</w:t>
      </w:r>
      <w:r>
        <w:rPr>
          <w:rFonts w:ascii="宋体" w:hAnsi="宋体"/>
          <w:b w:val="0"/>
          <w:color w:val="auto"/>
          <w:sz w:val="21"/>
          <w:szCs w:val="21"/>
          <w:highlight w:val="none"/>
        </w:rPr>
        <w:t>2</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4" w:name="_Toc254970678"/>
      <w:bookmarkStart w:id="125" w:name="_Toc254970537"/>
      <w:r>
        <w:rPr>
          <w:rFonts w:hint="eastAsia" w:ascii="黑体" w:hAnsi="黑体" w:eastAsia="黑体"/>
          <w:color w:val="auto"/>
          <w:sz w:val="24"/>
          <w:highlight w:val="none"/>
        </w:rPr>
        <w:t>14.投标文件的语言及计量</w:t>
      </w:r>
      <w:bookmarkEnd w:id="124"/>
      <w:bookmarkEnd w:id="125"/>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2"/>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26" w:name="_Toc254970538"/>
      <w:bookmarkStart w:id="127" w:name="_Toc254970679"/>
      <w:r>
        <w:rPr>
          <w:rFonts w:hint="eastAsia" w:ascii="宋体" w:hAnsi="宋体"/>
          <w:b w:val="0"/>
          <w:color w:val="auto"/>
          <w:sz w:val="21"/>
          <w:szCs w:val="21"/>
          <w:highlight w:val="none"/>
        </w:rPr>
        <w:t>▲</w:t>
      </w:r>
      <w:r>
        <w:rPr>
          <w:rFonts w:hint="eastAsia" w:ascii="黑体" w:hAnsi="黑体" w:eastAsia="黑体"/>
          <w:color w:val="auto"/>
          <w:sz w:val="24"/>
          <w:highlight w:val="none"/>
        </w:rPr>
        <w:t>16.投标报价</w:t>
      </w:r>
      <w:bookmarkEnd w:id="126"/>
      <w:bookmarkEnd w:id="127"/>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28" w:name="_16.2投标报价具体定义见投标人须知前附表。"/>
      <w:bookmarkEnd w:id="128"/>
      <w:r>
        <w:rPr>
          <w:rFonts w:hint="eastAsia" w:ascii="宋体" w:hAnsi="宋体"/>
          <w:b w:val="0"/>
          <w:color w:val="auto"/>
          <w:sz w:val="21"/>
          <w:szCs w:val="21"/>
          <w:highlight w:val="none"/>
        </w:rPr>
        <w:t>16.2投标报价具体包括内容详见“投标人须知前附表”。</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b w:val="0"/>
          <w:color w:val="auto"/>
          <w:sz w:val="21"/>
          <w:szCs w:val="21"/>
          <w:highlight w:val="none"/>
        </w:rPr>
        <w:t>▲</w:t>
      </w:r>
      <w:r>
        <w:rPr>
          <w:rFonts w:hint="eastAsia" w:ascii="黑体" w:hAnsi="黑体" w:eastAsia="黑体"/>
          <w:color w:val="auto"/>
          <w:sz w:val="24"/>
          <w:highlight w:val="none"/>
        </w:rPr>
        <w:t>17.投标有效期</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bookmarkStart w:id="129" w:name="_17.1投标有效期应按“投标人须知中的前附表”规定的期限。"/>
      <w:bookmarkEnd w:id="129"/>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30" w:name="_Toc254970681"/>
      <w:bookmarkStart w:id="131" w:name="_Toc254970540"/>
      <w:r>
        <w:rPr>
          <w:rFonts w:hint="eastAsia" w:ascii="宋体" w:hAnsi="宋体"/>
          <w:b w:val="0"/>
          <w:color w:val="auto"/>
          <w:sz w:val="21"/>
          <w:szCs w:val="21"/>
          <w:highlight w:val="none"/>
        </w:rPr>
        <w:t xml:space="preserve"> 投标有效期应按规定的期限作出承诺，具体详见“投标人须知前附表”。</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30"/>
      <w:bookmarkEnd w:id="131"/>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2" w:name="_18.投标保证金"/>
      <w:bookmarkEnd w:id="132"/>
      <w:bookmarkStart w:id="133" w:name="_Toc254970682"/>
      <w:bookmarkStart w:id="134" w:name="_Toc254970541"/>
      <w:r>
        <w:rPr>
          <w:rFonts w:hint="eastAsia" w:ascii="黑体" w:hAnsi="黑体" w:eastAsia="黑体"/>
          <w:color w:val="auto"/>
          <w:sz w:val="24"/>
          <w:highlight w:val="none"/>
        </w:rPr>
        <w:t>18.投标保证金</w:t>
      </w:r>
      <w:bookmarkEnd w:id="133"/>
      <w:bookmarkEnd w:id="134"/>
    </w:p>
    <w:p>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35" w:name="_Toc254970542"/>
      <w:bookmarkStart w:id="136" w:name="_Toc254970683"/>
      <w:r>
        <w:rPr>
          <w:rFonts w:hint="eastAsia" w:ascii="宋体" w:hAnsi="宋体"/>
          <w:b w:val="0"/>
          <w:color w:val="auto"/>
          <w:sz w:val="21"/>
          <w:szCs w:val="21"/>
          <w:highlight w:val="none"/>
        </w:rPr>
        <w:t>▲</w:t>
      </w:r>
      <w:r>
        <w:rPr>
          <w:rFonts w:hint="eastAsia" w:ascii="黑体" w:hAnsi="黑体" w:eastAsia="黑体"/>
          <w:color w:val="auto"/>
          <w:sz w:val="24"/>
          <w:highlight w:val="none"/>
        </w:rPr>
        <w:t>19.投标文件的</w:t>
      </w:r>
      <w:bookmarkEnd w:id="135"/>
      <w:bookmarkEnd w:id="136"/>
      <w:r>
        <w:rPr>
          <w:rFonts w:hint="eastAsia" w:ascii="黑体" w:hAnsi="黑体" w:eastAsia="黑体"/>
          <w:color w:val="auto"/>
          <w:sz w:val="24"/>
          <w:highlight w:val="none"/>
        </w:rPr>
        <w:t>编制</w:t>
      </w:r>
    </w:p>
    <w:p>
      <w:pPr>
        <w:spacing w:line="360" w:lineRule="auto"/>
        <w:ind w:firstLine="422" w:firstLineChars="200"/>
        <w:rPr>
          <w:color w:val="auto"/>
          <w:highlight w:val="none"/>
        </w:rPr>
      </w:pPr>
      <w:r>
        <w:rPr>
          <w:rFonts w:hint="eastAsia" w:ascii="宋体" w:hAnsi="宋体"/>
          <w:b/>
          <w:color w:val="auto"/>
          <w:sz w:val="21"/>
          <w:szCs w:val="21"/>
          <w:highlight w:val="none"/>
        </w:rPr>
        <w:t xml:space="preserve"> </w:t>
      </w:r>
      <w:r>
        <w:rPr>
          <w:rFonts w:hint="eastAsia"/>
          <w:color w:val="auto"/>
          <w:highlight w:val="none"/>
          <w:lang w:val="en-US" w:eastAsia="zh-CN"/>
        </w:rPr>
        <w:t>19</w:t>
      </w:r>
      <w:r>
        <w:rPr>
          <w:color w:val="auto"/>
          <w:highlight w:val="none"/>
        </w:rPr>
        <w:t xml:space="preserve">.1 </w:t>
      </w:r>
      <w:r>
        <w:rPr>
          <w:rFonts w:hint="eastAsia" w:cs="宋体"/>
          <w:color w:val="auto"/>
          <w:highlight w:val="none"/>
        </w:rPr>
        <w:t>投标文件应按第</w:t>
      </w:r>
      <w:r>
        <w:rPr>
          <w:rFonts w:hint="eastAsia"/>
          <w:color w:val="auto"/>
          <w:highlight w:val="none"/>
        </w:rPr>
        <w:t>九</w:t>
      </w:r>
      <w:r>
        <w:rPr>
          <w:rFonts w:hint="eastAsia" w:cs="宋体"/>
          <w:color w:val="auto"/>
          <w:highlight w:val="none"/>
        </w:rPr>
        <w:t>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auto"/>
          <w:highlight w:val="none"/>
        </w:rPr>
      </w:pPr>
      <w:r>
        <w:rPr>
          <w:rFonts w:hint="eastAsia"/>
          <w:color w:val="auto"/>
          <w:highlight w:val="none"/>
          <w:lang w:val="en-US" w:eastAsia="zh-CN"/>
        </w:rPr>
        <w:t>19</w:t>
      </w:r>
      <w:r>
        <w:rPr>
          <w:color w:val="auto"/>
          <w:highlight w:val="none"/>
        </w:rPr>
        <w:t xml:space="preserve">.2 </w:t>
      </w:r>
      <w:r>
        <w:rPr>
          <w:rFonts w:hint="eastAsia" w:cs="宋体"/>
          <w:color w:val="auto"/>
          <w:highlight w:val="none"/>
        </w:rPr>
        <w:t>投标文件应当对招标文件有关工期、投标有效期、质量要求、技术标准和要求、招标范围等实质性内容作出响应。</w:t>
      </w:r>
      <w:r>
        <w:rPr>
          <w:color w:val="auto"/>
          <w:highlight w:val="none"/>
        </w:rPr>
        <w:t xml:space="preserve"> </w:t>
      </w:r>
    </w:p>
    <w:p>
      <w:pPr>
        <w:spacing w:line="360" w:lineRule="auto"/>
        <w:ind w:firstLine="420" w:firstLineChars="200"/>
        <w:rPr>
          <w:color w:val="auto"/>
          <w:highlight w:val="none"/>
        </w:rPr>
      </w:pPr>
      <w:r>
        <w:rPr>
          <w:rFonts w:hint="eastAsia"/>
          <w:color w:val="auto"/>
          <w:highlight w:val="none"/>
          <w:lang w:val="en-US" w:eastAsia="zh-CN"/>
        </w:rPr>
        <w:t>19</w:t>
      </w:r>
      <w:r>
        <w:rPr>
          <w:color w:val="auto"/>
          <w:highlight w:val="none"/>
        </w:rPr>
        <w:t>.3</w:t>
      </w:r>
      <w:r>
        <w:rPr>
          <w:rFonts w:hint="eastAsia" w:hAnsi="宋体" w:cs="宋体"/>
          <w:color w:val="auto"/>
          <w:highlight w:val="none"/>
        </w:rPr>
        <w:t>投标文件通过“政采云电子交易客户端”编制并加密响应文件，</w:t>
      </w:r>
      <w:r>
        <w:rPr>
          <w:rFonts w:hint="eastAsia" w:cs="宋体"/>
          <w:color w:val="auto"/>
          <w:highlight w:val="none"/>
        </w:rPr>
        <w:t>电子投标文件由投标人在招标文件规定的投标文件相关位置加盖投标人法人单位电子印章。投标文件未加盖投标人法人单位电子印章的，均作否决投标处理。</w:t>
      </w:r>
    </w:p>
    <w:p>
      <w:pPr>
        <w:spacing w:line="360" w:lineRule="auto"/>
        <w:ind w:firstLine="420" w:firstLineChars="200"/>
        <w:rPr>
          <w:rFonts w:hint="eastAsia" w:ascii="宋体" w:hAnsi="宋体"/>
          <w:b/>
          <w:color w:val="auto"/>
          <w:sz w:val="21"/>
          <w:szCs w:val="21"/>
          <w:highlight w:val="none"/>
        </w:rPr>
      </w:pPr>
      <w:r>
        <w:rPr>
          <w:rFonts w:hint="eastAsia"/>
          <w:color w:val="auto"/>
          <w:highlight w:val="none"/>
          <w:lang w:val="en-US" w:eastAsia="zh-CN"/>
        </w:rPr>
        <w:t>19</w:t>
      </w:r>
      <w:r>
        <w:rPr>
          <w:color w:val="auto"/>
          <w:highlight w:val="none"/>
        </w:rPr>
        <w:t xml:space="preserve">.4 </w:t>
      </w:r>
      <w:r>
        <w:rPr>
          <w:rFonts w:hint="eastAsia"/>
          <w:color w:val="auto"/>
          <w:highlight w:val="none"/>
        </w:rPr>
        <w:t>电子</w:t>
      </w:r>
      <w:r>
        <w:rPr>
          <w:rFonts w:hint="eastAsia" w:cs="宋体"/>
          <w:color w:val="auto"/>
          <w:highlight w:val="none"/>
        </w:rPr>
        <w:t>投标文件一份，副本份数见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0</w:t>
      </w:r>
      <w:r>
        <w:rPr>
          <w:rFonts w:hint="eastAsia" w:ascii="黑体" w:hAnsi="黑体" w:eastAsia="黑体"/>
          <w:color w:val="auto"/>
          <w:sz w:val="24"/>
          <w:highlight w:val="none"/>
        </w:rPr>
        <w:t>.投标文件的提交</w:t>
      </w:r>
    </w:p>
    <w:p>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37" w:name="_21.1投标人必须在“投标人须知中的前附表”规定的投标文件接收时间和投"/>
      <w:bookmarkEnd w:id="137"/>
      <w:r>
        <w:rPr>
          <w:rFonts w:hint="eastAsia" w:ascii="宋体" w:hAnsi="宋体"/>
          <w:b w:val="0"/>
          <w:color w:val="auto"/>
          <w:sz w:val="21"/>
          <w:szCs w:val="21"/>
          <w:highlight w:val="none"/>
        </w:rPr>
        <w:t>21.1投标人必须在“投标人须知前附表”规定的投标文件接收时间和投标地点提交投标文件。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pacing w:line="360" w:lineRule="auto"/>
        <w:ind w:firstLine="420" w:firstLineChars="200"/>
        <w:rPr>
          <w:color w:val="auto"/>
          <w:highlight w:val="none"/>
        </w:rPr>
      </w:pPr>
      <w:bookmarkStart w:id="138" w:name="_Toc254970543"/>
      <w:bookmarkStart w:id="139" w:name="_Toc254970684"/>
      <w:r>
        <w:rPr>
          <w:rFonts w:hint="eastAsia" w:ascii="宋体" w:hAnsi="宋体"/>
          <w:color w:val="auto"/>
          <w:szCs w:val="21"/>
          <w:highlight w:val="none"/>
        </w:rPr>
        <w:t>2</w:t>
      </w:r>
      <w:r>
        <w:rPr>
          <w:rFonts w:ascii="宋体" w:hAnsi="宋体"/>
          <w:color w:val="auto"/>
          <w:szCs w:val="21"/>
          <w:highlight w:val="none"/>
        </w:rPr>
        <w:t>2.1</w:t>
      </w:r>
      <w:bookmarkEnd w:id="138"/>
      <w:bookmarkEnd w:id="139"/>
      <w:r>
        <w:rPr>
          <w:rFonts w:hint="eastAsia" w:hAnsi="宋体" w:cs="宋体"/>
          <w:color w:val="auto"/>
          <w:highlight w:val="none"/>
        </w:rPr>
        <w:t>在投标人须知</w:t>
      </w:r>
      <w:r>
        <w:rPr>
          <w:rFonts w:hint="eastAsia" w:ascii="仿宋_GB2312" w:hAnsi="宋体" w:cs="宋体"/>
          <w:color w:val="auto"/>
          <w:highlight w:val="none"/>
        </w:rPr>
        <w:t>前附表</w:t>
      </w:r>
      <w:r>
        <w:rPr>
          <w:rFonts w:hint="eastAsia" w:hAnsi="宋体" w:cs="宋体"/>
          <w:color w:val="auto"/>
          <w:highlight w:val="none"/>
        </w:rPr>
        <w:t>第</w:t>
      </w:r>
      <w:r>
        <w:rPr>
          <w:color w:val="auto"/>
          <w:highlight w:val="none"/>
        </w:rPr>
        <w:t>2.2.2</w:t>
      </w:r>
      <w:r>
        <w:rPr>
          <w:rFonts w:hint="eastAsia" w:hAnsi="宋体" w:cs="宋体"/>
          <w:color w:val="auto"/>
          <w:highlight w:val="none"/>
        </w:rPr>
        <w:t>项规定的投标截止时间前，投标人可以修改或撤回已提交的投标文件，最终投标文件以投标截止时间前上传的最后一份投标文件为准。</w:t>
      </w:r>
    </w:p>
    <w:p>
      <w:pPr>
        <w:spacing w:line="360" w:lineRule="auto"/>
        <w:ind w:firstLine="420" w:firstLineChars="200"/>
        <w:rPr>
          <w:rFonts w:hint="eastAsia" w:hAnsi="宋体" w:cs="宋体"/>
          <w:color w:val="auto"/>
          <w:highlight w:val="none"/>
        </w:rPr>
      </w:pPr>
      <w:r>
        <w:rPr>
          <w:rFonts w:hint="eastAsia"/>
          <w:color w:val="auto"/>
          <w:highlight w:val="none"/>
          <w:lang w:val="en-US" w:eastAsia="zh-CN"/>
        </w:rPr>
        <w:t>22.2</w:t>
      </w:r>
      <w:r>
        <w:rPr>
          <w:color w:val="auto"/>
          <w:highlight w:val="none"/>
        </w:rPr>
        <w:t xml:space="preserve"> </w:t>
      </w:r>
      <w:r>
        <w:rPr>
          <w:rFonts w:hint="eastAsia" w:hAnsi="宋体" w:cs="宋体"/>
          <w:color w:val="auto"/>
          <w:highlight w:val="none"/>
        </w:rPr>
        <w:t>修改的内容为投标文件的组成部分。</w:t>
      </w:r>
    </w:p>
    <w:p>
      <w:pPr>
        <w:spacing w:line="360" w:lineRule="auto"/>
        <w:ind w:firstLine="420" w:firstLineChars="200"/>
        <w:rPr>
          <w:rFonts w:hint="eastAsia" w:ascii="宋体" w:hAnsi="宋体" w:cs="宋体"/>
          <w:color w:val="auto"/>
          <w:szCs w:val="21"/>
          <w:highlight w:val="none"/>
        </w:rPr>
      </w:pPr>
    </w:p>
    <w:p>
      <w:pPr>
        <w:pStyle w:val="11"/>
        <w:snapToGrid w:val="0"/>
        <w:spacing w:line="360" w:lineRule="auto"/>
        <w:ind w:firstLine="739"/>
        <w:rPr>
          <w:rFonts w:hint="eastAsia" w:ascii="宋体" w:hAnsi="宋体" w:eastAsia="宋体"/>
          <w:snapToGrid w:val="0"/>
          <w:color w:val="auto"/>
          <w:sz w:val="21"/>
          <w:szCs w:val="21"/>
          <w:highlight w:val="none"/>
        </w:rPr>
      </w:pPr>
    </w:p>
    <w:p>
      <w:pPr>
        <w:pStyle w:val="4"/>
        <w:keepNext w:val="0"/>
        <w:keepLines w:val="0"/>
        <w:jc w:val="center"/>
        <w:rPr>
          <w:rFonts w:hint="eastAsia"/>
          <w:color w:val="auto"/>
          <w:highlight w:val="none"/>
        </w:rPr>
      </w:pPr>
      <w:bookmarkStart w:id="140" w:name="_Toc254970685"/>
      <w:bookmarkStart w:id="141" w:name="_Toc254970544"/>
      <w:r>
        <w:rPr>
          <w:rFonts w:hint="eastAsia"/>
          <w:color w:val="auto"/>
          <w:highlight w:val="none"/>
        </w:rPr>
        <w:t>四、开    标</w:t>
      </w:r>
      <w:bookmarkEnd w:id="140"/>
      <w:bookmarkEnd w:id="141"/>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42" w:name="_23.开标时间和地点"/>
      <w:bookmarkEnd w:id="142"/>
      <w:r>
        <w:rPr>
          <w:rFonts w:hint="eastAsia" w:ascii="黑体" w:hAnsi="黑体" w:eastAsia="黑体"/>
          <w:color w:val="auto"/>
          <w:sz w:val="24"/>
          <w:highlight w:val="none"/>
        </w:rPr>
        <w:t>23.开标时间和地点</w:t>
      </w:r>
    </w:p>
    <w:p>
      <w:pPr>
        <w:pStyle w:val="12"/>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采购代理机构将在“投标人须知前附表”规定的时间和地点进行开标</w:t>
      </w:r>
      <w:r>
        <w:rPr>
          <w:rFonts w:hint="eastAsia" w:hAnsi="宋体"/>
          <w:bCs/>
          <w:color w:val="auto"/>
          <w:sz w:val="21"/>
          <w:highlight w:val="none"/>
          <w:lang w:eastAsia="zh-CN"/>
        </w:rPr>
        <w:t>，</w:t>
      </w:r>
      <w:r>
        <w:rPr>
          <w:rFonts w:hint="eastAsia" w:hAnsi="宋体"/>
          <w:bCs/>
          <w:color w:val="auto"/>
          <w:sz w:val="21"/>
          <w:highlight w:val="none"/>
        </w:rPr>
        <w:t>本项目开标过程实行全程录音、录像监控。</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pStyle w:val="5"/>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24.1</w:t>
      </w:r>
      <w:r>
        <w:rPr>
          <w:rFonts w:hint="eastAsia" w:ascii="宋体" w:hAnsi="宋体" w:eastAsia="宋体" w:cs="Times New Roman"/>
          <w:b w:val="0"/>
          <w:bCs/>
          <w:color w:val="auto"/>
          <w:sz w:val="21"/>
          <w:szCs w:val="21"/>
          <w:highlight w:val="none"/>
        </w:rPr>
        <w:t>采购代理机构将在“供应商须知前附表”规定的时间通过电子交易平台组织响应文件开启，采购代理机构依托电子交易平台发起开始解密指令，供应商的法定代表人或其委托代理人须携带加密时所用的CA锁按平台提示和</w:t>
      </w:r>
      <w:r>
        <w:rPr>
          <w:rFonts w:hint="eastAsia" w:ascii="宋体" w:hAnsi="宋体" w:eastAsia="宋体" w:cs="Times New Roman"/>
          <w:b w:val="0"/>
          <w:bCs/>
          <w:color w:val="auto"/>
          <w:sz w:val="21"/>
          <w:szCs w:val="21"/>
          <w:highlight w:val="none"/>
          <w:lang w:eastAsia="zh-CN"/>
        </w:rPr>
        <w:t>招标文件</w:t>
      </w:r>
      <w:r>
        <w:rPr>
          <w:rFonts w:hint="eastAsia" w:ascii="宋体" w:hAnsi="宋体" w:eastAsia="宋体" w:cs="Times New Roman"/>
          <w:b w:val="0"/>
          <w:bCs/>
          <w:color w:val="auto"/>
          <w:sz w:val="21"/>
          <w:szCs w:val="21"/>
          <w:highlight w:val="none"/>
        </w:rPr>
        <w:t>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w:t>
      </w:r>
    </w:p>
    <w:p>
      <w:pPr>
        <w:spacing w:line="360" w:lineRule="auto"/>
        <w:ind w:firstLine="420" w:firstLineChars="200"/>
        <w:rPr>
          <w:rFonts w:hint="eastAsia" w:hAnsi="宋体"/>
          <w:color w:val="auto"/>
          <w:highlight w:val="none"/>
        </w:rPr>
      </w:pPr>
      <w:r>
        <w:rPr>
          <w:rFonts w:hint="eastAsia" w:ascii="宋体" w:hAnsi="宋体" w:eastAsia="宋体" w:cs="Times New Roman"/>
          <w:b w:val="0"/>
          <w:bCs/>
          <w:color w:val="auto"/>
          <w:sz w:val="21"/>
          <w:szCs w:val="21"/>
          <w:highlight w:val="none"/>
          <w:lang w:val="en-US" w:eastAsia="zh-CN"/>
        </w:rPr>
        <w:t>24.2</w:t>
      </w:r>
      <w:r>
        <w:rPr>
          <w:rFonts w:hint="eastAsia" w:hAnsi="宋体"/>
          <w:color w:val="auto"/>
          <w:highlight w:val="none"/>
        </w:rPr>
        <w:t>电子交易活动的中止。采购过程中出现以下情形，导致电子交易平台无法正常运行，或者无法保证电子交易的公平、公正和安全时，采购代理机构可中止电子交易活动：</w:t>
      </w:r>
    </w:p>
    <w:p>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int="eastAsia" w:hAnsi="宋体"/>
          <w:color w:val="auto"/>
          <w:highlight w:val="none"/>
        </w:rPr>
      </w:pPr>
      <w:r>
        <w:rPr>
          <w:rFonts w:hint="eastAsia" w:hAnsi="宋体"/>
          <w:color w:val="auto"/>
          <w:highlight w:val="none"/>
        </w:rPr>
        <w:t>（4）其他无法保证电子交易的公平、公正和安全的情况。</w:t>
      </w:r>
    </w:p>
    <w:p>
      <w:pPr>
        <w:spacing w:line="360" w:lineRule="auto"/>
        <w:ind w:firstLine="420" w:firstLineChars="200"/>
        <w:rPr>
          <w:rFonts w:hint="eastAsia"/>
          <w:color w:val="auto"/>
          <w:highlight w:val="none"/>
        </w:rPr>
      </w:pPr>
      <w:r>
        <w:rPr>
          <w:rFonts w:hint="eastAsia" w:hAnsi="宋体"/>
          <w:color w:val="auto"/>
          <w:highlight w:val="none"/>
        </w:rPr>
        <w:t>2</w:t>
      </w:r>
      <w:r>
        <w:rPr>
          <w:rFonts w:hint="eastAsia" w:hAnsi="宋体"/>
          <w:color w:val="auto"/>
          <w:highlight w:val="none"/>
          <w:lang w:val="en-US" w:eastAsia="zh-CN"/>
        </w:rPr>
        <w:t>4.3</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rPr>
          <w:rFonts w:hint="default" w:eastAsia="宋体"/>
          <w:color w:val="auto"/>
          <w:highlight w:val="none"/>
          <w:lang w:val="en-US" w:eastAsia="zh-CN"/>
        </w:rPr>
      </w:pPr>
    </w:p>
    <w:p>
      <w:pPr>
        <w:pStyle w:val="4"/>
        <w:keepNext w:val="0"/>
        <w:keepLines w:val="0"/>
        <w:jc w:val="center"/>
        <w:rPr>
          <w:rFonts w:hint="eastAsia"/>
          <w:color w:val="auto"/>
          <w:highlight w:val="none"/>
        </w:rPr>
      </w:pPr>
      <w:r>
        <w:rPr>
          <w:rFonts w:hint="eastAsia"/>
          <w:color w:val="auto"/>
          <w:highlight w:val="none"/>
        </w:rPr>
        <w:t>五、资格审查</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43" w:name="_25.3_投标人有下列情形之一的，资格审查不通过而导致其投标无效："/>
      <w:bookmarkEnd w:id="143"/>
      <w:r>
        <w:rPr>
          <w:rFonts w:hint="eastAsia" w:ascii="宋体" w:hAnsi="宋体"/>
          <w:color w:val="auto"/>
          <w:sz w:val="21"/>
          <w:szCs w:val="21"/>
          <w:highlight w:val="none"/>
        </w:rPr>
        <w:t>25.3 投标人有下列情形之一的，资格审查不通过，作无效投标处理：</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pPr>
        <w:pStyle w:val="12"/>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pPr>
        <w:pStyle w:val="12"/>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pPr>
        <w:pStyle w:val="12"/>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12"/>
        <w:snapToGrid w:val="0"/>
        <w:spacing w:line="360" w:lineRule="auto"/>
        <w:ind w:left="689" w:leftChars="228" w:hanging="210" w:hangingChars="100"/>
        <w:rPr>
          <w:rFonts w:hint="eastAsia" w:hAnsi="宋体"/>
          <w:color w:val="auto"/>
          <w:sz w:val="21"/>
          <w:highlight w:val="none"/>
        </w:rPr>
      </w:pPr>
    </w:p>
    <w:p>
      <w:pPr>
        <w:pStyle w:val="4"/>
        <w:keepNext w:val="0"/>
        <w:keepLines w:val="0"/>
        <w:jc w:val="center"/>
        <w:rPr>
          <w:rFonts w:hint="eastAsia"/>
          <w:color w:val="auto"/>
          <w:highlight w:val="none"/>
        </w:rPr>
      </w:pPr>
      <w:r>
        <w:rPr>
          <w:rFonts w:hint="eastAsia"/>
          <w:color w:val="auto"/>
          <w:highlight w:val="none"/>
        </w:rPr>
        <w:t>六、评   标</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44" w:name="_26.组建评标委员会"/>
      <w:bookmarkEnd w:id="144"/>
      <w:r>
        <w:rPr>
          <w:rFonts w:hint="eastAsia" w:ascii="黑体" w:hAnsi="黑体" w:eastAsia="黑体"/>
          <w:color w:val="auto"/>
          <w:sz w:val="24"/>
          <w:highlight w:val="none"/>
        </w:rPr>
        <w:t>26.组建评标委员会</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12"/>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5" w:name="_28.3评标方法。本项目将按须知前附表规定的评标办法进行评标，具体评标"/>
      <w:bookmarkEnd w:id="145"/>
      <w:r>
        <w:rPr>
          <w:rFonts w:hint="eastAsia" w:hAnsi="宋体"/>
          <w:color w:val="auto"/>
          <w:sz w:val="21"/>
          <w:highlight w:val="none"/>
        </w:rPr>
        <w:t>评委表决。评标委员会成员对需要共同认定的事项存在争议的，应当按照少数服从多数的原则作出结论。</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12"/>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pPr>
        <w:pStyle w:val="12"/>
        <w:snapToGrid w:val="0"/>
        <w:spacing w:line="360" w:lineRule="auto"/>
        <w:rPr>
          <w:rFonts w:hint="eastAsia" w:hAnsi="宋体"/>
          <w:color w:val="auto"/>
          <w:sz w:val="21"/>
          <w:highlight w:val="none"/>
        </w:rPr>
      </w:pPr>
    </w:p>
    <w:p>
      <w:pPr>
        <w:pStyle w:val="12"/>
        <w:snapToGrid w:val="0"/>
        <w:spacing w:line="360" w:lineRule="auto"/>
        <w:rPr>
          <w:rFonts w:hint="eastAsia" w:hAnsi="宋体"/>
          <w:color w:val="auto"/>
          <w:sz w:val="21"/>
          <w:highlight w:val="none"/>
        </w:rPr>
      </w:pPr>
    </w:p>
    <w:p>
      <w:pPr>
        <w:pStyle w:val="12"/>
        <w:snapToGrid w:val="0"/>
        <w:spacing w:line="360" w:lineRule="auto"/>
        <w:rPr>
          <w:rFonts w:hint="eastAsia" w:hAnsi="宋体"/>
          <w:color w:val="auto"/>
          <w:sz w:val="21"/>
          <w:highlight w:val="none"/>
        </w:rPr>
      </w:pPr>
    </w:p>
    <w:p>
      <w:pPr>
        <w:pStyle w:val="4"/>
        <w:keepNext w:val="0"/>
        <w:keepLines w:val="0"/>
        <w:jc w:val="center"/>
        <w:rPr>
          <w:rFonts w:hint="eastAsia"/>
          <w:color w:val="auto"/>
          <w:highlight w:val="none"/>
        </w:rPr>
      </w:pPr>
      <w:bookmarkStart w:id="146" w:name="_Toc254970546"/>
      <w:bookmarkStart w:id="147" w:name="_Toc254970687"/>
      <w:r>
        <w:rPr>
          <w:rFonts w:hint="eastAsia"/>
          <w:color w:val="auto"/>
          <w:highlight w:val="none"/>
        </w:rPr>
        <w:t>七、</w:t>
      </w:r>
      <w:bookmarkEnd w:id="146"/>
      <w:bookmarkEnd w:id="147"/>
      <w:r>
        <w:rPr>
          <w:rFonts w:hint="eastAsia"/>
          <w:color w:val="auto"/>
          <w:highlight w:val="none"/>
        </w:rPr>
        <w:t>中标和合同</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w:t>
      </w:r>
      <w:r>
        <w:rPr>
          <w:rFonts w:hint="eastAsia" w:ascii="宋体" w:hAnsi="宋体"/>
          <w:color w:val="auto"/>
          <w:szCs w:val="21"/>
          <w:highlight w:val="none"/>
          <w:lang w:eastAsia="zh-CN"/>
        </w:rPr>
        <w:t>招标文件</w:t>
      </w:r>
      <w:r>
        <w:rPr>
          <w:rFonts w:hint="eastAsia" w:ascii="宋体" w:hAnsi="宋体"/>
          <w:color w:val="auto"/>
          <w:szCs w:val="21"/>
          <w:highlight w:val="none"/>
        </w:rPr>
        <w:t>一并保存。</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5"/>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8" w:name="_39.1中标人须于签订合同前按本须知前附表规定的金额转账或电汇到指定账"/>
      <w:bookmarkEnd w:id="148"/>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5"/>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5"/>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bookmarkStart w:id="149" w:name="_40.1投标人接到中标通知书后，按须知前附表规定向采购人出示相关资格证"/>
      <w:bookmarkEnd w:id="149"/>
      <w:r>
        <w:rPr>
          <w:rFonts w:hint="eastAsia" w:ascii="宋体" w:hAnsi="宋体"/>
          <w:b w:val="0"/>
          <w:color w:val="auto"/>
          <w:sz w:val="21"/>
          <w:szCs w:val="21"/>
          <w:highlight w:val="none"/>
        </w:rPr>
        <w:t xml:space="preserve"> 36.1投标人领取中标通知书后，按“投标人须知前附表”规定向采购人出示相关证明材料，经采购人核验合格后方可签订合同。</w:t>
      </w:r>
    </w:p>
    <w:p>
      <w:pPr>
        <w:pStyle w:val="5"/>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50" w:name="_41.政府采购合同公告"/>
      <w:bookmarkEnd w:id="150"/>
      <w:r>
        <w:rPr>
          <w:rFonts w:hint="eastAsia" w:ascii="黑体" w:hAnsi="黑体" w:eastAsia="黑体"/>
          <w:color w:val="auto"/>
          <w:sz w:val="24"/>
          <w:highlight w:val="none"/>
        </w:rPr>
        <w:t>37.政府采购合同公告</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5"/>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6"/>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2"/>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2"/>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2"/>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2"/>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2"/>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5"/>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2"/>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1</w:t>
      </w:r>
      <w:r>
        <w:rPr>
          <w:rFonts w:hint="eastAsia" w:hAnsi="宋体"/>
          <w:bCs/>
          <w:color w:val="auto"/>
          <w:sz w:val="21"/>
          <w:highlight w:val="none"/>
        </w:rPr>
        <w:t>）对招标文件提出的质疑，依法通过澄清或者修改可以继续开展采购活动的，澄清或者修改招标文件后继续开展采购活动；否则应当修改招标文件后重新开展采购活动。</w:t>
      </w:r>
    </w:p>
    <w:p>
      <w:pPr>
        <w:pStyle w:val="12"/>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2</w:t>
      </w:r>
      <w:r>
        <w:rPr>
          <w:rFonts w:hint="eastAsia" w:hAnsi="宋体"/>
          <w:bCs/>
          <w:color w:val="auto"/>
          <w:sz w:val="21"/>
          <w:highlight w:val="none"/>
        </w:rPr>
        <w:t>）对采购过程、中标结果提出的质疑，合格供应商符合法定数量时，可以从合格的中标候选人中另行确定中标供应商的，应当依法另行确定中标供应商；否则应当重新开展采购活动。</w:t>
      </w:r>
    </w:p>
    <w:p>
      <w:pPr>
        <w:pStyle w:val="12"/>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2"/>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监督部门</w:t>
      </w:r>
      <w:r>
        <w:rPr>
          <w:rFonts w:hint="eastAsia" w:hAnsi="宋体"/>
          <w:color w:val="auto"/>
          <w:sz w:val="21"/>
          <w:highlight w:val="none"/>
          <w:lang w:val="en-US" w:eastAsia="zh-CN"/>
        </w:rPr>
        <w:t>联系方式</w:t>
      </w:r>
      <w:r>
        <w:rPr>
          <w:rFonts w:hint="eastAsia" w:hAnsi="宋体"/>
          <w:color w:val="auto"/>
          <w:sz w:val="21"/>
          <w:highlight w:val="none"/>
        </w:rPr>
        <w:t>：</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靖西市财政局 电话：0776-6231753</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靖西市卫生健康局 电话：0776-6231963</w:t>
      </w:r>
    </w:p>
    <w:p>
      <w:pPr>
        <w:pStyle w:val="12"/>
        <w:snapToGrid w:val="0"/>
        <w:spacing w:line="360" w:lineRule="auto"/>
        <w:ind w:firstLine="420" w:firstLineChars="200"/>
        <w:rPr>
          <w:rFonts w:hint="eastAsia"/>
          <w:color w:val="auto"/>
          <w:highlight w:val="none"/>
        </w:rPr>
      </w:pPr>
      <w:r>
        <w:rPr>
          <w:rFonts w:hint="eastAsia" w:hAnsi="宋体"/>
          <w:color w:val="auto"/>
          <w:sz w:val="21"/>
          <w:highlight w:val="none"/>
        </w:rPr>
        <w:t>靖西市纪委监察委 举报电话 0776-6229906</w:t>
      </w:r>
      <w:bookmarkStart w:id="151" w:name="_八、其他事项"/>
      <w:bookmarkEnd w:id="151"/>
    </w:p>
    <w:p>
      <w:pPr>
        <w:pStyle w:val="4"/>
        <w:keepNext w:val="0"/>
        <w:keepLines w:val="0"/>
        <w:jc w:val="center"/>
        <w:rPr>
          <w:rFonts w:hint="eastAsia"/>
          <w:color w:val="auto"/>
          <w:highlight w:val="none"/>
        </w:rPr>
      </w:pPr>
      <w:r>
        <w:rPr>
          <w:rFonts w:hint="eastAsia"/>
          <w:color w:val="auto"/>
          <w:highlight w:val="none"/>
        </w:rPr>
        <w:t>八、其他事项</w:t>
      </w:r>
    </w:p>
    <w:p>
      <w:pPr>
        <w:pStyle w:val="5"/>
        <w:keepNext w:val="0"/>
        <w:keepLines w:val="0"/>
        <w:spacing w:before="0" w:after="0" w:line="360" w:lineRule="auto"/>
        <w:ind w:left="420" w:leftChars="200"/>
        <w:rPr>
          <w:rFonts w:hint="eastAsia" w:ascii="黑体" w:hAnsi="黑体" w:eastAsia="黑体"/>
          <w:color w:val="auto"/>
          <w:sz w:val="24"/>
          <w:highlight w:val="none"/>
        </w:rPr>
      </w:pPr>
      <w:bookmarkStart w:id="152" w:name="_42.代理服务费"/>
      <w:bookmarkEnd w:id="152"/>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w:t>
      </w:r>
    </w:p>
    <w:p>
      <w:pPr>
        <w:pStyle w:val="5"/>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53"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2"/>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53"/>
    </w:p>
    <w:p>
      <w:pPr>
        <w:spacing w:line="360" w:lineRule="auto"/>
        <w:ind w:firstLine="420" w:firstLineChars="200"/>
        <w:rPr>
          <w:rFonts w:hint="eastAsia" w:cs="宋体"/>
          <w:color w:val="auto"/>
          <w:highlight w:val="none"/>
          <w:lang w:eastAsia="zh-CN"/>
        </w:rPr>
      </w:pPr>
      <w:r>
        <w:rPr>
          <w:rFonts w:hint="eastAsia" w:hAnsi="宋体" w:cs="宋体"/>
          <w:color w:val="auto"/>
          <w:sz w:val="21"/>
          <w:highlight w:val="none"/>
          <w:lang w:val="en-US" w:eastAsia="zh-CN"/>
        </w:rPr>
        <w:t xml:space="preserve">    40.4</w:t>
      </w:r>
      <w:r>
        <w:rPr>
          <w:rFonts w:hint="eastAsia" w:cs="宋体"/>
          <w:color w:val="auto"/>
          <w:highlight w:val="none"/>
        </w:rPr>
        <w:t>监狱企业</w:t>
      </w:r>
      <w:r>
        <w:rPr>
          <w:rFonts w:hint="eastAsia" w:cs="宋体"/>
          <w:color w:val="auto"/>
          <w:highlight w:val="none"/>
          <w:lang w:eastAsia="zh-CN"/>
        </w:rPr>
        <w:t>：</w:t>
      </w:r>
    </w:p>
    <w:p>
      <w:pPr>
        <w:spacing w:line="360" w:lineRule="auto"/>
        <w:ind w:firstLine="420" w:firstLineChars="200"/>
        <w:rPr>
          <w:rFonts w:hint="eastAsia" w:cs="宋体"/>
          <w:color w:val="auto"/>
          <w:highlight w:val="none"/>
        </w:rPr>
      </w:pPr>
      <w:r>
        <w:rPr>
          <w:rFonts w:hint="eastAsia" w:cs="宋体"/>
          <w:color w:val="auto"/>
          <w:highlight w:val="none"/>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ind w:firstLine="420" w:firstLineChars="200"/>
        <w:rPr>
          <w:rFonts w:hint="eastAsia" w:cs="宋体"/>
          <w:color w:val="auto"/>
          <w:highlight w:val="none"/>
          <w:lang w:val="en-US" w:eastAsia="zh-CN"/>
        </w:rPr>
      </w:pPr>
      <w:r>
        <w:rPr>
          <w:rFonts w:hint="eastAsia" w:cs="宋体"/>
          <w:color w:val="auto"/>
          <w:highlight w:val="none"/>
          <w:lang w:val="en-US" w:eastAsia="zh-CN"/>
        </w:rPr>
        <w:t>40.5残疾人福利性单位：</w:t>
      </w:r>
    </w:p>
    <w:p>
      <w:pPr>
        <w:spacing w:line="360" w:lineRule="auto"/>
        <w:ind w:firstLine="420" w:firstLineChars="200"/>
        <w:rPr>
          <w:rFonts w:hint="eastAsia" w:cs="宋体"/>
          <w:color w:val="auto"/>
          <w:highlight w:val="none"/>
        </w:rPr>
      </w:pPr>
      <w:r>
        <w:rPr>
          <w:rFonts w:hint="eastAsia" w:cs="宋体"/>
          <w:color w:val="auto"/>
          <w:highlight w:val="none"/>
        </w:rPr>
        <w:t>根据《关于促进残疾人就业政府采购政策的通知》（财库〔2017〕141号）的规定，享受政府采购支持政策的残疾人福利性单位应当同时满足以下条件：</w:t>
      </w:r>
    </w:p>
    <w:p>
      <w:pPr>
        <w:spacing w:line="360" w:lineRule="auto"/>
        <w:rPr>
          <w:rFonts w:hint="eastAsia" w:cs="宋体"/>
          <w:color w:val="auto"/>
          <w:highlight w:val="none"/>
        </w:rPr>
      </w:pPr>
      <w:r>
        <w:rPr>
          <w:rFonts w:hint="eastAsia" w:cs="宋体"/>
          <w:color w:val="auto"/>
          <w:highlight w:val="none"/>
        </w:rPr>
        <w:t>（1）安置的残疾人占本单位在职职工人数的比例不低于25%（含25%），并且安置的残疾人人数不少于10人（含10人）；</w:t>
      </w:r>
    </w:p>
    <w:p>
      <w:pPr>
        <w:spacing w:line="360" w:lineRule="auto"/>
        <w:rPr>
          <w:rFonts w:hint="eastAsia" w:cs="宋体"/>
          <w:color w:val="auto"/>
          <w:highlight w:val="none"/>
        </w:rPr>
      </w:pPr>
      <w:r>
        <w:rPr>
          <w:rFonts w:hint="eastAsia" w:cs="宋体"/>
          <w:color w:val="auto"/>
          <w:highlight w:val="none"/>
        </w:rPr>
        <w:t>（2）依法与安置的每位残疾人签订了一年以上（含一年）的劳动合同或服务协议；</w:t>
      </w:r>
    </w:p>
    <w:p>
      <w:pPr>
        <w:spacing w:line="360" w:lineRule="auto"/>
        <w:rPr>
          <w:rFonts w:hint="eastAsia" w:cs="宋体"/>
          <w:color w:val="auto"/>
          <w:highlight w:val="none"/>
        </w:rPr>
      </w:pPr>
      <w:r>
        <w:rPr>
          <w:rFonts w:hint="eastAsia" w:cs="宋体"/>
          <w:color w:val="auto"/>
          <w:highlight w:val="none"/>
        </w:rPr>
        <w:t>（3）为安置的每位残疾人按月足额缴纳了基本养老保险、基本医疗保险、失业保险、工伤保险和生育保险等社会保险费；</w:t>
      </w:r>
    </w:p>
    <w:p>
      <w:pPr>
        <w:spacing w:line="360" w:lineRule="auto"/>
        <w:rPr>
          <w:rFonts w:hint="eastAsia" w:cs="宋体"/>
          <w:color w:val="auto"/>
          <w:highlight w:val="none"/>
        </w:rPr>
      </w:pPr>
      <w:r>
        <w:rPr>
          <w:rFonts w:hint="eastAsia" w:cs="宋体"/>
          <w:color w:val="auto"/>
          <w:highlight w:val="none"/>
        </w:rPr>
        <w:t>（4）通过银行等金融机构向安置的每位残疾人，按月支付了不低于单位所在区县适用的经省级人民政府批准的月最低工资标准的工资；</w:t>
      </w:r>
    </w:p>
    <w:p>
      <w:pPr>
        <w:spacing w:line="360" w:lineRule="auto"/>
        <w:rPr>
          <w:rFonts w:hint="eastAsia" w:cs="宋体"/>
          <w:color w:val="auto"/>
          <w:highlight w:val="none"/>
        </w:rPr>
      </w:pPr>
      <w:r>
        <w:rPr>
          <w:rFonts w:hint="eastAsia" w:cs="宋体"/>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rPr>
          <w:rFonts w:hint="eastAsia" w:cs="宋体"/>
          <w:color w:val="auto"/>
          <w:highlight w:val="none"/>
        </w:rPr>
      </w:pPr>
      <w:r>
        <w:rPr>
          <w:rFonts w:hint="eastAsia"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default" w:eastAsia="宋体"/>
          <w:color w:val="auto"/>
          <w:highlight w:val="none"/>
          <w:lang w:val="en-US" w:eastAsia="zh-CN"/>
        </w:rPr>
      </w:pPr>
      <w:r>
        <w:rPr>
          <w:rFonts w:hint="eastAsia" w:cs="宋体"/>
          <w:color w:val="auto"/>
          <w:highlight w:val="none"/>
        </w:rPr>
        <w:t>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hAnsi="宋体"/>
          <w:color w:val="auto"/>
          <w:highlight w:val="none"/>
        </w:rPr>
      </w:pPr>
      <w:r>
        <w:rPr>
          <w:rFonts w:hAnsi="宋体"/>
          <w:color w:val="auto"/>
          <w:highlight w:val="none"/>
        </w:rPr>
        <w:br w:type="page"/>
      </w:r>
      <w:r>
        <w:rPr>
          <w:rFonts w:hint="eastAsia" w:ascii="黑体" w:hAnsi="黑体" w:eastAsia="黑体" w:cs="黑体"/>
          <w:bCs/>
          <w:color w:val="auto"/>
          <w:sz w:val="32"/>
          <w:szCs w:val="32"/>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1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w:t>
            </w:r>
            <w:r>
              <w:rPr>
                <w:rFonts w:hint="eastAsia" w:ascii="Verdana" w:hAnsi="Verdana" w:cs="宋体"/>
                <w:color w:val="auto"/>
                <w:kern w:val="0"/>
                <w:szCs w:val="21"/>
                <w:highlight w:val="none"/>
                <w:lang w:eastAsia="zh-CN"/>
              </w:rPr>
              <w:t>招标文件、</w:t>
            </w:r>
            <w:r>
              <w:rPr>
                <w:rFonts w:ascii="Verdana" w:hAnsi="Verdana" w:cs="宋体"/>
                <w:color w:val="auto"/>
                <w:kern w:val="0"/>
                <w:szCs w:val="21"/>
                <w:highlight w:val="none"/>
              </w:rPr>
              <w:t>磋商文件、</w:t>
            </w:r>
            <w:r>
              <w:rPr>
                <w:rFonts w:hint="eastAsia" w:ascii="Verdana" w:hAnsi="Verdana" w:cs="宋体"/>
                <w:color w:val="auto"/>
                <w:kern w:val="0"/>
                <w:szCs w:val="21"/>
                <w:highlight w:val="none"/>
                <w:lang w:eastAsia="zh-CN"/>
              </w:rPr>
              <w:t>投标</w:t>
            </w:r>
            <w:r>
              <w:rPr>
                <w:rFonts w:ascii="Verdana" w:hAnsi="Verdana" w:cs="宋体"/>
                <w:color w:val="auto"/>
                <w:kern w:val="0"/>
                <w:szCs w:val="21"/>
                <w:highlight w:val="none"/>
              </w:rPr>
              <w:t>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lang w:eastAsia="zh-CN"/>
              </w:rPr>
              <w:t>中标</w:t>
            </w:r>
            <w:r>
              <w:rPr>
                <w:rFonts w:hint="eastAsia" w:ascii="Verdana" w:hAnsi="Verdana" w:cs="宋体"/>
                <w:color w:val="auto"/>
                <w:kern w:val="0"/>
                <w:szCs w:val="21"/>
                <w:highlight w:val="none"/>
                <w:lang w:val="en-US" w:eastAsia="zh-CN"/>
              </w:rPr>
              <w:t>/</w:t>
            </w: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0"/>
        <w:ind w:left="479" w:leftChars="114" w:hanging="240" w:hangingChars="100"/>
        <w:rPr>
          <w:rFonts w:hAnsi="宋体"/>
          <w:color w:val="auto"/>
          <w:highlight w:val="none"/>
        </w:rPr>
      </w:pPr>
      <w:r>
        <w:rPr>
          <w:rFonts w:hAnsi="宋体"/>
          <w:color w:val="auto"/>
          <w:highlight w:val="none"/>
        </w:rPr>
        <w:br w:type="page"/>
      </w:r>
    </w:p>
    <w:p>
      <w:pPr>
        <w:pStyle w:val="10"/>
        <w:ind w:left="479" w:leftChars="114" w:hanging="240" w:hangingChars="100"/>
        <w:rPr>
          <w:rFonts w:hAnsi="宋体"/>
          <w:color w:val="auto"/>
          <w:highlight w:val="none"/>
        </w:rPr>
      </w:pPr>
    </w:p>
    <w:p>
      <w:pPr>
        <w:pStyle w:val="10"/>
        <w:ind w:left="479" w:leftChars="114" w:hanging="240" w:hangingChars="100"/>
        <w:rPr>
          <w:rFonts w:hAnsi="宋体"/>
          <w:color w:val="auto"/>
          <w:highlight w:val="none"/>
        </w:rPr>
      </w:pPr>
    </w:p>
    <w:p>
      <w:pPr>
        <w:pStyle w:val="10"/>
        <w:ind w:left="479" w:leftChars="114" w:hanging="240" w:hangingChars="10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12"/>
        <w:snapToGrid w:val="0"/>
        <w:spacing w:before="120" w:after="120"/>
        <w:rPr>
          <w:rFonts w:hint="eastAsia" w:hAnsi="宋体"/>
          <w:color w:val="auto"/>
          <w:highlight w:val="none"/>
        </w:rPr>
      </w:pPr>
    </w:p>
    <w:p>
      <w:pPr>
        <w:pStyle w:val="2"/>
        <w:jc w:val="center"/>
        <w:rPr>
          <w:rFonts w:hint="eastAsia"/>
          <w:color w:val="auto"/>
          <w:highlight w:val="none"/>
        </w:rPr>
      </w:pPr>
      <w:bookmarkStart w:id="154" w:name="_Toc254970689"/>
      <w:bookmarkStart w:id="155" w:name="_Toc254970548"/>
      <w:bookmarkStart w:id="156" w:name="_Toc330456896"/>
      <w:bookmarkStart w:id="157" w:name="_Toc74320803"/>
      <w:r>
        <w:rPr>
          <w:rFonts w:hint="eastAsia"/>
          <w:color w:val="auto"/>
          <w:highlight w:val="none"/>
        </w:rPr>
        <w:t>第四章  评标方法及评标标准</w:t>
      </w:r>
      <w:bookmarkEnd w:id="154"/>
      <w:bookmarkEnd w:id="155"/>
      <w:bookmarkEnd w:id="156"/>
      <w:bookmarkEnd w:id="157"/>
    </w:p>
    <w:p>
      <w:pPr>
        <w:pStyle w:val="12"/>
        <w:spacing w:before="120" w:after="120"/>
        <w:outlineLvl w:val="0"/>
        <w:rPr>
          <w:rFonts w:hint="eastAsia" w:hAnsi="宋体"/>
          <w:b/>
          <w:color w:val="auto"/>
          <w:highlight w:val="none"/>
        </w:rPr>
      </w:pPr>
      <w:bookmarkStart w:id="158" w:name="_Toc254970549"/>
      <w:bookmarkStart w:id="159" w:name="_Toc254970690"/>
    </w:p>
    <w:bookmarkEnd w:id="158"/>
    <w:bookmarkEnd w:id="159"/>
    <w:p>
      <w:pPr>
        <w:pStyle w:val="12"/>
        <w:spacing w:before="120" w:after="120"/>
        <w:outlineLvl w:val="0"/>
        <w:rPr>
          <w:rFonts w:hint="eastAsia" w:hAnsi="宋体"/>
          <w:bCs/>
          <w:color w:val="auto"/>
          <w:sz w:val="32"/>
          <w:szCs w:val="32"/>
          <w:highlight w:val="none"/>
        </w:rPr>
      </w:pPr>
    </w:p>
    <w:p>
      <w:pPr>
        <w:pStyle w:val="12"/>
        <w:spacing w:before="120" w:after="120"/>
        <w:outlineLvl w:val="0"/>
        <w:rPr>
          <w:rFonts w:hint="eastAsia" w:hAnsi="宋体"/>
          <w:bCs/>
          <w:color w:val="auto"/>
          <w:sz w:val="32"/>
          <w:szCs w:val="32"/>
          <w:highlight w:val="none"/>
        </w:rPr>
      </w:pPr>
    </w:p>
    <w:p>
      <w:pPr>
        <w:pStyle w:val="12"/>
        <w:spacing w:before="120" w:after="120"/>
        <w:outlineLvl w:val="0"/>
        <w:rPr>
          <w:rFonts w:hint="eastAsia" w:hAnsi="宋体"/>
          <w:bCs/>
          <w:color w:val="auto"/>
          <w:sz w:val="32"/>
          <w:szCs w:val="32"/>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12"/>
        <w:spacing w:line="360" w:lineRule="exact"/>
        <w:rPr>
          <w:rFonts w:hint="eastAsia" w:hAnsi="宋体"/>
          <w:b/>
          <w:color w:val="auto"/>
          <w:sz w:val="24"/>
          <w:highlight w:val="none"/>
        </w:rPr>
      </w:pPr>
    </w:p>
    <w:p>
      <w:pPr>
        <w:pStyle w:val="4"/>
        <w:keepNext w:val="0"/>
        <w:keepLines w:val="0"/>
        <w:jc w:val="center"/>
        <w:rPr>
          <w:color w:val="auto"/>
          <w:sz w:val="30"/>
          <w:szCs w:val="30"/>
          <w:highlight w:val="none"/>
        </w:rPr>
      </w:pPr>
      <w:r>
        <w:rPr>
          <w:rFonts w:hint="eastAsia"/>
          <w:color w:val="auto"/>
          <w:sz w:val="30"/>
          <w:szCs w:val="30"/>
          <w:highlight w:val="none"/>
        </w:rPr>
        <w:br w:type="page"/>
      </w:r>
      <w:r>
        <w:rPr>
          <w:rFonts w:hint="eastAsia"/>
          <w:color w:val="auto"/>
          <w:sz w:val="30"/>
          <w:szCs w:val="30"/>
          <w:highlight w:val="none"/>
        </w:rPr>
        <w:t>一、评标方法</w:t>
      </w:r>
    </w:p>
    <w:p>
      <w:pPr>
        <w:pStyle w:val="12"/>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4"/>
        <w:keepNext w:val="0"/>
        <w:keepLines w:val="0"/>
        <w:jc w:val="center"/>
        <w:rPr>
          <w:rFonts w:hint="eastAsia"/>
          <w:color w:val="auto"/>
          <w:sz w:val="30"/>
          <w:szCs w:val="30"/>
          <w:highlight w:val="none"/>
        </w:rPr>
      </w:pPr>
      <w:r>
        <w:rPr>
          <w:rFonts w:hint="eastAsia"/>
          <w:color w:val="auto"/>
          <w:sz w:val="30"/>
          <w:szCs w:val="30"/>
          <w:highlight w:val="none"/>
        </w:rPr>
        <w:t>二、评标程序</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2"/>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条（2）情形的；</w:t>
      </w:r>
    </w:p>
    <w:p>
      <w:pPr>
        <w:pStyle w:val="6"/>
        <w:numPr>
          <w:ilvl w:val="0"/>
          <w:numId w:val="7"/>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8"/>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60"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60"/>
    </w:p>
    <w:p>
      <w:pPr>
        <w:pStyle w:val="11"/>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5"/>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2"/>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2"/>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5"/>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5"/>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pStyle w:val="4"/>
        <w:keepNext w:val="0"/>
        <w:keepLines w:val="0"/>
        <w:spacing w:line="240" w:lineRule="auto"/>
        <w:jc w:val="center"/>
        <w:rPr>
          <w:rFonts w:hint="eastAsia"/>
          <w:b w:val="0"/>
          <w:bCs w:val="0"/>
          <w:color w:val="auto"/>
          <w:highlight w:val="none"/>
        </w:rPr>
      </w:pPr>
      <w:r>
        <w:rPr>
          <w:rFonts w:hint="eastAsia"/>
          <w:color w:val="auto"/>
          <w:highlight w:val="none"/>
        </w:rPr>
        <w:t>综合评分法</w:t>
      </w:r>
    </w:p>
    <w:tbl>
      <w:tblPr>
        <w:tblStyle w:val="17"/>
        <w:tblpPr w:leftFromText="180" w:rightFromText="180" w:vertAnchor="text" w:horzAnchor="page" w:tblpX="1170" w:tblpY="980"/>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82"/>
        <w:gridCol w:w="1428"/>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序号</w:t>
            </w:r>
          </w:p>
        </w:tc>
        <w:tc>
          <w:tcPr>
            <w:tcW w:w="2382"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评审因素</w:t>
            </w:r>
          </w:p>
        </w:tc>
        <w:tc>
          <w:tcPr>
            <w:tcW w:w="6623" w:type="dxa"/>
            <w:gridSpan w:val="2"/>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1</w:t>
            </w:r>
          </w:p>
        </w:tc>
        <w:tc>
          <w:tcPr>
            <w:tcW w:w="2382"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投标报价（满分30分）</w:t>
            </w:r>
          </w:p>
        </w:tc>
        <w:tc>
          <w:tcPr>
            <w:tcW w:w="6623" w:type="dxa"/>
            <w:gridSpan w:val="2"/>
            <w:noWrap w:val="0"/>
            <w:vAlign w:val="center"/>
          </w:tcPr>
          <w:p>
            <w:pPr>
              <w:pStyle w:val="12"/>
              <w:numPr>
                <w:ilvl w:val="0"/>
                <w:numId w:val="0"/>
              </w:numPr>
              <w:spacing w:line="360" w:lineRule="auto"/>
              <w:rPr>
                <w:rFonts w:hint="eastAsia" w:hAnsi="宋体"/>
                <w:bCs/>
                <w:color w:val="auto"/>
                <w:sz w:val="21"/>
                <w:highlight w:val="none"/>
              </w:rPr>
            </w:pPr>
            <w:r>
              <w:rPr>
                <w:rFonts w:hint="eastAsia" w:hAnsi="宋体"/>
                <w:bCs/>
                <w:color w:val="auto"/>
                <w:sz w:val="21"/>
                <w:highlight w:val="none"/>
              </w:rPr>
              <w:t>评标基准价的确定方法</w:t>
            </w:r>
          </w:p>
          <w:p>
            <w:pPr>
              <w:pStyle w:val="12"/>
              <w:spacing w:line="360" w:lineRule="auto"/>
              <w:rPr>
                <w:rFonts w:hint="eastAsia" w:hAnsi="宋体"/>
                <w:bCs/>
                <w:color w:val="auto"/>
                <w:sz w:val="21"/>
                <w:highlight w:val="none"/>
              </w:rPr>
            </w:pPr>
            <w:r>
              <w:rPr>
                <w:rFonts w:hint="eastAsia" w:hAnsi="宋体"/>
                <w:bCs/>
                <w:color w:val="auto"/>
                <w:sz w:val="21"/>
                <w:highlight w:val="none"/>
              </w:rPr>
              <w:t>（1）按照《政府采购促进中小企业发展管理办法》（财库[2020]46 号）、《关于进一步加大政府采购支持中小企业力度的通知》（财库〔2022〕19 号）规定：①投标人提供的货物全部由符合政策要求的小型、微型企业制造，投标文件中提供《中小企业声明函》的，投标人投标报价给予 20%的扣除，扣除后的价格为评标报价，即投标人的评标报价=投标报价×（1-20%）；</w:t>
            </w:r>
          </w:p>
          <w:p>
            <w:pPr>
              <w:pStyle w:val="12"/>
              <w:spacing w:line="360" w:lineRule="auto"/>
              <w:rPr>
                <w:rFonts w:hint="eastAsia" w:hAnsi="宋体"/>
                <w:bCs/>
                <w:color w:val="auto"/>
                <w:sz w:val="21"/>
                <w:highlight w:val="none"/>
              </w:rPr>
            </w:pPr>
            <w:r>
              <w:rPr>
                <w:rFonts w:hint="eastAsia" w:hAnsi="宋体"/>
                <w:bCs/>
                <w:color w:val="auto"/>
                <w:sz w:val="21"/>
                <w:highlight w:val="none"/>
              </w:rPr>
              <w:t>②投标人为大中型企业与小型、微型企业组成联合体参与投标的，其中小型、微型企业的协议合同金额占到联合体协议合同总金额 30%以上（含 30%）的（供应商须于《联合体协议书》中明确约定小型、</w:t>
            </w:r>
          </w:p>
          <w:p>
            <w:pPr>
              <w:pStyle w:val="12"/>
              <w:spacing w:line="360" w:lineRule="auto"/>
              <w:rPr>
                <w:rFonts w:hint="eastAsia" w:hAnsi="宋体"/>
                <w:bCs/>
                <w:color w:val="auto"/>
                <w:sz w:val="21"/>
                <w:highlight w:val="none"/>
              </w:rPr>
            </w:pPr>
            <w:r>
              <w:rPr>
                <w:rFonts w:hint="eastAsia" w:hAnsi="宋体"/>
                <w:bCs/>
                <w:color w:val="auto"/>
                <w:sz w:val="21"/>
                <w:highlight w:val="none"/>
              </w:rPr>
              <w:t>微型企业的协议合同金额及所占比例，该金额应与投标报价表所报金额对应一致），联合体供应商最后报价给予 4%的价格扣除，扣除后的价格为评审报价，即评审报价=最后报价×（1-4%）；</w:t>
            </w:r>
          </w:p>
          <w:p>
            <w:pPr>
              <w:pStyle w:val="12"/>
              <w:spacing w:line="360" w:lineRule="auto"/>
              <w:rPr>
                <w:rFonts w:hint="eastAsia" w:hAnsi="宋体"/>
                <w:bCs/>
                <w:color w:val="auto"/>
                <w:sz w:val="21"/>
                <w:highlight w:val="none"/>
              </w:rPr>
            </w:pPr>
            <w:r>
              <w:rPr>
                <w:rFonts w:hint="eastAsia" w:hAnsi="宋体"/>
                <w:bCs/>
                <w:color w:val="auto"/>
                <w:sz w:val="21"/>
                <w:highlight w:val="none"/>
              </w:rPr>
              <w:t>③除上述情况外，评标报价=投标报价。</w:t>
            </w:r>
          </w:p>
          <w:p>
            <w:pPr>
              <w:pStyle w:val="12"/>
              <w:spacing w:line="360" w:lineRule="auto"/>
              <w:rPr>
                <w:rFonts w:hint="eastAsia" w:hAnsi="宋体"/>
                <w:bCs/>
                <w:color w:val="auto"/>
                <w:sz w:val="21"/>
                <w:highlight w:val="none"/>
              </w:rPr>
            </w:pPr>
            <w:r>
              <w:rPr>
                <w:rFonts w:hint="eastAsia" w:hAnsi="宋体"/>
                <w:bCs/>
                <w:color w:val="auto"/>
                <w:sz w:val="21"/>
                <w:highlight w:val="none"/>
              </w:rPr>
              <w:t>注：①小型、微型企业提供中型企业制造的货物的，视同为中型企业。</w:t>
            </w:r>
          </w:p>
          <w:p>
            <w:pPr>
              <w:pStyle w:val="12"/>
              <w:spacing w:line="360" w:lineRule="auto"/>
              <w:rPr>
                <w:rFonts w:hint="eastAsia" w:hAnsi="宋体"/>
                <w:bCs/>
                <w:color w:val="auto"/>
                <w:sz w:val="21"/>
                <w:highlight w:val="none"/>
              </w:rPr>
            </w:pPr>
            <w:r>
              <w:rPr>
                <w:rFonts w:hint="eastAsia" w:hAnsi="宋体"/>
                <w:bCs/>
                <w:color w:val="auto"/>
                <w:sz w:val="21"/>
                <w:highlight w:val="none"/>
              </w:rPr>
              <w:t>④评标报价为投标人的投标报价进行政策性扣除后的价格，评标报价只是作为评标时使用。最终中标人的中标金额＝投标报价。</w:t>
            </w:r>
          </w:p>
          <w:p>
            <w:pPr>
              <w:pStyle w:val="12"/>
              <w:spacing w:line="360" w:lineRule="auto"/>
              <w:rPr>
                <w:rFonts w:hint="eastAsia" w:hAnsi="宋体"/>
                <w:bCs/>
                <w:color w:val="auto"/>
                <w:sz w:val="21"/>
                <w:highlight w:val="none"/>
              </w:rPr>
            </w:pPr>
            <w:r>
              <w:rPr>
                <w:rFonts w:hint="eastAsia" w:hAnsi="宋体"/>
                <w:bCs/>
                <w:color w:val="auto"/>
                <w:sz w:val="21"/>
                <w:highlight w:val="none"/>
              </w:rPr>
              <w:t>（2）根据《关于政府采购支持监狱企业发展有关问题的通知》（财库[2014]68 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pPr>
              <w:pStyle w:val="12"/>
              <w:spacing w:line="360" w:lineRule="auto"/>
              <w:rPr>
                <w:rFonts w:hint="eastAsia" w:hAnsi="宋体"/>
                <w:bCs/>
                <w:color w:val="auto"/>
                <w:sz w:val="21"/>
                <w:highlight w:val="none"/>
              </w:rPr>
            </w:pPr>
            <w:r>
              <w:rPr>
                <w:rFonts w:hint="eastAsia" w:hAnsi="宋体"/>
                <w:bCs/>
                <w:color w:val="auto"/>
                <w:sz w:val="21"/>
                <w:highlight w:val="none"/>
              </w:rPr>
              <w:t>（3）满足招标文件要求且投标价格最低的投标报价为评标基准价，得 30 分。</w:t>
            </w:r>
          </w:p>
          <w:p>
            <w:pPr>
              <w:pStyle w:val="12"/>
              <w:spacing w:line="360" w:lineRule="auto"/>
              <w:rPr>
                <w:rFonts w:hint="eastAsia" w:hAnsi="宋体"/>
                <w:bCs/>
                <w:color w:val="auto"/>
                <w:sz w:val="21"/>
                <w:highlight w:val="none"/>
              </w:rPr>
            </w:pPr>
            <w:r>
              <w:rPr>
                <w:rFonts w:hint="eastAsia" w:hAnsi="宋体"/>
                <w:bCs/>
                <w:color w:val="auto"/>
                <w:sz w:val="21"/>
                <w:highlight w:val="none"/>
              </w:rPr>
              <w:t>二、报价分评分标准（满分30.00分）</w:t>
            </w:r>
          </w:p>
          <w:p>
            <w:pPr>
              <w:pStyle w:val="12"/>
              <w:spacing w:line="360" w:lineRule="auto"/>
              <w:rPr>
                <w:rFonts w:hint="eastAsia" w:hAnsi="宋体"/>
                <w:bCs/>
                <w:color w:val="auto"/>
                <w:sz w:val="21"/>
                <w:highlight w:val="none"/>
              </w:rPr>
            </w:pPr>
            <w:r>
              <w:rPr>
                <w:rFonts w:hint="eastAsia" w:hAnsi="宋体"/>
                <w:bCs/>
                <w:color w:val="auto"/>
                <w:sz w:val="21"/>
                <w:highlight w:val="none"/>
              </w:rPr>
              <w:t>价格分计算公式：报价得分=（</w:t>
            </w:r>
            <w:r>
              <w:rPr>
                <w:rFonts w:hint="eastAsia" w:hAnsi="宋体"/>
                <w:bCs/>
                <w:color w:val="auto"/>
                <w:sz w:val="21"/>
                <w:highlight w:val="none"/>
                <w:lang w:val="en-US" w:eastAsia="zh-CN"/>
              </w:rPr>
              <w:t>评标</w:t>
            </w:r>
            <w:r>
              <w:rPr>
                <w:rFonts w:hint="eastAsia" w:hAnsi="宋体"/>
                <w:bCs/>
                <w:color w:val="auto"/>
                <w:sz w:val="21"/>
                <w:highlight w:val="none"/>
              </w:rPr>
              <w:t>基准价/</w:t>
            </w:r>
            <w:r>
              <w:rPr>
                <w:rFonts w:hint="eastAsia" w:hAnsi="宋体"/>
                <w:bCs/>
                <w:color w:val="auto"/>
                <w:sz w:val="21"/>
                <w:highlight w:val="none"/>
                <w:lang w:val="en-US" w:eastAsia="zh-CN"/>
              </w:rPr>
              <w:t>某</w:t>
            </w:r>
            <w:r>
              <w:rPr>
                <w:rFonts w:hint="eastAsia" w:hAnsi="宋体"/>
                <w:bCs/>
                <w:color w:val="auto"/>
                <w:sz w:val="21"/>
                <w:highlight w:val="none"/>
              </w:rPr>
              <w:t>投标人评标报价）×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2</w:t>
            </w:r>
          </w:p>
        </w:tc>
        <w:tc>
          <w:tcPr>
            <w:tcW w:w="2382"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技术分（</w:t>
            </w:r>
            <w:r>
              <w:rPr>
                <w:rFonts w:hint="eastAsia" w:hAnsi="宋体"/>
                <w:bCs/>
                <w:color w:val="auto"/>
                <w:sz w:val="21"/>
                <w:highlight w:val="none"/>
                <w:lang w:val="en-US" w:eastAsia="zh-CN"/>
              </w:rPr>
              <w:t>48</w:t>
            </w:r>
            <w:r>
              <w:rPr>
                <w:rFonts w:hint="eastAsia" w:hAnsi="宋体"/>
                <w:bCs/>
                <w:color w:val="auto"/>
                <w:sz w:val="21"/>
                <w:highlight w:val="none"/>
              </w:rPr>
              <w:t>分）</w:t>
            </w: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设备性能分（满分</w:t>
            </w:r>
            <w:r>
              <w:rPr>
                <w:rFonts w:hint="eastAsia" w:hAnsi="宋体"/>
                <w:bCs/>
                <w:color w:val="auto"/>
                <w:sz w:val="21"/>
                <w:highlight w:val="none"/>
                <w:lang w:val="en-US" w:eastAsia="zh-CN"/>
              </w:rPr>
              <w:t>15</w:t>
            </w:r>
            <w:r>
              <w:rPr>
                <w:rFonts w:hint="eastAsia" w:hAnsi="宋体"/>
                <w:bCs/>
                <w:color w:val="auto"/>
                <w:sz w:val="21"/>
                <w:highlight w:val="none"/>
              </w:rPr>
              <w:t>分）</w:t>
            </w:r>
          </w:p>
        </w:tc>
        <w:tc>
          <w:tcPr>
            <w:tcW w:w="5195"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一、技术需求中，标“★”参数为实质性要求和保证投标设备档次的必须条件，如有不满足的，做废标处理；同时投标人须提供证书（检测报告、授权文件）复印件或官网截图或彩页截图等证明材料，并加盖供应商公章，否则视为不满足；所有参数全部满足的，得</w:t>
            </w:r>
            <w:r>
              <w:rPr>
                <w:rFonts w:hint="eastAsia" w:hAnsi="宋体"/>
                <w:bCs/>
                <w:color w:val="auto"/>
                <w:sz w:val="21"/>
                <w:highlight w:val="none"/>
                <w:lang w:val="en-US" w:eastAsia="zh-CN"/>
              </w:rPr>
              <w:t>基准分9</w:t>
            </w:r>
            <w:r>
              <w:rPr>
                <w:rFonts w:hint="eastAsia" w:hAnsi="宋体"/>
                <w:bCs/>
                <w:color w:val="auto"/>
                <w:sz w:val="21"/>
                <w:highlight w:val="none"/>
              </w:rPr>
              <w:t>分；</w:t>
            </w:r>
          </w:p>
          <w:p>
            <w:pPr>
              <w:pStyle w:val="12"/>
              <w:spacing w:line="360" w:lineRule="auto"/>
              <w:rPr>
                <w:rFonts w:hint="eastAsia" w:hAnsi="宋体"/>
                <w:bCs/>
                <w:color w:val="auto"/>
                <w:sz w:val="21"/>
                <w:highlight w:val="none"/>
              </w:rPr>
            </w:pPr>
            <w:r>
              <w:rPr>
                <w:rFonts w:hint="eastAsia" w:hAnsi="宋体"/>
                <w:bCs/>
                <w:color w:val="auto"/>
                <w:sz w:val="21"/>
                <w:highlight w:val="none"/>
                <w:lang w:val="en-US" w:eastAsia="zh-CN"/>
              </w:rPr>
              <w:t>二</w:t>
            </w:r>
            <w:r>
              <w:rPr>
                <w:rFonts w:hint="eastAsia" w:hAnsi="宋体"/>
                <w:bCs/>
                <w:color w:val="auto"/>
                <w:sz w:val="21"/>
                <w:highlight w:val="none"/>
              </w:rPr>
              <w:t>、正偏离得分：非标注符号的普通参数有正偏离的，每有一项得2分，三项以上得满分</w:t>
            </w:r>
            <w:r>
              <w:rPr>
                <w:rFonts w:hint="eastAsia" w:hAnsi="宋体"/>
                <w:bCs/>
                <w:color w:val="auto"/>
                <w:sz w:val="21"/>
                <w:highlight w:val="none"/>
                <w:lang w:val="en-US" w:eastAsia="zh-CN"/>
              </w:rPr>
              <w:t>6</w:t>
            </w:r>
            <w:r>
              <w:rPr>
                <w:rFonts w:hint="eastAsia" w:hAnsi="宋体"/>
                <w:bCs/>
                <w:color w:val="auto"/>
                <w:sz w:val="21"/>
                <w:highlight w:val="none"/>
              </w:rPr>
              <w:t>分。（正偏离项需提供须提供证书（检测报告、授权文件）复印件或官网截图或彩页截图等证明材料，并加盖供应商公章，否则视为不满足；）</w:t>
            </w:r>
          </w:p>
          <w:p>
            <w:pPr>
              <w:pStyle w:val="12"/>
              <w:spacing w:line="360" w:lineRule="auto"/>
              <w:rPr>
                <w:rFonts w:hint="eastAsia" w:hAnsi="宋体"/>
                <w:bCs/>
                <w:color w:val="auto"/>
                <w:sz w:val="21"/>
                <w:highlight w:val="none"/>
              </w:rPr>
            </w:pPr>
            <w:r>
              <w:rPr>
                <w:rFonts w:hint="eastAsia" w:hAnsi="宋体"/>
                <w:bCs/>
                <w:color w:val="auto"/>
                <w:sz w:val="21"/>
                <w:highlight w:val="none"/>
                <w:lang w:val="en-US" w:eastAsia="zh-CN"/>
              </w:rPr>
              <w:t>三</w:t>
            </w:r>
            <w:r>
              <w:rPr>
                <w:rFonts w:hint="eastAsia" w:hAnsi="宋体"/>
                <w:bCs/>
                <w:color w:val="auto"/>
                <w:sz w:val="21"/>
                <w:highlight w:val="none"/>
              </w:rPr>
              <w:t>、负偏离扣分：非标注符号的普通参数发生负偏离的，每有一项扣</w:t>
            </w:r>
            <w:r>
              <w:rPr>
                <w:rFonts w:hint="eastAsia" w:hAnsi="宋体"/>
                <w:bCs/>
                <w:color w:val="auto"/>
                <w:sz w:val="21"/>
                <w:highlight w:val="none"/>
                <w:lang w:val="en-US" w:eastAsia="zh-CN"/>
              </w:rPr>
              <w:t>5</w:t>
            </w:r>
            <w:r>
              <w:rPr>
                <w:rFonts w:hint="eastAsia" w:hAnsi="宋体"/>
                <w:bCs/>
                <w:color w:val="auto"/>
                <w:sz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项目实施方案分（满分</w:t>
            </w:r>
            <w:r>
              <w:rPr>
                <w:rFonts w:hint="eastAsia" w:hAnsi="宋体"/>
                <w:bCs/>
                <w:color w:val="auto"/>
                <w:sz w:val="21"/>
                <w:highlight w:val="none"/>
                <w:lang w:val="en-US" w:eastAsia="zh-CN"/>
              </w:rPr>
              <w:t>15</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5</w:t>
            </w:r>
            <w:r>
              <w:rPr>
                <w:rFonts w:hint="eastAsia" w:hAnsi="宋体"/>
                <w:bCs/>
                <w:color w:val="auto"/>
                <w:sz w:val="21"/>
                <w:highlight w:val="none"/>
              </w:rPr>
              <w:t>分）：项目实施方案不符合实际情况，有实施步骤和要求描述，项目技术力量、配件清单，项目质量保障方案、人员配置内容不详细；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10</w:t>
            </w:r>
            <w:r>
              <w:rPr>
                <w:rFonts w:hint="eastAsia" w:hAnsi="宋体"/>
                <w:bCs/>
                <w:color w:val="auto"/>
                <w:sz w:val="21"/>
                <w:highlight w:val="none"/>
              </w:rPr>
              <w:t>分）：项目实施方案合理；项目技术力量、配件清单、具体实施步骤和要求描述较为简单，项目管理及设备的安装、调试进度安排较为合理，项目质量保障方案内容、人员配置等内容较为详细；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15</w:t>
            </w:r>
            <w:r>
              <w:rPr>
                <w:rFonts w:hint="eastAsia" w:hAnsi="宋体"/>
                <w:bCs/>
                <w:color w:val="auto"/>
                <w:sz w:val="21"/>
                <w:highlight w:val="none"/>
              </w:rPr>
              <w:t>分）：项目实施方案有针对性、可行性高；具体实施步骤和要求描述全面，项目技术力量、配件清单、项目管理及设备的安装、调试进度安排合理、项目质量保障方案内容、人员配置等内容详细；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培训方案分（满分</w:t>
            </w:r>
            <w:r>
              <w:rPr>
                <w:rFonts w:hint="eastAsia" w:hAnsi="宋体"/>
                <w:bCs/>
                <w:color w:val="auto"/>
                <w:sz w:val="21"/>
                <w:highlight w:val="none"/>
                <w:lang w:val="en-US" w:eastAsia="zh-CN"/>
              </w:rPr>
              <w:t>8</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2</w:t>
            </w:r>
            <w:r>
              <w:rPr>
                <w:rFonts w:hint="eastAsia" w:hAnsi="宋体"/>
                <w:bCs/>
                <w:color w:val="auto"/>
                <w:sz w:val="21"/>
                <w:highlight w:val="none"/>
              </w:rPr>
              <w:t>分）：培训方案仅满足招标文件的要求，设备培训讲师不少于1人。</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5</w:t>
            </w:r>
            <w:r>
              <w:rPr>
                <w:rFonts w:hint="eastAsia" w:hAnsi="宋体"/>
                <w:bCs/>
                <w:color w:val="auto"/>
                <w:sz w:val="21"/>
                <w:highlight w:val="none"/>
              </w:rPr>
              <w:t>分）：满足一档的基础上，设备培训讲师不少于2人；有过培训讲解经验，可提供跟台服务、使用后继续培训服务，对项目有效保障。</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8</w:t>
            </w:r>
            <w:r>
              <w:rPr>
                <w:rFonts w:hint="eastAsia" w:hAnsi="宋体"/>
                <w:bCs/>
                <w:color w:val="auto"/>
                <w:sz w:val="21"/>
                <w:highlight w:val="none"/>
              </w:rPr>
              <w:t>分）：满足二档的基础上，设备培训讲师不少于 2 人；可对临床医务人员培训应用技巧和操作技巧、培训医院维修人员熟悉产品维修手册、电气原理图，操作规范流程图等，对项目保障力度高效；培训形式多样化容易被接受（现场操作演示、现场问答、线上网络授课、头脑风暴等），提供培训应用技巧和操作技巧、产品维修手册、电气原理图，操作规范流程图等全部培训资料，培训方案还应包括定期更新知识和技能，保持与行业前沿的接轨，整体方案优于用户需求。</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备注：未提供方案或不符合最低进档要求的，不予进档，得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lang w:eastAsia="zh-CN"/>
              </w:rPr>
              <w:t>应急预案分</w:t>
            </w:r>
            <w:r>
              <w:rPr>
                <w:rFonts w:hint="eastAsia" w:hAnsi="宋体"/>
                <w:bCs/>
                <w:color w:val="auto"/>
                <w:sz w:val="21"/>
                <w:highlight w:val="none"/>
              </w:rPr>
              <w:t>（</w:t>
            </w:r>
            <w:r>
              <w:rPr>
                <w:rFonts w:hint="eastAsia" w:hAnsi="宋体"/>
                <w:bCs/>
                <w:color w:val="auto"/>
                <w:sz w:val="21"/>
                <w:highlight w:val="none"/>
                <w:lang w:val="en-US" w:eastAsia="zh-CN"/>
              </w:rPr>
              <w:t>10</w:t>
            </w:r>
            <w:r>
              <w:rPr>
                <w:rFonts w:hint="eastAsia" w:hAnsi="宋体"/>
                <w:bCs/>
                <w:color w:val="auto"/>
                <w:sz w:val="21"/>
                <w:highlight w:val="none"/>
              </w:rPr>
              <w:t>分）</w:t>
            </w:r>
          </w:p>
        </w:tc>
        <w:tc>
          <w:tcPr>
            <w:tcW w:w="5195"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一档（</w:t>
            </w:r>
            <w:r>
              <w:rPr>
                <w:rFonts w:hint="eastAsia" w:hAnsi="宋体"/>
                <w:bCs/>
                <w:color w:val="auto"/>
                <w:sz w:val="21"/>
                <w:highlight w:val="none"/>
                <w:lang w:val="en-US" w:eastAsia="zh-CN"/>
              </w:rPr>
              <w:t>4</w:t>
            </w:r>
            <w:r>
              <w:rPr>
                <w:rFonts w:hint="eastAsia" w:hAnsi="宋体"/>
                <w:bCs/>
                <w:color w:val="auto"/>
                <w:sz w:val="21"/>
                <w:highlight w:val="none"/>
              </w:rPr>
              <w:t>分）：提供的应急处理预案内容简单，突发情况的人员安排仅 1 名技术负责人，解决方案可实施但稍有欠缺；</w:t>
            </w:r>
          </w:p>
          <w:p>
            <w:pPr>
              <w:pStyle w:val="12"/>
              <w:spacing w:line="360" w:lineRule="auto"/>
              <w:rPr>
                <w:rFonts w:hint="eastAsia" w:hAnsi="宋体"/>
                <w:bCs/>
                <w:color w:val="auto"/>
                <w:sz w:val="21"/>
                <w:highlight w:val="none"/>
              </w:rPr>
            </w:pPr>
            <w:r>
              <w:rPr>
                <w:rFonts w:hint="eastAsia" w:hAnsi="宋体"/>
                <w:bCs/>
                <w:color w:val="auto"/>
                <w:sz w:val="21"/>
                <w:highlight w:val="none"/>
              </w:rPr>
              <w:t>二档（</w:t>
            </w:r>
            <w:r>
              <w:rPr>
                <w:rFonts w:hint="eastAsia" w:hAnsi="宋体"/>
                <w:bCs/>
                <w:color w:val="auto"/>
                <w:sz w:val="21"/>
                <w:highlight w:val="none"/>
                <w:lang w:val="en-US" w:eastAsia="zh-CN"/>
              </w:rPr>
              <w:t>7</w:t>
            </w:r>
            <w:r>
              <w:rPr>
                <w:rFonts w:hint="eastAsia" w:hAnsi="宋体"/>
                <w:bCs/>
                <w:color w:val="auto"/>
                <w:sz w:val="21"/>
                <w:highlight w:val="none"/>
              </w:rPr>
              <w:t xml:space="preserve">分）：提供的应急处理预案内容详细、可行；突发情况的人员安排能提供至少 </w:t>
            </w:r>
            <w:r>
              <w:rPr>
                <w:rFonts w:hint="eastAsia" w:hAnsi="宋体"/>
                <w:bCs/>
                <w:color w:val="auto"/>
                <w:sz w:val="21"/>
                <w:highlight w:val="none"/>
                <w:lang w:val="en-US" w:eastAsia="zh-CN"/>
              </w:rPr>
              <w:t>1</w:t>
            </w:r>
            <w:r>
              <w:rPr>
                <w:rFonts w:hint="eastAsia" w:hAnsi="宋体"/>
                <w:bCs/>
                <w:color w:val="auto"/>
                <w:sz w:val="21"/>
                <w:highlight w:val="none"/>
              </w:rPr>
              <w:t xml:space="preserve"> 名技术负责人 ，解决方案有具体的解决办法和措施、措施有条分理，且规划合理；</w:t>
            </w:r>
          </w:p>
          <w:p>
            <w:pPr>
              <w:pStyle w:val="12"/>
              <w:spacing w:line="360" w:lineRule="auto"/>
              <w:rPr>
                <w:rFonts w:hint="eastAsia" w:hAnsi="宋体"/>
                <w:bCs/>
                <w:color w:val="auto"/>
                <w:sz w:val="21"/>
                <w:highlight w:val="none"/>
              </w:rPr>
            </w:pPr>
            <w:r>
              <w:rPr>
                <w:rFonts w:hint="eastAsia" w:hAnsi="宋体"/>
                <w:bCs/>
                <w:color w:val="auto"/>
                <w:sz w:val="21"/>
                <w:highlight w:val="none"/>
              </w:rPr>
              <w:t>三档（</w:t>
            </w:r>
            <w:r>
              <w:rPr>
                <w:rFonts w:hint="eastAsia" w:hAnsi="宋体"/>
                <w:bCs/>
                <w:color w:val="auto"/>
                <w:sz w:val="21"/>
                <w:highlight w:val="none"/>
                <w:lang w:val="en-US" w:eastAsia="zh-CN"/>
              </w:rPr>
              <w:t>10</w:t>
            </w:r>
            <w:r>
              <w:rPr>
                <w:rFonts w:hint="eastAsia" w:hAnsi="宋体"/>
                <w:bCs/>
                <w:color w:val="auto"/>
                <w:sz w:val="21"/>
                <w:highlight w:val="none"/>
              </w:rPr>
              <w:t>分）：提供的应急处理预案内容详实、科学合理，具有完整性、可行性、针对性；突发情况的人员安排能提供至少2 名技术负责人</w:t>
            </w:r>
            <w:r>
              <w:rPr>
                <w:rFonts w:hint="eastAsia" w:hAnsi="宋体"/>
                <w:bCs/>
                <w:color w:val="auto"/>
                <w:sz w:val="21"/>
                <w:highlight w:val="none"/>
                <w:lang w:eastAsia="zh-CN"/>
              </w:rPr>
              <w:t>，</w:t>
            </w:r>
            <w:r>
              <w:rPr>
                <w:rFonts w:hint="eastAsia" w:hAnsi="宋体"/>
                <w:bCs/>
                <w:color w:val="auto"/>
                <w:sz w:val="21"/>
                <w:highlight w:val="none"/>
              </w:rPr>
              <w:t>解决方案详细、应急组织机构健全，分工明确，能够提供替代品或配件方案；有具体的解决办法和措施保障，规范及方案、进度及目标、预期达到的效果、管理、组织协调、实施细则等切合实际，科学合理，措施高效，内容完整且描述清晰。</w:t>
            </w:r>
          </w:p>
          <w:p>
            <w:pPr>
              <w:pStyle w:val="12"/>
              <w:spacing w:line="360" w:lineRule="auto"/>
              <w:ind w:firstLine="420" w:firstLineChars="200"/>
              <w:rPr>
                <w:rFonts w:hint="eastAsia" w:hAnsi="宋体"/>
                <w:bCs/>
                <w:color w:val="auto"/>
                <w:sz w:val="21"/>
                <w:highlight w:val="none"/>
              </w:rPr>
            </w:pPr>
            <w:r>
              <w:rPr>
                <w:rFonts w:hint="eastAsia" w:hAnsi="宋体"/>
                <w:bCs/>
                <w:color w:val="auto"/>
                <w:sz w:val="21"/>
                <w:highlight w:val="none"/>
              </w:rPr>
              <w:t>备注：投标文件中未提供或不可行，不切实际与本项目无关的；得0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3</w:t>
            </w:r>
          </w:p>
        </w:tc>
        <w:tc>
          <w:tcPr>
            <w:tcW w:w="2382" w:type="dxa"/>
            <w:vMerge w:val="restart"/>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履约能力（满分</w:t>
            </w:r>
            <w:r>
              <w:rPr>
                <w:rFonts w:hint="eastAsia" w:hAnsi="宋体"/>
                <w:bCs/>
                <w:color w:val="auto"/>
                <w:sz w:val="21"/>
                <w:highlight w:val="none"/>
                <w:lang w:val="en-US" w:eastAsia="zh-CN"/>
              </w:rPr>
              <w:t>8</w:t>
            </w:r>
            <w:r>
              <w:rPr>
                <w:rFonts w:hint="eastAsia" w:hAnsi="宋体"/>
                <w:bCs/>
                <w:color w:val="auto"/>
                <w:sz w:val="21"/>
                <w:highlight w:val="none"/>
              </w:rPr>
              <w:t>分）</w:t>
            </w: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业绩分（</w:t>
            </w:r>
            <w:r>
              <w:rPr>
                <w:rFonts w:hint="eastAsia" w:hAnsi="宋体"/>
                <w:bCs/>
                <w:color w:val="auto"/>
                <w:sz w:val="21"/>
                <w:highlight w:val="none"/>
                <w:lang w:val="en-US" w:eastAsia="zh-CN"/>
              </w:rPr>
              <w:t>6</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202</w:t>
            </w:r>
            <w:r>
              <w:rPr>
                <w:rFonts w:hint="eastAsia" w:hAnsi="宋体"/>
                <w:bCs/>
                <w:color w:val="auto"/>
                <w:sz w:val="21"/>
                <w:highlight w:val="none"/>
                <w:lang w:val="en-US" w:eastAsia="zh-CN"/>
              </w:rPr>
              <w:t>1</w:t>
            </w:r>
            <w:r>
              <w:rPr>
                <w:rFonts w:hint="eastAsia" w:hAnsi="宋体"/>
                <w:bCs/>
                <w:color w:val="auto"/>
                <w:sz w:val="21"/>
                <w:highlight w:val="none"/>
              </w:rPr>
              <w:t>年 1 月至投标截止时间前，</w:t>
            </w:r>
            <w:r>
              <w:rPr>
                <w:rFonts w:hint="eastAsia" w:hAnsi="宋体"/>
                <w:bCs/>
                <w:color w:val="auto"/>
                <w:sz w:val="21"/>
                <w:highlight w:val="none"/>
                <w:lang w:val="en-US" w:eastAsia="zh-CN"/>
              </w:rPr>
              <w:t>供应商或生产厂家</w:t>
            </w:r>
            <w:r>
              <w:rPr>
                <w:rFonts w:hint="eastAsia" w:hAnsi="宋体"/>
                <w:bCs/>
                <w:color w:val="auto"/>
                <w:sz w:val="21"/>
                <w:highlight w:val="none"/>
              </w:rPr>
              <w:t>完成过同类项目业绩，每个得1分；满分</w:t>
            </w:r>
            <w:r>
              <w:rPr>
                <w:rFonts w:hint="eastAsia" w:hAnsi="宋体"/>
                <w:bCs/>
                <w:color w:val="auto"/>
                <w:sz w:val="21"/>
                <w:highlight w:val="none"/>
                <w:lang w:val="en-US" w:eastAsia="zh-CN"/>
              </w:rPr>
              <w:t>6</w:t>
            </w:r>
            <w:r>
              <w:rPr>
                <w:rFonts w:hint="eastAsia" w:hAnsi="宋体"/>
                <w:bCs/>
                <w:color w:val="auto"/>
                <w:sz w:val="21"/>
                <w:highlight w:val="none"/>
              </w:rPr>
              <w:t>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注：提供完整业绩证明扫描件加盖公章，一份完整的业绩证明材料是指中标通知书</w:t>
            </w:r>
            <w:r>
              <w:rPr>
                <w:rFonts w:hint="eastAsia" w:hAnsi="宋体"/>
                <w:bCs/>
                <w:color w:val="auto"/>
                <w:sz w:val="21"/>
                <w:highlight w:val="none"/>
                <w:lang w:val="en-US" w:eastAsia="zh-CN"/>
              </w:rPr>
              <w:t>或</w:t>
            </w:r>
            <w:r>
              <w:rPr>
                <w:rFonts w:hint="eastAsia" w:hAnsi="宋体"/>
                <w:bCs/>
                <w:color w:val="auto"/>
                <w:sz w:val="21"/>
                <w:highlight w:val="none"/>
              </w:rPr>
              <w:t>合同复印件（包括合同首页、合同金额页、合同盖章页），未提供业绩证明材料或业绩证明材料提供不齐全不符合的项目不予计算业绩、不得分。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企业认证情况（</w:t>
            </w:r>
            <w:r>
              <w:rPr>
                <w:rFonts w:hint="eastAsia" w:hAnsi="宋体"/>
                <w:bCs/>
                <w:color w:val="auto"/>
                <w:sz w:val="21"/>
                <w:highlight w:val="none"/>
                <w:lang w:val="en-US" w:eastAsia="zh-CN"/>
              </w:rPr>
              <w:t>1</w:t>
            </w:r>
            <w:r>
              <w:rPr>
                <w:rFonts w:hint="eastAsia" w:hAnsi="宋体"/>
                <w:bCs/>
                <w:color w:val="auto"/>
                <w:sz w:val="21"/>
                <w:highlight w:val="none"/>
              </w:rPr>
              <w:t>分）</w:t>
            </w:r>
          </w:p>
        </w:tc>
        <w:tc>
          <w:tcPr>
            <w:tcW w:w="5195"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lang w:val="en-US" w:eastAsia="zh-CN"/>
              </w:rPr>
              <w:t>供应商或生产厂家</w:t>
            </w:r>
            <w:r>
              <w:rPr>
                <w:rFonts w:hint="eastAsia" w:hAnsi="宋体"/>
                <w:bCs/>
                <w:color w:val="auto"/>
                <w:sz w:val="21"/>
                <w:highlight w:val="none"/>
              </w:rPr>
              <w:t>具备ISO9001质量管理体系认证证书、ISO14001环境管理体系认证证书、ISO45001职业健康安全管理体系认证证书</w:t>
            </w:r>
            <w:r>
              <w:rPr>
                <w:rFonts w:hint="eastAsia" w:hAnsi="宋体"/>
                <w:bCs/>
                <w:color w:val="auto"/>
                <w:sz w:val="21"/>
                <w:highlight w:val="none"/>
                <w:lang w:val="en-US" w:eastAsia="zh-CN"/>
              </w:rPr>
              <w:t>任意一项</w:t>
            </w:r>
            <w:r>
              <w:rPr>
                <w:rFonts w:hint="eastAsia" w:hAnsi="宋体"/>
                <w:bCs/>
                <w:color w:val="auto"/>
                <w:sz w:val="21"/>
                <w:highlight w:val="none"/>
              </w:rPr>
              <w:t>的，得</w:t>
            </w:r>
            <w:r>
              <w:rPr>
                <w:rFonts w:hint="eastAsia" w:hAnsi="宋体"/>
                <w:bCs/>
                <w:color w:val="auto"/>
                <w:sz w:val="21"/>
                <w:highlight w:val="none"/>
                <w:lang w:val="en-US" w:eastAsia="zh-CN"/>
              </w:rPr>
              <w:t>1</w:t>
            </w:r>
            <w:r>
              <w:rPr>
                <w:rFonts w:hint="eastAsia" w:hAnsi="宋体"/>
                <w:bCs/>
                <w:color w:val="auto"/>
                <w:sz w:val="21"/>
                <w:highlight w:val="none"/>
              </w:rPr>
              <w:t>分。</w:t>
            </w:r>
          </w:p>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注：提供有效期内的证书扫描件加盖公章，否则不得分。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auto"/>
                <w:sz w:val="21"/>
                <w:highlight w:val="none"/>
              </w:rPr>
            </w:pPr>
          </w:p>
        </w:tc>
        <w:tc>
          <w:tcPr>
            <w:tcW w:w="2382" w:type="dxa"/>
            <w:vMerge w:val="continue"/>
            <w:noWrap w:val="0"/>
            <w:vAlign w:val="center"/>
          </w:tcPr>
          <w:p>
            <w:pPr>
              <w:pStyle w:val="12"/>
              <w:spacing w:line="360" w:lineRule="auto"/>
              <w:ind w:firstLine="420"/>
              <w:rPr>
                <w:rFonts w:hint="eastAsia" w:hAnsi="宋体"/>
                <w:bCs/>
                <w:color w:val="auto"/>
                <w:sz w:val="21"/>
                <w:highlight w:val="none"/>
              </w:rPr>
            </w:pPr>
          </w:p>
        </w:tc>
        <w:tc>
          <w:tcPr>
            <w:tcW w:w="1428" w:type="dxa"/>
            <w:noWrap w:val="0"/>
            <w:vAlign w:val="center"/>
          </w:tcPr>
          <w:p>
            <w:pPr>
              <w:keepNext w:val="0"/>
              <w:keepLines w:val="0"/>
              <w:widowControl/>
              <w:suppressLineNumbers w:val="0"/>
              <w:jc w:val="left"/>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节能、环境标 </w:t>
            </w:r>
          </w:p>
          <w:p>
            <w:pPr>
              <w:keepNext w:val="0"/>
              <w:keepLines w:val="0"/>
              <w:widowControl/>
              <w:suppressLineNumbers w:val="0"/>
              <w:jc w:val="left"/>
              <w:rPr>
                <w:rFonts w:hint="eastAsia" w:hAnsi="宋体"/>
                <w:bCs/>
                <w:color w:val="auto"/>
                <w:sz w:val="21"/>
                <w:highlight w:val="none"/>
              </w:rPr>
            </w:pPr>
            <w:r>
              <w:rPr>
                <w:rFonts w:hint="eastAsia" w:ascii="宋体" w:hAnsi="宋体" w:eastAsia="宋体" w:cs="宋体"/>
                <w:b w:val="0"/>
                <w:bCs w:val="0"/>
                <w:color w:val="auto"/>
                <w:kern w:val="0"/>
                <w:sz w:val="21"/>
                <w:szCs w:val="21"/>
                <w:highlight w:val="none"/>
                <w:lang w:val="en-US" w:eastAsia="zh-CN" w:bidi="ar"/>
              </w:rPr>
              <w:t>志产品</w:t>
            </w:r>
            <w:r>
              <w:rPr>
                <w:rFonts w:hint="eastAsia" w:hAnsi="宋体"/>
                <w:bCs/>
                <w:color w:val="auto"/>
                <w:sz w:val="21"/>
                <w:highlight w:val="none"/>
              </w:rPr>
              <w:t>（</w:t>
            </w:r>
            <w:r>
              <w:rPr>
                <w:rFonts w:hint="eastAsia" w:hAnsi="宋体"/>
                <w:bCs/>
                <w:color w:val="auto"/>
                <w:sz w:val="21"/>
                <w:highlight w:val="none"/>
                <w:lang w:val="en-US" w:eastAsia="zh-CN"/>
              </w:rPr>
              <w:t>1</w:t>
            </w:r>
            <w:r>
              <w:rPr>
                <w:rFonts w:hint="eastAsia" w:hAnsi="宋体"/>
                <w:bCs/>
                <w:color w:val="auto"/>
                <w:sz w:val="21"/>
                <w:highlight w:val="none"/>
              </w:rPr>
              <w:t>分）</w:t>
            </w:r>
          </w:p>
        </w:tc>
        <w:tc>
          <w:tcPr>
            <w:tcW w:w="5195" w:type="dxa"/>
            <w:noWrap w:val="0"/>
            <w:vAlign w:val="center"/>
          </w:tcPr>
          <w:p>
            <w:pPr>
              <w:keepNext w:val="0"/>
              <w:keepLines w:val="0"/>
              <w:widowControl/>
              <w:suppressLineNumbers w:val="0"/>
              <w:jc w:val="left"/>
              <w:rPr>
                <w:b w:val="0"/>
                <w:bCs w:val="0"/>
                <w:color w:val="auto"/>
                <w:highlight w:val="none"/>
              </w:rPr>
            </w:pPr>
            <w:r>
              <w:rPr>
                <w:rFonts w:hint="eastAsia" w:ascii="宋体" w:hAnsi="宋体" w:eastAsia="宋体" w:cs="宋体"/>
                <w:color w:val="auto"/>
                <w:kern w:val="0"/>
                <w:sz w:val="21"/>
                <w:szCs w:val="21"/>
                <w:highlight w:val="none"/>
                <w:lang w:val="en-US" w:eastAsia="zh-CN" w:bidi="ar"/>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w:t>
            </w:r>
            <w:r>
              <w:rPr>
                <w:rFonts w:hint="eastAsia" w:ascii="宋体" w:hAnsi="宋体" w:eastAsia="宋体" w:cs="宋体"/>
                <w:b w:val="0"/>
                <w:bCs w:val="0"/>
                <w:color w:val="auto"/>
                <w:kern w:val="0"/>
                <w:sz w:val="21"/>
                <w:szCs w:val="21"/>
                <w:highlight w:val="none"/>
                <w:lang w:val="en-US" w:eastAsia="zh-CN" w:bidi="ar"/>
              </w:rPr>
              <w:t xml:space="preserve">者标项）预算金额比例得 0 至 </w:t>
            </w:r>
            <w:r>
              <w:rPr>
                <w:rFonts w:hint="eastAsia" w:ascii="宋体" w:hAnsi="宋体" w:cs="宋体"/>
                <w:b w:val="0"/>
                <w:bCs w:val="0"/>
                <w:color w:val="auto"/>
                <w:kern w:val="0"/>
                <w:sz w:val="21"/>
                <w:szCs w:val="21"/>
                <w:highlight w:val="none"/>
                <w:lang w:val="en-US" w:eastAsia="zh-CN" w:bidi="ar"/>
              </w:rPr>
              <w:t>0.5</w:t>
            </w:r>
            <w:r>
              <w:rPr>
                <w:rFonts w:hint="eastAsia" w:ascii="宋体" w:hAnsi="宋体" w:eastAsia="宋体" w:cs="宋体"/>
                <w:b w:val="0"/>
                <w:bCs w:val="0"/>
                <w:color w:val="auto"/>
                <w:kern w:val="0"/>
                <w:sz w:val="21"/>
                <w:szCs w:val="21"/>
                <w:highlight w:val="none"/>
                <w:lang w:val="en-US" w:eastAsia="zh-CN" w:bidi="ar"/>
              </w:rPr>
              <w:t xml:space="preserve">分，满分 </w:t>
            </w:r>
            <w:r>
              <w:rPr>
                <w:rFonts w:hint="eastAsia" w:ascii="宋体" w:hAnsi="宋体" w:cs="宋体"/>
                <w:b w:val="0"/>
                <w:bCs w:val="0"/>
                <w:color w:val="auto"/>
                <w:kern w:val="0"/>
                <w:sz w:val="21"/>
                <w:szCs w:val="21"/>
                <w:highlight w:val="none"/>
                <w:lang w:val="en-US" w:eastAsia="zh-CN" w:bidi="ar"/>
              </w:rPr>
              <w:t>0.5</w:t>
            </w:r>
            <w:r>
              <w:rPr>
                <w:rFonts w:hint="eastAsia" w:ascii="宋体" w:hAnsi="宋体" w:eastAsia="宋体" w:cs="宋体"/>
                <w:b w:val="0"/>
                <w:bCs w:val="0"/>
                <w:color w:val="auto"/>
                <w:kern w:val="0"/>
                <w:sz w:val="21"/>
                <w:szCs w:val="21"/>
                <w:highlight w:val="none"/>
                <w:lang w:val="en-US" w:eastAsia="zh-CN" w:bidi="ar"/>
              </w:rPr>
              <w:t xml:space="preserve">分。 </w:t>
            </w:r>
          </w:p>
          <w:p>
            <w:pPr>
              <w:keepNext w:val="0"/>
              <w:keepLines w:val="0"/>
              <w:widowControl/>
              <w:suppressLineNumbers w:val="0"/>
              <w:jc w:val="left"/>
              <w:rPr>
                <w:color w:val="auto"/>
                <w:highlight w:val="none"/>
              </w:rPr>
            </w:pPr>
            <w:r>
              <w:rPr>
                <w:rFonts w:hint="eastAsia" w:ascii="宋体" w:hAnsi="宋体" w:eastAsia="宋体" w:cs="宋体"/>
                <w:b w:val="0"/>
                <w:bCs w:val="0"/>
                <w:color w:val="auto"/>
                <w:kern w:val="0"/>
                <w:sz w:val="21"/>
                <w:szCs w:val="21"/>
                <w:highlight w:val="none"/>
                <w:lang w:val="en-US" w:eastAsia="zh-CN" w:bidi="ar"/>
              </w:rPr>
              <w:t>（2）属于财政部《环境标志产品政府采购品目清单》内的产品[投标文件中提供有效的认证证书复印件及品目清单（标注出投标产品在品目清单中所属的品目），并加盖投标人电子签章]，根据其所占项目（或者标项）</w:t>
            </w:r>
            <w:r>
              <w:rPr>
                <w:rFonts w:hint="eastAsia" w:ascii="宋体" w:hAnsi="宋体" w:eastAsia="宋体" w:cs="宋体"/>
                <w:color w:val="auto"/>
                <w:kern w:val="0"/>
                <w:sz w:val="21"/>
                <w:szCs w:val="21"/>
                <w:highlight w:val="none"/>
                <w:lang w:val="en-US" w:eastAsia="zh-CN" w:bidi="ar"/>
              </w:rPr>
              <w:t xml:space="preserve">预算金额比例得 0 至 </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 xml:space="preserve">分，满分 </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 xml:space="preserve"> 分； </w:t>
            </w:r>
          </w:p>
          <w:p>
            <w:pPr>
              <w:keepNext w:val="0"/>
              <w:keepLines w:val="0"/>
              <w:widowControl/>
              <w:suppressLineNumbers w:val="0"/>
              <w:jc w:val="left"/>
              <w:rPr>
                <w:rFonts w:hint="eastAsia" w:hAnsi="宋体"/>
                <w:bCs/>
                <w:color w:val="auto"/>
                <w:sz w:val="21"/>
                <w:highlight w:val="none"/>
              </w:rPr>
            </w:pPr>
            <w:r>
              <w:rPr>
                <w:rFonts w:hint="eastAsia" w:ascii="宋体" w:hAnsi="宋体" w:eastAsia="宋体" w:cs="宋体"/>
                <w:color w:val="auto"/>
                <w:kern w:val="0"/>
                <w:sz w:val="21"/>
                <w:szCs w:val="21"/>
                <w:highlight w:val="none"/>
                <w:lang w:val="en-US" w:eastAsia="zh-CN" w:bidi="ar"/>
              </w:rPr>
              <w:t xml:space="preserve">（3）非节能、环境标志产品的不得分。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4</w:t>
            </w:r>
          </w:p>
        </w:tc>
        <w:tc>
          <w:tcPr>
            <w:tcW w:w="2382" w:type="dxa"/>
            <w:noWrap w:val="0"/>
            <w:vAlign w:val="center"/>
          </w:tcPr>
          <w:p>
            <w:pPr>
              <w:pStyle w:val="12"/>
              <w:spacing w:line="360" w:lineRule="auto"/>
              <w:rPr>
                <w:rFonts w:hint="eastAsia" w:hAnsi="宋体"/>
                <w:bCs/>
                <w:color w:val="auto"/>
                <w:sz w:val="21"/>
                <w:highlight w:val="none"/>
              </w:rPr>
            </w:pPr>
            <w:r>
              <w:rPr>
                <w:rFonts w:hint="eastAsia" w:hAnsi="宋体"/>
                <w:bCs/>
                <w:color w:val="auto"/>
                <w:sz w:val="21"/>
                <w:highlight w:val="none"/>
              </w:rPr>
              <w:t>售后服务（满分</w:t>
            </w:r>
            <w:r>
              <w:rPr>
                <w:rFonts w:hint="eastAsia" w:hAnsi="宋体"/>
                <w:bCs/>
                <w:color w:val="auto"/>
                <w:sz w:val="21"/>
                <w:highlight w:val="none"/>
                <w:lang w:val="en-US" w:eastAsia="zh-CN"/>
              </w:rPr>
              <w:t>14</w:t>
            </w:r>
            <w:r>
              <w:rPr>
                <w:rFonts w:hint="eastAsia" w:hAnsi="宋体"/>
                <w:bCs/>
                <w:color w:val="auto"/>
                <w:sz w:val="21"/>
                <w:highlight w:val="none"/>
              </w:rPr>
              <w:t>分）</w:t>
            </w:r>
          </w:p>
        </w:tc>
        <w:tc>
          <w:tcPr>
            <w:tcW w:w="6623" w:type="dxa"/>
            <w:gridSpan w:val="2"/>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lang w:eastAsia="zh-CN"/>
              </w:rPr>
              <w:t>（</w:t>
            </w:r>
            <w:r>
              <w:rPr>
                <w:rFonts w:hint="eastAsia" w:hAnsi="宋体"/>
                <w:bCs/>
                <w:color w:val="auto"/>
                <w:sz w:val="21"/>
                <w:highlight w:val="none"/>
                <w:lang w:val="en-US" w:eastAsia="zh-CN"/>
              </w:rPr>
              <w:t>1）</w:t>
            </w:r>
            <w:r>
              <w:rPr>
                <w:rFonts w:hint="eastAsia" w:hAnsi="宋体"/>
                <w:bCs/>
                <w:color w:val="auto"/>
                <w:sz w:val="21"/>
                <w:highlight w:val="none"/>
              </w:rPr>
              <w:t>由评委根据投标人所提供的售后服务方案情况，对比比较各投标人所承诺的免费保修期限、接到通知到达时现场处理故障时间、一般故障承诺解决时间、故障无法排除时的解决方案（是否提供替代品或配件、是否有应急方案等）、是否有本地化售后服务、回访措施、维护措施、维保人员配置等内容确定各投标人所属的档次等级后，在档次内由评委独立打分。</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一档（2分）：售后服务方案满足招标文件的要求，提供有技术服务队伍且售后服务人数不少于 2 人。</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二档（</w:t>
            </w:r>
            <w:r>
              <w:rPr>
                <w:rFonts w:hint="eastAsia" w:ascii="宋体" w:hAnsi="宋体" w:eastAsia="宋体" w:cs="Times New Roman"/>
                <w:bCs/>
                <w:color w:val="auto"/>
                <w:sz w:val="21"/>
                <w:highlight w:val="none"/>
                <w:lang w:val="en-US" w:eastAsia="zh-CN"/>
              </w:rPr>
              <w:t>6</w:t>
            </w:r>
            <w:r>
              <w:rPr>
                <w:rFonts w:hint="eastAsia" w:ascii="宋体" w:hAnsi="宋体" w:eastAsia="宋体" w:cs="Times New Roman"/>
                <w:bCs/>
                <w:color w:val="auto"/>
                <w:sz w:val="21"/>
                <w:highlight w:val="none"/>
              </w:rPr>
              <w:t>分）：满足一档的基础上，提供有技术服务队伍且售后服务人数不少于 3 人，并提供有简单的售后服务流程及产品的售后服务机构等内容</w:t>
            </w:r>
            <w:r>
              <w:rPr>
                <w:rFonts w:hint="eastAsia" w:ascii="宋体" w:hAnsi="宋体" w:eastAsia="宋体" w:cs="Times New Roman"/>
                <w:bCs/>
                <w:color w:val="auto"/>
                <w:sz w:val="21"/>
                <w:highlight w:val="none"/>
                <w:lang w:eastAsia="zh-CN"/>
              </w:rPr>
              <w:t>，</w:t>
            </w:r>
            <w:r>
              <w:rPr>
                <w:rFonts w:hint="eastAsia" w:ascii="宋体" w:hAnsi="宋体" w:eastAsia="宋体" w:cs="Times New Roman"/>
                <w:bCs/>
                <w:color w:val="auto"/>
                <w:sz w:val="21"/>
                <w:highlight w:val="none"/>
                <w:lang w:val="en-US" w:eastAsia="zh-CN"/>
              </w:rPr>
              <w:t>有</w:t>
            </w:r>
            <w:r>
              <w:rPr>
                <w:rFonts w:hint="eastAsia" w:ascii="宋体" w:hAnsi="宋体" w:eastAsia="宋体" w:cs="Times New Roman"/>
                <w:bCs/>
                <w:color w:val="auto"/>
                <w:sz w:val="21"/>
                <w:highlight w:val="none"/>
              </w:rPr>
              <w:t>耗材和备品备件配备。</w:t>
            </w:r>
          </w:p>
          <w:p>
            <w:pPr>
              <w:pStyle w:val="12"/>
              <w:spacing w:line="360" w:lineRule="auto"/>
              <w:ind w:firstLine="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三档（1</w:t>
            </w:r>
            <w:r>
              <w:rPr>
                <w:rFonts w:hint="eastAsia" w:ascii="宋体" w:hAnsi="宋体" w:eastAsia="宋体" w:cs="Times New Roman"/>
                <w:bCs/>
                <w:color w:val="auto"/>
                <w:sz w:val="21"/>
                <w:highlight w:val="none"/>
                <w:lang w:val="en-US" w:eastAsia="zh-CN"/>
              </w:rPr>
              <w:t>2</w:t>
            </w:r>
            <w:r>
              <w:rPr>
                <w:rFonts w:hint="eastAsia" w:ascii="宋体" w:hAnsi="宋体" w:eastAsia="宋体" w:cs="Times New Roman"/>
                <w:bCs/>
                <w:color w:val="auto"/>
                <w:sz w:val="21"/>
                <w:highlight w:val="none"/>
              </w:rPr>
              <w:t>分）：满足二档的基础上，提供有技术服务队伍且售后服务人数不少于 3 人，耗材和备品备件配备充足</w:t>
            </w:r>
            <w:r>
              <w:rPr>
                <w:rFonts w:hint="eastAsia" w:ascii="宋体" w:hAnsi="宋体" w:eastAsia="宋体" w:cs="Times New Roman"/>
                <w:bCs/>
                <w:color w:val="auto"/>
                <w:sz w:val="21"/>
                <w:highlight w:val="none"/>
                <w:lang w:eastAsia="zh-CN"/>
              </w:rPr>
              <w:t>，</w:t>
            </w:r>
            <w:r>
              <w:rPr>
                <w:rFonts w:hint="eastAsia" w:ascii="宋体" w:hAnsi="宋体" w:eastAsia="宋体" w:cs="Times New Roman"/>
                <w:bCs/>
                <w:color w:val="auto"/>
                <w:sz w:val="21"/>
                <w:highlight w:val="none"/>
              </w:rPr>
              <w:t>提供服务保障体系，有详细的售后服务流程、产品的售后服务机构、售后紧急情况处理、质量保障方案，投标文件中能提供投标产品生产厂家售后服务承诺书，整体</w:t>
            </w:r>
            <w:r>
              <w:rPr>
                <w:rFonts w:hint="eastAsia" w:ascii="宋体" w:hAnsi="宋体" w:eastAsia="宋体" w:cs="Times New Roman"/>
                <w:bCs/>
                <w:color w:val="auto"/>
                <w:sz w:val="21"/>
                <w:highlight w:val="none"/>
                <w:lang w:eastAsia="zh-CN"/>
              </w:rPr>
              <w:t>售后方案</w:t>
            </w:r>
            <w:r>
              <w:rPr>
                <w:rFonts w:hint="eastAsia" w:ascii="宋体" w:hAnsi="宋体" w:eastAsia="宋体" w:cs="Times New Roman"/>
                <w:bCs/>
                <w:color w:val="auto"/>
                <w:sz w:val="21"/>
                <w:highlight w:val="none"/>
              </w:rPr>
              <w:t>优于采购需求。</w:t>
            </w:r>
          </w:p>
          <w:p>
            <w:pPr>
              <w:pStyle w:val="12"/>
              <w:spacing w:line="360" w:lineRule="auto"/>
              <w:ind w:firstLine="420" w:firstLineChars="200"/>
              <w:rPr>
                <w:rFonts w:hint="eastAsia" w:ascii="宋体" w:hAnsi="宋体" w:eastAsia="宋体" w:cs="Times New Roman"/>
                <w:bCs/>
                <w:color w:val="auto"/>
                <w:sz w:val="21"/>
                <w:highlight w:val="none"/>
              </w:rPr>
            </w:pPr>
            <w:r>
              <w:rPr>
                <w:rFonts w:hint="eastAsia" w:ascii="宋体" w:hAnsi="宋体" w:eastAsia="宋体" w:cs="Times New Roman"/>
                <w:bCs/>
                <w:color w:val="auto"/>
                <w:sz w:val="21"/>
                <w:highlight w:val="none"/>
              </w:rPr>
              <w:t>备注：不符合最低进档要求的，不予进档，得 0 分</w:t>
            </w:r>
          </w:p>
          <w:p>
            <w:pPr>
              <w:pStyle w:val="12"/>
              <w:spacing w:line="360" w:lineRule="auto"/>
              <w:ind w:firstLine="420" w:firstLineChars="200"/>
              <w:rPr>
                <w:rFonts w:hint="eastAsia" w:ascii="宋体" w:hAnsi="宋体" w:eastAsia="宋体" w:cs="Times New Roman"/>
                <w:bCs/>
                <w:color w:val="auto"/>
                <w:sz w:val="21"/>
                <w:highlight w:val="none"/>
              </w:rPr>
            </w:pPr>
            <w:r>
              <w:rPr>
                <w:rFonts w:hint="eastAsia" w:hAnsi="宋体" w:cs="Times New Roman"/>
                <w:bCs/>
                <w:color w:val="auto"/>
                <w:sz w:val="21"/>
                <w:highlight w:val="none"/>
                <w:lang w:eastAsia="zh-CN"/>
              </w:rPr>
              <w:t>（</w:t>
            </w:r>
            <w:r>
              <w:rPr>
                <w:rFonts w:hint="eastAsia" w:hAnsi="宋体" w:cs="Times New Roman"/>
                <w:bCs/>
                <w:color w:val="auto"/>
                <w:sz w:val="21"/>
                <w:highlight w:val="none"/>
                <w:lang w:val="en-US" w:eastAsia="zh-CN"/>
              </w:rPr>
              <w:t>2）</w:t>
            </w:r>
            <w:r>
              <w:rPr>
                <w:rFonts w:hint="eastAsia" w:hAnsi="宋体"/>
                <w:bCs/>
                <w:color w:val="auto"/>
                <w:sz w:val="21"/>
                <w:highlight w:val="none"/>
              </w:rPr>
              <w:t>投标人</w:t>
            </w:r>
            <w:r>
              <w:rPr>
                <w:rFonts w:hint="eastAsia" w:hAnsi="宋体"/>
                <w:bCs/>
                <w:color w:val="auto"/>
                <w:sz w:val="21"/>
                <w:highlight w:val="none"/>
                <w:lang w:val="en-US" w:eastAsia="zh-CN"/>
              </w:rPr>
              <w:t>提供的质保期承诺时间最长的，加2分。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4"/>
            <w:noWrap w:val="0"/>
            <w:vAlign w:val="center"/>
          </w:tcPr>
          <w:p>
            <w:pPr>
              <w:pStyle w:val="12"/>
              <w:spacing w:line="360" w:lineRule="auto"/>
              <w:ind w:firstLine="420"/>
              <w:rPr>
                <w:rFonts w:hint="eastAsia" w:hAnsi="宋体"/>
                <w:bCs/>
                <w:color w:val="auto"/>
                <w:sz w:val="21"/>
                <w:highlight w:val="none"/>
              </w:rPr>
            </w:pPr>
            <w:r>
              <w:rPr>
                <w:rFonts w:hint="eastAsia" w:hAnsi="宋体"/>
                <w:bCs/>
                <w:color w:val="auto"/>
                <w:sz w:val="21"/>
                <w:highlight w:val="none"/>
              </w:rPr>
              <w:t>总得分=1+2+3+4。</w:t>
            </w:r>
          </w:p>
        </w:tc>
      </w:tr>
    </w:tbl>
    <w:p>
      <w:pPr>
        <w:pStyle w:val="12"/>
        <w:spacing w:line="360" w:lineRule="auto"/>
        <w:ind w:firstLine="420" w:firstLineChars="200"/>
        <w:rPr>
          <w:rFonts w:hint="eastAsia" w:hAnsi="宋体"/>
          <w:bCs/>
          <w:color w:val="auto"/>
          <w:sz w:val="21"/>
          <w:highlight w:val="none"/>
        </w:rPr>
      </w:pPr>
      <w:r>
        <w:rPr>
          <w:rFonts w:hint="eastAsia" w:hAnsi="宋体"/>
          <w:bCs/>
          <w:color w:val="auto"/>
          <w:sz w:val="21"/>
          <w:highlight w:val="none"/>
        </w:rPr>
        <w:t>注：1.计分方法按四舍五入取至百分位；</w:t>
      </w:r>
    </w:p>
    <w:p>
      <w:pPr>
        <w:pStyle w:val="12"/>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spacing w:line="360" w:lineRule="auto"/>
        <w:rPr>
          <w:rFonts w:hint="eastAsia" w:hAnsi="宋体"/>
          <w:color w:val="auto"/>
          <w:highlight w:val="none"/>
        </w:rPr>
      </w:pPr>
    </w:p>
    <w:p>
      <w:pPr>
        <w:pStyle w:val="4"/>
        <w:keepNext w:val="0"/>
        <w:keepLines w:val="0"/>
        <w:jc w:val="center"/>
        <w:rPr>
          <w:color w:val="auto"/>
          <w:sz w:val="30"/>
          <w:szCs w:val="30"/>
          <w:highlight w:val="none"/>
        </w:rPr>
      </w:pPr>
      <w:r>
        <w:rPr>
          <w:rFonts w:hint="eastAsia"/>
          <w:color w:val="auto"/>
          <w:sz w:val="30"/>
          <w:szCs w:val="30"/>
          <w:highlight w:val="none"/>
        </w:rPr>
        <w:t>四、中标候选人推荐原则</w:t>
      </w:r>
    </w:p>
    <w:p>
      <w:pPr>
        <w:pStyle w:val="12"/>
        <w:spacing w:line="360" w:lineRule="auto"/>
        <w:ind w:firstLine="482" w:firstLineChars="200"/>
        <w:contextualSpacing/>
        <w:rPr>
          <w:rFonts w:hint="eastAsia" w:hAnsi="宋体" w:eastAsia="宋体"/>
          <w:b/>
          <w:bCs/>
          <w:color w:val="auto"/>
          <w:sz w:val="24"/>
          <w:szCs w:val="24"/>
          <w:highlight w:val="none"/>
          <w:lang w:eastAsia="zh-CN"/>
        </w:rPr>
      </w:pPr>
      <w:r>
        <w:rPr>
          <w:rFonts w:hint="eastAsia" w:hAnsi="宋体"/>
          <w:b/>
          <w:bCs/>
          <w:color w:val="auto"/>
          <w:sz w:val="24"/>
          <w:szCs w:val="24"/>
          <w:highlight w:val="none"/>
        </w:rPr>
        <w:t>综合评分法</w:t>
      </w:r>
      <w:r>
        <w:rPr>
          <w:rFonts w:hint="eastAsia" w:hAnsi="宋体"/>
          <w:b/>
          <w:bCs/>
          <w:color w:val="auto"/>
          <w:sz w:val="24"/>
          <w:szCs w:val="24"/>
          <w:highlight w:val="none"/>
          <w:lang w:eastAsia="zh-CN"/>
        </w:rPr>
        <w:t>：</w:t>
      </w:r>
    </w:p>
    <w:p>
      <w:pPr>
        <w:spacing w:before="120" w:beforeLines="50" w:after="120" w:afterLines="50" w:line="400" w:lineRule="exact"/>
        <w:ind w:firstLine="420" w:firstLineChars="200"/>
        <w:rPr>
          <w:rFonts w:hint="eastAsia" w:ascii="宋体" w:hAnsi="宋体"/>
          <w:b/>
          <w:color w:val="auto"/>
          <w:sz w:val="24"/>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3"/>
        <w:keepNext w:val="0"/>
        <w:keepLines w:val="0"/>
        <w:jc w:val="center"/>
        <w:rPr>
          <w:rFonts w:hint="eastAsia"/>
          <w:color w:val="auto"/>
          <w:highlight w:val="none"/>
        </w:rPr>
      </w:pPr>
      <w:r>
        <w:rPr>
          <w:color w:val="auto"/>
          <w:highlight w:val="none"/>
        </w:rPr>
        <w:br w:type="page"/>
      </w:r>
    </w:p>
    <w:p>
      <w:pPr>
        <w:pStyle w:val="3"/>
        <w:keepNext w:val="0"/>
        <w:keepLines w:val="0"/>
        <w:jc w:val="center"/>
        <w:rPr>
          <w:rFonts w:hint="eastAsia"/>
          <w:color w:val="auto"/>
          <w:highlight w:val="none"/>
        </w:rPr>
      </w:pPr>
    </w:p>
    <w:p>
      <w:pPr>
        <w:pStyle w:val="3"/>
        <w:keepNext w:val="0"/>
        <w:keepLines w:val="0"/>
        <w:jc w:val="center"/>
        <w:rPr>
          <w:rFonts w:hint="eastAsia"/>
          <w:color w:val="auto"/>
          <w:highlight w:val="none"/>
        </w:rPr>
      </w:pPr>
    </w:p>
    <w:p>
      <w:pPr>
        <w:pStyle w:val="3"/>
        <w:keepNext w:val="0"/>
        <w:keepLines w:val="0"/>
        <w:jc w:val="center"/>
        <w:rPr>
          <w:rFonts w:hint="eastAsia"/>
          <w:color w:val="auto"/>
          <w:highlight w:val="none"/>
        </w:rPr>
      </w:pPr>
    </w:p>
    <w:p>
      <w:pPr>
        <w:pStyle w:val="2"/>
        <w:jc w:val="center"/>
        <w:rPr>
          <w:rFonts w:hint="eastAsia"/>
          <w:color w:val="auto"/>
          <w:highlight w:val="none"/>
        </w:rPr>
      </w:pPr>
      <w:bookmarkStart w:id="161" w:name="_Toc74320804"/>
      <w:r>
        <w:rPr>
          <w:rFonts w:hint="eastAsia"/>
          <w:color w:val="auto"/>
          <w:highlight w:val="none"/>
        </w:rPr>
        <w:t>第五章  拟签订的合同文本</w:t>
      </w:r>
      <w:bookmarkEnd w:id="161"/>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12"/>
        <w:spacing w:line="400" w:lineRule="exact"/>
        <w:ind w:firstLine="4" w:firstLineChars="2"/>
        <w:rPr>
          <w:rFonts w:hint="eastAsia" w:hAnsi="宋体"/>
          <w:b/>
          <w:bCs/>
          <w:color w:val="auto"/>
          <w:szCs w:val="21"/>
          <w:highlight w:val="none"/>
        </w:rPr>
      </w:pPr>
      <w:r>
        <w:rPr>
          <w:rFonts w:hint="eastAsia" w:hAnsi="宋体"/>
          <w:b/>
          <w:bCs/>
          <w:color w:val="auto"/>
          <w:szCs w:val="21"/>
          <w:highlight w:val="none"/>
        </w:rPr>
        <w:t>（注：本合同样本仅供参考，具体内容由采购人和</w:t>
      </w:r>
      <w:r>
        <w:rPr>
          <w:rFonts w:hint="eastAsia" w:hAnsi="宋体"/>
          <w:b/>
          <w:bCs/>
          <w:color w:val="auto"/>
          <w:szCs w:val="21"/>
          <w:highlight w:val="none"/>
          <w:lang w:val="en-US" w:eastAsia="zh-CN"/>
        </w:rPr>
        <w:t>中标</w:t>
      </w:r>
      <w:r>
        <w:rPr>
          <w:rFonts w:hint="eastAsia" w:hAnsi="宋体"/>
          <w:b/>
          <w:bCs/>
          <w:color w:val="auto"/>
          <w:szCs w:val="21"/>
          <w:highlight w:val="none"/>
        </w:rPr>
        <w:t>供应商协商确定，但补充和修改不得造成与本章格式内容有实质性的违背。）</w:t>
      </w: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12"/>
        <w:spacing w:line="840" w:lineRule="exact"/>
        <w:ind w:firstLine="420"/>
        <w:jc w:val="center"/>
        <w:rPr>
          <w:rFonts w:ascii="宋体" w:hAnsi="宋体"/>
          <w:bCs/>
          <w:color w:val="auto"/>
          <w:sz w:val="32"/>
          <w:szCs w:val="32"/>
          <w:highlight w:val="none"/>
        </w:rPr>
      </w:pPr>
      <w:r>
        <w:rPr>
          <w:rFonts w:ascii="宋体" w:hAnsi="宋体"/>
          <w:bCs/>
          <w:color w:val="auto"/>
          <w:sz w:val="32"/>
          <w:szCs w:val="32"/>
          <w:highlight w:val="none"/>
        </w:rPr>
        <w:br w:type="page"/>
      </w:r>
      <w:bookmarkStart w:id="162" w:name="_Hlk55381736"/>
    </w:p>
    <w:p>
      <w:pPr>
        <w:pStyle w:val="12"/>
        <w:spacing w:line="840" w:lineRule="exact"/>
        <w:ind w:firstLine="420"/>
        <w:jc w:val="center"/>
        <w:rPr>
          <w:rFonts w:hint="default" w:ascii="宋体" w:hAnsi="宋体" w:eastAsia="宋体"/>
          <w:bCs/>
          <w:color w:val="auto"/>
          <w:sz w:val="32"/>
          <w:szCs w:val="32"/>
          <w:highlight w:val="none"/>
          <w:lang w:val="en-US" w:eastAsia="zh-CN"/>
        </w:rPr>
      </w:pPr>
      <w:r>
        <w:rPr>
          <w:rFonts w:hint="eastAsia" w:hAnsi="宋体"/>
          <w:bCs/>
          <w:color w:val="auto"/>
          <w:sz w:val="32"/>
          <w:szCs w:val="32"/>
          <w:highlight w:val="none"/>
          <w:lang w:val="en-US" w:eastAsia="zh-CN"/>
        </w:rPr>
        <w:t xml:space="preserve">                           合同编号：</w:t>
      </w:r>
    </w:p>
    <w:p>
      <w:pPr>
        <w:pStyle w:val="12"/>
        <w:spacing w:line="840" w:lineRule="exact"/>
        <w:ind w:firstLine="420"/>
        <w:jc w:val="center"/>
        <w:rPr>
          <w:rFonts w:ascii="宋体" w:hAnsi="宋体"/>
          <w:bCs/>
          <w:color w:val="auto"/>
          <w:sz w:val="32"/>
          <w:szCs w:val="32"/>
          <w:highlight w:val="none"/>
        </w:rPr>
      </w:pPr>
    </w:p>
    <w:p>
      <w:pPr>
        <w:pStyle w:val="12"/>
        <w:spacing w:line="840" w:lineRule="exact"/>
        <w:ind w:firstLine="420"/>
        <w:jc w:val="center"/>
        <w:rPr>
          <w:rFonts w:hAnsi="宋体" w:cs="宋体"/>
          <w:color w:val="auto"/>
          <w:sz w:val="84"/>
          <w:szCs w:val="84"/>
          <w:highlight w:val="none"/>
        </w:rPr>
      </w:pPr>
      <w:r>
        <w:rPr>
          <w:rFonts w:hint="eastAsia" w:hAnsi="宋体" w:cs="宋体"/>
          <w:color w:val="auto"/>
          <w:sz w:val="84"/>
          <w:szCs w:val="84"/>
          <w:highlight w:val="none"/>
        </w:rPr>
        <w:t>政府采购合同书</w:t>
      </w: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rPr>
          <w:rFonts w:hAnsi="宋体" w:cs="宋体"/>
          <w:color w:val="auto"/>
          <w:sz w:val="24"/>
          <w:szCs w:val="24"/>
          <w:highlight w:val="none"/>
        </w:rPr>
      </w:pPr>
    </w:p>
    <w:p>
      <w:pPr>
        <w:pStyle w:val="12"/>
        <w:spacing w:line="340" w:lineRule="exact"/>
        <w:ind w:firstLine="420"/>
        <w:jc w:val="left"/>
        <w:rPr>
          <w:rFonts w:hAnsi="宋体" w:cs="宋体"/>
          <w:color w:val="auto"/>
          <w:sz w:val="24"/>
          <w:szCs w:val="24"/>
          <w:highlight w:val="none"/>
        </w:rPr>
      </w:pPr>
    </w:p>
    <w:p>
      <w:pPr>
        <w:pStyle w:val="12"/>
        <w:spacing w:line="360" w:lineRule="auto"/>
        <w:ind w:firstLine="1280" w:firstLineChars="400"/>
        <w:rPr>
          <w:rFonts w:hAnsi="宋体" w:cs="宋体"/>
          <w:color w:val="auto"/>
          <w:spacing w:val="10"/>
          <w:sz w:val="30"/>
          <w:szCs w:val="30"/>
          <w:highlight w:val="none"/>
        </w:rPr>
      </w:pPr>
      <w:r>
        <w:rPr>
          <w:rFonts w:hint="eastAsia" w:hAnsi="宋体" w:cs="宋体"/>
          <w:color w:val="auto"/>
          <w:spacing w:val="10"/>
          <w:sz w:val="30"/>
          <w:szCs w:val="30"/>
          <w:highlight w:val="none"/>
        </w:rPr>
        <w:t>合同名称：</w:t>
      </w:r>
    </w:p>
    <w:p>
      <w:pPr>
        <w:pStyle w:val="12"/>
        <w:spacing w:line="360" w:lineRule="auto"/>
        <w:ind w:firstLine="1280" w:firstLineChars="400"/>
        <w:rPr>
          <w:rFonts w:hAnsi="宋体" w:cs="宋体"/>
          <w:color w:val="auto"/>
          <w:spacing w:val="10"/>
          <w:sz w:val="30"/>
          <w:szCs w:val="30"/>
          <w:highlight w:val="none"/>
        </w:rPr>
      </w:pPr>
      <w:r>
        <w:rPr>
          <w:rFonts w:hint="eastAsia" w:hAnsi="宋体" w:cs="宋体"/>
          <w:color w:val="auto"/>
          <w:spacing w:val="10"/>
          <w:sz w:val="30"/>
          <w:szCs w:val="30"/>
          <w:highlight w:val="none"/>
        </w:rPr>
        <w:t>合同编号：</w:t>
      </w:r>
    </w:p>
    <w:p>
      <w:pPr>
        <w:pStyle w:val="12"/>
        <w:spacing w:line="360" w:lineRule="auto"/>
        <w:ind w:firstLine="1280" w:firstLineChars="400"/>
        <w:rPr>
          <w:rFonts w:hint="eastAsia" w:hAnsi="宋体" w:cs="宋体"/>
          <w:color w:val="auto"/>
          <w:spacing w:val="10"/>
          <w:sz w:val="30"/>
          <w:szCs w:val="30"/>
          <w:highlight w:val="none"/>
        </w:rPr>
      </w:pPr>
    </w:p>
    <w:p>
      <w:pPr>
        <w:pStyle w:val="12"/>
        <w:spacing w:line="360" w:lineRule="auto"/>
        <w:ind w:firstLine="1280" w:firstLineChars="400"/>
        <w:rPr>
          <w:rFonts w:hint="eastAsia" w:hAnsi="宋体" w:cs="宋体"/>
          <w:color w:val="auto"/>
          <w:spacing w:val="10"/>
          <w:sz w:val="30"/>
          <w:szCs w:val="30"/>
          <w:highlight w:val="none"/>
        </w:rPr>
      </w:pPr>
    </w:p>
    <w:p>
      <w:pPr>
        <w:pStyle w:val="12"/>
        <w:spacing w:line="360" w:lineRule="auto"/>
        <w:ind w:firstLine="1280" w:firstLineChars="400"/>
        <w:rPr>
          <w:rFonts w:hint="default" w:hAnsi="宋体" w:eastAsia="宋体" w:cs="宋体"/>
          <w:color w:val="auto"/>
          <w:spacing w:val="10"/>
          <w:sz w:val="30"/>
          <w:szCs w:val="30"/>
          <w:highlight w:val="none"/>
          <w:lang w:val="en-US" w:eastAsia="zh-CN"/>
        </w:rPr>
      </w:pPr>
      <w:r>
        <w:rPr>
          <w:rFonts w:hint="eastAsia" w:hAnsi="宋体" w:cs="宋体"/>
          <w:color w:val="auto"/>
          <w:spacing w:val="10"/>
          <w:sz w:val="30"/>
          <w:szCs w:val="30"/>
          <w:highlight w:val="none"/>
        </w:rPr>
        <w:t>甲方：</w:t>
      </w:r>
      <w:r>
        <w:rPr>
          <w:rFonts w:hint="eastAsia" w:hAnsi="宋体" w:cs="宋体"/>
          <w:color w:val="auto"/>
          <w:spacing w:val="10"/>
          <w:sz w:val="30"/>
          <w:szCs w:val="30"/>
          <w:highlight w:val="none"/>
          <w:u w:val="single"/>
          <w:lang w:eastAsia="zh-CN"/>
        </w:rPr>
        <w:t>靖西市人民医院</w:t>
      </w:r>
      <w:r>
        <w:rPr>
          <w:rFonts w:hint="eastAsia" w:hAnsi="宋体" w:cs="宋体"/>
          <w:color w:val="auto"/>
          <w:spacing w:val="10"/>
          <w:sz w:val="30"/>
          <w:szCs w:val="30"/>
          <w:highlight w:val="none"/>
          <w:u w:val="single"/>
          <w:lang w:val="en-US" w:eastAsia="zh-CN"/>
        </w:rPr>
        <w:t xml:space="preserve">     </w:t>
      </w: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cs="宋体"/>
          <w:color w:val="auto"/>
          <w:spacing w:val="10"/>
          <w:sz w:val="30"/>
          <w:szCs w:val="30"/>
          <w:highlight w:val="none"/>
          <w:u w:val="single"/>
          <w:lang w:val="en-US" w:eastAsia="zh-CN"/>
        </w:rPr>
      </w:pPr>
      <w:r>
        <w:rPr>
          <w:rFonts w:hint="eastAsia" w:hAnsi="宋体" w:cs="宋体"/>
          <w:color w:val="auto"/>
          <w:spacing w:val="10"/>
          <w:sz w:val="30"/>
          <w:szCs w:val="30"/>
          <w:highlight w:val="none"/>
        </w:rPr>
        <w:t>乙方：</w:t>
      </w:r>
      <w:r>
        <w:rPr>
          <w:rFonts w:hint="eastAsia" w:hAnsi="宋体" w:cs="宋体"/>
          <w:color w:val="auto"/>
          <w:spacing w:val="10"/>
          <w:sz w:val="30"/>
          <w:szCs w:val="30"/>
          <w:highlight w:val="none"/>
          <w:u w:val="single"/>
          <w:lang w:val="en-US" w:eastAsia="zh-CN"/>
        </w:rPr>
        <w:t xml:space="preserve">                  </w:t>
      </w: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cs="宋体"/>
          <w:color w:val="auto"/>
          <w:spacing w:val="10"/>
          <w:sz w:val="30"/>
          <w:szCs w:val="30"/>
          <w:highlight w:val="none"/>
        </w:rPr>
      </w:pPr>
    </w:p>
    <w:p>
      <w:pPr>
        <w:pStyle w:val="12"/>
        <w:spacing w:line="360" w:lineRule="auto"/>
        <w:ind w:firstLine="1257" w:firstLineChars="393"/>
        <w:rPr>
          <w:rFonts w:hint="eastAsia" w:hAnsi="宋体" w:eastAsia="宋体" w:cs="宋体"/>
          <w:color w:val="auto"/>
          <w:spacing w:val="10"/>
          <w:sz w:val="30"/>
          <w:szCs w:val="30"/>
          <w:highlight w:val="none"/>
          <w:lang w:eastAsia="zh-CN"/>
        </w:rPr>
      </w:pPr>
      <w:r>
        <w:rPr>
          <w:rFonts w:hint="eastAsia" w:hAnsi="宋体" w:cs="宋体"/>
          <w:color w:val="auto"/>
          <w:spacing w:val="10"/>
          <w:sz w:val="30"/>
          <w:szCs w:val="30"/>
          <w:highlight w:val="none"/>
        </w:rPr>
        <w:t>签订合同地点：</w:t>
      </w:r>
      <w:r>
        <w:rPr>
          <w:rFonts w:hint="eastAsia" w:hAnsi="宋体" w:cs="宋体"/>
          <w:color w:val="auto"/>
          <w:spacing w:val="10"/>
          <w:sz w:val="30"/>
          <w:szCs w:val="30"/>
          <w:highlight w:val="none"/>
          <w:lang w:eastAsia="zh-CN"/>
        </w:rPr>
        <w:t>靖西市人民医院</w:t>
      </w:r>
    </w:p>
    <w:p>
      <w:pPr>
        <w:pStyle w:val="12"/>
        <w:spacing w:line="360" w:lineRule="auto"/>
        <w:ind w:firstLine="1257" w:firstLineChars="393"/>
        <w:rPr>
          <w:rFonts w:hAnsi="宋体" w:cs="宋体"/>
          <w:color w:val="auto"/>
          <w:spacing w:val="10"/>
          <w:sz w:val="30"/>
          <w:szCs w:val="30"/>
          <w:highlight w:val="none"/>
        </w:rPr>
      </w:pPr>
      <w:r>
        <w:rPr>
          <w:rFonts w:hint="eastAsia" w:hAnsi="宋体" w:cs="宋体"/>
          <w:color w:val="auto"/>
          <w:spacing w:val="10"/>
          <w:sz w:val="30"/>
          <w:szCs w:val="30"/>
          <w:highlight w:val="none"/>
        </w:rPr>
        <w:t>签订合同时间：</w:t>
      </w:r>
      <w:r>
        <w:rPr>
          <w:rFonts w:hint="eastAsia" w:hAnsi="宋体" w:cs="宋体"/>
          <w:color w:val="auto"/>
          <w:spacing w:val="10"/>
          <w:sz w:val="30"/>
          <w:szCs w:val="30"/>
          <w:highlight w:val="none"/>
          <w:lang w:val="en-US" w:eastAsia="zh-CN"/>
        </w:rPr>
        <w:t xml:space="preserve">   </w:t>
      </w:r>
      <w:r>
        <w:rPr>
          <w:rFonts w:hint="eastAsia" w:hAnsi="宋体" w:cs="宋体"/>
          <w:color w:val="auto"/>
          <w:spacing w:val="10"/>
          <w:sz w:val="30"/>
          <w:szCs w:val="30"/>
          <w:highlight w:val="none"/>
        </w:rPr>
        <w:t>年   月    日</w:t>
      </w:r>
    </w:p>
    <w:p>
      <w:pPr>
        <w:pStyle w:val="12"/>
        <w:spacing w:line="360" w:lineRule="auto"/>
        <w:ind w:firstLine="943" w:firstLineChars="393"/>
        <w:jc w:val="center"/>
        <w:rPr>
          <w:rFonts w:hAnsi="宋体" w:cs="宋体"/>
          <w:color w:val="auto"/>
          <w:sz w:val="24"/>
          <w:szCs w:val="24"/>
          <w:highlight w:val="none"/>
        </w:rPr>
        <w:sectPr>
          <w:footerReference r:id="rId4" w:type="default"/>
          <w:pgSz w:w="11906" w:h="16838"/>
          <w:pgMar w:top="1440" w:right="850" w:bottom="1440" w:left="1134" w:header="851" w:footer="992" w:gutter="0"/>
          <w:pgNumType w:fmt="decimal" w:start="1"/>
          <w:cols w:space="720" w:num="1"/>
          <w:docGrid w:type="lines" w:linePitch="312" w:charSpace="0"/>
        </w:sectPr>
      </w:pPr>
    </w:p>
    <w:p>
      <w:pPr>
        <w:pStyle w:val="12"/>
        <w:spacing w:line="480" w:lineRule="auto"/>
        <w:jc w:val="center"/>
        <w:rPr>
          <w:rFonts w:hAnsi="宋体"/>
          <w:color w:val="auto"/>
          <w:sz w:val="44"/>
          <w:szCs w:val="44"/>
          <w:highlight w:val="none"/>
        </w:rPr>
      </w:pPr>
      <w:r>
        <w:rPr>
          <w:rFonts w:hint="eastAsia" w:hAnsi="宋体"/>
          <w:color w:val="auto"/>
          <w:sz w:val="44"/>
          <w:szCs w:val="44"/>
          <w:highlight w:val="none"/>
        </w:rPr>
        <w:t>目    录</w:t>
      </w:r>
    </w:p>
    <w:p>
      <w:pPr>
        <w:pStyle w:val="12"/>
        <w:spacing w:line="480" w:lineRule="auto"/>
        <w:jc w:val="left"/>
        <w:rPr>
          <w:rFonts w:hAnsi="宋体"/>
          <w:color w:val="auto"/>
          <w:sz w:val="28"/>
          <w:szCs w:val="28"/>
          <w:highlight w:val="none"/>
        </w:rPr>
      </w:pPr>
    </w:p>
    <w:p>
      <w:pPr>
        <w:pStyle w:val="12"/>
        <w:spacing w:line="480" w:lineRule="auto"/>
        <w:jc w:val="left"/>
        <w:rPr>
          <w:rFonts w:hAnsi="宋体"/>
          <w:color w:val="auto"/>
          <w:sz w:val="28"/>
          <w:szCs w:val="28"/>
          <w:highlight w:val="none"/>
        </w:rPr>
      </w:pPr>
    </w:p>
    <w:p>
      <w:pPr>
        <w:pStyle w:val="12"/>
        <w:spacing w:line="480" w:lineRule="auto"/>
        <w:jc w:val="left"/>
        <w:rPr>
          <w:rFonts w:hAnsi="宋体"/>
          <w:color w:val="auto"/>
          <w:sz w:val="28"/>
          <w:szCs w:val="28"/>
          <w:highlight w:val="none"/>
        </w:rPr>
      </w:pP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1、合同书</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2、采购需求</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3、</w:t>
      </w:r>
      <w:r>
        <w:rPr>
          <w:rFonts w:hint="eastAsia" w:hAnsi="宋体"/>
          <w:color w:val="auto"/>
          <w:sz w:val="32"/>
          <w:szCs w:val="32"/>
          <w:highlight w:val="none"/>
          <w:lang w:val="en-US" w:eastAsia="zh-CN"/>
        </w:rPr>
        <w:t>投标</w:t>
      </w:r>
      <w:r>
        <w:rPr>
          <w:rFonts w:hint="eastAsia" w:hAnsi="宋体"/>
          <w:color w:val="auto"/>
          <w:sz w:val="32"/>
          <w:szCs w:val="32"/>
          <w:highlight w:val="none"/>
        </w:rPr>
        <w:t>函</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4、</w:t>
      </w:r>
      <w:r>
        <w:rPr>
          <w:rFonts w:hint="eastAsia" w:hAnsi="宋体"/>
          <w:color w:val="auto"/>
          <w:sz w:val="32"/>
          <w:szCs w:val="32"/>
          <w:highlight w:val="none"/>
          <w:lang w:val="en-US" w:eastAsia="zh-CN"/>
        </w:rPr>
        <w:t>投标</w:t>
      </w:r>
      <w:r>
        <w:rPr>
          <w:rFonts w:hint="eastAsia" w:hAnsi="宋体"/>
          <w:color w:val="auto"/>
          <w:sz w:val="32"/>
          <w:szCs w:val="32"/>
          <w:highlight w:val="none"/>
        </w:rPr>
        <w:t>报价表</w:t>
      </w:r>
    </w:p>
    <w:p>
      <w:pPr>
        <w:pStyle w:val="12"/>
        <w:spacing w:line="360" w:lineRule="auto"/>
        <w:ind w:left="0" w:leftChars="0" w:firstLine="640" w:firstLineChars="200"/>
        <w:jc w:val="left"/>
        <w:rPr>
          <w:rFonts w:hAnsi="宋体"/>
          <w:color w:val="auto"/>
          <w:sz w:val="32"/>
          <w:szCs w:val="32"/>
          <w:highlight w:val="none"/>
        </w:rPr>
      </w:pPr>
      <w:r>
        <w:rPr>
          <w:rFonts w:hint="eastAsia" w:hAnsi="宋体"/>
          <w:color w:val="auto"/>
          <w:sz w:val="32"/>
          <w:szCs w:val="32"/>
          <w:highlight w:val="none"/>
        </w:rPr>
        <w:t>5、售后服务方案</w:t>
      </w:r>
    </w:p>
    <w:p>
      <w:pPr>
        <w:pStyle w:val="12"/>
        <w:spacing w:line="360" w:lineRule="auto"/>
        <w:ind w:left="0" w:leftChars="0" w:firstLine="640" w:firstLineChars="200"/>
        <w:jc w:val="left"/>
        <w:rPr>
          <w:color w:val="auto"/>
          <w:highlight w:val="none"/>
        </w:rPr>
        <w:sectPr>
          <w:pgSz w:w="11906" w:h="16838"/>
          <w:pgMar w:top="1440" w:right="850" w:bottom="1440" w:left="1134" w:header="851" w:footer="992" w:gutter="0"/>
          <w:pgNumType w:fmt="decimal"/>
          <w:cols w:space="720" w:num="1"/>
          <w:docGrid w:type="lines" w:linePitch="312" w:charSpace="0"/>
        </w:sectPr>
      </w:pPr>
      <w:r>
        <w:rPr>
          <w:rFonts w:hint="eastAsia" w:hAnsi="宋体"/>
          <w:color w:val="auto"/>
          <w:sz w:val="32"/>
          <w:szCs w:val="32"/>
          <w:highlight w:val="none"/>
        </w:rPr>
        <w:t>6、</w:t>
      </w:r>
      <w:r>
        <w:rPr>
          <w:rFonts w:hint="eastAsia" w:hAnsi="宋体"/>
          <w:color w:val="auto"/>
          <w:sz w:val="32"/>
          <w:szCs w:val="32"/>
          <w:highlight w:val="none"/>
          <w:lang w:val="en-US" w:eastAsia="zh-CN"/>
        </w:rPr>
        <w:t>中标通知书</w:t>
      </w:r>
    </w:p>
    <w:p>
      <w:pPr>
        <w:snapToGrid w:val="0"/>
        <w:spacing w:line="400" w:lineRule="exact"/>
        <w:ind w:right="480"/>
        <w:jc w:val="center"/>
        <w:rPr>
          <w:rFonts w:ascii="宋体" w:hAnsi="宋体"/>
          <w:b/>
          <w:bCs/>
          <w:color w:val="auto"/>
          <w:sz w:val="32"/>
          <w:szCs w:val="32"/>
          <w:highlight w:val="none"/>
        </w:rPr>
      </w:pPr>
      <w:r>
        <w:rPr>
          <w:rFonts w:hint="eastAsia" w:ascii="宋体" w:hAnsi="宋体"/>
          <w:b/>
          <w:bCs/>
          <w:color w:val="auto"/>
          <w:sz w:val="32"/>
          <w:szCs w:val="32"/>
          <w:highlight w:val="none"/>
        </w:rPr>
        <w:t>1、合 同 书</w:t>
      </w:r>
    </w:p>
    <w:p>
      <w:pPr>
        <w:snapToGrid w:val="0"/>
        <w:spacing w:line="400" w:lineRule="exact"/>
        <w:ind w:right="480"/>
        <w:jc w:val="center"/>
        <w:rPr>
          <w:rFonts w:ascii="宋体" w:hAnsi="宋体"/>
          <w:color w:val="auto"/>
          <w:sz w:val="32"/>
          <w:szCs w:val="32"/>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（甲方）采购单位：</w:t>
      </w:r>
      <w:r>
        <w:rPr>
          <w:rFonts w:hint="eastAsia" w:ascii="仿宋" w:hAnsi="仿宋" w:eastAsia="仿宋"/>
          <w:color w:val="auto"/>
          <w:highlight w:val="none"/>
          <w:lang w:eastAsia="zh-CN"/>
        </w:rPr>
        <w:t>靖西市人民医院</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w:t>
      </w:r>
      <w:r>
        <w:rPr>
          <w:rFonts w:hint="eastAsia" w:ascii="仿宋" w:hAnsi="仿宋" w:eastAsia="仿宋"/>
          <w:color w:val="auto"/>
          <w:highlight w:val="none"/>
          <w:lang w:val="en-US" w:eastAsia="zh-CN"/>
        </w:rPr>
        <w:t>中标</w:t>
      </w:r>
      <w:r>
        <w:rPr>
          <w:rFonts w:hint="eastAsia" w:ascii="仿宋" w:hAnsi="仿宋" w:eastAsia="仿宋"/>
          <w:color w:val="auto"/>
          <w:highlight w:val="none"/>
        </w:rPr>
        <w:t xml:space="preserve">单位：                         </w:t>
      </w:r>
    </w:p>
    <w:p>
      <w:pPr>
        <w:pStyle w:val="22"/>
        <w:spacing w:line="360" w:lineRule="auto"/>
        <w:rPr>
          <w:rFonts w:hint="eastAsia" w:ascii="仿宋" w:hAnsi="仿宋" w:eastAsia="仿宋"/>
          <w:color w:val="auto"/>
          <w:highlight w:val="none"/>
          <w:lang w:eastAsia="zh-CN"/>
        </w:rPr>
      </w:pPr>
      <w:r>
        <w:rPr>
          <w:rFonts w:hint="eastAsia" w:ascii="仿宋" w:hAnsi="仿宋" w:eastAsia="仿宋"/>
          <w:color w:val="auto"/>
          <w:highlight w:val="none"/>
        </w:rPr>
        <w:t>项目名称</w:t>
      </w:r>
      <w:r>
        <w:rPr>
          <w:rFonts w:hint="eastAsia" w:ascii="仿宋" w:hAnsi="仿宋" w:eastAsia="仿宋"/>
          <w:color w:val="auto"/>
          <w:highlight w:val="none"/>
          <w:lang w:eastAsia="zh-CN"/>
        </w:rPr>
        <w:t>：</w:t>
      </w:r>
    </w:p>
    <w:p>
      <w:pPr>
        <w:pStyle w:val="22"/>
        <w:spacing w:line="360" w:lineRule="auto"/>
        <w:rPr>
          <w:rFonts w:hint="eastAsia" w:ascii="仿宋" w:hAnsi="仿宋" w:eastAsia="仿宋"/>
          <w:color w:val="auto"/>
          <w:highlight w:val="none"/>
        </w:rPr>
      </w:pPr>
      <w:r>
        <w:rPr>
          <w:rFonts w:hint="eastAsia" w:ascii="仿宋" w:hAnsi="仿宋" w:eastAsia="仿宋"/>
          <w:color w:val="auto"/>
          <w:highlight w:val="none"/>
          <w:lang w:val="en-US" w:eastAsia="zh-CN"/>
        </w:rPr>
        <w:t>项目</w:t>
      </w:r>
      <w:r>
        <w:rPr>
          <w:rFonts w:hint="eastAsia" w:ascii="仿宋" w:hAnsi="仿宋" w:eastAsia="仿宋"/>
          <w:color w:val="auto"/>
          <w:highlight w:val="none"/>
        </w:rPr>
        <w:t>编号：</w:t>
      </w:r>
    </w:p>
    <w:p>
      <w:pPr>
        <w:pStyle w:val="22"/>
        <w:spacing w:line="360" w:lineRule="auto"/>
        <w:rPr>
          <w:rFonts w:ascii="仿宋" w:hAnsi="仿宋" w:eastAsia="仿宋"/>
          <w:color w:val="auto"/>
          <w:highlight w:val="none"/>
        </w:rPr>
      </w:pPr>
      <w:r>
        <w:rPr>
          <w:rFonts w:hint="eastAsia" w:ascii="仿宋" w:hAnsi="仿宋" w:eastAsia="仿宋"/>
          <w:color w:val="auto"/>
          <w:highlight w:val="none"/>
          <w:lang w:val="en-US" w:eastAsia="zh-CN"/>
        </w:rPr>
        <w:t>采购计划编号：</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签订地点 ：</w:t>
      </w:r>
      <w:r>
        <w:rPr>
          <w:rFonts w:hint="eastAsia" w:ascii="仿宋" w:hAnsi="仿宋" w:eastAsia="仿宋"/>
          <w:color w:val="auto"/>
          <w:highlight w:val="none"/>
          <w:lang w:eastAsia="zh-CN"/>
        </w:rPr>
        <w:t>靖西市人民医院</w:t>
      </w:r>
      <w:r>
        <w:rPr>
          <w:rFonts w:hint="eastAsia" w:ascii="仿宋" w:hAnsi="仿宋" w:eastAsia="仿宋"/>
          <w:color w:val="auto"/>
          <w:highlight w:val="none"/>
        </w:rPr>
        <w:t xml:space="preserve">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签订时间：</w:t>
      </w:r>
      <w:r>
        <w:rPr>
          <w:rFonts w:hint="eastAsia" w:ascii="仿宋" w:hAnsi="仿宋" w:eastAsia="仿宋"/>
          <w:color w:val="auto"/>
          <w:highlight w:val="none"/>
          <w:u w:val="single"/>
        </w:rPr>
        <w:t xml:space="preserve">    年   月    日</w:t>
      </w:r>
      <w:r>
        <w:rPr>
          <w:rFonts w:hint="eastAsia" w:ascii="仿宋" w:hAnsi="仿宋" w:eastAsia="仿宋"/>
          <w:color w:val="auto"/>
          <w:highlight w:val="none"/>
        </w:rPr>
        <w:t xml:space="preserve">  </w:t>
      </w:r>
    </w:p>
    <w:p>
      <w:pPr>
        <w:pStyle w:val="22"/>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根据《中华人民共和国政府采购法》《中华人民共和国民法典》等法律、法规规定，按照</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及响应文件规定条款和</w:t>
      </w:r>
      <w:r>
        <w:rPr>
          <w:rFonts w:hint="eastAsia" w:ascii="仿宋" w:hAnsi="仿宋" w:eastAsia="仿宋"/>
          <w:color w:val="auto"/>
          <w:highlight w:val="none"/>
          <w:lang w:val="en-US" w:eastAsia="zh-CN"/>
        </w:rPr>
        <w:t>中标</w:t>
      </w:r>
      <w:r>
        <w:rPr>
          <w:rFonts w:hint="eastAsia" w:ascii="仿宋" w:hAnsi="仿宋" w:eastAsia="仿宋"/>
          <w:color w:val="auto"/>
          <w:highlight w:val="none"/>
        </w:rPr>
        <w:t>供应商承诺，甲乙双方签订本合同。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第一条　合同标的</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1．供货一览表</w:t>
      </w:r>
    </w:p>
    <w:tbl>
      <w:tblPr>
        <w:tblStyle w:val="17"/>
        <w:tblW w:w="9271" w:type="dxa"/>
        <w:tblInd w:w="0" w:type="dxa"/>
        <w:tblLayout w:type="fixed"/>
        <w:tblCellMar>
          <w:top w:w="0" w:type="dxa"/>
          <w:left w:w="108" w:type="dxa"/>
          <w:bottom w:w="0" w:type="dxa"/>
          <w:right w:w="108" w:type="dxa"/>
        </w:tblCellMar>
      </w:tblPr>
      <w:tblGrid>
        <w:gridCol w:w="573"/>
        <w:gridCol w:w="1830"/>
        <w:gridCol w:w="880"/>
        <w:gridCol w:w="935"/>
        <w:gridCol w:w="1248"/>
        <w:gridCol w:w="552"/>
        <w:gridCol w:w="555"/>
        <w:gridCol w:w="1410"/>
        <w:gridCol w:w="1288"/>
      </w:tblGrid>
      <w:tr>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序号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产品名称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商标品牌</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型号规格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生产厂家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单位</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单价（元）</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金额（元）</w:t>
            </w:r>
          </w:p>
        </w:tc>
      </w:tr>
      <w:tr>
        <w:tblPrEx>
          <w:tblCellMar>
            <w:top w:w="0" w:type="dxa"/>
            <w:left w:w="108" w:type="dxa"/>
            <w:bottom w:w="0" w:type="dxa"/>
            <w:right w:w="108" w:type="dxa"/>
          </w:tblCellMar>
        </w:tblPrEx>
        <w:trPr>
          <w:trHeight w:val="819"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r>
              <w:rPr>
                <w:rFonts w:hint="eastAsia" w:ascii="仿宋" w:hAnsi="仿宋" w:eastAsia="仿宋"/>
                <w:color w:val="auto"/>
                <w:highlight w:val="none"/>
              </w:rPr>
              <w:t>1</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auto"/>
                <w:highlight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c>
          <w:tcPr>
            <w:tcW w:w="9271" w:type="dxa"/>
            <w:gridSpan w:val="9"/>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人民币合计金额：         元整（￥       元）</w:t>
            </w:r>
          </w:p>
        </w:tc>
      </w:tr>
    </w:tbl>
    <w:p>
      <w:pPr>
        <w:pStyle w:val="22"/>
        <w:spacing w:line="360" w:lineRule="auto"/>
        <w:rPr>
          <w:rFonts w:ascii="仿宋" w:hAnsi="仿宋" w:eastAsia="仿宋"/>
          <w:color w:val="auto"/>
          <w:highlight w:val="none"/>
        </w:rPr>
      </w:pPr>
      <w:r>
        <w:rPr>
          <w:rFonts w:hint="eastAsia" w:ascii="仿宋" w:hAnsi="仿宋" w:eastAsia="仿宋"/>
          <w:color w:val="auto"/>
          <w:highlight w:val="none"/>
        </w:rPr>
        <w:t>2．合同合计金额</w:t>
      </w:r>
      <w:r>
        <w:rPr>
          <w:rFonts w:hint="eastAsia" w:ascii="仿宋" w:hAnsi="仿宋" w:eastAsia="仿宋"/>
          <w:color w:val="auto"/>
          <w:highlight w:val="none"/>
          <w:lang w:val="zh-CN"/>
        </w:rPr>
        <w:t>报价包括设备、设备包装、装卸运输、保险、税费、设备安装以及调试、验收、技术服务（包括技术资料的提供）、质保期保障、设备检测、培训</w:t>
      </w:r>
      <w:r>
        <w:rPr>
          <w:rFonts w:ascii="宋体" w:hAnsi="宋体" w:eastAsia="宋体" w:cs="宋体"/>
          <w:color w:val="auto"/>
          <w:spacing w:val="0"/>
          <w:sz w:val="24"/>
          <w:szCs w:val="24"/>
          <w:highlight w:val="none"/>
        </w:rPr>
        <w:t>及与医院信息系统对接的接口费</w:t>
      </w:r>
      <w:r>
        <w:rPr>
          <w:rFonts w:hint="eastAsia" w:ascii="仿宋" w:hAnsi="仿宋" w:eastAsia="仿宋"/>
          <w:color w:val="auto"/>
          <w:highlight w:val="none"/>
          <w:lang w:val="zh-CN"/>
        </w:rPr>
        <w:t>等所发生的一切费用</w:t>
      </w:r>
      <w:r>
        <w:rPr>
          <w:rFonts w:hint="eastAsia" w:ascii="仿宋" w:hAnsi="仿宋" w:eastAsia="仿宋"/>
          <w:color w:val="auto"/>
          <w:highlight w:val="none"/>
        </w:rPr>
        <w:t>。如</w:t>
      </w:r>
      <w:r>
        <w:rPr>
          <w:rFonts w:hint="eastAsia" w:ascii="仿宋" w:hAnsi="仿宋" w:eastAsia="仿宋"/>
          <w:color w:val="auto"/>
          <w:highlight w:val="none"/>
          <w:lang w:eastAsia="zh-CN"/>
        </w:rPr>
        <w:t>招标文件</w:t>
      </w:r>
      <w:r>
        <w:rPr>
          <w:rFonts w:hint="eastAsia" w:ascii="仿宋" w:hAnsi="仿宋" w:eastAsia="仿宋"/>
          <w:color w:val="auto"/>
          <w:highlight w:val="none"/>
        </w:rPr>
        <w:t>及</w:t>
      </w:r>
      <w:r>
        <w:rPr>
          <w:rFonts w:hint="eastAsia" w:ascii="仿宋" w:hAnsi="仿宋" w:eastAsia="仿宋"/>
          <w:color w:val="auto"/>
          <w:highlight w:val="none"/>
          <w:lang w:eastAsia="zh-CN"/>
        </w:rPr>
        <w:t>投标</w:t>
      </w:r>
      <w:r>
        <w:rPr>
          <w:rFonts w:hint="eastAsia" w:ascii="仿宋" w:hAnsi="仿宋" w:eastAsia="仿宋"/>
          <w:color w:val="auto"/>
          <w:highlight w:val="none"/>
        </w:rPr>
        <w:t>文件对其另有约定的，从其约定。</w:t>
      </w:r>
    </w:p>
    <w:p>
      <w:pPr>
        <w:pStyle w:val="22"/>
        <w:spacing w:line="360" w:lineRule="auto"/>
        <w:ind w:right="-508" w:rightChars="-242"/>
        <w:rPr>
          <w:rFonts w:ascii="仿宋" w:hAnsi="仿宋" w:eastAsia="仿宋"/>
          <w:b/>
          <w:bCs/>
          <w:color w:val="auto"/>
          <w:highlight w:val="none"/>
        </w:rPr>
      </w:pPr>
      <w:r>
        <w:rPr>
          <w:rFonts w:hint="eastAsia" w:ascii="仿宋" w:hAnsi="仿宋" w:eastAsia="仿宋"/>
          <w:b/>
          <w:bCs/>
          <w:color w:val="auto"/>
          <w:highlight w:val="none"/>
        </w:rPr>
        <w:t>第二条  质量保证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1．乙方所提供的货物型号、技术规格、技术参数等质量必须与</w:t>
      </w:r>
      <w:r>
        <w:rPr>
          <w:rFonts w:hint="eastAsia" w:ascii="仿宋" w:hAnsi="仿宋" w:eastAsia="仿宋"/>
          <w:color w:val="auto"/>
          <w:highlight w:val="none"/>
          <w:lang w:eastAsia="zh-CN"/>
        </w:rPr>
        <w:t>招标文件</w:t>
      </w:r>
      <w:r>
        <w:rPr>
          <w:rFonts w:hint="eastAsia" w:ascii="仿宋" w:hAnsi="仿宋" w:eastAsia="仿宋"/>
          <w:color w:val="auto"/>
          <w:highlight w:val="none"/>
        </w:rPr>
        <w:t>相一致。乙方提供的节能和环保产品必须是列入政府采购清单的产品。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2．合同提供设备的生产日期不得超过半年，乙方所提供的货物必须是全新、未使用的原装产品，且在正常使用和保养条件下，其使用寿命期内各项指标均达到质量要求。</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第三条  权利保证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1．乙方对合同标的享有合法、完整的所有权，合同标的不存在租赁、担保或保留所有权等权利瑕疵的情形，乙方应保证所提供货物在使用时不会侵犯任何第三方的专利权、商标权、工业设计权或其他权利。</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规定的时间向甲方提供使用货物的有关技术资料。</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没有甲方事先书面同意，乙方不得将由甲方提供的有关合同或任何合同条文、规格、计划、图纸、样品或资料提供给与本合同无关的任何其他人。即使向履行本合同有关的人员提供，也应该注意保密并限于履行合同的必需范围。</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第四条  包装和运输</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1．乙方提供的货物均应按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及响应文件要求的包装材料、包装标准、包装方式进行包装，每一包装单元内应附详细的装箱单和质量合格证。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2．货物的运输：由乙方负责。</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3．乙方负责货物运输，货物运输合理损耗及计算方法：无。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第五条  交付和验收</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1．交货期：合同生效</w:t>
      </w:r>
      <w:r>
        <w:rPr>
          <w:rFonts w:hint="eastAsia" w:ascii="仿宋" w:hAnsi="仿宋" w:eastAsia="仿宋"/>
          <w:color w:val="auto"/>
          <w:highlight w:val="none"/>
          <w:u w:val="single"/>
        </w:rPr>
        <w:t>后    日</w:t>
      </w:r>
      <w:r>
        <w:rPr>
          <w:rFonts w:hint="eastAsia" w:ascii="仿宋" w:hAnsi="仿宋" w:eastAsia="仿宋"/>
          <w:color w:val="auto"/>
          <w:highlight w:val="none"/>
        </w:rPr>
        <w:t>历日天内交货完毕。地点：采购单位指定地点。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2．乙方提供不符合</w:t>
      </w:r>
      <w:r>
        <w:rPr>
          <w:rFonts w:hint="eastAsia" w:ascii="仿宋" w:hAnsi="仿宋" w:eastAsia="仿宋"/>
          <w:color w:val="auto"/>
          <w:highlight w:val="none"/>
          <w:lang w:eastAsia="zh-CN"/>
        </w:rPr>
        <w:t>招标文件</w:t>
      </w:r>
      <w:r>
        <w:rPr>
          <w:rFonts w:hint="eastAsia" w:ascii="仿宋" w:hAnsi="仿宋" w:eastAsia="仿宋"/>
          <w:color w:val="auto"/>
          <w:highlight w:val="none"/>
        </w:rPr>
        <w:t xml:space="preserve">及响应文件和合同规定的货物，甲方有权拒绝接受。 </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3．乙方应将所提供货物的装箱清单、用户手册、原厂保修卡、随机资料、工具和备品、备件等交付给甲方，如有缺失应及时补齐，否则视为逾期交货。</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4．甲方应当在到货后七个工作日内进行验收，逾期不验收的，乙方可视同验收合格（但属于隐蔽性瑕疵的除外）。验收合格后由甲乙双方签署货物验收单并加盖采购单位盖章，甲乙双方各执一份。</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6．甲方对验收有异议的，在验收后五个工作日内以书面形式向乙方提出，乙方应自收到甲方书面异议后 10日内及时予以解决。</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第六条  培训</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乙方负责甲方有关人员的培训。培训时间</w:t>
      </w:r>
      <w:r>
        <w:rPr>
          <w:rFonts w:hint="eastAsia" w:ascii="仿宋" w:hAnsi="仿宋" w:eastAsia="仿宋"/>
          <w:color w:val="auto"/>
          <w:highlight w:val="none"/>
          <w:u w:val="single"/>
        </w:rPr>
        <w:t>由甲方指定培训时间</w:t>
      </w:r>
      <w:r>
        <w:rPr>
          <w:rFonts w:hint="eastAsia" w:ascii="仿宋" w:hAnsi="仿宋" w:eastAsia="仿宋"/>
          <w:color w:val="auto"/>
          <w:highlight w:val="none"/>
        </w:rPr>
        <w:t>、地点：</w:t>
      </w:r>
      <w:r>
        <w:rPr>
          <w:rFonts w:hint="eastAsia" w:ascii="仿宋" w:hAnsi="仿宋" w:eastAsia="仿宋"/>
          <w:color w:val="auto"/>
          <w:highlight w:val="none"/>
          <w:u w:val="single"/>
        </w:rPr>
        <w:t xml:space="preserve"> 由甲方指定培训地点</w:t>
      </w:r>
      <w:r>
        <w:rPr>
          <w:rFonts w:hint="eastAsia" w:ascii="仿宋" w:hAnsi="仿宋" w:eastAsia="仿宋"/>
          <w:color w:val="auto"/>
          <w:highlight w:val="none"/>
        </w:rPr>
        <w:t xml:space="preserve">。                </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第七条  售后服务、质保期</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１．乙方应按国家有关法律法规和“三包”规定以及</w:t>
      </w:r>
      <w:r>
        <w:rPr>
          <w:rFonts w:hint="eastAsia" w:ascii="仿宋" w:hAnsi="仿宋" w:eastAsia="仿宋"/>
          <w:color w:val="auto"/>
          <w:highlight w:val="none"/>
          <w:lang w:eastAsia="zh-CN"/>
        </w:rPr>
        <w:t>招标文件</w:t>
      </w:r>
      <w:r>
        <w:rPr>
          <w:rFonts w:hint="eastAsia" w:ascii="仿宋" w:hAnsi="仿宋" w:eastAsia="仿宋"/>
          <w:color w:val="auto"/>
          <w:highlight w:val="none"/>
        </w:rPr>
        <w:t>及响应文件和本合同所附的《服务承诺》，为甲方提供售后服务。</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２．货物保修期：按成交人响应文件承诺</w:t>
      </w:r>
      <w:r>
        <w:rPr>
          <w:rFonts w:hint="eastAsia" w:ascii="仿宋" w:hAnsi="仿宋" w:eastAsia="仿宋" w:cs="黑体"/>
          <w:color w:val="auto"/>
          <w:sz w:val="24"/>
          <w:szCs w:val="24"/>
          <w:highlight w:val="none"/>
          <w:lang w:val="en-US" w:eastAsia="zh-CN" w:bidi="ar-SA"/>
        </w:rPr>
        <w:t>（自项目验收合格之日起</w:t>
      </w:r>
      <w:r>
        <w:rPr>
          <w:rFonts w:hint="eastAsia" w:ascii="仿宋" w:hAnsi="仿宋" w:eastAsia="仿宋" w:cs="黑体"/>
          <w:color w:val="auto"/>
          <w:sz w:val="24"/>
          <w:szCs w:val="24"/>
          <w:highlight w:val="none"/>
          <w:u w:val="single"/>
          <w:lang w:val="en-US" w:eastAsia="zh-CN" w:bidi="ar-SA"/>
        </w:rPr>
        <w:t xml:space="preserve">     </w:t>
      </w:r>
      <w:r>
        <w:rPr>
          <w:rFonts w:hint="eastAsia" w:ascii="仿宋" w:hAnsi="仿宋" w:eastAsia="仿宋" w:cs="黑体"/>
          <w:color w:val="auto"/>
          <w:sz w:val="24"/>
          <w:szCs w:val="24"/>
          <w:highlight w:val="none"/>
          <w:lang w:val="en-US" w:eastAsia="zh-CN" w:bidi="ar-SA"/>
        </w:rPr>
        <w:t>年）</w:t>
      </w:r>
      <w:r>
        <w:rPr>
          <w:rFonts w:hint="eastAsia" w:ascii="宋体" w:hAnsi="宋体" w:eastAsia="宋体" w:cs="宋体"/>
          <w:color w:val="auto"/>
          <w:highlight w:val="none"/>
        </w:rPr>
        <w:t>。</w:t>
      </w:r>
    </w:p>
    <w:p>
      <w:pPr>
        <w:pStyle w:val="22"/>
        <w:spacing w:line="360" w:lineRule="auto"/>
        <w:rPr>
          <w:rFonts w:hint="eastAsia" w:ascii="仿宋" w:hAnsi="仿宋" w:eastAsia="仿宋"/>
          <w:color w:val="auto"/>
          <w:highlight w:val="none"/>
        </w:rPr>
      </w:pPr>
      <w:r>
        <w:rPr>
          <w:rFonts w:hint="eastAsia" w:ascii="仿宋" w:hAnsi="仿宋" w:eastAsia="仿宋"/>
          <w:color w:val="auto"/>
          <w:highlight w:val="none"/>
        </w:rPr>
        <w:t>３．乙方提供的服务承诺和售后服务及保修期责任等其他约定事项应与</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规定一致，（见合同附件）。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454"/>
        <w:textAlignment w:val="baseline"/>
        <w:rPr>
          <w:rFonts w:hint="default" w:ascii="仿宋" w:hAnsi="仿宋" w:eastAsia="仿宋"/>
          <w:color w:val="auto"/>
          <w:highlight w:val="none"/>
          <w:lang w:val="en-US" w:eastAsia="zh-CN"/>
        </w:rPr>
      </w:pPr>
      <w:r>
        <w:rPr>
          <w:rFonts w:ascii="Times New Roman" w:hAnsi="Times New Roman" w:eastAsia="Times New Roman" w:cs="Times New Roman"/>
          <w:color w:val="auto"/>
          <w:spacing w:val="-1"/>
          <w:sz w:val="24"/>
          <w:szCs w:val="24"/>
          <w:highlight w:val="none"/>
        </w:rPr>
        <w:t>4</w:t>
      </w:r>
      <w:r>
        <w:rPr>
          <w:rFonts w:ascii="宋体" w:hAnsi="宋体" w:eastAsia="宋体" w:cs="宋体"/>
          <w:color w:val="auto"/>
          <w:spacing w:val="-1"/>
          <w:sz w:val="24"/>
          <w:szCs w:val="24"/>
          <w:highlight w:val="none"/>
        </w:rPr>
        <w:t>．若甲方因工作需要调整工作地点，成交供应商免费将设备搬迁至新的工</w:t>
      </w:r>
      <w:r>
        <w:rPr>
          <w:rFonts w:ascii="宋体" w:hAnsi="宋体" w:eastAsia="宋体" w:cs="宋体"/>
          <w:color w:val="auto"/>
          <w:spacing w:val="-2"/>
          <w:sz w:val="24"/>
          <w:szCs w:val="24"/>
          <w:highlight w:val="none"/>
        </w:rPr>
        <w:t>作地</w:t>
      </w:r>
      <w:r>
        <w:rPr>
          <w:rFonts w:ascii="宋体" w:hAnsi="宋体" w:eastAsia="宋体" w:cs="宋体"/>
          <w:color w:val="auto"/>
          <w:spacing w:val="-3"/>
          <w:sz w:val="24"/>
          <w:szCs w:val="24"/>
          <w:highlight w:val="none"/>
        </w:rPr>
        <w:t>点并安装调试完毕。</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第八条  付款方式和保证金</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1．当采购数量与实际使用数量不一致时，乙方应根据实际使用数量供货，合同的最终结算金额按实际使用量乘以成交单价进行计算。</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2．资金性质：单位自筹资金。</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３．付款方式：</w:t>
      </w:r>
      <w:r>
        <w:rPr>
          <w:rFonts w:ascii="宋体" w:hAnsi="宋体" w:eastAsia="宋体" w:cs="宋体"/>
          <w:b/>
          <w:bCs/>
          <w:color w:val="auto"/>
          <w:spacing w:val="-5"/>
          <w:sz w:val="24"/>
          <w:szCs w:val="24"/>
          <w:highlight w:val="none"/>
          <w:u w:val="single" w:color="auto"/>
        </w:rPr>
        <w:t>交货安装验收合格，乙方必须开具合法全额发票，甲方正</w:t>
      </w:r>
      <w:r>
        <w:rPr>
          <w:rFonts w:ascii="宋体" w:hAnsi="宋体" w:eastAsia="宋体" w:cs="宋体"/>
          <w:b/>
          <w:bCs/>
          <w:color w:val="auto"/>
          <w:spacing w:val="-6"/>
          <w:sz w:val="24"/>
          <w:szCs w:val="24"/>
          <w:highlight w:val="none"/>
          <w:u w:val="single" w:color="auto"/>
        </w:rPr>
        <w:t>常使</w:t>
      </w:r>
      <w:r>
        <w:rPr>
          <w:rFonts w:ascii="宋体" w:hAnsi="宋体" w:eastAsia="宋体" w:cs="宋体"/>
          <w:b/>
          <w:bCs/>
          <w:color w:val="auto"/>
          <w:spacing w:val="-2"/>
          <w:sz w:val="24"/>
          <w:szCs w:val="24"/>
          <w:highlight w:val="none"/>
          <w:u w:val="single" w:color="auto"/>
        </w:rPr>
        <w:t>用满</w:t>
      </w:r>
      <w:r>
        <w:rPr>
          <w:rFonts w:ascii="宋体" w:hAnsi="宋体" w:eastAsia="宋体" w:cs="宋体"/>
          <w:b/>
          <w:bCs/>
          <w:color w:val="auto"/>
          <w:spacing w:val="-32"/>
          <w:sz w:val="24"/>
          <w:szCs w:val="24"/>
          <w:highlight w:val="none"/>
          <w:u w:val="single" w:color="auto"/>
        </w:rPr>
        <w:t xml:space="preserve"> </w:t>
      </w:r>
      <w:r>
        <w:rPr>
          <w:rFonts w:ascii="宋体" w:hAnsi="宋体" w:eastAsia="宋体" w:cs="宋体"/>
          <w:b/>
          <w:bCs/>
          <w:color w:val="auto"/>
          <w:spacing w:val="-2"/>
          <w:sz w:val="24"/>
          <w:szCs w:val="24"/>
          <w:highlight w:val="none"/>
          <w:u w:val="single" w:color="auto"/>
        </w:rPr>
        <w:t>3</w:t>
      </w:r>
      <w:r>
        <w:rPr>
          <w:rFonts w:ascii="宋体" w:hAnsi="宋体" w:eastAsia="宋体" w:cs="宋体"/>
          <w:b/>
          <w:bCs/>
          <w:color w:val="auto"/>
          <w:spacing w:val="-50"/>
          <w:sz w:val="24"/>
          <w:szCs w:val="24"/>
          <w:highlight w:val="none"/>
          <w:u w:val="single" w:color="auto"/>
        </w:rPr>
        <w:t xml:space="preserve"> </w:t>
      </w:r>
      <w:r>
        <w:rPr>
          <w:rFonts w:ascii="宋体" w:hAnsi="宋体" w:eastAsia="宋体" w:cs="宋体"/>
          <w:b/>
          <w:bCs/>
          <w:color w:val="auto"/>
          <w:spacing w:val="-2"/>
          <w:sz w:val="24"/>
          <w:szCs w:val="24"/>
          <w:highlight w:val="none"/>
          <w:u w:val="single" w:color="auto"/>
        </w:rPr>
        <w:t>个月付合同价款的95%，</w:t>
      </w:r>
      <w:r>
        <w:rPr>
          <w:rFonts w:hint="eastAsia" w:ascii="仿宋" w:hAnsi="仿宋" w:eastAsia="仿宋"/>
          <w:b/>
          <w:bCs/>
          <w:color w:val="auto"/>
          <w:szCs w:val="21"/>
          <w:highlight w:val="none"/>
        </w:rPr>
        <w:t>剩余总货款的</w:t>
      </w:r>
      <w:r>
        <w:rPr>
          <w:rFonts w:hint="eastAsia" w:ascii="仿宋" w:hAnsi="仿宋" w:eastAsia="仿宋"/>
          <w:b/>
          <w:bCs/>
          <w:color w:val="auto"/>
          <w:szCs w:val="21"/>
          <w:highlight w:val="none"/>
          <w:lang w:val="en-US" w:eastAsia="zh-CN"/>
        </w:rPr>
        <w:t>5</w:t>
      </w: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val="en-US" w:eastAsia="zh-CN"/>
        </w:rPr>
        <w:t>在质保期结束</w:t>
      </w:r>
      <w:r>
        <w:rPr>
          <w:rFonts w:hint="eastAsia" w:ascii="仿宋" w:hAnsi="仿宋" w:eastAsia="仿宋"/>
          <w:b/>
          <w:bCs/>
          <w:color w:val="auto"/>
          <w:szCs w:val="21"/>
          <w:highlight w:val="none"/>
        </w:rPr>
        <w:t>后30个工作日内一次性付清（不计利息）。</w:t>
      </w:r>
    </w:p>
    <w:p>
      <w:pPr>
        <w:pStyle w:val="22"/>
        <w:spacing w:line="360" w:lineRule="auto"/>
        <w:rPr>
          <w:rFonts w:hint="eastAsia" w:ascii="仿宋" w:hAnsi="仿宋" w:eastAsia="仿宋"/>
          <w:b/>
          <w:bCs/>
          <w:color w:val="auto"/>
          <w:highlight w:val="none"/>
          <w:lang w:val="en-US" w:eastAsia="zh-CN"/>
        </w:rPr>
      </w:pPr>
      <w:r>
        <w:rPr>
          <w:rFonts w:hint="eastAsia" w:ascii="仿宋" w:hAnsi="仿宋" w:eastAsia="仿宋"/>
          <w:b/>
          <w:bCs/>
          <w:color w:val="auto"/>
          <w:highlight w:val="none"/>
        </w:rPr>
        <w:t>第九条  质保金：无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第十条  履约保证金：无</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第十一条  税费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本合同执行中相关的一切税费均由乙方负责。</w:t>
      </w:r>
    </w:p>
    <w:p>
      <w:pPr>
        <w:pStyle w:val="22"/>
        <w:numPr>
          <w:ilvl w:val="0"/>
          <w:numId w:val="9"/>
        </w:numPr>
        <w:spacing w:line="360" w:lineRule="auto"/>
        <w:rPr>
          <w:rFonts w:ascii="仿宋" w:hAnsi="仿宋" w:eastAsia="仿宋"/>
          <w:b/>
          <w:bCs/>
          <w:color w:val="auto"/>
          <w:highlight w:val="none"/>
        </w:rPr>
      </w:pPr>
      <w:r>
        <w:rPr>
          <w:rFonts w:hint="eastAsia" w:ascii="仿宋" w:hAnsi="仿宋" w:eastAsia="仿宋"/>
          <w:b/>
          <w:bCs/>
          <w:color w:val="auto"/>
          <w:highlight w:val="none"/>
        </w:rPr>
        <w:t xml:space="preserve">  质量保证</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１．乙方应按</w:t>
      </w:r>
      <w:r>
        <w:rPr>
          <w:rFonts w:hint="eastAsia" w:ascii="仿宋" w:hAnsi="仿宋" w:eastAsia="仿宋"/>
          <w:color w:val="auto"/>
          <w:highlight w:val="none"/>
          <w:lang w:eastAsia="zh-CN"/>
        </w:rPr>
        <w:t>招标文件</w:t>
      </w:r>
      <w:r>
        <w:rPr>
          <w:rFonts w:hint="eastAsia" w:ascii="仿宋" w:hAnsi="仿宋" w:eastAsia="仿宋"/>
          <w:color w:val="auto"/>
          <w:highlight w:val="none"/>
        </w:rPr>
        <w:t>规定的货物性能、技术要求、质量标准向甲方提供未经使用的全新产品。未满足要求者，根据实际情况，可按以下办法处理：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（1）更换：由乙方承担所发生的全部费用。</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（2）贬值处理：由双方合议定价。</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（3）退货处理：乙方应退还甲方支付的合同款，同时应承担货物的直接费用（运输、保险、检验、货款利息及银行手续费等）。</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2．如在使用过程中发生质量问题，乙方在接到甲方通知后</w:t>
      </w:r>
      <w:r>
        <w:rPr>
          <w:rFonts w:hint="eastAsia" w:ascii="仿宋" w:hAnsi="仿宋" w:eastAsia="仿宋"/>
          <w:color w:val="auto"/>
          <w:highlight w:val="none"/>
          <w:u w:val="single"/>
        </w:rPr>
        <w:t xml:space="preserve">    </w:t>
      </w:r>
      <w:r>
        <w:rPr>
          <w:rFonts w:hint="eastAsia" w:ascii="仿宋" w:hAnsi="仿宋" w:eastAsia="仿宋"/>
          <w:color w:val="auto"/>
          <w:highlight w:val="none"/>
        </w:rPr>
        <w:t>小时内到甲方现场处理。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3．在质保期内，乙方应对货物出现的质量及安全问题负责处理解决并承担一切费用。</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4．上述的货物免费保修期为按乙方响应文件承诺，因人为因素出现的故障不在免费保修范围内。</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第十三条  货物包装、发运及运输</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1.乙方应在货物发运前对其进行满足运输距离、防潮、防震、防锈和防破损装卸等要求包装，以保证货物安全运达甲方指定地点。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2.使用说明书、质量检验证明书、随配附件和工具以及清单一并附于货物内。</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3.乙方在货物发运手续办理完毕后二十四小时内或货到甲方四十八小时前通知甲方，</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以准备接货。</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4.货物在交付甲方前发生的风险均由乙方负责。</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5.货物在规定的交付期限内由乙方送达甲方指定的地点视为交付，乙方同时需通知甲方货物已送达。</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第十四条   违约责任</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乙方所提供的货物规格、技术标准、材料等质量不合格的，应及时更换，更换不及时的按逾期交货处罚（或按第十二条第一款处理）；因质量问题甲方不同意接收或特殊情况甲方同意接收的，乙方应向甲方支付违约货款额5%违约金并赔偿甲方经济损失。</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2．乙方提供的货物如侵犯了第三方合法权益而引发的任何纠纷或诉讼，均由乙方负责交涉并承担全部责任。</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3．因包装、运输引起的货物损坏、按质量不合格处理。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4．甲方无故延期接收货物、乙方逾期交货的，每天向对方偿付违约货款额3</w:t>
      </w:r>
      <w:r>
        <w:rPr>
          <w:rFonts w:hint="eastAsia" w:ascii="仿宋" w:hAnsi="仿宋" w:eastAsia="仿宋"/>
          <w:color w:val="auto"/>
          <w:highlight w:val="none"/>
          <w:lang w:val="en-US" w:eastAsia="zh-CN"/>
        </w:rPr>
        <w:t>‰</w:t>
      </w:r>
      <w:r>
        <w:rPr>
          <w:rFonts w:hint="eastAsia" w:ascii="仿宋" w:hAnsi="仿宋" w:eastAsia="仿宋"/>
          <w:color w:val="auto"/>
          <w:highlight w:val="none"/>
        </w:rPr>
        <w:t>违约金，但违约金累计不得超过违约货款额的5%，超过10天对方有权解除合同，违约方承担因此给对方造成的经济损失，甲方延期付货款的，每天向乙方偿付延期货款额3</w:t>
      </w:r>
      <w:r>
        <w:rPr>
          <w:rFonts w:hint="eastAsia" w:ascii="仿宋" w:hAnsi="仿宋" w:eastAsia="仿宋"/>
          <w:color w:val="auto"/>
          <w:highlight w:val="none"/>
          <w:lang w:val="en-US" w:eastAsia="zh-CN"/>
        </w:rPr>
        <w:t>‰</w:t>
      </w:r>
      <w:r>
        <w:rPr>
          <w:rFonts w:hint="eastAsia" w:ascii="仿宋" w:hAnsi="仿宋" w:eastAsia="仿宋"/>
          <w:color w:val="auto"/>
          <w:highlight w:val="none"/>
        </w:rPr>
        <w:t>滞纳金，但滞纳金累计不得超过延期货款额5%。</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5．乙方未按本合同和</w:t>
      </w:r>
      <w:r>
        <w:rPr>
          <w:rFonts w:hint="eastAsia" w:ascii="仿宋" w:hAnsi="仿宋" w:eastAsia="仿宋"/>
          <w:color w:val="auto"/>
          <w:highlight w:val="none"/>
          <w:lang w:eastAsia="zh-CN"/>
        </w:rPr>
        <w:t>招标文件</w:t>
      </w:r>
      <w:r>
        <w:rPr>
          <w:rFonts w:hint="eastAsia" w:ascii="仿宋" w:hAnsi="仿宋" w:eastAsia="仿宋"/>
          <w:color w:val="auto"/>
          <w:highlight w:val="none"/>
        </w:rPr>
        <w:t>中规定的服务承诺提供售后服务的，乙方应按本合同合计金额5%向甲方支付违约金。</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6．乙方提供的货物在质量保证期内，因设计、工艺或材料的缺陷和其它质量因造成的问题，由乙方负责更换或甲方退货，由此造成的损失从合同剩余总货款的5%中扣除，不足另补。</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7.其它违约行为按违约货款额5%收取违约金并赔偿经济损失。</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第十五条   不可抗力事件处理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1．在合同有效期内，任何一方因不可抗力事件导致不能履行合同，则合同履行期可延长，其延长期与不可抗力影响期相同。</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2．不可抗力事件发生后，应立即通知对方，并寄送有关权威机构出具证明。</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3.不可抗力事件延续一百二十天以上，双方应通过友好协商，确定是否继续履行合同。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第十六条   合同争议解决</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1．因货物质量问题发生争议的，应邀请国家认可的质量检测机构对货物质量进行鉴定。货物符合标准的，鉴定费由甲方承担；货物不符合标准的，鉴定费由乙方承担。</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2．因履行本合同引起的争议，甲乙双方应首先通过友好协商解决，如协商不能解决，可向甲方所在地人民法院提起诉讼。</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3.诉讼期间，本合同继续履行。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第十七条   合同生效及其它</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1．合同经双方法定代表人或授权代表签字并加盖单位公章后生效。</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2．合同执行中涉及采购资金和采购内容修改或补充的，须经财政部门审批，并签字书面补充协议报财政部门备案，方可作为主合同不可分割的一部分。</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3．本合同未尽事宜，遵照《民法典》有关条文执行。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第十八条  合同的变更、终止与转让</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1．除《中华人民共和国政府采购法》第五十条规定的情形外，本合同已经签订。甲乙双方不得擅自变更、中止或终止。</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2．乙方不得擅自转让（无进口资格的供应商委托进口货物除外）其应履行的合同义务。</w:t>
      </w:r>
    </w:p>
    <w:p>
      <w:pPr>
        <w:pStyle w:val="22"/>
        <w:spacing w:line="360" w:lineRule="auto"/>
        <w:rPr>
          <w:rFonts w:ascii="仿宋" w:hAnsi="仿宋" w:eastAsia="仿宋"/>
          <w:color w:val="auto"/>
          <w:highlight w:val="none"/>
        </w:rPr>
      </w:pPr>
      <w:r>
        <w:rPr>
          <w:rFonts w:hint="eastAsia" w:ascii="仿宋" w:hAnsi="仿宋" w:eastAsia="仿宋"/>
          <w:color w:val="auto"/>
          <w:highlight w:val="none"/>
        </w:rPr>
        <w:t>3．本合同未尽事宜，遵照《民法典》有关条文执行。</w:t>
      </w:r>
    </w:p>
    <w:p>
      <w:pPr>
        <w:pStyle w:val="22"/>
        <w:spacing w:line="360" w:lineRule="auto"/>
        <w:rPr>
          <w:rFonts w:ascii="仿宋" w:hAnsi="仿宋" w:eastAsia="仿宋"/>
          <w:b/>
          <w:bCs/>
          <w:color w:val="auto"/>
          <w:highlight w:val="none"/>
        </w:rPr>
      </w:pPr>
      <w:r>
        <w:rPr>
          <w:rFonts w:hint="eastAsia" w:ascii="仿宋" w:hAnsi="仿宋" w:eastAsia="仿宋"/>
          <w:b/>
          <w:bCs/>
          <w:color w:val="auto"/>
          <w:highlight w:val="none"/>
        </w:rPr>
        <w:t>第十九条  签订本合同依据</w:t>
      </w:r>
    </w:p>
    <w:p>
      <w:pPr>
        <w:pStyle w:val="22"/>
        <w:spacing w:line="360" w:lineRule="auto"/>
        <w:rPr>
          <w:rFonts w:ascii="仿宋" w:hAnsi="仿宋" w:eastAsia="仿宋"/>
          <w:color w:val="auto"/>
          <w:highlight w:val="none"/>
        </w:rPr>
      </w:pPr>
      <w:bookmarkStart w:id="163" w:name="_Toc22431_WPSOffice_Level2"/>
      <w:bookmarkStart w:id="164" w:name="_Toc8207_WPSOffice_Level2"/>
      <w:r>
        <w:rPr>
          <w:rFonts w:hint="eastAsia" w:ascii="仿宋" w:hAnsi="仿宋" w:eastAsia="仿宋"/>
          <w:color w:val="auto"/>
          <w:highlight w:val="none"/>
        </w:rPr>
        <w:t>1．政府采购</w:t>
      </w:r>
      <w:r>
        <w:rPr>
          <w:rFonts w:hint="eastAsia" w:ascii="仿宋" w:hAnsi="仿宋" w:eastAsia="仿宋"/>
          <w:color w:val="auto"/>
          <w:highlight w:val="none"/>
          <w:lang w:val="en-US" w:eastAsia="zh-CN"/>
        </w:rPr>
        <w:t>招标</w:t>
      </w:r>
      <w:r>
        <w:rPr>
          <w:rFonts w:hint="eastAsia" w:ascii="仿宋" w:hAnsi="仿宋" w:eastAsia="仿宋"/>
          <w:color w:val="auto"/>
          <w:highlight w:val="none"/>
        </w:rPr>
        <w:t>文件；</w:t>
      </w:r>
      <w:bookmarkEnd w:id="163"/>
      <w:bookmarkEnd w:id="164"/>
    </w:p>
    <w:p>
      <w:pPr>
        <w:pStyle w:val="22"/>
        <w:spacing w:line="360" w:lineRule="auto"/>
        <w:rPr>
          <w:rFonts w:ascii="仿宋" w:hAnsi="仿宋" w:eastAsia="仿宋"/>
          <w:color w:val="auto"/>
          <w:highlight w:val="none"/>
        </w:rPr>
      </w:pPr>
      <w:bookmarkStart w:id="165" w:name="_Toc19343_WPSOffice_Level2"/>
      <w:bookmarkStart w:id="166" w:name="_Toc4988_WPSOffice_Level2"/>
      <w:r>
        <w:rPr>
          <w:rFonts w:hint="eastAsia" w:ascii="仿宋" w:hAnsi="仿宋" w:eastAsia="仿宋"/>
          <w:color w:val="auto"/>
          <w:highlight w:val="none"/>
        </w:rPr>
        <w:t>2．乙方提供的</w:t>
      </w:r>
      <w:r>
        <w:rPr>
          <w:rFonts w:hint="eastAsia" w:ascii="仿宋" w:hAnsi="仿宋" w:eastAsia="仿宋"/>
          <w:color w:val="auto"/>
          <w:highlight w:val="none"/>
          <w:lang w:eastAsia="zh-CN"/>
        </w:rPr>
        <w:t>招标文件</w:t>
      </w:r>
      <w:r>
        <w:rPr>
          <w:rFonts w:hint="eastAsia" w:ascii="仿宋" w:hAnsi="仿宋" w:eastAsia="仿宋"/>
          <w:color w:val="auto"/>
          <w:highlight w:val="none"/>
        </w:rPr>
        <w:t>及</w:t>
      </w:r>
      <w:r>
        <w:rPr>
          <w:rFonts w:hint="eastAsia" w:ascii="仿宋" w:hAnsi="仿宋" w:eastAsia="仿宋"/>
          <w:color w:val="auto"/>
          <w:highlight w:val="none"/>
          <w:lang w:val="en-US" w:eastAsia="zh-CN"/>
        </w:rPr>
        <w:t>投标（</w:t>
      </w:r>
      <w:r>
        <w:rPr>
          <w:rFonts w:hint="eastAsia" w:ascii="仿宋" w:hAnsi="仿宋" w:eastAsia="仿宋"/>
          <w:color w:val="auto"/>
          <w:highlight w:val="none"/>
        </w:rPr>
        <w:t>响应</w:t>
      </w:r>
      <w:r>
        <w:rPr>
          <w:rFonts w:hint="eastAsia" w:ascii="仿宋" w:hAnsi="仿宋" w:eastAsia="仿宋"/>
          <w:color w:val="auto"/>
          <w:highlight w:val="none"/>
          <w:lang w:eastAsia="zh-CN"/>
        </w:rPr>
        <w:t>）</w:t>
      </w:r>
      <w:r>
        <w:rPr>
          <w:rFonts w:hint="eastAsia" w:ascii="仿宋" w:hAnsi="仿宋" w:eastAsia="仿宋"/>
          <w:color w:val="auto"/>
          <w:highlight w:val="none"/>
        </w:rPr>
        <w:t>文件；</w:t>
      </w:r>
      <w:bookmarkEnd w:id="165"/>
      <w:bookmarkEnd w:id="166"/>
    </w:p>
    <w:p>
      <w:pPr>
        <w:pStyle w:val="22"/>
        <w:spacing w:line="360" w:lineRule="auto"/>
        <w:rPr>
          <w:rFonts w:ascii="仿宋" w:hAnsi="仿宋" w:eastAsia="仿宋"/>
          <w:color w:val="auto"/>
          <w:highlight w:val="none"/>
        </w:rPr>
      </w:pPr>
      <w:bookmarkStart w:id="167" w:name="_Toc3738_WPSOffice_Level2"/>
      <w:bookmarkStart w:id="168" w:name="_Toc17318_WPSOffice_Level2"/>
      <w:r>
        <w:rPr>
          <w:rFonts w:hint="eastAsia" w:ascii="仿宋" w:hAnsi="仿宋" w:eastAsia="仿宋"/>
          <w:color w:val="auto"/>
          <w:highlight w:val="none"/>
        </w:rPr>
        <w:t>3．谈判应答承诺书</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如有）</w:t>
      </w:r>
      <w:r>
        <w:rPr>
          <w:rFonts w:hint="eastAsia" w:ascii="仿宋" w:hAnsi="仿宋" w:eastAsia="仿宋"/>
          <w:color w:val="auto"/>
          <w:highlight w:val="none"/>
        </w:rPr>
        <w:t>；</w:t>
      </w:r>
      <w:bookmarkEnd w:id="167"/>
      <w:bookmarkEnd w:id="168"/>
      <w:r>
        <w:rPr>
          <w:rFonts w:hint="eastAsia" w:ascii="仿宋" w:hAnsi="仿宋" w:eastAsia="仿宋"/>
          <w:color w:val="auto"/>
          <w:highlight w:val="none"/>
        </w:rPr>
        <w:tab/>
      </w:r>
    </w:p>
    <w:p>
      <w:pPr>
        <w:pStyle w:val="22"/>
        <w:spacing w:line="360" w:lineRule="auto"/>
        <w:rPr>
          <w:rFonts w:ascii="仿宋" w:hAnsi="仿宋" w:eastAsia="仿宋"/>
          <w:color w:val="auto"/>
          <w:highlight w:val="none"/>
        </w:rPr>
      </w:pPr>
      <w:bookmarkStart w:id="169" w:name="_Toc18762_WPSOffice_Level2"/>
      <w:bookmarkStart w:id="170" w:name="_Toc14741_WPSOffice_Level2"/>
      <w:r>
        <w:rPr>
          <w:rFonts w:hint="eastAsia" w:ascii="仿宋" w:hAnsi="仿宋" w:eastAsia="仿宋"/>
          <w:color w:val="auto"/>
          <w:highlight w:val="none"/>
        </w:rPr>
        <w:t>4．</w:t>
      </w:r>
      <w:r>
        <w:rPr>
          <w:rFonts w:hint="eastAsia" w:ascii="仿宋" w:hAnsi="仿宋" w:eastAsia="仿宋"/>
          <w:color w:val="auto"/>
          <w:highlight w:val="none"/>
          <w:lang w:val="en-US" w:eastAsia="zh-CN"/>
        </w:rPr>
        <w:t>中标通知书</w:t>
      </w:r>
      <w:r>
        <w:rPr>
          <w:rFonts w:hint="eastAsia" w:ascii="仿宋" w:hAnsi="仿宋" w:eastAsia="仿宋"/>
          <w:color w:val="auto"/>
          <w:highlight w:val="none"/>
        </w:rPr>
        <w:t>。</w:t>
      </w:r>
      <w:bookmarkEnd w:id="169"/>
      <w:bookmarkEnd w:id="170"/>
    </w:p>
    <w:p>
      <w:pPr>
        <w:pStyle w:val="22"/>
        <w:spacing w:line="360" w:lineRule="auto"/>
        <w:rPr>
          <w:rFonts w:hint="eastAsia" w:ascii="仿宋" w:hAnsi="仿宋" w:eastAsia="仿宋"/>
          <w:color w:val="auto"/>
          <w:highlight w:val="none"/>
        </w:rPr>
      </w:pPr>
      <w:r>
        <w:rPr>
          <w:rFonts w:hint="eastAsia" w:ascii="仿宋" w:hAnsi="仿宋" w:eastAsia="仿宋"/>
          <w:b/>
          <w:bCs/>
          <w:color w:val="auto"/>
          <w:highlight w:val="none"/>
        </w:rPr>
        <w:t xml:space="preserve">第二十条 </w:t>
      </w:r>
      <w:r>
        <w:rPr>
          <w:rFonts w:hint="eastAsia" w:ascii="仿宋" w:hAnsi="仿宋" w:eastAsia="仿宋"/>
          <w:color w:val="auto"/>
          <w:highlight w:val="none"/>
        </w:rPr>
        <w:t xml:space="preserve"> 本合同一式陆份，具有同等法律效力，财政部门（政府采购监管部门）、采购代理机构各一份，甲方持三份，乙方持一份（可根据需要另增加）。</w:t>
      </w:r>
    </w:p>
    <w:p>
      <w:pPr>
        <w:pStyle w:val="22"/>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本合同甲乙双方签字盖章后生效，自签订之日起2个工作日内，采购代理机构应当将合同在</w:t>
      </w:r>
      <w:r>
        <w:rPr>
          <w:rFonts w:hint="eastAsia" w:ascii="仿宋" w:hAnsi="仿宋" w:eastAsia="仿宋" w:cs="宋体"/>
          <w:color w:val="auto"/>
          <w:szCs w:val="21"/>
          <w:highlight w:val="none"/>
        </w:rPr>
        <w:t>广西壮族自治区政府采购(</w:t>
      </w:r>
      <w:r>
        <w:rPr>
          <w:rFonts w:hint="eastAsia" w:ascii="仿宋" w:hAnsi="仿宋" w:eastAsia="仿宋" w:cs="宋体"/>
          <w:color w:val="auto"/>
          <w:szCs w:val="21"/>
          <w:highlight w:val="none"/>
          <w:lang w:eastAsia="zh-CN"/>
        </w:rPr>
        <w:t>http://www.ccgp-guangxi.gov.cn/</w:t>
      </w:r>
      <w:r>
        <w:rPr>
          <w:rFonts w:hint="eastAsia" w:ascii="仿宋" w:hAnsi="仿宋" w:eastAsia="仿宋" w:cs="宋体"/>
          <w:color w:val="auto"/>
          <w:szCs w:val="21"/>
          <w:highlight w:val="none"/>
        </w:rPr>
        <w:t>）</w:t>
      </w:r>
      <w:r>
        <w:rPr>
          <w:rFonts w:hint="eastAsia" w:ascii="仿宋" w:hAnsi="仿宋" w:eastAsia="仿宋"/>
          <w:color w:val="auto"/>
          <w:highlight w:val="none"/>
        </w:rPr>
        <w:t>发布合同公告。</w:t>
      </w:r>
    </w:p>
    <w:p>
      <w:pPr>
        <w:pStyle w:val="22"/>
        <w:spacing w:line="360" w:lineRule="auto"/>
        <w:ind w:firstLine="480" w:firstLineChars="200"/>
        <w:rPr>
          <w:rFonts w:hint="eastAsia" w:ascii="仿宋" w:hAnsi="仿宋" w:eastAsia="仿宋"/>
          <w:color w:val="auto"/>
          <w:highlight w:val="none"/>
        </w:rPr>
      </w:pPr>
    </w:p>
    <w:tbl>
      <w:tblPr>
        <w:tblStyle w:val="17"/>
        <w:tblW w:w="0" w:type="auto"/>
        <w:tblInd w:w="0" w:type="dxa"/>
        <w:tblLayout w:type="fixed"/>
        <w:tblCellMar>
          <w:top w:w="0" w:type="dxa"/>
          <w:left w:w="108" w:type="dxa"/>
          <w:bottom w:w="0" w:type="dxa"/>
          <w:right w:w="108" w:type="dxa"/>
        </w:tblCellMar>
      </w:tblPr>
      <w:tblGrid>
        <w:gridCol w:w="5358"/>
        <w:gridCol w:w="4386"/>
      </w:tblGrid>
      <w:tr>
        <w:tblPrEx>
          <w:tblCellMar>
            <w:top w:w="0" w:type="dxa"/>
            <w:left w:w="108" w:type="dxa"/>
            <w:bottom w:w="0" w:type="dxa"/>
            <w:right w:w="108" w:type="dxa"/>
          </w:tblCellMar>
        </w:tblPrEx>
        <w:tc>
          <w:tcPr>
            <w:tcW w:w="5358"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甲方（章）</w:t>
            </w: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年     月     日</w:t>
            </w:r>
          </w:p>
        </w:tc>
        <w:tc>
          <w:tcPr>
            <w:tcW w:w="4386"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auto"/>
                <w:highlight w:val="none"/>
              </w:rPr>
            </w:pPr>
            <w:r>
              <w:rPr>
                <w:rFonts w:hint="eastAsia" w:ascii="仿宋" w:hAnsi="仿宋" w:eastAsia="仿宋"/>
                <w:color w:val="auto"/>
                <w:highlight w:val="none"/>
              </w:rPr>
              <w:t>乙方（章）</w:t>
            </w: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p>
          <w:p>
            <w:pPr>
              <w:pStyle w:val="22"/>
              <w:spacing w:line="360" w:lineRule="auto"/>
              <w:rPr>
                <w:rFonts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年     月     日</w:t>
            </w:r>
          </w:p>
        </w:tc>
      </w:tr>
      <w:tr>
        <w:tblPrEx>
          <w:tblCellMar>
            <w:top w:w="0" w:type="dxa"/>
            <w:left w:w="108" w:type="dxa"/>
            <w:bottom w:w="0" w:type="dxa"/>
            <w:right w:w="108" w:type="dxa"/>
          </w:tblCellMar>
        </w:tblPrEx>
        <w:trPr>
          <w:trHeight w:val="401"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单位地址：</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单位地址：</w:t>
            </w:r>
          </w:p>
        </w:tc>
      </w:tr>
      <w:tr>
        <w:tblPrEx>
          <w:tblCellMar>
            <w:top w:w="0" w:type="dxa"/>
            <w:left w:w="108" w:type="dxa"/>
            <w:bottom w:w="0" w:type="dxa"/>
            <w:right w:w="108" w:type="dxa"/>
          </w:tblCellMar>
        </w:tblPrEx>
        <w:trPr>
          <w:trHeight w:val="420"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法定代表人：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法定代表人：</w:t>
            </w:r>
          </w:p>
        </w:tc>
      </w:tr>
      <w:tr>
        <w:tblPrEx>
          <w:tblCellMar>
            <w:top w:w="0" w:type="dxa"/>
            <w:left w:w="108" w:type="dxa"/>
            <w:bottom w:w="0" w:type="dxa"/>
            <w:right w:w="108" w:type="dxa"/>
          </w:tblCellMar>
        </w:tblPrEx>
        <w:trPr>
          <w:trHeight w:val="42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委托代理人：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委托代理人：</w:t>
            </w:r>
          </w:p>
        </w:tc>
      </w:tr>
      <w:tr>
        <w:tblPrEx>
          <w:tblCellMar>
            <w:top w:w="0" w:type="dxa"/>
            <w:left w:w="108" w:type="dxa"/>
            <w:bottom w:w="0" w:type="dxa"/>
            <w:right w:w="108" w:type="dxa"/>
          </w:tblCellMar>
        </w:tblPrEx>
        <w:trPr>
          <w:trHeight w:val="41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  话：</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  话：</w:t>
            </w: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电子邮箱：</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电子邮箱：</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hint="eastAsia" w:ascii="仿宋" w:hAnsi="仿宋" w:eastAsia="仿宋"/>
                <w:color w:val="auto"/>
                <w:highlight w:val="none"/>
              </w:rPr>
            </w:pPr>
            <w:r>
              <w:rPr>
                <w:rFonts w:hint="eastAsia" w:ascii="仿宋_GB2312" w:hAnsi="仿宋_GB2312" w:eastAsia="仿宋_GB2312" w:cs="仿宋_GB2312"/>
                <w:color w:val="auto"/>
                <w:spacing w:val="6"/>
                <w:sz w:val="24"/>
                <w:szCs w:val="24"/>
                <w:highlight w:val="none"/>
              </w:rPr>
              <w:t>纳税人识别号：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_GB2312" w:hAnsi="仿宋_GB2312" w:eastAsia="仿宋_GB2312" w:cs="仿宋_GB2312"/>
                <w:color w:val="auto"/>
                <w:spacing w:val="6"/>
                <w:sz w:val="24"/>
                <w:szCs w:val="24"/>
                <w:highlight w:val="none"/>
              </w:rPr>
              <w:t>纳税人识别号：</w:t>
            </w:r>
          </w:p>
        </w:tc>
      </w:tr>
      <w:tr>
        <w:tblPrEx>
          <w:tblCellMar>
            <w:top w:w="0" w:type="dxa"/>
            <w:left w:w="108" w:type="dxa"/>
            <w:bottom w:w="0" w:type="dxa"/>
            <w:right w:w="108" w:type="dxa"/>
          </w:tblCellMar>
        </w:tblPrEx>
        <w:trPr>
          <w:trHeight w:val="56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开户银行：</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开户银行：</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3"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账  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账  号：</w:t>
            </w:r>
          </w:p>
          <w:p>
            <w:pPr>
              <w:pStyle w:val="22"/>
              <w:spacing w:line="360" w:lineRule="auto"/>
              <w:rPr>
                <w:rFonts w:ascii="仿宋" w:hAnsi="仿宋" w:eastAsia="仿宋"/>
                <w:color w:val="auto"/>
                <w:highlight w:val="none"/>
              </w:rPr>
            </w:pPr>
          </w:p>
        </w:tc>
      </w:tr>
      <w:tr>
        <w:tblPrEx>
          <w:tblCellMar>
            <w:top w:w="0" w:type="dxa"/>
            <w:left w:w="108" w:type="dxa"/>
            <w:bottom w:w="0" w:type="dxa"/>
            <w:right w:w="108" w:type="dxa"/>
          </w:tblCellMar>
        </w:tblPrEx>
        <w:trPr>
          <w:trHeight w:val="42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邮政编码：</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auto"/>
                <w:highlight w:val="none"/>
              </w:rPr>
            </w:pPr>
            <w:r>
              <w:rPr>
                <w:rFonts w:hint="eastAsia" w:ascii="仿宋" w:hAnsi="仿宋" w:eastAsia="仿宋"/>
                <w:color w:val="auto"/>
                <w:highlight w:val="none"/>
              </w:rPr>
              <w:t>邮政编码：</w:t>
            </w:r>
          </w:p>
        </w:tc>
      </w:tr>
    </w:tbl>
    <w:p>
      <w:pPr>
        <w:pStyle w:val="22"/>
        <w:rPr>
          <w:rFonts w:ascii="仿宋" w:hAnsi="仿宋" w:eastAsia="仿宋"/>
          <w:color w:val="auto"/>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pStyle w:val="22"/>
        <w:jc w:val="both"/>
        <w:rPr>
          <w:rFonts w:ascii="仿宋" w:hAnsi="仿宋" w:eastAsia="仿宋" w:cs="仿宋"/>
          <w:b/>
          <w:bCs/>
          <w:color w:val="auto"/>
          <w:sz w:val="44"/>
          <w:szCs w:val="44"/>
          <w:highlight w:val="none"/>
        </w:rPr>
      </w:pPr>
    </w:p>
    <w:p>
      <w:pPr>
        <w:spacing w:line="360" w:lineRule="auto"/>
        <w:ind w:firstLine="480" w:firstLineChars="200"/>
        <w:jc w:val="left"/>
        <w:rPr>
          <w:rFonts w:ascii="宋体" w:hAnsi="宋体" w:eastAsia="PMingLiU" w:cs="宋体"/>
          <w:color w:val="auto"/>
          <w:sz w:val="24"/>
          <w:szCs w:val="24"/>
          <w:highlight w:val="none"/>
          <w:lang w:val="zh-TW" w:eastAsia="zh-TW"/>
        </w:rPr>
      </w:pPr>
    </w:p>
    <w:p>
      <w:pPr>
        <w:spacing w:line="360" w:lineRule="auto"/>
        <w:ind w:firstLine="480" w:firstLineChars="200"/>
        <w:jc w:val="left"/>
        <w:rPr>
          <w:rFonts w:ascii="宋体" w:hAnsi="宋体" w:eastAsia="PMingLiU" w:cs="宋体"/>
          <w:color w:val="auto"/>
          <w:sz w:val="24"/>
          <w:szCs w:val="24"/>
          <w:highlight w:val="none"/>
          <w:lang w:val="zh-TW" w:eastAsia="zh-TW"/>
        </w:rPr>
      </w:pPr>
    </w:p>
    <w:p>
      <w:pPr>
        <w:snapToGrid w:val="0"/>
        <w:jc w:val="both"/>
        <w:rPr>
          <w:rFonts w:ascii="宋体" w:hAnsi="宋体"/>
          <w:bCs/>
          <w:color w:val="auto"/>
          <w:sz w:val="32"/>
          <w:szCs w:val="32"/>
          <w:highlight w:val="none"/>
        </w:rPr>
      </w:pPr>
      <w:r>
        <w:rPr>
          <w:rFonts w:ascii="宋体" w:hAnsi="宋体"/>
          <w:bCs/>
          <w:color w:val="auto"/>
          <w:sz w:val="32"/>
          <w:szCs w:val="32"/>
          <w:highlight w:val="none"/>
        </w:rPr>
        <w:br w:type="page"/>
      </w:r>
    </w:p>
    <w:bookmarkEnd w:id="162"/>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2"/>
        <w:jc w:val="center"/>
        <w:rPr>
          <w:rFonts w:hint="eastAsia"/>
          <w:color w:val="auto"/>
          <w:highlight w:val="none"/>
        </w:rPr>
      </w:pPr>
      <w:bookmarkStart w:id="171" w:name="_Toc74320805"/>
      <w:r>
        <w:rPr>
          <w:rFonts w:hint="eastAsia"/>
          <w:color w:val="auto"/>
          <w:highlight w:val="none"/>
        </w:rPr>
        <w:t>第六章　投标文件格式</w:t>
      </w:r>
      <w:bookmarkEnd w:id="171"/>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120" w:beforeLines="50" w:after="50"/>
        <w:jc w:val="center"/>
        <w:outlineLvl w:val="1"/>
        <w:rPr>
          <w:rFonts w:hint="eastAsia" w:ascii="宋体" w:hAnsi="宋体"/>
          <w:color w:val="auto"/>
          <w:highlight w:val="none"/>
        </w:rPr>
      </w:pPr>
      <w:r>
        <w:rPr>
          <w:rFonts w:ascii="宋体" w:hAnsi="宋体"/>
          <w:color w:val="auto"/>
          <w:highlight w:val="none"/>
        </w:rPr>
        <w:br w:type="page"/>
      </w:r>
    </w:p>
    <w:p>
      <w:pPr>
        <w:rPr>
          <w:rFonts w:hint="eastAsia"/>
          <w:b/>
          <w:color w:val="auto"/>
          <w:sz w:val="28"/>
          <w:szCs w:val="28"/>
          <w:highlight w:val="none"/>
        </w:rPr>
      </w:pPr>
      <w:bookmarkStart w:id="172" w:name="_Toc19686836"/>
      <w:bookmarkStart w:id="173" w:name="_Toc254970698"/>
      <w:bookmarkStart w:id="174" w:name="_Toc254970557"/>
      <w:r>
        <w:rPr>
          <w:rFonts w:hint="eastAsia"/>
          <w:b/>
          <w:color w:val="auto"/>
          <w:sz w:val="28"/>
          <w:szCs w:val="28"/>
          <w:highlight w:val="none"/>
          <w:lang w:eastAsia="zh-CN"/>
        </w:rPr>
        <w:t>一</w:t>
      </w:r>
      <w:r>
        <w:rPr>
          <w:rFonts w:hint="eastAsia"/>
          <w:b/>
          <w:color w:val="auto"/>
          <w:sz w:val="28"/>
          <w:szCs w:val="28"/>
          <w:highlight w:val="none"/>
        </w:rPr>
        <w:t>、报价文件格式</w:t>
      </w:r>
      <w:bookmarkEnd w:id="172"/>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line="400" w:lineRule="exact"/>
        <w:jc w:val="center"/>
        <w:rPr>
          <w:rFonts w:hint="eastAsia" w:ascii="宋体" w:hAnsi="宋体"/>
          <w:bCs/>
          <w:color w:val="auto"/>
          <w:sz w:val="32"/>
          <w:szCs w:val="32"/>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snapToGrid w:val="0"/>
        <w:spacing w:before="120" w:beforeLines="50" w:after="50" w:line="400" w:lineRule="exact"/>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6"/>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w:t>
      </w:r>
      <w:r>
        <w:rPr>
          <w:rFonts w:hint="eastAsia" w:ascii="宋体" w:hAnsi="宋体"/>
          <w:color w:val="auto"/>
          <w:szCs w:val="21"/>
          <w:highlight w:val="none"/>
          <w:lang w:eastAsia="zh-CN"/>
        </w:rPr>
        <w:t>“</w:t>
      </w:r>
      <w:r>
        <w:rPr>
          <w:rFonts w:hint="eastAsia" w:ascii="宋体" w:hAnsi="宋体"/>
          <w:color w:val="auto"/>
          <w:szCs w:val="21"/>
          <w:highlight w:val="none"/>
        </w:rPr>
        <w:t>投标人须知前附表</w:t>
      </w: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w:t>
      </w:r>
      <w:r>
        <w:rPr>
          <w:rFonts w:hint="eastAsia" w:ascii="宋体" w:hAnsi="宋体"/>
          <w:color w:val="auto"/>
          <w:szCs w:val="21"/>
          <w:highlight w:val="none"/>
        </w:rPr>
        <w:t>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napToGrid w:val="0"/>
        <w:spacing w:before="120" w:beforeLines="50" w:after="50" w:line="320" w:lineRule="exact"/>
        <w:jc w:val="center"/>
        <w:rPr>
          <w:rFonts w:hint="eastAsia" w:ascii="宋体" w:hAnsi="宋体"/>
          <w:b/>
          <w:color w:val="auto"/>
          <w:sz w:val="32"/>
          <w:szCs w:val="32"/>
          <w:highlight w:val="none"/>
        </w:rPr>
      </w:pP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.我方同意按照贵方要求提供与投标有关的一切数据或者资料。</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.我方向贵方提交的所有投标文件、资料都是准确的和真实的。</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.与本投标有关的一切正式往来信函请寄：</w:t>
      </w:r>
    </w:p>
    <w:p>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法定代表人或者委托代理人</w:t>
      </w:r>
      <w:r>
        <w:rPr>
          <w:rFonts w:hint="eastAsia" w:ascii="宋体" w:hAnsi="宋体"/>
          <w:color w:val="auto"/>
          <w:sz w:val="24"/>
          <w:highlight w:val="none"/>
          <w:lang w:eastAsia="zh-CN"/>
        </w:rPr>
        <w:t>（</w:t>
      </w:r>
      <w:r>
        <w:rPr>
          <w:rFonts w:hint="eastAsia" w:ascii="宋体" w:hAnsi="宋体"/>
          <w:color w:val="auto"/>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hAnsi="宋体"/>
          <w:color w:val="auto"/>
          <w:sz w:val="24"/>
          <w:szCs w:val="24"/>
          <w:highlight w:val="none"/>
          <w:lang w:eastAsia="zh-CN"/>
        </w:rPr>
        <w:t>）</w:t>
      </w:r>
      <w:r>
        <w:rPr>
          <w:rFonts w:hint="eastAsia" w:ascii="宋体" w:hAnsi="宋体"/>
          <w:color w:val="auto"/>
          <w:sz w:val="24"/>
          <w:highlight w:val="none"/>
        </w:rPr>
        <w:t xml:space="preserve">:___________ </w:t>
      </w:r>
    </w:p>
    <w:p>
      <w:pPr>
        <w:pStyle w:val="12"/>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w:t>
      </w:r>
      <w:r>
        <w:rPr>
          <w:rFonts w:hint="eastAsia" w:ascii="宋体" w:hAnsi="宋体"/>
          <w:color w:val="auto"/>
          <w:spacing w:val="20"/>
          <w:sz w:val="24"/>
          <w:highlight w:val="none"/>
          <w:lang w:eastAsia="zh-CN"/>
        </w:rPr>
        <w:t>电子</w:t>
      </w:r>
      <w:r>
        <w:rPr>
          <w:rFonts w:hint="eastAsia" w:hAnsi="宋体"/>
          <w:color w:val="auto"/>
          <w:sz w:val="24"/>
          <w:highlight w:val="none"/>
        </w:rPr>
        <w:t>公章）：</w:t>
      </w:r>
    </w:p>
    <w:p>
      <w:pPr>
        <w:pStyle w:val="12"/>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标项：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26"/>
        <w:gridCol w:w="747"/>
        <w:gridCol w:w="884"/>
        <w:gridCol w:w="884"/>
        <w:gridCol w:w="2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w:t>
      </w:r>
      <w:r>
        <w:rPr>
          <w:rFonts w:hint="eastAsia" w:ascii="宋体" w:hAnsi="宋体"/>
          <w:color w:val="auto"/>
          <w:sz w:val="24"/>
          <w:highlight w:val="none"/>
          <w:lang w:eastAsia="zh-CN"/>
        </w:rPr>
        <w:t>投标人电子公章</w:t>
      </w:r>
      <w:r>
        <w:rPr>
          <w:rFonts w:hint="eastAsia" w:ascii="宋体" w:hAnsi="宋体"/>
          <w:color w:val="auto"/>
          <w:sz w:val="24"/>
          <w:highlight w:val="none"/>
        </w:rPr>
        <w:t>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w:t>
      </w:r>
      <w:r>
        <w:rPr>
          <w:rFonts w:hint="eastAsia" w:ascii="宋体" w:hAnsi="宋体"/>
          <w:color w:val="auto"/>
          <w:sz w:val="24"/>
          <w:highlight w:val="none"/>
          <w:lang w:eastAsia="zh-CN"/>
        </w:rPr>
        <w:t>投标人电子公章</w:t>
      </w:r>
      <w:r>
        <w:rPr>
          <w:rFonts w:hint="eastAsia" w:ascii="宋体" w:hAnsi="宋体"/>
          <w:color w:val="auto"/>
          <w:sz w:val="24"/>
          <w:highlight w:val="none"/>
        </w:rPr>
        <w:t>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2" w:firstLineChars="200"/>
        <w:rPr>
          <w:rFonts w:hint="eastAsia" w:ascii="宋体" w:hAnsi="宋体"/>
          <w:b/>
          <w:color w:val="auto"/>
          <w:sz w:val="24"/>
          <w:highlight w:val="none"/>
        </w:rPr>
      </w:pPr>
    </w:p>
    <w:p>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 xml:space="preserve">）：                    </w:t>
      </w:r>
    </w:p>
    <w:p>
      <w:pPr>
        <w:snapToGrid w:val="0"/>
        <w:spacing w:before="50" w:after="50"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                                 日期：    年   月   日</w:t>
      </w:r>
    </w:p>
    <w:p>
      <w:pPr>
        <w:rPr>
          <w:rFonts w:hint="eastAsia"/>
          <w:b/>
          <w:color w:val="auto"/>
          <w:sz w:val="28"/>
          <w:szCs w:val="28"/>
          <w:highlight w:val="none"/>
        </w:rPr>
      </w:pPr>
      <w:r>
        <w:rPr>
          <w:rFonts w:ascii="宋体" w:hAnsi="宋体"/>
          <w:b/>
          <w:bCs/>
          <w:color w:val="auto"/>
          <w:sz w:val="24"/>
          <w:highlight w:val="none"/>
        </w:rPr>
        <w:br w:type="page"/>
      </w:r>
      <w:bookmarkStart w:id="175" w:name="_Toc19686837"/>
      <w:r>
        <w:rPr>
          <w:rFonts w:hint="eastAsia"/>
          <w:b/>
          <w:color w:val="auto"/>
          <w:sz w:val="28"/>
          <w:szCs w:val="28"/>
          <w:highlight w:val="none"/>
          <w:lang w:eastAsia="zh-CN"/>
        </w:rPr>
        <w:t>二</w:t>
      </w:r>
      <w:r>
        <w:rPr>
          <w:rFonts w:hint="eastAsia"/>
          <w:b/>
          <w:color w:val="auto"/>
          <w:sz w:val="28"/>
          <w:szCs w:val="28"/>
          <w:highlight w:val="none"/>
        </w:rPr>
        <w:t>、资格证明文件格式</w:t>
      </w:r>
      <w:bookmarkEnd w:id="173"/>
      <w:bookmarkEnd w:id="174"/>
      <w:bookmarkEnd w:id="175"/>
    </w:p>
    <w:p>
      <w:pPr>
        <w:numPr>
          <w:ilvl w:val="2"/>
          <w:numId w:val="10"/>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p>
    <w:p>
      <w:pPr>
        <w:snapToGrid w:val="0"/>
        <w:spacing w:before="120" w:beforeLines="50" w:after="50" w:line="40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投标人地址：</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10"/>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w:t>
      </w:r>
      <w:r>
        <w:rPr>
          <w:rFonts w:hint="eastAsia" w:ascii="宋体" w:hAnsi="宋体"/>
          <w:color w:val="auto"/>
          <w:szCs w:val="21"/>
          <w:highlight w:val="none"/>
          <w:lang w:eastAsia="zh-CN"/>
        </w:rPr>
        <w:t>“</w:t>
      </w:r>
      <w:r>
        <w:rPr>
          <w:rFonts w:hint="eastAsia" w:ascii="宋体" w:hAnsi="宋体"/>
          <w:color w:val="auto"/>
          <w:szCs w:val="21"/>
          <w:highlight w:val="none"/>
        </w:rPr>
        <w:t>投标人须知前附表</w:t>
      </w:r>
      <w:r>
        <w:rPr>
          <w:rFonts w:hint="eastAsia" w:ascii="宋体" w:hAnsi="宋体"/>
          <w:color w:val="auto"/>
          <w:szCs w:val="21"/>
          <w:highlight w:val="none"/>
          <w:lang w:val="en-US" w:eastAsia="zh-CN"/>
        </w:rPr>
        <w:t>13.1</w:t>
      </w:r>
      <w:r>
        <w:rPr>
          <w:rFonts w:hint="eastAsia" w:ascii="宋体" w:hAnsi="宋体"/>
          <w:color w:val="auto"/>
          <w:szCs w:val="21"/>
          <w:highlight w:val="none"/>
          <w:lang w:eastAsia="zh-CN"/>
        </w:rPr>
        <w:t>”</w:t>
      </w:r>
      <w:r>
        <w:rPr>
          <w:rFonts w:hint="eastAsia" w:ascii="宋体" w:hAnsi="宋体"/>
          <w:color w:val="auto"/>
          <w:szCs w:val="21"/>
          <w:highlight w:val="none"/>
        </w:rPr>
        <w:t>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10"/>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1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1680" w:firstLineChars="700"/>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3360" w:firstLineChars="1400"/>
        <w:rPr>
          <w:rFonts w:hint="eastAsia" w:ascii="宋体" w:hAnsi="宋体"/>
          <w:color w:val="auto"/>
          <w:sz w:val="24"/>
          <w:highlight w:val="none"/>
          <w:u w:val="singl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pPr>
        <w:snapToGrid w:val="0"/>
        <w:jc w:val="center"/>
        <w:rPr>
          <w:rFonts w:hint="eastAsia" w:ascii="宋体" w:hAnsi="宋体"/>
          <w:b/>
          <w:color w:val="auto"/>
          <w:sz w:val="28"/>
          <w:szCs w:val="28"/>
          <w:highlight w:val="none"/>
        </w:rPr>
      </w:pPr>
    </w:p>
    <w:p>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17"/>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1680" w:firstLineChars="700"/>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3600" w:firstLineChars="1500"/>
        <w:rPr>
          <w:rFonts w:hint="eastAsia" w:ascii="宋体" w:hAnsi="宋体"/>
          <w:color w:val="auto"/>
          <w:sz w:val="24"/>
          <w:highlight w:val="none"/>
        </w:rPr>
      </w:pPr>
      <w:r>
        <w:rPr>
          <w:rFonts w:hint="eastAsia" w:ascii="宋体" w:hAnsi="宋体"/>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numPr>
          <w:ilvl w:val="2"/>
          <w:numId w:val="10"/>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rPr>
          <w:rFonts w:hint="eastAsia"/>
          <w:b/>
          <w:color w:val="auto"/>
          <w:sz w:val="28"/>
          <w:szCs w:val="28"/>
          <w:highlight w:val="none"/>
        </w:rPr>
      </w:pPr>
      <w:bookmarkStart w:id="176" w:name="_Toc19686838"/>
      <w:r>
        <w:rPr>
          <w:b/>
          <w:color w:val="auto"/>
          <w:sz w:val="28"/>
          <w:szCs w:val="28"/>
          <w:highlight w:val="none"/>
        </w:rPr>
        <w:br w:type="page"/>
      </w:r>
      <w:r>
        <w:rPr>
          <w:rFonts w:hint="eastAsia"/>
          <w:b/>
          <w:color w:val="auto"/>
          <w:sz w:val="28"/>
          <w:szCs w:val="28"/>
          <w:highlight w:val="none"/>
          <w:lang w:eastAsia="zh-CN"/>
        </w:rPr>
        <w:t>三</w:t>
      </w:r>
      <w:r>
        <w:rPr>
          <w:rFonts w:hint="eastAsia"/>
          <w:b/>
          <w:color w:val="auto"/>
          <w:sz w:val="28"/>
          <w:szCs w:val="28"/>
          <w:highlight w:val="none"/>
        </w:rPr>
        <w:t>、商务文件格式</w:t>
      </w:r>
      <w:bookmarkEnd w:id="176"/>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标   项：</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szCs w:val="20"/>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6"/>
        <w:snapToGrid w:val="0"/>
        <w:spacing w:before="50" w:after="50"/>
        <w:ind w:firstLine="540" w:firstLineChars="225"/>
        <w:rPr>
          <w:rFonts w:hint="eastAsia" w:ascii="宋体" w:hAnsi="宋体"/>
          <w:bCs/>
          <w:color w:val="auto"/>
          <w:sz w:val="24"/>
          <w:szCs w:val="24"/>
          <w:highlight w:val="none"/>
        </w:rPr>
      </w:pPr>
    </w:p>
    <w:p>
      <w:pPr>
        <w:pStyle w:val="6"/>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6"/>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w:t>
      </w:r>
      <w:r>
        <w:rPr>
          <w:rFonts w:hint="eastAsia" w:ascii="宋体" w:hAnsi="宋体"/>
          <w:color w:val="auto"/>
          <w:szCs w:val="21"/>
          <w:highlight w:val="none"/>
          <w:lang w:eastAsia="zh-CN"/>
        </w:rPr>
        <w:t>“</w:t>
      </w:r>
      <w:r>
        <w:rPr>
          <w:rFonts w:hint="eastAsia" w:ascii="宋体" w:hAnsi="宋体" w:eastAsia="宋体" w:cs="Times New Roman"/>
          <w:color w:val="auto"/>
          <w:sz w:val="24"/>
          <w:highlight w:val="none"/>
        </w:rPr>
        <w:t>投标人须知前附表</w:t>
      </w:r>
      <w:r>
        <w:rPr>
          <w:rFonts w:hint="eastAsia" w:ascii="宋体" w:hAnsi="宋体" w:eastAsia="宋体" w:cs="Times New Roman"/>
          <w:color w:val="auto"/>
          <w:sz w:val="24"/>
          <w:highlight w:val="none"/>
          <w:lang w:val="en-US" w:eastAsia="zh-CN"/>
        </w:rPr>
        <w:t>13.1</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contextualSpacing/>
        <w:jc w:val="both"/>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2"/>
        <w:spacing w:line="440" w:lineRule="exact"/>
        <w:ind w:firstLine="6840" w:firstLineChars="2850"/>
        <w:contextualSpacing/>
        <w:rPr>
          <w:rFonts w:hint="eastAsia" w:hAnsi="宋体"/>
          <w:color w:val="auto"/>
          <w:sz w:val="24"/>
          <w:szCs w:val="24"/>
          <w:highlight w:val="none"/>
        </w:rPr>
      </w:pPr>
    </w:p>
    <w:p>
      <w:pPr>
        <w:pStyle w:val="12"/>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w:t>
      </w:r>
      <w:r>
        <w:rPr>
          <w:rFonts w:hint="eastAsia" w:hAnsi="宋体"/>
          <w:color w:val="auto"/>
          <w:sz w:val="24"/>
          <w:szCs w:val="24"/>
          <w:highlight w:val="none"/>
          <w:lang w:eastAsia="zh-CN"/>
        </w:rPr>
        <w:t>盖</w:t>
      </w:r>
      <w:r>
        <w:rPr>
          <w:rFonts w:hint="eastAsia" w:ascii="宋体" w:hAnsi="宋体"/>
          <w:color w:val="auto"/>
          <w:spacing w:val="20"/>
          <w:sz w:val="24"/>
          <w:highlight w:val="none"/>
          <w:lang w:eastAsia="zh-CN"/>
        </w:rPr>
        <w:t>电子</w:t>
      </w:r>
      <w:r>
        <w:rPr>
          <w:rFonts w:hint="eastAsia" w:hAnsi="宋体"/>
          <w:color w:val="auto"/>
          <w:sz w:val="24"/>
          <w:szCs w:val="24"/>
          <w:highlight w:val="none"/>
        </w:rPr>
        <w:t>公章）</w:t>
      </w:r>
    </w:p>
    <w:p>
      <w:pPr>
        <w:pStyle w:val="12"/>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hint="eastAsia" w:ascii="宋体" w:hAnsi="宋体"/>
          <w:b/>
          <w:color w:val="auto"/>
          <w:sz w:val="24"/>
          <w:highlight w:val="none"/>
        </w:rPr>
      </w:pPr>
    </w:p>
    <w:p>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hint="eastAsia" w:ascii="宋体" w:hAnsi="宋体"/>
          <w:color w:val="auto"/>
          <w:sz w:val="24"/>
          <w:highlight w:val="none"/>
        </w:rPr>
      </w:pP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w:t>
      </w:r>
      <w:r>
        <w:rPr>
          <w:rFonts w:hint="eastAsia" w:ascii="宋体" w:hAnsi="宋体"/>
          <w:color w:val="auto"/>
          <w:spacing w:val="20"/>
          <w:sz w:val="24"/>
          <w:highlight w:val="none"/>
          <w:lang w:eastAsia="zh-CN"/>
        </w:rPr>
        <w:t>电子</w:t>
      </w:r>
      <w:r>
        <w:rPr>
          <w:rFonts w:hint="eastAsia" w:ascii="宋体" w:hAnsi="宋体"/>
          <w:color w:val="auto"/>
          <w:sz w:val="24"/>
          <w:highlight w:val="none"/>
        </w:rPr>
        <w:t>公章）：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77" w:name="_Hlk65851555"/>
      <w:bookmarkStart w:id="178" w:name="_Hlk65851620"/>
      <w:r>
        <w:rPr>
          <w:rFonts w:hint="eastAsia" w:ascii="宋体" w:hAnsi="宋体" w:cs="仿宋_GB2312"/>
          <w:color w:val="auto"/>
          <w:sz w:val="24"/>
          <w:highlight w:val="none"/>
        </w:rPr>
        <w:t>法定代表人必须在授权委托书上亲笔签字或者盖章，</w:t>
      </w:r>
      <w:bookmarkEnd w:id="177"/>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78"/>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rPr>
          <w:rFonts w:hint="eastAsia" w:ascii="宋体" w:hAnsi="宋体"/>
          <w:color w:val="auto"/>
          <w:sz w:val="24"/>
          <w:highlight w:val="none"/>
        </w:rPr>
      </w:pPr>
      <w:r>
        <w:rPr>
          <w:rFonts w:ascii="宋体" w:hAnsi="宋体"/>
          <w:color w:val="auto"/>
          <w:sz w:val="24"/>
          <w:highlight w:val="none"/>
        </w:rPr>
        <w:br w:type="page"/>
      </w:r>
    </w:p>
    <w:p>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hint="eastAsia" w:ascii="宋体" w:hAnsi="宋体"/>
          <w:color w:val="auto"/>
          <w:sz w:val="24"/>
          <w:highlight w:val="none"/>
        </w:rPr>
      </w:pPr>
    </w:p>
    <w:p>
      <w:pPr>
        <w:snapToGrid w:val="0"/>
        <w:spacing w:before="50"/>
        <w:jc w:val="left"/>
        <w:rPr>
          <w:rFonts w:hint="eastAsia" w:ascii="宋体" w:hAnsi="宋体"/>
          <w:color w:val="auto"/>
          <w:sz w:val="24"/>
          <w:highlight w:val="none"/>
          <w:u w:val="single"/>
        </w:rPr>
      </w:pPr>
    </w:p>
    <w:tbl>
      <w:tblPr>
        <w:tblStyle w:val="1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9"/>
        <w:rPr>
          <w:rFonts w:hint="eastAsia" w:ascii="宋体" w:hAnsi="宋体"/>
          <w:color w:val="auto"/>
          <w:highlight w:val="none"/>
        </w:rPr>
      </w:pPr>
      <w:r>
        <w:rPr>
          <w:rFonts w:hint="eastAsia" w:ascii="宋体" w:hAnsi="宋体"/>
          <w:color w:val="auto"/>
          <w:highlight w:val="none"/>
        </w:rPr>
        <w:t>注：</w:t>
      </w:r>
    </w:p>
    <w:p>
      <w:pPr>
        <w:pStyle w:val="11"/>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pPr>
        <w:pStyle w:val="9"/>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16"/>
        <w:snapToGrid w:val="0"/>
        <w:ind w:left="480" w:hanging="480"/>
        <w:rPr>
          <w:rFonts w:hint="eastAsia" w:ascii="宋体" w:hAnsi="宋体"/>
          <w:color w:val="auto"/>
          <w:sz w:val="24"/>
          <w:highlight w:val="none"/>
        </w:rPr>
      </w:pPr>
    </w:p>
    <w:p>
      <w:pPr>
        <w:pStyle w:val="16"/>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7"/>
        <w:spacing w:before="0" w:after="0" w:line="360" w:lineRule="auto"/>
        <w:contextualSpacing/>
        <w:rPr>
          <w:rFonts w:hint="eastAsia" w:ascii="宋体" w:hAnsi="宋体" w:eastAsia="宋体"/>
          <w:color w:val="auto"/>
          <w:sz w:val="24"/>
          <w:szCs w:val="24"/>
          <w:highlight w:val="none"/>
        </w:rPr>
      </w:pPr>
    </w:p>
    <w:p>
      <w:pPr>
        <w:pStyle w:val="7"/>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7"/>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法定代表人或者委托代理人（签字/签章）：</w:t>
      </w:r>
      <w:r>
        <w:rPr>
          <w:rFonts w:hint="eastAsia" w:ascii="宋体" w:hAnsi="宋体" w:eastAsia="宋体"/>
          <w:color w:val="auto"/>
          <w:sz w:val="24"/>
          <w:szCs w:val="24"/>
          <w:highlight w:val="none"/>
          <w:u w:val="single"/>
        </w:rPr>
        <w:t>　　　　　</w:t>
      </w:r>
    </w:p>
    <w:p>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投标人（盖</w:t>
      </w:r>
      <w:r>
        <w:rPr>
          <w:rFonts w:hint="eastAsia" w:ascii="宋体" w:hAnsi="宋体"/>
          <w:color w:val="auto"/>
          <w:spacing w:val="20"/>
          <w:sz w:val="24"/>
          <w:highlight w:val="none"/>
          <w:lang w:eastAsia="zh-CN"/>
        </w:rPr>
        <w:t>电子</w:t>
      </w:r>
      <w:r>
        <w:rPr>
          <w:rFonts w:hint="eastAsia" w:ascii="宋体" w:hAnsi="宋体" w:cs="Arial"/>
          <w:color w:val="auto"/>
          <w:sz w:val="24"/>
          <w:highlight w:val="none"/>
        </w:rPr>
        <w:t xml:space="preserve">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hint="eastAsia" w:ascii="宋体" w:hAnsi="宋体"/>
          <w:color w:val="auto"/>
          <w:sz w:val="24"/>
          <w:szCs w:val="20"/>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footerReference r:id="rId5" w:type="default"/>
          <w:pgSz w:w="11906" w:h="16838"/>
          <w:pgMar w:top="1440" w:right="1797" w:bottom="1440" w:left="1797" w:header="851" w:footer="992" w:gutter="0"/>
          <w:pgNumType w:fmt="decimal"/>
          <w:cols w:space="720" w:num="1"/>
          <w:docGrid w:linePitch="312" w:charSpace="0"/>
        </w:sectPr>
      </w:pPr>
    </w:p>
    <w:p>
      <w:pPr>
        <w:rPr>
          <w:rFonts w:hint="eastAsia"/>
          <w:b/>
          <w:color w:val="auto"/>
          <w:sz w:val="28"/>
          <w:szCs w:val="28"/>
          <w:highlight w:val="none"/>
        </w:rPr>
      </w:pPr>
      <w:r>
        <w:rPr>
          <w:rFonts w:hint="eastAsia"/>
          <w:b/>
          <w:color w:val="auto"/>
          <w:sz w:val="28"/>
          <w:szCs w:val="28"/>
          <w:highlight w:val="none"/>
        </w:rPr>
        <w:t>五、技术文件格式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  标  文  件</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标   项：</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hint="eastAsia" w:ascii="宋体" w:hAnsi="宋体"/>
          <w:color w:val="auto"/>
          <w:sz w:val="24"/>
          <w:highlight w:val="none"/>
        </w:rPr>
      </w:pP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50" w:after="120" w:afterLines="50" w:line="360" w:lineRule="auto"/>
        <w:ind w:firstLine="482" w:firstLineChars="200"/>
        <w:jc w:val="left"/>
        <w:rPr>
          <w:rFonts w:hint="eastAsia" w:ascii="宋体" w:hAnsi="宋体" w:eastAsia="宋体" w:cs="Times New Roman"/>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20" w:firstLineChars="200"/>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根据招标文件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投标人须知前附表</w:t>
      </w:r>
      <w:r>
        <w:rPr>
          <w:rFonts w:hint="eastAsia" w:ascii="宋体" w:hAnsi="宋体" w:eastAsia="宋体" w:cs="Times New Roman"/>
          <w:color w:val="auto"/>
          <w:sz w:val="21"/>
          <w:szCs w:val="21"/>
          <w:highlight w:val="none"/>
          <w:lang w:val="en-US" w:eastAsia="zh-CN"/>
        </w:rPr>
        <w:t>13.1</w:t>
      </w:r>
      <w:r>
        <w:rPr>
          <w:rFonts w:hint="eastAsia" w:ascii="宋体" w:hAnsi="宋体" w:eastAsia="宋体" w:cs="Times New Roman"/>
          <w:color w:val="auto"/>
          <w:sz w:val="21"/>
          <w:szCs w:val="21"/>
          <w:highlight w:val="none"/>
          <w:lang w:eastAsia="zh-CN"/>
        </w:rPr>
        <w:t>”</w:t>
      </w:r>
      <w:r>
        <w:rPr>
          <w:rFonts w:hint="eastAsia" w:ascii="宋体" w:hAnsi="宋体"/>
          <w:color w:val="auto"/>
          <w:sz w:val="21"/>
          <w:szCs w:val="21"/>
          <w:highlight w:val="none"/>
        </w:rPr>
        <w:t>规定及投标人提供的材料自行编写目录。</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6"/>
        <w:gridCol w:w="765"/>
        <w:gridCol w:w="852"/>
        <w:gridCol w:w="1701"/>
        <w:gridCol w:w="1186"/>
        <w:gridCol w:w="702"/>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bl>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tbl>
      <w:tblPr>
        <w:tblStyle w:val="1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2"/>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2"/>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2"/>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2"/>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2"/>
              <w:spacing w:line="600" w:lineRule="exact"/>
              <w:rPr>
                <w:rFonts w:hint="eastAsia" w:hAnsi="宋体" w:cs="Courier New"/>
                <w:color w:val="auto"/>
                <w:kern w:val="2"/>
                <w:sz w:val="24"/>
                <w:szCs w:val="24"/>
                <w:highlight w:val="none"/>
                <w:lang w:val="en-US" w:eastAsia="zh-CN"/>
              </w:rPr>
            </w:pPr>
          </w:p>
        </w:tc>
      </w:tr>
    </w:tbl>
    <w:p>
      <w:pPr>
        <w:pStyle w:val="9"/>
        <w:rPr>
          <w:rFonts w:hint="eastAsia" w:ascii="宋体" w:hAnsi="宋体"/>
          <w:color w:val="auto"/>
          <w:highlight w:val="none"/>
        </w:rPr>
      </w:pPr>
      <w:r>
        <w:rPr>
          <w:rFonts w:hint="eastAsia" w:ascii="宋体" w:hAnsi="宋体"/>
          <w:color w:val="auto"/>
          <w:highlight w:val="none"/>
        </w:rPr>
        <w:t>注：</w:t>
      </w:r>
    </w:p>
    <w:p>
      <w:pPr>
        <w:pStyle w:val="11"/>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pPr>
        <w:pStyle w:val="9"/>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1"/>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1"/>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 选配件、专用耗材、售后服务优惠表格式（注：按项目需求表具体项目修改）</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auto"/>
                <w:kern w:val="2"/>
                <w:sz w:val="24"/>
                <w:szCs w:val="24"/>
                <w:highlight w:val="none"/>
                <w:lang w:val="en-US" w:eastAsia="zh-CN"/>
              </w:rPr>
            </w:pPr>
          </w:p>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bl>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lang w:val="en-US" w:eastAsia="zh-CN"/>
        </w:rPr>
        <w:t>/</w:t>
      </w:r>
      <w:r>
        <w:rPr>
          <w:rFonts w:hint="eastAsia" w:hAnsi="宋体"/>
          <w:color w:val="auto"/>
          <w:sz w:val="24"/>
          <w:szCs w:val="24"/>
          <w:highlight w:val="none"/>
        </w:rPr>
        <w:t>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投标人（盖</w:t>
      </w:r>
      <w:r>
        <w:rPr>
          <w:rFonts w:hint="eastAsia" w:ascii="宋体" w:hAnsi="宋体"/>
          <w:color w:val="auto"/>
          <w:spacing w:val="20"/>
          <w:sz w:val="24"/>
          <w:highlight w:val="none"/>
          <w:lang w:eastAsia="zh-CN"/>
        </w:rPr>
        <w:t>电子</w:t>
      </w:r>
      <w:r>
        <w:rPr>
          <w:rFonts w:hint="eastAsia" w:ascii="宋体" w:hAnsi="宋体"/>
          <w:color w:val="auto"/>
          <w:spacing w:val="20"/>
          <w:sz w:val="24"/>
          <w:highlight w:val="none"/>
        </w:rPr>
        <w:t>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rPr>
          <w:rFonts w:hint="eastAsia"/>
          <w:b/>
          <w:color w:val="auto"/>
          <w:sz w:val="28"/>
          <w:szCs w:val="28"/>
          <w:highlight w:val="none"/>
        </w:rPr>
      </w:pPr>
      <w:r>
        <w:rPr>
          <w:rFonts w:ascii="宋体" w:hAnsi="宋体"/>
          <w:b/>
          <w:bCs/>
          <w:color w:val="auto"/>
          <w:sz w:val="24"/>
          <w:highlight w:val="none"/>
        </w:rPr>
        <w:br w:type="page"/>
      </w:r>
      <w:r>
        <w:rPr>
          <w:rFonts w:hint="eastAsia"/>
          <w:b/>
          <w:color w:val="auto"/>
          <w:sz w:val="28"/>
          <w:szCs w:val="28"/>
          <w:highlight w:val="none"/>
        </w:rPr>
        <w:t>六、其他文书、文件格式</w:t>
      </w:r>
    </w:p>
    <w:p>
      <w:pPr>
        <w:spacing w:before="120" w:beforeLines="50" w:after="120" w:afterLines="50" w:line="400" w:lineRule="exact"/>
        <w:rPr>
          <w:rFonts w:hint="eastAsia" w:ascii="宋体" w:hAnsi="宋体"/>
          <w:color w:val="auto"/>
          <w:sz w:val="24"/>
          <w:highlight w:val="none"/>
        </w:rPr>
      </w:pPr>
    </w:p>
    <w:p>
      <w:pPr>
        <w:snapToGrid w:val="0"/>
        <w:spacing w:before="120" w:beforeLines="50" w:after="50"/>
        <w:jc w:val="left"/>
        <w:rPr>
          <w:rFonts w:hint="eastAsia"/>
          <w:color w:val="auto"/>
          <w:highlight w:val="none"/>
        </w:rPr>
      </w:pPr>
      <w:r>
        <w:rPr>
          <w:rFonts w:hint="eastAsia" w:ascii="宋体" w:hAnsi="宋体"/>
          <w:b/>
          <w:color w:val="auto"/>
          <w:spacing w:val="20"/>
          <w:sz w:val="24"/>
          <w:highlight w:val="none"/>
        </w:rPr>
        <w:t>1.</w:t>
      </w:r>
      <w:r>
        <w:rPr>
          <w:rFonts w:hint="eastAsia" w:ascii="宋体" w:hAnsi="宋体"/>
          <w:b/>
          <w:color w:val="auto"/>
          <w:sz w:val="24"/>
          <w:highlight w:val="none"/>
        </w:rPr>
        <w:t>中小企业声明函格式</w:t>
      </w:r>
    </w:p>
    <w:p>
      <w:pPr>
        <w:rPr>
          <w:rFonts w:hint="eastAsia"/>
          <w:color w:val="auto"/>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0"/>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招标文件</w:t>
      </w:r>
      <w:r>
        <w:rPr>
          <w:rFonts w:ascii="宋体" w:hAnsi="宋体"/>
          <w:color w:val="auto"/>
          <w:kern w:val="24"/>
          <w:sz w:val="24"/>
          <w:highlight w:val="none"/>
          <w:u w:val="single"/>
        </w:rPr>
        <w:t>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招标文件</w:t>
      </w:r>
      <w:r>
        <w:rPr>
          <w:rFonts w:ascii="宋体" w:hAnsi="宋体"/>
          <w:color w:val="auto"/>
          <w:kern w:val="24"/>
          <w:sz w:val="24"/>
          <w:highlight w:val="none"/>
          <w:u w:val="single"/>
        </w:rPr>
        <w:t>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0"/>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0"/>
        <w:spacing w:line="360" w:lineRule="auto"/>
        <w:ind w:left="3960" w:right="1808"/>
        <w:contextualSpacing/>
        <w:rPr>
          <w:rFonts w:hint="eastAsia" w:ascii="宋体" w:hAnsi="宋体"/>
          <w:color w:val="auto"/>
          <w:kern w:val="24"/>
          <w:highlight w:val="none"/>
        </w:rPr>
      </w:pPr>
    </w:p>
    <w:p>
      <w:pPr>
        <w:pStyle w:val="10"/>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0"/>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0"/>
        <w:spacing w:line="360" w:lineRule="auto"/>
        <w:ind w:left="3960" w:right="1808"/>
        <w:contextualSpacing/>
        <w:rPr>
          <w:rFonts w:ascii="宋体" w:hAnsi="宋体"/>
          <w:color w:val="auto"/>
          <w:kern w:val="24"/>
          <w:highlight w:val="none"/>
        </w:rPr>
      </w:pPr>
    </w:p>
    <w:p>
      <w:pPr>
        <w:pStyle w:val="10"/>
        <w:spacing w:line="360" w:lineRule="auto"/>
        <w:ind w:left="3960" w:right="1808"/>
        <w:contextualSpacing/>
        <w:rPr>
          <w:rFonts w:ascii="宋体" w:hAnsi="宋体"/>
          <w:color w:val="auto"/>
          <w:kern w:val="24"/>
          <w:highlight w:val="none"/>
        </w:rPr>
      </w:pPr>
    </w:p>
    <w:p>
      <w:pPr>
        <w:pStyle w:val="10"/>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2"/>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2"/>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2"/>
        <w:snapToGrid w:val="0"/>
        <w:spacing w:line="360" w:lineRule="auto"/>
        <w:rPr>
          <w:rFonts w:hint="eastAsia" w:hAnsi="宋体"/>
          <w:b/>
          <w:color w:val="auto"/>
          <w:sz w:val="24"/>
          <w:szCs w:val="24"/>
          <w:highlight w:val="none"/>
        </w:rPr>
      </w:pPr>
    </w:p>
    <w:p>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2"/>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2"/>
        <w:snapToGrid w:val="0"/>
        <w:rPr>
          <w:rFonts w:hint="eastAsia"/>
          <w:b/>
          <w:color w:val="auto"/>
          <w:sz w:val="24"/>
          <w:szCs w:val="24"/>
          <w:highlight w:val="none"/>
        </w:rPr>
      </w:pPr>
    </w:p>
    <w:p>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lang w:val="en-US" w:eastAsia="zh-CN"/>
        </w:rPr>
        <w:t>4</w:t>
      </w:r>
      <w:r>
        <w:rPr>
          <w:rFonts w:hint="eastAsia" w:ascii="宋体" w:hAnsi="宋体"/>
          <w:b/>
          <w:color w:val="auto"/>
          <w:sz w:val="24"/>
          <w:highlight w:val="none"/>
        </w:rPr>
        <w:t>.投诉书（格式）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pPr>
        <w:pStyle w:val="12"/>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2"/>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2"/>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2"/>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2"/>
        <w:spacing w:line="360" w:lineRule="auto"/>
        <w:ind w:left="25" w:leftChars="12" w:firstLine="352" w:firstLineChars="147"/>
        <w:rPr>
          <w:rFonts w:hint="eastAsia" w:hAnsi="宋体"/>
          <w:color w:val="auto"/>
          <w:sz w:val="24"/>
          <w:szCs w:val="24"/>
          <w:highlight w:val="none"/>
        </w:rPr>
      </w:pPr>
    </w:p>
    <w:p>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2"/>
        <w:spacing w:line="360" w:lineRule="auto"/>
        <w:ind w:left="25" w:leftChars="12" w:firstLine="354" w:firstLineChars="147"/>
        <w:rPr>
          <w:rFonts w:hint="default"/>
          <w:highlight w:val="none"/>
          <w:lang w:val="en-US" w:eastAsia="zh-CN"/>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0D03"/>
    <w:multiLevelType w:val="singleLevel"/>
    <w:tmpl w:val="8CDB0D03"/>
    <w:lvl w:ilvl="0" w:tentative="0">
      <w:start w:val="2"/>
      <w:numFmt w:val="decimal"/>
      <w:suff w:val="space"/>
      <w:lvlText w:val="%1."/>
      <w:lvlJc w:val="left"/>
    </w:lvl>
  </w:abstractNum>
  <w:abstractNum w:abstractNumId="1">
    <w:nsid w:val="9C3E8A5C"/>
    <w:multiLevelType w:val="singleLevel"/>
    <w:tmpl w:val="9C3E8A5C"/>
    <w:lvl w:ilvl="0" w:tentative="0">
      <w:start w:val="1"/>
      <w:numFmt w:val="decimal"/>
      <w:suff w:val="nothing"/>
      <w:lvlText w:val="（%1）"/>
      <w:lvlJc w:val="left"/>
    </w:lvl>
  </w:abstractNum>
  <w:abstractNum w:abstractNumId="2">
    <w:nsid w:val="E77B86B6"/>
    <w:multiLevelType w:val="singleLevel"/>
    <w:tmpl w:val="E77B86B6"/>
    <w:lvl w:ilvl="0" w:tentative="0">
      <w:start w:val="12"/>
      <w:numFmt w:val="chineseCounting"/>
      <w:suff w:val="space"/>
      <w:lvlText w:val="第%1条"/>
      <w:lvlJc w:val="left"/>
      <w:rPr>
        <w:rFonts w:hint="eastAsia"/>
      </w:rPr>
    </w:lvl>
  </w:abstractNum>
  <w:abstractNum w:abstractNumId="3">
    <w:nsid w:val="23538B3B"/>
    <w:multiLevelType w:val="singleLevel"/>
    <w:tmpl w:val="23538B3B"/>
    <w:lvl w:ilvl="0" w:tentative="0">
      <w:start w:val="2"/>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3"/>
  </w:num>
  <w:num w:numId="3">
    <w:abstractNumId w:val="1"/>
  </w:num>
  <w:num w:numId="4">
    <w:abstractNumId w:val="0"/>
  </w:num>
  <w:num w:numId="5">
    <w:abstractNumId w:val="8"/>
  </w:num>
  <w:num w:numId="6">
    <w:abstractNumId w:val="5"/>
  </w:num>
  <w:num w:numId="7">
    <w:abstractNumId w:val="6"/>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RkYjM3MTJkNTkyYzk4ZTdmZmY4YjBkMmZkZGEifQ=="/>
  </w:docVars>
  <w:rsids>
    <w:rsidRoot w:val="058B6580"/>
    <w:rsid w:val="058B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unhideWhenUsed/>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w:basedOn w:val="1"/>
    <w:qFormat/>
    <w:uiPriority w:val="99"/>
    <w:pPr>
      <w:spacing w:line="380" w:lineRule="exact"/>
    </w:pPr>
    <w:rPr>
      <w:kern w:val="0"/>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00"/>
      <w:u w:val="none"/>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162</Words>
  <Characters>201</Characters>
  <Lines>0</Lines>
  <Paragraphs>0</Paragraphs>
  <TotalTime>2</TotalTime>
  <ScaleCrop>false</ScaleCrop>
  <LinksUpToDate>false</LinksUpToDate>
  <CharactersWithSpaces>203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2025-02-26T02:25:00Z</dcterms:created>
  <dc:creator>黄海洋</dc:creator>
  <cp:lastModifiedBy>黄海洋</cp:lastModifiedBy>
  <dcterms:modified xsi:type="dcterms:W3CDTF">2025-02-26T02:36:57Z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7676CAECF5EF44E2BA6CD7606320FE3E_11</vt:lpwstr>
  </property>
</Properties>
</file>